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0" w:beforeAutospacing="0" w:after="0" w:afterAutospacing="0"/>
        <w:contextualSpacing/>
        <w:jc w:val="center"/>
        <w:outlineLvl w:val="0"/>
      </w:pPr>
      <w:bookmarkStart w:id="0" w:name="_Toc20238"/>
      <w:r>
        <w:drawing>
          <wp:inline distT="0" distB="0" distL="114300" distR="114300">
            <wp:extent cx="5784215" cy="6871335"/>
            <wp:effectExtent l="0" t="0" r="698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784215" cy="6871335"/>
                    </a:xfrm>
                    <a:prstGeom prst="rect">
                      <a:avLst/>
                    </a:prstGeom>
                    <a:noFill/>
                    <a:ln>
                      <a:noFill/>
                    </a:ln>
                  </pic:spPr>
                </pic:pic>
              </a:graphicData>
            </a:graphic>
          </wp:inline>
        </w:drawing>
      </w:r>
      <w:r>
        <w:br w:type="textWrapping"/>
      </w:r>
      <w:r>
        <w:br w:type="textWrapping"/>
      </w:r>
      <w:r>
        <w:br w:type="textWrapping"/>
      </w:r>
    </w:p>
    <w:p>
      <w:pPr>
        <w:pStyle w:val="25"/>
        <w:spacing w:before="0" w:beforeAutospacing="0" w:after="0" w:afterAutospacing="0"/>
        <w:contextualSpacing/>
        <w:jc w:val="center"/>
        <w:outlineLvl w:val="0"/>
      </w:pPr>
      <w:r>
        <w:drawing>
          <wp:inline distT="0" distB="0" distL="114300" distR="114300">
            <wp:extent cx="5499100" cy="7619365"/>
            <wp:effectExtent l="0" t="0" r="2540" b="63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3"/>
                    <a:stretch>
                      <a:fillRect/>
                    </a:stretch>
                  </pic:blipFill>
                  <pic:spPr>
                    <a:xfrm>
                      <a:off x="0" y="0"/>
                      <a:ext cx="5499100" cy="7619365"/>
                    </a:xfrm>
                    <a:prstGeom prst="rect">
                      <a:avLst/>
                    </a:prstGeom>
                    <a:noFill/>
                    <a:ln>
                      <a:noFill/>
                    </a:ln>
                  </pic:spPr>
                </pic:pic>
              </a:graphicData>
            </a:graphic>
          </wp:inline>
        </w:drawing>
      </w:r>
      <w:r>
        <w:br w:type="textWrapping"/>
      </w:r>
      <w:r>
        <w:br w:type="textWrapping"/>
      </w:r>
      <w:r>
        <w:br w:type="textWrapping"/>
      </w:r>
      <w:r>
        <w:br w:type="textWrapping"/>
      </w:r>
      <w:r>
        <w:br w:type="textWrapping"/>
      </w:r>
      <w:r>
        <w:br w:type="textWrapping"/>
      </w:r>
      <w:bookmarkStart w:id="12" w:name="_GoBack"/>
      <w:bookmarkEnd w:id="12"/>
    </w:p>
    <w:p>
      <w:pPr>
        <w:pStyle w:val="25"/>
        <w:spacing w:before="0" w:beforeAutospacing="0" w:after="0" w:afterAutospacing="0"/>
        <w:contextualSpacing/>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一、建设项目基本情况</w:t>
      </w:r>
      <w:bookmarkEnd w:id="0"/>
    </w:p>
    <w:tbl>
      <w:tblPr>
        <w:tblStyle w:val="2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9"/>
        <w:gridCol w:w="1115"/>
        <w:gridCol w:w="1913"/>
        <w:gridCol w:w="1932"/>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建设项目名称</w:t>
            </w:r>
          </w:p>
        </w:tc>
        <w:tc>
          <w:tcPr>
            <w:tcW w:w="7170" w:type="dxa"/>
            <w:gridSpan w:val="3"/>
            <w:vAlign w:val="center"/>
          </w:tcPr>
          <w:p>
            <w:pPr>
              <w:adjustRightInd w:val="0"/>
              <w:snapToGrid w:val="0"/>
              <w:jc w:val="center"/>
              <w:rPr>
                <w:rFonts w:hint="default" w:ascii="Times New Roman" w:hAnsi="Times New Roman" w:eastAsia="宋体" w:cs="Times New Roman"/>
                <w:color w:val="auto"/>
                <w:sz w:val="24"/>
                <w:lang w:eastAsia="zh-CN"/>
              </w:rPr>
            </w:pPr>
            <w:r>
              <w:rPr>
                <w:rFonts w:hint="eastAsia" w:cs="Times New Roman"/>
                <w:color w:val="auto"/>
                <w:sz w:val="24"/>
                <w:lang w:eastAsia="zh-CN"/>
              </w:rPr>
              <w:t>年产汽车内饰件30万套工艺技改项目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项目代码</w:t>
            </w:r>
          </w:p>
        </w:tc>
        <w:tc>
          <w:tcPr>
            <w:tcW w:w="7170" w:type="dxa"/>
            <w:gridSpan w:val="3"/>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eastAsia="zh-CN"/>
              </w:rPr>
              <w:t>2309-320413-07-02-348027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建设单位联系人</w:t>
            </w:r>
          </w:p>
        </w:tc>
        <w:tc>
          <w:tcPr>
            <w:tcW w:w="1913" w:type="dxa"/>
            <w:vAlign w:val="center"/>
          </w:tcPr>
          <w:p>
            <w:pPr>
              <w:adjustRightInd w:val="0"/>
              <w:snapToGrid w:val="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bCs/>
                <w:color w:val="auto"/>
                <w:sz w:val="24"/>
              </w:rPr>
              <w:t>孙兴源</w:t>
            </w:r>
          </w:p>
        </w:tc>
        <w:tc>
          <w:tcPr>
            <w:tcW w:w="1932" w:type="dxa"/>
            <w:vAlign w:val="center"/>
          </w:tcPr>
          <w:p>
            <w:pPr>
              <w:adjustRightInd w:val="0"/>
              <w:snapToGrid w:val="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联系方式</w:t>
            </w:r>
          </w:p>
        </w:tc>
        <w:tc>
          <w:tcPr>
            <w:tcW w:w="3325" w:type="dxa"/>
            <w:vAlign w:val="center"/>
          </w:tcPr>
          <w:p>
            <w:pPr>
              <w:adjustRightInd w:val="0"/>
              <w:snapToGrid w:val="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bCs/>
                <w:color w:val="auto"/>
                <w:sz w:val="24"/>
              </w:rPr>
              <w:t>13775166680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建设地点</w:t>
            </w:r>
          </w:p>
        </w:tc>
        <w:tc>
          <w:tcPr>
            <w:tcW w:w="7170" w:type="dxa"/>
            <w:gridSpan w:val="3"/>
            <w:vAlign w:val="center"/>
          </w:tcPr>
          <w:p>
            <w:pPr>
              <w:adjustRightInd w:val="0"/>
              <w:snapToGrid w:val="0"/>
              <w:jc w:val="center"/>
              <w:rPr>
                <w:rFonts w:hint="default" w:ascii="Times New Roman" w:hAnsi="Times New Roman" w:eastAsia="宋体" w:cs="Times New Roman"/>
                <w:color w:val="auto"/>
                <w:sz w:val="24"/>
                <w:lang w:eastAsia="zh-CN"/>
              </w:rPr>
            </w:pPr>
            <w:r>
              <w:rPr>
                <w:rFonts w:hint="eastAsia" w:cs="Times New Roman"/>
                <w:color w:val="auto"/>
                <w:sz w:val="24"/>
                <w:lang w:eastAsia="zh-CN"/>
              </w:rPr>
              <w:t>常州市金坛区金城镇红山路33号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地理坐标</w:t>
            </w:r>
          </w:p>
        </w:tc>
        <w:tc>
          <w:tcPr>
            <w:tcW w:w="7170" w:type="dxa"/>
            <w:gridSpan w:val="3"/>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119</w:t>
            </w:r>
            <w:r>
              <w:rPr>
                <w:rFonts w:hint="default" w:ascii="Times New Roman" w:hAnsi="Times New Roman" w:eastAsia="宋体" w:cs="Times New Roman"/>
                <w:color w:val="auto"/>
                <w:sz w:val="24"/>
                <w:highlight w:val="none"/>
              </w:rPr>
              <w:t>度</w:t>
            </w:r>
            <w:r>
              <w:rPr>
                <w:rFonts w:hint="eastAsia" w:cs="Times New Roman"/>
                <w:color w:val="auto"/>
                <w:sz w:val="24"/>
                <w:highlight w:val="none"/>
                <w:u w:val="single"/>
                <w:lang w:val="en-US" w:eastAsia="zh-CN"/>
              </w:rPr>
              <w:t>33</w:t>
            </w:r>
            <w:r>
              <w:rPr>
                <w:rFonts w:hint="default" w:ascii="Times New Roman" w:hAnsi="Times New Roman" w:eastAsia="宋体" w:cs="Times New Roman"/>
                <w:color w:val="auto"/>
                <w:sz w:val="24"/>
                <w:highlight w:val="none"/>
              </w:rPr>
              <w:t>分</w:t>
            </w:r>
            <w:r>
              <w:rPr>
                <w:rFonts w:hint="eastAsia" w:cs="Times New Roman"/>
                <w:color w:val="auto"/>
                <w:sz w:val="24"/>
                <w:highlight w:val="none"/>
                <w:u w:val="single"/>
                <w:lang w:val="en-US" w:eastAsia="zh-CN"/>
              </w:rPr>
              <w:t>16.526</w:t>
            </w:r>
            <w:r>
              <w:rPr>
                <w:rFonts w:hint="default" w:ascii="Times New Roman" w:hAnsi="Times New Roman" w:eastAsia="宋体" w:cs="Times New Roman"/>
                <w:color w:val="auto"/>
                <w:sz w:val="24"/>
                <w:highlight w:val="none"/>
              </w:rPr>
              <w:t>秒，</w:t>
            </w:r>
            <w:r>
              <w:rPr>
                <w:rFonts w:hint="default" w:ascii="Times New Roman" w:hAnsi="Times New Roman" w:eastAsia="宋体" w:cs="Times New Roman"/>
                <w:color w:val="auto"/>
                <w:sz w:val="24"/>
                <w:highlight w:val="none"/>
                <w:u w:val="single"/>
              </w:rPr>
              <w:t>31</w:t>
            </w:r>
            <w:r>
              <w:rPr>
                <w:rFonts w:hint="default" w:ascii="Times New Roman" w:hAnsi="Times New Roman" w:eastAsia="宋体" w:cs="Times New Roman"/>
                <w:color w:val="auto"/>
                <w:sz w:val="24"/>
                <w:highlight w:val="none"/>
              </w:rPr>
              <w:t>度</w:t>
            </w:r>
            <w:r>
              <w:rPr>
                <w:rFonts w:hint="default" w:ascii="Times New Roman" w:hAnsi="Times New Roman" w:eastAsia="宋体" w:cs="Times New Roman"/>
                <w:color w:val="auto"/>
                <w:sz w:val="24"/>
                <w:highlight w:val="none"/>
                <w:u w:val="single"/>
              </w:rPr>
              <w:t>4</w:t>
            </w:r>
            <w:r>
              <w:rPr>
                <w:rFonts w:hint="eastAsia" w:cs="Times New Roman"/>
                <w:color w:val="auto"/>
                <w:sz w:val="24"/>
                <w:highlight w:val="none"/>
                <w:u w:val="single"/>
                <w:lang w:val="en-US" w:eastAsia="zh-CN"/>
              </w:rPr>
              <w:t>6</w:t>
            </w:r>
            <w:r>
              <w:rPr>
                <w:rFonts w:hint="default" w:ascii="Times New Roman" w:hAnsi="Times New Roman" w:eastAsia="宋体" w:cs="Times New Roman"/>
                <w:color w:val="auto"/>
                <w:sz w:val="24"/>
                <w:highlight w:val="none"/>
              </w:rPr>
              <w:t>分</w:t>
            </w:r>
            <w:r>
              <w:rPr>
                <w:rFonts w:hint="eastAsia" w:cs="Times New Roman"/>
                <w:color w:val="auto"/>
                <w:sz w:val="24"/>
                <w:highlight w:val="none"/>
                <w:u w:val="single"/>
                <w:lang w:val="en-US" w:eastAsia="zh-CN"/>
              </w:rPr>
              <w:t>2.141</w:t>
            </w:r>
            <w:r>
              <w:rPr>
                <w:rFonts w:hint="default" w:ascii="Times New Roman" w:hAnsi="Times New Roman" w:eastAsia="宋体" w:cs="Times New Roman"/>
                <w:color w:val="auto"/>
                <w:sz w:val="24"/>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国民经济</w:t>
            </w:r>
          </w:p>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行业类别</w:t>
            </w:r>
          </w:p>
        </w:tc>
        <w:tc>
          <w:tcPr>
            <w:tcW w:w="1913" w:type="dxa"/>
            <w:vAlign w:val="center"/>
          </w:tcPr>
          <w:p>
            <w:pPr>
              <w:adjustRightInd w:val="0"/>
              <w:snapToGrid w:val="0"/>
              <w:jc w:val="center"/>
              <w:rPr>
                <w:rFonts w:hint="default" w:ascii="Times New Roman" w:hAnsi="Times New Roman" w:eastAsia="宋体" w:cs="Times New Roman"/>
                <w:color w:val="auto"/>
                <w:sz w:val="24"/>
                <w:lang w:eastAsia="zh-CN"/>
              </w:rPr>
            </w:pPr>
            <w:r>
              <w:rPr>
                <w:rFonts w:hint="eastAsia" w:cs="Times New Roman"/>
                <w:color w:val="auto"/>
                <w:sz w:val="24"/>
                <w:lang w:val="en-US" w:eastAsia="zh-CN"/>
              </w:rPr>
              <w:t>C3670汽车零部件及配件制造</w:t>
            </w:r>
          </w:p>
        </w:tc>
        <w:tc>
          <w:tcPr>
            <w:tcW w:w="1932" w:type="dxa"/>
            <w:vAlign w:val="center"/>
          </w:tcPr>
          <w:p>
            <w:pPr>
              <w:adjustRightInd w:val="0"/>
              <w:snapToGrid w:val="0"/>
              <w:jc w:val="center"/>
              <w:rPr>
                <w:rFonts w:hint="default" w:ascii="Times New Roman" w:hAnsi="Times New Roman" w:eastAsia="宋体" w:cs="Times New Roman"/>
                <w:color w:val="auto"/>
                <w:sz w:val="24"/>
              </w:rPr>
            </w:pPr>
            <w:bookmarkStart w:id="1" w:name="_Hlk49843745"/>
            <w:r>
              <w:rPr>
                <w:rFonts w:hint="default" w:ascii="Times New Roman" w:hAnsi="Times New Roman" w:eastAsia="宋体" w:cs="Times New Roman"/>
                <w:color w:val="auto"/>
                <w:sz w:val="24"/>
              </w:rPr>
              <w:t>建设项目</w:t>
            </w:r>
          </w:p>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行业类别</w:t>
            </w:r>
            <w:bookmarkEnd w:id="1"/>
          </w:p>
        </w:tc>
        <w:tc>
          <w:tcPr>
            <w:tcW w:w="3325" w:type="dxa"/>
            <w:vAlign w:val="center"/>
          </w:tcPr>
          <w:p>
            <w:pPr>
              <w:keepNext w:val="0"/>
              <w:keepLines w:val="0"/>
              <w:widowControl/>
              <w:suppressLineNumbers w:val="0"/>
              <w:jc w:val="left"/>
              <w:rPr>
                <w:rFonts w:hint="default"/>
                <w:color w:val="auto"/>
                <w:lang w:val="en-US" w:eastAsia="zh-CN"/>
              </w:rPr>
            </w:pPr>
            <w:r>
              <w:rPr>
                <w:rFonts w:hint="default" w:ascii="Times New Roman" w:hAnsi="Times New Roman" w:eastAsia="宋体" w:cs="Times New Roman"/>
                <w:color w:val="000000"/>
                <w:kern w:val="0"/>
                <w:sz w:val="24"/>
                <w:szCs w:val="24"/>
                <w:lang w:val="en-US" w:eastAsia="zh-CN" w:bidi="ar"/>
              </w:rPr>
              <w:t>三十三、汽车造业-71 汽车零部件及配件制造367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建设性质</w:t>
            </w:r>
          </w:p>
        </w:tc>
        <w:tc>
          <w:tcPr>
            <w:tcW w:w="1913" w:type="dxa"/>
            <w:vAlign w:val="center"/>
          </w:tcPr>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新建（迁建）</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改建</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52"/>
            </w:r>
            <w:r>
              <w:rPr>
                <w:rFonts w:hint="default" w:ascii="Times New Roman" w:hAnsi="Times New Roman" w:eastAsia="宋体" w:cs="Times New Roman"/>
                <w:color w:val="auto"/>
                <w:sz w:val="24"/>
              </w:rPr>
              <w:t>扩建</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技术改造</w:t>
            </w:r>
          </w:p>
        </w:tc>
        <w:tc>
          <w:tcPr>
            <w:tcW w:w="1932" w:type="dxa"/>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w:t>
            </w:r>
          </w:p>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申报情形</w:t>
            </w:r>
          </w:p>
        </w:tc>
        <w:tc>
          <w:tcPr>
            <w:tcW w:w="3325" w:type="dxa"/>
            <w:vAlign w:val="center"/>
          </w:tcPr>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52"/>
            </w:r>
            <w:r>
              <w:rPr>
                <w:rFonts w:hint="default" w:ascii="Times New Roman" w:hAnsi="Times New Roman" w:eastAsia="宋体" w:cs="Times New Roman"/>
                <w:color w:val="auto"/>
                <w:sz w:val="24"/>
              </w:rPr>
              <w:t>首次申报项目</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不予批准后再次申报项目</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超五年重新审核项目</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项目审批部门</w:t>
            </w:r>
          </w:p>
        </w:tc>
        <w:tc>
          <w:tcPr>
            <w:tcW w:w="1913" w:type="dxa"/>
            <w:vAlign w:val="center"/>
          </w:tcPr>
          <w:p>
            <w:pPr>
              <w:adjustRightInd w:val="0"/>
              <w:snapToGrid w:val="0"/>
              <w:jc w:val="center"/>
              <w:rPr>
                <w:rFonts w:hint="default" w:ascii="Times New Roman" w:hAnsi="Times New Roman" w:eastAsia="宋体" w:cs="Times New Roman"/>
                <w:color w:val="auto"/>
                <w:sz w:val="24"/>
                <w:lang w:eastAsia="zh-CN"/>
              </w:rPr>
            </w:pPr>
            <w:r>
              <w:rPr>
                <w:rFonts w:hint="eastAsia" w:cs="Times New Roman"/>
                <w:color w:val="auto"/>
                <w:sz w:val="24"/>
                <w:lang w:eastAsia="zh-CN"/>
              </w:rPr>
              <w:t>常州市金坛区工业和信息化局</w:t>
            </w:r>
          </w:p>
        </w:tc>
        <w:tc>
          <w:tcPr>
            <w:tcW w:w="1932" w:type="dxa"/>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项目审批文号</w:t>
            </w:r>
          </w:p>
        </w:tc>
        <w:tc>
          <w:tcPr>
            <w:tcW w:w="3325" w:type="dxa"/>
            <w:vAlign w:val="center"/>
          </w:tcPr>
          <w:p>
            <w:pPr>
              <w:adjustRightInd w:val="0"/>
              <w:snapToGrid w:val="0"/>
              <w:jc w:val="center"/>
              <w:rPr>
                <w:rFonts w:hint="default" w:ascii="Times New Roman" w:hAnsi="Times New Roman" w:eastAsia="宋体" w:cs="Times New Roman"/>
                <w:color w:val="auto"/>
                <w:sz w:val="24"/>
                <w:lang w:eastAsia="zh-CN"/>
              </w:rPr>
            </w:pPr>
            <w:r>
              <w:rPr>
                <w:rFonts w:hint="eastAsia" w:cs="Times New Roman"/>
                <w:color w:val="auto"/>
                <w:sz w:val="24"/>
                <w:lang w:eastAsia="zh-CN"/>
              </w:rPr>
              <w:t>坛工信备〔2023〕20号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总投资（万元）</w:t>
            </w:r>
          </w:p>
        </w:tc>
        <w:tc>
          <w:tcPr>
            <w:tcW w:w="1913" w:type="dxa"/>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750</w:t>
            </w:r>
          </w:p>
        </w:tc>
        <w:tc>
          <w:tcPr>
            <w:tcW w:w="1932"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环保投资（万元）</w:t>
            </w:r>
          </w:p>
        </w:tc>
        <w:tc>
          <w:tcPr>
            <w:tcW w:w="3325" w:type="dxa"/>
            <w:vAlign w:val="center"/>
          </w:tcPr>
          <w:p>
            <w:pPr>
              <w:adjustRightInd w:val="0"/>
              <w:snapToGrid w:val="0"/>
              <w:jc w:val="center"/>
              <w:rPr>
                <w:rFonts w:hint="default" w:ascii="Times New Roman" w:hAnsi="Times New Roman" w:eastAsia="宋体" w:cs="Times New Roman"/>
                <w:color w:val="auto"/>
                <w:sz w:val="24"/>
                <w:lang w:val="en-US"/>
              </w:rPr>
            </w:pPr>
            <w:r>
              <w:rPr>
                <w:rFonts w:hint="eastAsia" w:cs="Times New Roman"/>
                <w:color w:val="auto"/>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环保投资占比（%）</w:t>
            </w:r>
          </w:p>
        </w:tc>
        <w:tc>
          <w:tcPr>
            <w:tcW w:w="1913" w:type="dxa"/>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6.7</w:t>
            </w:r>
          </w:p>
        </w:tc>
        <w:tc>
          <w:tcPr>
            <w:tcW w:w="1932"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施工工期</w:t>
            </w:r>
          </w:p>
        </w:tc>
        <w:tc>
          <w:tcPr>
            <w:tcW w:w="3325" w:type="dxa"/>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是否开工建设</w:t>
            </w:r>
          </w:p>
        </w:tc>
        <w:tc>
          <w:tcPr>
            <w:tcW w:w="1913" w:type="dxa"/>
            <w:vAlign w:val="center"/>
          </w:tcPr>
          <w:p>
            <w:pPr>
              <w:adjustRightInd w:val="0"/>
              <w:snapToGrid w:val="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52"/>
            </w:r>
            <w:r>
              <w:rPr>
                <w:rFonts w:hint="default" w:ascii="Times New Roman" w:hAnsi="Times New Roman" w:eastAsia="宋体" w:cs="Times New Roman"/>
                <w:color w:val="auto"/>
                <w:sz w:val="24"/>
              </w:rPr>
              <w:t>否</w:t>
            </w:r>
          </w:p>
          <w:p>
            <w:pPr>
              <w:adjustRightInd w:val="0"/>
              <w:snapToGrid w:val="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是：</w:t>
            </w:r>
            <w:r>
              <w:rPr>
                <w:rFonts w:hint="default" w:ascii="Times New Roman" w:hAnsi="Times New Roman" w:eastAsia="宋体" w:cs="Times New Roman"/>
                <w:color w:val="auto"/>
                <w:sz w:val="24"/>
                <w:u w:val="single"/>
              </w:rPr>
              <w:t xml:space="preserve">             </w:t>
            </w:r>
          </w:p>
        </w:tc>
        <w:tc>
          <w:tcPr>
            <w:tcW w:w="1932"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pacing w:val="-6"/>
                <w:sz w:val="24"/>
              </w:rPr>
              <w:t>用地面积（m</w:t>
            </w:r>
            <w:r>
              <w:rPr>
                <w:rFonts w:hint="default" w:ascii="Times New Roman" w:hAnsi="Times New Roman" w:eastAsia="宋体" w:cs="Times New Roman"/>
                <w:color w:val="auto"/>
                <w:spacing w:val="-6"/>
                <w:sz w:val="24"/>
                <w:vertAlign w:val="superscript"/>
              </w:rPr>
              <w:t>2</w:t>
            </w:r>
            <w:r>
              <w:rPr>
                <w:rFonts w:hint="default" w:ascii="Times New Roman" w:hAnsi="Times New Roman" w:eastAsia="宋体" w:cs="Times New Roman"/>
                <w:color w:val="auto"/>
                <w:spacing w:val="-6"/>
                <w:sz w:val="24"/>
              </w:rPr>
              <w:t>）</w:t>
            </w:r>
          </w:p>
        </w:tc>
        <w:tc>
          <w:tcPr>
            <w:tcW w:w="3325" w:type="dxa"/>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0（</w:t>
            </w:r>
            <w:r>
              <w:rPr>
                <w:rFonts w:hint="eastAsia" w:ascii="Times New Roman" w:hAnsi="Times New Roman" w:eastAsia="宋体" w:cs="Times New Roman"/>
                <w:color w:val="auto"/>
                <w:sz w:val="24"/>
                <w:lang w:val="en-US" w:eastAsia="zh-CN"/>
              </w:rPr>
              <w:t>依托原有</w:t>
            </w:r>
            <w:r>
              <w:rPr>
                <w:rFonts w:hint="eastAsia" w:cs="Times New Roman"/>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4"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专项评价设置情况</w:t>
            </w:r>
          </w:p>
        </w:tc>
        <w:tc>
          <w:tcPr>
            <w:tcW w:w="7170" w:type="dxa"/>
            <w:gridSpan w:val="3"/>
            <w:vAlign w:val="center"/>
          </w:tcPr>
          <w:p>
            <w:pPr>
              <w:autoSpaceDE w:val="0"/>
              <w:autoSpaceDN w:val="0"/>
              <w:adjustRightInd w:val="0"/>
              <w:snapToGrid w:val="0"/>
              <w:spacing w:line="500" w:lineRule="exac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734"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规划情况</w:t>
            </w:r>
          </w:p>
        </w:tc>
        <w:tc>
          <w:tcPr>
            <w:tcW w:w="7170" w:type="dxa"/>
            <w:gridSpan w:val="3"/>
            <w:vAlign w:val="center"/>
          </w:tcPr>
          <w:p>
            <w:pPr>
              <w:pStyle w:val="9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规划名称：江苏省金坛区金城镇工业园区(北区)</w:t>
            </w:r>
          </w:p>
          <w:p>
            <w:pPr>
              <w:pStyle w:val="9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rPr>
              <w:t>审批机关：金坛区人民政府</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审批文号：/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734" w:type="dxa"/>
            <w:gridSpan w:val="2"/>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规划环境影响</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评价情况</w:t>
            </w:r>
          </w:p>
        </w:tc>
        <w:tc>
          <w:tcPr>
            <w:tcW w:w="7170" w:type="dxa"/>
            <w:gridSpan w:val="3"/>
            <w:vAlign w:val="center"/>
          </w:tcPr>
          <w:p>
            <w:pPr>
              <w:pStyle w:val="90"/>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规划环境影响评价文件名称：江苏省金坛区金城镇工业园区(北区)发展规划环境影响报告</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召集审查机关：常州市金坛区环境保护局</w:t>
            </w:r>
          </w:p>
          <w:p>
            <w:pPr>
              <w:pStyle w:val="90"/>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rPr>
              <w:t>审查文件名称及文号：坛环服复[2017]24号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3" w:hRule="atLeast"/>
          <w:jc w:val="center"/>
        </w:trPr>
        <w:tc>
          <w:tcPr>
            <w:tcW w:w="61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 w:val="24"/>
              </w:rPr>
              <w:t>规划及规划环境影响评价符合性分析</w:t>
            </w:r>
          </w:p>
        </w:tc>
        <w:tc>
          <w:tcPr>
            <w:tcW w:w="8285" w:type="dxa"/>
            <w:gridSpan w:val="4"/>
            <w:vAlign w:val="center"/>
          </w:tcPr>
          <w:p>
            <w:pPr>
              <w:pStyle w:val="86"/>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1、与规划符合性分析</w:t>
            </w:r>
          </w:p>
          <w:p>
            <w:pPr>
              <w:pStyle w:val="95"/>
              <w:keepNext w:val="0"/>
              <w:keepLines w:val="0"/>
              <w:pageBreakBefore w:val="0"/>
              <w:widowControl w:val="0"/>
              <w:kinsoku/>
              <w:wordWrap/>
              <w:overflowPunct/>
              <w:topLinePunct w:val="0"/>
              <w:bidi w:val="0"/>
              <w:spacing w:line="500" w:lineRule="exact"/>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本项目位于江苏省金坛区金城镇工业园，金城镇工业园产业定位为：一类工业为主。即对居住和公共设施等环境基本无干扰和污染的工业，如：电子工业、缝纫工业、工艺品制造工业等。适当发展二类工业。即对居住和公共设施等环境有一定干扰和污染的工业，如：食品工业、医药制造工业、纺织工业、机械工业等。优先发展高新技术产业。即以高新技术为基础，从事一种或多种高新技术及其产品的研究、开发、生产和技术服务，如微电子和电子信息技术、空间科学和航空航天技术、光电子和光机电一体化技术、生命科学和生物工程技术、材料科学和新材料技术、能源科学和新能源技术、生态科学和环境保护技术、地球科学和海洋工程技术、基本物质科学和辐射技术、医药科学和生物医学工程技术、其他在传统产业基础上应用的新工艺新技术等。本项目为</w:t>
            </w:r>
            <w:r>
              <w:rPr>
                <w:rFonts w:hint="eastAsia" w:eastAsia="宋体" w:cs="Times New Roman"/>
                <w:bCs/>
                <w:color w:val="auto"/>
                <w:sz w:val="24"/>
                <w:lang w:eastAsia="zh-CN"/>
              </w:rPr>
              <w:t>C3670汽车零部件及配件制造</w:t>
            </w:r>
            <w:r>
              <w:rPr>
                <w:rFonts w:hint="eastAsia" w:ascii="Times New Roman" w:hAnsi="Times New Roman" w:eastAsia="宋体" w:cs="Times New Roman"/>
                <w:color w:val="auto"/>
                <w:kern w:val="2"/>
                <w:sz w:val="24"/>
                <w:szCs w:val="24"/>
                <w:lang w:val="en-US" w:eastAsia="zh-CN" w:bidi="ar-SA"/>
              </w:rPr>
              <w:t>，属于二类工业，符合园区产业定位。</w:t>
            </w:r>
          </w:p>
          <w:p>
            <w:pPr>
              <w:keepNext w:val="0"/>
              <w:keepLines w:val="0"/>
              <w:pageBreakBefore w:val="0"/>
              <w:widowControl w:val="0"/>
              <w:tabs>
                <w:tab w:val="center" w:pos="4690"/>
              </w:tabs>
              <w:kinsoku/>
              <w:wordWrap/>
              <w:overflowPunct/>
              <w:topLinePunct w:val="0"/>
              <w:bidi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w:t>
            </w:r>
            <w:r>
              <w:rPr>
                <w:rFonts w:hint="eastAsia" w:ascii="Times New Roman" w:hAnsi="Times New Roman" w:eastAsia="宋体" w:cs="Times New Roman"/>
                <w:color w:val="auto"/>
                <w:kern w:val="2"/>
                <w:sz w:val="24"/>
                <w:szCs w:val="24"/>
                <w:lang w:val="en-US" w:eastAsia="zh-CN" w:bidi="ar-SA"/>
              </w:rPr>
              <w:t>根据园区土地利用规划，项目所在地为工业用地，本项目厂房已取得土地证和房屋产权证，性质为工业用地。因此本项目符合区域用地规划要求。</w:t>
            </w:r>
          </w:p>
          <w:p>
            <w:pPr>
              <w:keepNext w:val="0"/>
              <w:keepLines w:val="0"/>
              <w:pageBreakBefore w:val="0"/>
              <w:widowControl w:val="0"/>
              <w:tabs>
                <w:tab w:val="center" w:pos="4690"/>
              </w:tabs>
              <w:kinsoku/>
              <w:wordWrap/>
              <w:overflowPunct/>
              <w:topLinePunct w:val="0"/>
              <w:bidi w:val="0"/>
              <w:spacing w:line="50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（3）根据园区环保基础设施规划:集中区内采用中、低两级制供气方式;园区排水实施“雨污分流”制</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预处理达到接管标准的工业废水和生活污水经园区污水管网收集至金坛第二污水处理厂集中处理，远期规划排入金坛第一污水处理厂集中处理。本项目</w:t>
            </w:r>
            <w:r>
              <w:rPr>
                <w:rFonts w:hint="eastAsia" w:cs="Times New Roman"/>
                <w:color w:val="auto"/>
                <w:kern w:val="2"/>
                <w:sz w:val="24"/>
                <w:szCs w:val="24"/>
                <w:lang w:val="en-US" w:eastAsia="zh-CN" w:bidi="ar-SA"/>
              </w:rPr>
              <w:t>厂区</w:t>
            </w:r>
            <w:r>
              <w:rPr>
                <w:rFonts w:hint="eastAsia" w:ascii="Times New Roman" w:hAnsi="Times New Roman" w:eastAsia="宋体" w:cs="Times New Roman"/>
                <w:color w:val="auto"/>
                <w:kern w:val="2"/>
                <w:sz w:val="24"/>
                <w:szCs w:val="24"/>
                <w:lang w:val="en-US" w:eastAsia="zh-CN" w:bidi="ar-SA"/>
              </w:rPr>
              <w:t>属于金坛第二污水处理厂收水范围内，且项目周边污水管网已铺设到位，项目产生的</w:t>
            </w:r>
            <w:r>
              <w:rPr>
                <w:rFonts w:hint="eastAsia" w:cs="Times New Roman"/>
                <w:color w:val="auto"/>
                <w:kern w:val="2"/>
                <w:sz w:val="24"/>
                <w:szCs w:val="24"/>
                <w:lang w:val="en-US" w:eastAsia="zh-CN" w:bidi="ar-SA"/>
              </w:rPr>
              <w:t>生活污水</w:t>
            </w:r>
            <w:r>
              <w:rPr>
                <w:rFonts w:hint="eastAsia" w:ascii="Times New Roman" w:hAnsi="Times New Roman" w:eastAsia="宋体" w:cs="Times New Roman"/>
                <w:color w:val="auto"/>
                <w:kern w:val="2"/>
                <w:sz w:val="24"/>
                <w:szCs w:val="24"/>
                <w:lang w:val="en-US" w:eastAsia="zh-CN" w:bidi="ar-SA"/>
              </w:rPr>
              <w:t>能够顺利接入金坛第二污水处理厂集中处理。</w:t>
            </w:r>
          </w:p>
          <w:p>
            <w:pPr>
              <w:keepNext w:val="0"/>
              <w:keepLines w:val="0"/>
              <w:pageBreakBefore w:val="0"/>
              <w:widowControl w:val="0"/>
              <w:kinsoku/>
              <w:wordWrap/>
              <w:overflowPunct/>
              <w:topLinePunct w:val="0"/>
              <w:bidi w:val="0"/>
              <w:spacing w:line="500" w:lineRule="exact"/>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与规划环境影响评价符合性分析</w:t>
            </w:r>
          </w:p>
          <w:p>
            <w:pPr>
              <w:keepNext w:val="0"/>
              <w:keepLines w:val="0"/>
              <w:pageBreakBefore w:val="0"/>
              <w:widowControl w:val="0"/>
              <w:kinsoku/>
              <w:wordWrap/>
              <w:overflowPunct/>
              <w:topLinePunct w:val="0"/>
              <w:bidi w:val="0"/>
              <w:spacing w:line="500" w:lineRule="exact"/>
              <w:ind w:firstLine="480"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t>本项目位于</w:t>
            </w:r>
            <w:r>
              <w:rPr>
                <w:rFonts w:hint="eastAsia" w:cs="Times New Roman"/>
                <w:color w:val="auto"/>
                <w:sz w:val="24"/>
                <w:szCs w:val="24"/>
                <w:lang w:eastAsia="zh-CN"/>
              </w:rPr>
              <w:t>常州市金坛区金城镇红山路33号</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所在用地为工业用地，符合区域用地规划</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与《</w:t>
            </w:r>
            <w:r>
              <w:rPr>
                <w:rFonts w:hint="eastAsia" w:ascii="Times New Roman" w:hAnsi="Times New Roman" w:eastAsia="宋体" w:cs="Times New Roman"/>
                <w:color w:val="auto"/>
                <w:sz w:val="24"/>
                <w:szCs w:val="24"/>
              </w:rPr>
              <w:t>江苏省金坛区金城镇工业园区(北区)发</w:t>
            </w:r>
            <w:r>
              <w:rPr>
                <w:rFonts w:hint="eastAsia"/>
                <w:color w:val="auto"/>
                <w:sz w:val="24"/>
                <w:szCs w:val="24"/>
              </w:rPr>
              <w:t>展规划</w:t>
            </w:r>
            <w:r>
              <w:rPr>
                <w:rFonts w:hint="default" w:ascii="Times New Roman" w:hAnsi="Times New Roman" w:eastAsia="宋体" w:cs="Times New Roman"/>
                <w:color w:val="auto"/>
                <w:sz w:val="24"/>
                <w:szCs w:val="24"/>
              </w:rPr>
              <w:t>环境影响评价报告书》及《关于</w:t>
            </w:r>
            <w:r>
              <w:rPr>
                <w:rFonts w:hint="eastAsia" w:ascii="Times New Roman" w:hAnsi="Times New Roman" w:eastAsia="宋体" w:cs="Times New Roman"/>
                <w:color w:val="auto"/>
                <w:sz w:val="24"/>
                <w:szCs w:val="24"/>
              </w:rPr>
              <w:t>江苏省金坛区金城镇工业园区(北区)发</w:t>
            </w:r>
            <w:r>
              <w:rPr>
                <w:rFonts w:hint="eastAsia"/>
                <w:color w:val="auto"/>
                <w:sz w:val="24"/>
                <w:szCs w:val="24"/>
              </w:rPr>
              <w:t>展规划</w:t>
            </w:r>
            <w:r>
              <w:rPr>
                <w:rFonts w:hint="default" w:ascii="Times New Roman" w:hAnsi="Times New Roman" w:eastAsia="宋体" w:cs="Times New Roman"/>
                <w:color w:val="auto"/>
                <w:sz w:val="24"/>
                <w:szCs w:val="24"/>
              </w:rPr>
              <w:t>环境影响评价审查意见》相符性分析</w:t>
            </w:r>
            <w:r>
              <w:rPr>
                <w:rFonts w:hint="default" w:ascii="Times New Roman" w:hAnsi="Times New Roman" w:eastAsia="宋体" w:cs="Times New Roman"/>
                <w:color w:val="auto"/>
                <w:kern w:val="0"/>
                <w:sz w:val="24"/>
                <w:szCs w:val="24"/>
              </w:rPr>
              <w:t>见下表：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1</w:t>
            </w:r>
            <w:r>
              <w:rPr>
                <w:rFonts w:hint="default" w:ascii="Times New Roman" w:hAnsi="Times New Roman" w:eastAsia="宋体" w:cs="Times New Roman"/>
                <w:b/>
                <w:bCs/>
                <w:color w:val="auto"/>
                <w:sz w:val="21"/>
                <w:szCs w:val="21"/>
              </w:rPr>
              <w:t xml:space="preserve"> 与</w:t>
            </w:r>
            <w:r>
              <w:rPr>
                <w:rFonts w:hint="eastAsia" w:cs="Times New Roman"/>
                <w:b/>
                <w:bCs/>
                <w:color w:val="auto"/>
                <w:sz w:val="21"/>
                <w:szCs w:val="21"/>
                <w:lang w:eastAsia="zh-CN"/>
              </w:rPr>
              <w:t>金坛区金城镇工业园区(北区)发展规划</w:t>
            </w:r>
            <w:r>
              <w:rPr>
                <w:rFonts w:hint="default" w:ascii="Times New Roman" w:hAnsi="Times New Roman" w:eastAsia="宋体" w:cs="Times New Roman"/>
                <w:b/>
                <w:bCs/>
                <w:color w:val="auto"/>
                <w:sz w:val="21"/>
                <w:szCs w:val="21"/>
              </w:rPr>
              <w:t>环境影响报告书及审查意见相符性分析</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28" w:type="dxa"/>
                <w:left w:w="57" w:type="dxa"/>
                <w:bottom w:w="28" w:type="dxa"/>
                <w:right w:w="57" w:type="dxa"/>
              </w:tblCellMar>
            </w:tblPr>
            <w:tblGrid>
              <w:gridCol w:w="3606"/>
              <w:gridCol w:w="3642"/>
              <w:gridCol w:w="818"/>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28" w:type="dxa"/>
                  <w:left w:w="57" w:type="dxa"/>
                  <w:bottom w:w="28" w:type="dxa"/>
                  <w:right w:w="57" w:type="dxa"/>
                </w:tblCellMar>
              </w:tblPrEx>
              <w:trPr>
                <w:trHeight w:val="340" w:hRule="atLeast"/>
                <w:jc w:val="center"/>
              </w:trPr>
              <w:tc>
                <w:tcPr>
                  <w:tcW w:w="2235" w:type="pct"/>
                  <w:noWrap w:val="0"/>
                  <w:vAlign w:val="center"/>
                </w:tcPr>
                <w:p>
                  <w:pPr>
                    <w:pStyle w:val="70"/>
                    <w:snapToGri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区域环评审查意见</w:t>
                  </w:r>
                </w:p>
              </w:tc>
              <w:tc>
                <w:tcPr>
                  <w:tcW w:w="2257" w:type="pct"/>
                  <w:noWrap w:val="0"/>
                  <w:vAlign w:val="center"/>
                </w:tcPr>
                <w:p>
                  <w:pPr>
                    <w:pStyle w:val="70"/>
                    <w:snapToGri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w:t>
                  </w:r>
                </w:p>
              </w:tc>
              <w:tc>
                <w:tcPr>
                  <w:tcW w:w="507" w:type="pct"/>
                  <w:noWrap w:val="0"/>
                  <w:vAlign w:val="center"/>
                </w:tcPr>
                <w:p>
                  <w:pPr>
                    <w:pStyle w:val="70"/>
                    <w:snapToGri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相符性</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28" w:type="dxa"/>
                  <w:left w:w="57" w:type="dxa"/>
                  <w:bottom w:w="28" w:type="dxa"/>
                  <w:right w:w="57" w:type="dxa"/>
                </w:tblCellMar>
              </w:tblPrEx>
              <w:trPr>
                <w:trHeight w:val="340" w:hRule="atLeast"/>
                <w:jc w:val="center"/>
              </w:trPr>
              <w:tc>
                <w:tcPr>
                  <w:tcW w:w="2235" w:type="pct"/>
                  <w:noWrap w:val="0"/>
                  <w:vAlign w:val="center"/>
                </w:tcPr>
                <w:p>
                  <w:pPr>
                    <w:contextualSpacing/>
                    <w:rPr>
                      <w:rFonts w:hint="default" w:ascii="Times New Roman" w:hAnsi="Times New Roman" w:eastAsia="宋体" w:cs="Times New Roman"/>
                      <w:color w:val="auto"/>
                      <w:sz w:val="21"/>
                      <w:szCs w:val="21"/>
                    </w:rPr>
                  </w:pPr>
                  <w:r>
                    <w:rPr>
                      <w:rFonts w:hint="eastAsia"/>
                      <w:color w:val="auto"/>
                      <w:kern w:val="0"/>
                      <w:sz w:val="21"/>
                      <w:szCs w:val="21"/>
                      <w:highlight w:val="none"/>
                      <w:lang w:eastAsia="zh-CN"/>
                    </w:rPr>
                    <w:t>规划</w:t>
                  </w:r>
                  <w:r>
                    <w:rPr>
                      <w:rFonts w:hint="eastAsia"/>
                      <w:color w:val="auto"/>
                      <w:kern w:val="0"/>
                      <w:sz w:val="21"/>
                      <w:szCs w:val="21"/>
                      <w:highlight w:val="none"/>
                    </w:rPr>
                    <w:t>范围：</w:t>
                  </w:r>
                  <w:r>
                    <w:rPr>
                      <w:rFonts w:hint="eastAsia"/>
                      <w:color w:val="auto"/>
                      <w:kern w:val="0"/>
                      <w:sz w:val="21"/>
                      <w:szCs w:val="21"/>
                    </w:rPr>
                    <w:t>东至春风东路，南至良常路，西、北至丹金凓漕河，总面积9.3km</w:t>
                  </w:r>
                  <w:r>
                    <w:rPr>
                      <w:rFonts w:hint="eastAsia"/>
                      <w:color w:val="auto"/>
                      <w:kern w:val="0"/>
                      <w:sz w:val="21"/>
                      <w:szCs w:val="21"/>
                      <w:vertAlign w:val="superscript"/>
                      <w:lang w:val="en-US" w:eastAsia="zh-CN"/>
                    </w:rPr>
                    <w:t>2</w:t>
                  </w:r>
                </w:p>
              </w:tc>
              <w:tc>
                <w:tcPr>
                  <w:tcW w:w="2257" w:type="pct"/>
                  <w:noWrap w:val="0"/>
                  <w:vAlign w:val="center"/>
                </w:tcPr>
                <w:p>
                  <w:pPr>
                    <w:contextualSpacing/>
                    <w:jc w:val="center"/>
                    <w:rPr>
                      <w:rFonts w:hint="default" w:ascii="Times New Roman" w:hAnsi="Times New Roman" w:eastAsia="宋体" w:cs="Times New Roman"/>
                      <w:color w:val="auto"/>
                      <w:sz w:val="21"/>
                      <w:szCs w:val="21"/>
                    </w:rPr>
                  </w:pPr>
                  <w:r>
                    <w:rPr>
                      <w:rFonts w:hint="eastAsia"/>
                      <w:color w:val="auto"/>
                      <w:kern w:val="0"/>
                      <w:sz w:val="21"/>
                      <w:szCs w:val="21"/>
                      <w:highlight w:val="none"/>
                    </w:rPr>
                    <w:t>本项目位于</w:t>
                  </w:r>
                  <w:r>
                    <w:rPr>
                      <w:rFonts w:hint="eastAsia"/>
                      <w:color w:val="auto"/>
                      <w:sz w:val="21"/>
                      <w:szCs w:val="21"/>
                      <w:lang w:eastAsia="zh-CN"/>
                    </w:rPr>
                    <w:t>常州市金坛区金城镇红山路33号</w:t>
                  </w:r>
                  <w:r>
                    <w:rPr>
                      <w:rFonts w:hint="eastAsia"/>
                      <w:color w:val="auto"/>
                      <w:kern w:val="0"/>
                      <w:sz w:val="21"/>
                      <w:szCs w:val="21"/>
                      <w:highlight w:val="none"/>
                    </w:rPr>
                    <w:t>，</w:t>
                  </w:r>
                  <w:r>
                    <w:rPr>
                      <w:rFonts w:hint="eastAsia"/>
                      <w:color w:val="auto"/>
                      <w:kern w:val="0"/>
                      <w:sz w:val="21"/>
                      <w:szCs w:val="21"/>
                      <w:highlight w:val="none"/>
                      <w:lang w:eastAsia="zh-CN"/>
                    </w:rPr>
                    <w:t>属于</w:t>
                  </w:r>
                  <w:r>
                    <w:rPr>
                      <w:rFonts w:hint="eastAsia"/>
                      <w:color w:val="auto"/>
                      <w:kern w:val="0"/>
                      <w:sz w:val="21"/>
                      <w:szCs w:val="21"/>
                    </w:rPr>
                    <w:t>金坛区金城镇工业园区(北区)</w:t>
                  </w:r>
                  <w:r>
                    <w:rPr>
                      <w:rFonts w:hint="eastAsia"/>
                      <w:color w:val="auto"/>
                      <w:kern w:val="0"/>
                      <w:sz w:val="21"/>
                      <w:szCs w:val="21"/>
                      <w:lang w:eastAsia="zh-CN"/>
                    </w:rPr>
                    <w:t>范围</w:t>
                  </w:r>
                </w:p>
              </w:tc>
              <w:tc>
                <w:tcPr>
                  <w:tcW w:w="507" w:type="pct"/>
                  <w:noWrap w:val="0"/>
                  <w:vAlign w:val="center"/>
                </w:tcPr>
                <w:p>
                  <w:pPr>
                    <w:pStyle w:val="70"/>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28" w:type="dxa"/>
                  <w:left w:w="57" w:type="dxa"/>
                  <w:bottom w:w="28" w:type="dxa"/>
                  <w:right w:w="57" w:type="dxa"/>
                </w:tblCellMar>
              </w:tblPrEx>
              <w:trPr>
                <w:trHeight w:val="340" w:hRule="atLeast"/>
                <w:jc w:val="center"/>
              </w:trPr>
              <w:tc>
                <w:tcPr>
                  <w:tcW w:w="2235" w:type="pct"/>
                  <w:noWrap w:val="0"/>
                  <w:vAlign w:val="center"/>
                </w:tcPr>
                <w:p>
                  <w:pPr>
                    <w:contextualSpacing/>
                    <w:jc w:val="center"/>
                    <w:rPr>
                      <w:rFonts w:hint="default" w:ascii="Times New Roman" w:hAnsi="Times New Roman" w:eastAsia="宋体" w:cs="Times New Roman"/>
                      <w:color w:val="auto"/>
                      <w:sz w:val="21"/>
                      <w:szCs w:val="21"/>
                    </w:rPr>
                  </w:pPr>
                  <w:r>
                    <w:rPr>
                      <w:rFonts w:hint="eastAsia"/>
                      <w:color w:val="auto"/>
                      <w:kern w:val="0"/>
                      <w:sz w:val="21"/>
                      <w:szCs w:val="21"/>
                      <w:lang w:val="en-US" w:eastAsia="zh-CN"/>
                    </w:rPr>
                    <w:t>产业定位</w:t>
                  </w:r>
                  <w:r>
                    <w:rPr>
                      <w:rFonts w:hint="eastAsia" w:ascii="Times New Roman" w:hAnsi="Times New Roman" w:eastAsia="宋体" w:cs="Times New Roman"/>
                      <w:color w:val="auto"/>
                      <w:kern w:val="0"/>
                      <w:sz w:val="21"/>
                      <w:szCs w:val="21"/>
                      <w:lang w:val="en-US" w:eastAsia="zh-CN"/>
                    </w:rPr>
                    <w:t>：一类工业为主，适当发展二类工业。园区将以先进装备制造业、新能源新材料产业和纺织</w:t>
                  </w:r>
                  <w:r>
                    <w:rPr>
                      <w:rFonts w:hint="eastAsia"/>
                      <w:color w:val="auto"/>
                      <w:kern w:val="0"/>
                      <w:sz w:val="21"/>
                      <w:szCs w:val="21"/>
                      <w:lang w:val="en-US" w:eastAsia="zh-CN"/>
                    </w:rPr>
                    <w:t>服装业为主导，重点培育电子信息通讯产业、食药产业和节能环保产业，并把抓好项目作为推进镇域经济的着力点，积极承接东部资源向工业园的梯度转移。</w:t>
                  </w:r>
                </w:p>
              </w:tc>
              <w:tc>
                <w:tcPr>
                  <w:tcW w:w="2257" w:type="pct"/>
                  <w:noWrap w:val="0"/>
                  <w:vAlign w:val="center"/>
                </w:tcPr>
                <w:p>
                  <w:pPr>
                    <w:contextualSpacing/>
                    <w:jc w:val="center"/>
                    <w:rPr>
                      <w:rFonts w:hint="eastAsia"/>
                      <w:color w:val="auto"/>
                      <w:kern w:val="0"/>
                      <w:sz w:val="21"/>
                      <w:szCs w:val="21"/>
                      <w:lang w:val="en-US" w:eastAsia="zh-CN"/>
                    </w:rPr>
                  </w:pPr>
                  <w:r>
                    <w:rPr>
                      <w:rFonts w:hint="eastAsia"/>
                      <w:color w:val="auto"/>
                      <w:kern w:val="0"/>
                      <w:sz w:val="21"/>
                      <w:szCs w:val="21"/>
                      <w:lang w:val="en-US" w:eastAsia="zh-CN"/>
                    </w:rPr>
                    <w:t>本项目为</w:t>
                  </w:r>
                  <w:r>
                    <w:rPr>
                      <w:rFonts w:hint="eastAsia" w:cs="Times New Roman"/>
                      <w:color w:val="auto"/>
                      <w:sz w:val="21"/>
                      <w:szCs w:val="21"/>
                      <w:lang w:val="en-US" w:eastAsia="zh-CN"/>
                    </w:rPr>
                    <w:t>C3670汽车零部件及配件制造</w:t>
                  </w:r>
                  <w:r>
                    <w:rPr>
                      <w:rFonts w:hint="eastAsia"/>
                      <w:color w:val="auto"/>
                      <w:kern w:val="0"/>
                      <w:sz w:val="21"/>
                      <w:szCs w:val="21"/>
                      <w:lang w:val="en-US" w:eastAsia="zh-CN"/>
                    </w:rPr>
                    <w:t>，属于</w:t>
                  </w:r>
                  <w:r>
                    <w:rPr>
                      <w:rFonts w:hint="eastAsia" w:ascii="Times New Roman" w:hAnsi="Times New Roman" w:eastAsia="宋体" w:cs="Times New Roman"/>
                      <w:color w:val="auto"/>
                      <w:kern w:val="0"/>
                      <w:sz w:val="21"/>
                      <w:szCs w:val="21"/>
                      <w:lang w:val="en-US" w:eastAsia="zh-CN"/>
                    </w:rPr>
                    <w:t>二类工业</w:t>
                  </w:r>
                  <w:r>
                    <w:rPr>
                      <w:rFonts w:hint="eastAsia"/>
                      <w:color w:val="auto"/>
                      <w:kern w:val="0"/>
                      <w:sz w:val="21"/>
                      <w:szCs w:val="21"/>
                      <w:lang w:val="en-US" w:eastAsia="zh-CN"/>
                    </w:rPr>
                    <w:t>，符合园区产业定位。</w:t>
                  </w:r>
                </w:p>
                <w:p>
                  <w:pPr>
                    <w:contextualSpacing/>
                    <w:jc w:val="center"/>
                    <w:rPr>
                      <w:rFonts w:hint="default" w:ascii="Times New Roman" w:hAnsi="Times New Roman" w:eastAsia="宋体" w:cs="Times New Roman"/>
                      <w:color w:val="auto"/>
                      <w:sz w:val="21"/>
                      <w:szCs w:val="21"/>
                    </w:rPr>
                  </w:pPr>
                </w:p>
              </w:tc>
              <w:tc>
                <w:tcPr>
                  <w:tcW w:w="507" w:type="pct"/>
                  <w:noWrap w:val="0"/>
                  <w:vAlign w:val="center"/>
                </w:tcPr>
                <w:p>
                  <w:pPr>
                    <w:pStyle w:val="70"/>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28" w:type="dxa"/>
                  <w:left w:w="57" w:type="dxa"/>
                  <w:bottom w:w="28" w:type="dxa"/>
                  <w:right w:w="57" w:type="dxa"/>
                </w:tblCellMar>
              </w:tblPrEx>
              <w:trPr>
                <w:trHeight w:val="340" w:hRule="atLeast"/>
                <w:jc w:val="center"/>
              </w:trPr>
              <w:tc>
                <w:tcPr>
                  <w:tcW w:w="2235" w:type="pct"/>
                  <w:noWrap w:val="0"/>
                  <w:vAlign w:val="center"/>
                </w:tcPr>
                <w:p>
                  <w:pPr>
                    <w:contextualSpacing/>
                    <w:jc w:val="center"/>
                    <w:rPr>
                      <w:rFonts w:hint="default" w:ascii="Times New Roman" w:hAnsi="Times New Roman" w:eastAsia="宋体" w:cs="Times New Roman"/>
                      <w:color w:val="auto"/>
                      <w:sz w:val="21"/>
                      <w:szCs w:val="21"/>
                    </w:rPr>
                  </w:pPr>
                  <w:r>
                    <w:rPr>
                      <w:rFonts w:hint="eastAsia"/>
                      <w:color w:val="auto"/>
                      <w:kern w:val="0"/>
                      <w:sz w:val="21"/>
                      <w:szCs w:val="21"/>
                      <w:lang w:val="en-US" w:eastAsia="zh-CN"/>
                    </w:rPr>
                    <w:t>环保基础设施规划:集中区内采用中、低两级制供气方式;园区排水实施“雨污分流”制;预处理达到接管标准的工业废水和生活污水经园区污水管网收集至金坛第二污水处理厂集中处理，远期规划排入金坛第一污水处理厂集中处理。</w:t>
                  </w:r>
                </w:p>
              </w:tc>
              <w:tc>
                <w:tcPr>
                  <w:tcW w:w="2257" w:type="pct"/>
                  <w:noWrap w:val="0"/>
                  <w:vAlign w:val="center"/>
                </w:tcPr>
                <w:p>
                  <w:pPr>
                    <w:contextualSpacing/>
                    <w:jc w:val="both"/>
                    <w:rPr>
                      <w:rFonts w:hint="default" w:ascii="Times New Roman" w:hAnsi="Times New Roman" w:eastAsia="宋体" w:cs="Times New Roman"/>
                      <w:color w:val="auto"/>
                      <w:sz w:val="21"/>
                      <w:szCs w:val="21"/>
                    </w:rPr>
                  </w:pPr>
                  <w:r>
                    <w:rPr>
                      <w:rFonts w:hint="eastAsia"/>
                      <w:color w:val="auto"/>
                      <w:kern w:val="0"/>
                      <w:sz w:val="21"/>
                      <w:szCs w:val="21"/>
                      <w:lang w:val="en-US" w:eastAsia="zh-CN"/>
                    </w:rPr>
                    <w:t>本项目位于金城镇工业集中区北区，属于金坛第二污水处理厂收水范围内，且项目周边污水管网已铺设到位，项目产生的废水能够顺利接入金坛第二污水处理厂集中处理</w:t>
                  </w:r>
                </w:p>
              </w:tc>
              <w:tc>
                <w:tcPr>
                  <w:tcW w:w="507" w:type="pct"/>
                  <w:noWrap w:val="0"/>
                  <w:vAlign w:val="center"/>
                </w:tcPr>
                <w:p>
                  <w:pPr>
                    <w:pStyle w:val="70"/>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28" w:type="dxa"/>
                  <w:left w:w="57" w:type="dxa"/>
                  <w:bottom w:w="28" w:type="dxa"/>
                  <w:right w:w="57" w:type="dxa"/>
                </w:tblCellMar>
              </w:tblPrEx>
              <w:trPr>
                <w:trHeight w:val="340" w:hRule="atLeast"/>
                <w:jc w:val="center"/>
              </w:trPr>
              <w:tc>
                <w:tcPr>
                  <w:tcW w:w="2235" w:type="pct"/>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rPr>
                  </w:pPr>
                  <w:r>
                    <w:rPr>
                      <w:rFonts w:hint="eastAsia"/>
                      <w:color w:val="auto"/>
                      <w:kern w:val="0"/>
                      <w:szCs w:val="21"/>
                    </w:rPr>
                    <w:t>应</w:t>
                  </w:r>
                  <w:r>
                    <w:rPr>
                      <w:color w:val="auto"/>
                      <w:kern w:val="0"/>
                      <w:szCs w:val="21"/>
                    </w:rPr>
                    <w:t>加强</w:t>
                  </w:r>
                  <w:r>
                    <w:rPr>
                      <w:rFonts w:hint="eastAsia"/>
                      <w:color w:val="auto"/>
                      <w:kern w:val="0"/>
                      <w:szCs w:val="21"/>
                    </w:rPr>
                    <w:t>扬尘控制和企业排放监管，严格控制工艺废气排放总量及单位面积排放源强</w:t>
                  </w:r>
                  <w:r>
                    <w:rPr>
                      <w:color w:val="auto"/>
                      <w:kern w:val="0"/>
                      <w:szCs w:val="21"/>
                    </w:rPr>
                    <w:t>。</w:t>
                  </w:r>
                </w:p>
              </w:tc>
              <w:tc>
                <w:tcPr>
                  <w:tcW w:w="2257" w:type="pct"/>
                  <w:noWrap w:val="0"/>
                  <w:vAlign w:val="center"/>
                </w:tcPr>
                <w:p>
                  <w:pPr>
                    <w:widowControl/>
                    <w:jc w:val="center"/>
                    <w:rPr>
                      <w:rFonts w:hint="default" w:ascii="Times New Roman" w:hAnsi="Times New Roman" w:eastAsia="宋体" w:cs="Times New Roman"/>
                      <w:color w:val="auto"/>
                      <w:sz w:val="21"/>
                      <w:szCs w:val="21"/>
                    </w:rPr>
                  </w:pPr>
                  <w:r>
                    <w:rPr>
                      <w:color w:val="auto"/>
                      <w:kern w:val="0"/>
                      <w:szCs w:val="21"/>
                    </w:rPr>
                    <w:t>本项目生产过程中产生VOCs。本项目产生的VOCs经处理后达标排放，不会对区域大气环境质量造成明显</w:t>
                  </w:r>
                  <w:r>
                    <w:rPr>
                      <w:rFonts w:hint="eastAsia"/>
                      <w:color w:val="auto"/>
                      <w:kern w:val="0"/>
                      <w:szCs w:val="21"/>
                    </w:rPr>
                    <w:t>影响</w:t>
                  </w:r>
                  <w:r>
                    <w:rPr>
                      <w:color w:val="auto"/>
                      <w:kern w:val="0"/>
                      <w:szCs w:val="21"/>
                    </w:rPr>
                    <w:t>。</w:t>
                  </w:r>
                </w:p>
              </w:tc>
              <w:tc>
                <w:tcPr>
                  <w:tcW w:w="507" w:type="pct"/>
                  <w:noWrap w:val="0"/>
                  <w:vAlign w:val="center"/>
                </w:tcPr>
                <w:p>
                  <w:pPr>
                    <w:pStyle w:val="70"/>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28" w:type="dxa"/>
                  <w:left w:w="57" w:type="dxa"/>
                  <w:bottom w:w="28" w:type="dxa"/>
                  <w:right w:w="57" w:type="dxa"/>
                </w:tblCellMar>
              </w:tblPrEx>
              <w:trPr>
                <w:trHeight w:val="340" w:hRule="atLeast"/>
                <w:jc w:val="center"/>
              </w:trPr>
              <w:tc>
                <w:tcPr>
                  <w:tcW w:w="2235" w:type="pct"/>
                  <w:noWrap w:val="0"/>
                  <w:vAlign w:val="center"/>
                </w:tcPr>
                <w:p>
                  <w:pPr>
                    <w:autoSpaceDE w:val="0"/>
                    <w:autoSpaceDN w:val="0"/>
                    <w:adjustRightInd w:val="0"/>
                    <w:snapToGrid w:val="0"/>
                    <w:jc w:val="center"/>
                    <w:rPr>
                      <w:color w:val="auto"/>
                      <w:kern w:val="0"/>
                      <w:szCs w:val="21"/>
                    </w:rPr>
                  </w:pPr>
                  <w:r>
                    <w:rPr>
                      <w:rFonts w:hint="eastAsia"/>
                      <w:color w:val="auto"/>
                      <w:kern w:val="0"/>
                      <w:szCs w:val="21"/>
                    </w:rPr>
                    <w:t>加强环境管理，所有入区项目必须进行环境影响评价，严格执行环保“三同时”制度，未通过环保审批的项目一律不得开工建设</w:t>
                  </w:r>
                  <w:r>
                    <w:rPr>
                      <w:color w:val="auto"/>
                      <w:kern w:val="0"/>
                      <w:szCs w:val="21"/>
                    </w:rPr>
                    <w:t>。</w:t>
                  </w:r>
                </w:p>
                <w:p>
                  <w:pPr>
                    <w:autoSpaceDE w:val="0"/>
                    <w:autoSpaceDN w:val="0"/>
                    <w:adjustRightInd w:val="0"/>
                    <w:snapToGrid w:val="0"/>
                    <w:jc w:val="center"/>
                    <w:rPr>
                      <w:rFonts w:hint="default" w:ascii="Times New Roman" w:hAnsi="Times New Roman" w:eastAsia="宋体" w:cs="Times New Roman"/>
                      <w:color w:val="auto"/>
                      <w:sz w:val="21"/>
                      <w:szCs w:val="21"/>
                    </w:rPr>
                  </w:pPr>
                </w:p>
              </w:tc>
              <w:tc>
                <w:tcPr>
                  <w:tcW w:w="2257" w:type="pct"/>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rPr>
                  </w:pPr>
                  <w:r>
                    <w:rPr>
                      <w:color w:val="auto"/>
                      <w:kern w:val="0"/>
                      <w:szCs w:val="21"/>
                    </w:rPr>
                    <w:t>本项目</w:t>
                  </w:r>
                  <w:r>
                    <w:rPr>
                      <w:rFonts w:hint="eastAsia"/>
                      <w:color w:val="auto"/>
                      <w:kern w:val="0"/>
                      <w:szCs w:val="21"/>
                    </w:rPr>
                    <w:t>严格执行环保“三同时”制度，履行完后环保审批手续后再开工建设</w:t>
                  </w:r>
                  <w:r>
                    <w:rPr>
                      <w:color w:val="auto"/>
                      <w:kern w:val="0"/>
                      <w:szCs w:val="21"/>
                    </w:rPr>
                    <w:t>。</w:t>
                  </w:r>
                </w:p>
              </w:tc>
              <w:tc>
                <w:tcPr>
                  <w:tcW w:w="507" w:type="pct"/>
                  <w:noWrap w:val="0"/>
                  <w:vAlign w:val="center"/>
                </w:tcPr>
                <w:p>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相符</w:t>
                  </w:r>
                </w:p>
              </w:tc>
            </w:tr>
          </w:tbl>
          <w:p>
            <w:pPr>
              <w:widowControl/>
              <w:adjustRightInd w:val="0"/>
              <w:snapToGrid w:val="0"/>
              <w:spacing w:line="480" w:lineRule="exact"/>
              <w:ind w:firstLine="480" w:firstLineChars="200"/>
              <w:rPr>
                <w:rFonts w:hint="default" w:ascii="Times New Roman" w:hAnsi="Times New Roman" w:eastAsia="宋体" w:cs="Times New Roman"/>
                <w:b/>
                <w:bCs/>
                <w:color w:val="auto"/>
                <w:sz w:val="24"/>
              </w:rPr>
            </w:pPr>
            <w:r>
              <w:rPr>
                <w:rFonts w:hint="default" w:ascii="Times New Roman" w:hAnsi="Times New Roman" w:eastAsia="宋体" w:cs="Times New Roman"/>
                <w:color w:val="auto"/>
                <w:sz w:val="24"/>
              </w:rPr>
              <w:t>综上所述，本项目各污染物经处理后均可达标排放，对周围环境影响较小，满足区域规划环评要求。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8" w:hRule="atLeast"/>
          <w:jc w:val="center"/>
        </w:trPr>
        <w:tc>
          <w:tcPr>
            <w:tcW w:w="61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 w:val="24"/>
              </w:rPr>
              <w:t>其他符合性分析</w:t>
            </w:r>
          </w:p>
        </w:tc>
        <w:tc>
          <w:tcPr>
            <w:tcW w:w="8285" w:type="dxa"/>
            <w:gridSpan w:val="4"/>
            <w:vAlign w:val="center"/>
          </w:tcPr>
          <w:p>
            <w:pPr>
              <w:keepNext w:val="0"/>
              <w:keepLines w:val="0"/>
              <w:pageBreakBefore w:val="0"/>
              <w:widowControl w:val="0"/>
              <w:kinsoku/>
              <w:wordWrap/>
              <w:overflowPunct/>
              <w:topLinePunct w:val="0"/>
              <w:bidi w:val="0"/>
              <w:snapToGrid w:val="0"/>
              <w:spacing w:line="500" w:lineRule="exact"/>
              <w:ind w:firstLine="482" w:firstLineChars="200"/>
              <w:textAlignment w:val="auto"/>
              <w:rPr>
                <w:rFonts w:hint="eastAsia" w:ascii="Times New Roman" w:hAnsi="Times New Roman" w:eastAsia="宋体" w:cs="Times New Roman"/>
                <w:b/>
                <w:bCs w:val="0"/>
                <w:color w:val="auto"/>
                <w:sz w:val="24"/>
                <w:lang w:eastAsia="zh-CN"/>
              </w:rPr>
            </w:pPr>
            <w:r>
              <w:rPr>
                <w:rFonts w:hint="eastAsia" w:cs="Times New Roman"/>
                <w:b/>
                <w:color w:val="auto"/>
                <w:sz w:val="24"/>
                <w:lang w:val="en-US" w:eastAsia="zh-CN"/>
              </w:rPr>
              <w:t>1</w:t>
            </w:r>
            <w:r>
              <w:rPr>
                <w:rFonts w:hint="default" w:ascii="Times New Roman" w:hAnsi="Times New Roman" w:eastAsia="宋体" w:cs="Times New Roman"/>
                <w:b/>
                <w:color w:val="auto"/>
                <w:sz w:val="24"/>
              </w:rPr>
              <w:t>、</w:t>
            </w:r>
            <w:r>
              <w:rPr>
                <w:rFonts w:hint="eastAsia" w:cs="Times New Roman"/>
                <w:b/>
                <w:bCs w:val="0"/>
                <w:color w:val="auto"/>
                <w:sz w:val="24"/>
                <w:lang w:eastAsia="zh-CN"/>
              </w:rPr>
              <w:t>与金坛区</w:t>
            </w:r>
            <w:r>
              <w:rPr>
                <w:rFonts w:hint="eastAsia" w:ascii="Times New Roman" w:hAnsi="Times New Roman" w:eastAsia="宋体" w:cs="Times New Roman"/>
                <w:b/>
                <w:bCs w:val="0"/>
                <w:color w:val="auto"/>
                <w:sz w:val="24"/>
                <w:lang w:val="en-US" w:eastAsia="zh-CN"/>
              </w:rPr>
              <w:t>“</w:t>
            </w:r>
            <w:r>
              <w:rPr>
                <w:rFonts w:hint="default" w:ascii="Times New Roman" w:hAnsi="Times New Roman" w:eastAsia="宋体" w:cs="Times New Roman"/>
                <w:b/>
                <w:bCs w:val="0"/>
                <w:color w:val="auto"/>
                <w:sz w:val="24"/>
                <w:lang w:eastAsia="zh-CN"/>
              </w:rPr>
              <w:t>三区三线</w:t>
            </w:r>
            <w:r>
              <w:rPr>
                <w:rFonts w:hint="eastAsia" w:ascii="Times New Roman" w:hAnsi="Times New Roman" w:eastAsia="宋体" w:cs="Times New Roman"/>
                <w:b/>
                <w:bCs w:val="0"/>
                <w:color w:val="auto"/>
                <w:sz w:val="24"/>
                <w:lang w:val="en-US" w:eastAsia="zh-CN"/>
              </w:rPr>
              <w:t>”相符性分析。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eastAsia="宋体" w:cs="Times New Roman"/>
                <w:b/>
                <w:color w:val="auto"/>
                <w:sz w:val="24"/>
              </w:rPr>
            </w:pPr>
            <w:r>
              <w:rPr>
                <w:rFonts w:hint="eastAsia" w:ascii="Times New Roman" w:hAnsi="Times New Roman" w:eastAsia="宋体" w:cs="Times New Roman"/>
                <w:color w:val="auto"/>
                <w:sz w:val="24"/>
                <w:lang w:val="en-US" w:eastAsia="zh-CN"/>
              </w:rPr>
              <w:t>金坛区“</w:t>
            </w:r>
            <w:r>
              <w:rPr>
                <w:rFonts w:hint="default" w:ascii="Times New Roman" w:hAnsi="Times New Roman" w:eastAsia="宋体" w:cs="Times New Roman"/>
                <w:color w:val="auto"/>
                <w:sz w:val="24"/>
                <w:lang w:eastAsia="zh-CN"/>
              </w:rPr>
              <w:t>三区三线</w:t>
            </w:r>
            <w:r>
              <w:rPr>
                <w:rFonts w:hint="eastAsia" w:ascii="Times New Roman" w:hAnsi="Times New Roman" w:eastAsia="宋体" w:cs="Times New Roman"/>
                <w:color w:val="auto"/>
                <w:sz w:val="24"/>
                <w:lang w:val="en-US" w:eastAsia="zh-CN"/>
              </w:rPr>
              <w:t>”划定成果已正式启用，</w:t>
            </w:r>
            <w:r>
              <w:rPr>
                <w:rFonts w:hint="default" w:ascii="Times New Roman" w:hAnsi="Times New Roman" w:eastAsia="宋体" w:cs="Times New Roman"/>
                <w:color w:val="auto"/>
                <w:sz w:val="24"/>
                <w:lang w:eastAsia="zh-CN"/>
              </w:rPr>
              <w:t>共划定耕地保护目标图斑31.3788万亩，永久基本农田28.264万亩，生态保护红线98.67平方公里，城镇开发边界115.67平方公里。</w:t>
            </w:r>
            <w:r>
              <w:rPr>
                <w:rFonts w:hint="eastAsia" w:ascii="Times New Roman" w:hAnsi="Times New Roman" w:eastAsia="宋体" w:cs="Times New Roman"/>
                <w:color w:val="auto"/>
                <w:sz w:val="24"/>
                <w:lang w:val="en-US" w:eastAsia="zh-CN"/>
              </w:rPr>
              <w:t>本项目位于</w:t>
            </w:r>
            <w:r>
              <w:rPr>
                <w:rFonts w:hint="eastAsia" w:cs="Times New Roman"/>
                <w:color w:val="auto"/>
                <w:sz w:val="24"/>
                <w:lang w:eastAsia="zh-CN"/>
              </w:rPr>
              <w:t>常州市金坛区金城镇红山路33号</w:t>
            </w:r>
            <w:r>
              <w:rPr>
                <w:rFonts w:hint="eastAsia" w:ascii="Times New Roman" w:hAnsi="Times New Roman" w:eastAsia="宋体" w:cs="Times New Roman"/>
                <w:color w:val="auto"/>
                <w:sz w:val="24"/>
                <w:lang w:val="en-US" w:eastAsia="zh-CN"/>
              </w:rPr>
              <w:t>，属于工业用地，不属于</w:t>
            </w:r>
            <w:r>
              <w:rPr>
                <w:rFonts w:hint="default" w:ascii="Times New Roman" w:hAnsi="Times New Roman" w:eastAsia="宋体" w:cs="Times New Roman"/>
                <w:color w:val="auto"/>
                <w:sz w:val="24"/>
                <w:lang w:eastAsia="zh-CN"/>
              </w:rPr>
              <w:t>永久基本农田</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eastAsia="zh-CN"/>
              </w:rPr>
              <w:t>生态保护红线</w:t>
            </w:r>
            <w:r>
              <w:rPr>
                <w:rFonts w:hint="eastAsia" w:ascii="Times New Roman" w:hAnsi="Times New Roman" w:eastAsia="宋体" w:cs="Times New Roman"/>
                <w:color w:val="auto"/>
                <w:sz w:val="24"/>
                <w:lang w:eastAsia="zh-CN"/>
              </w:rPr>
              <w:t>和</w:t>
            </w:r>
            <w:r>
              <w:rPr>
                <w:rFonts w:hint="default" w:ascii="Times New Roman" w:hAnsi="Times New Roman" w:eastAsia="宋体" w:cs="Times New Roman"/>
                <w:color w:val="auto"/>
                <w:sz w:val="24"/>
                <w:lang w:eastAsia="zh-CN"/>
              </w:rPr>
              <w:t>城镇开发边界</w:t>
            </w:r>
            <w:r>
              <w:rPr>
                <w:rFonts w:hint="eastAsia" w:ascii="Times New Roman" w:hAnsi="Times New Roman" w:eastAsia="宋体" w:cs="Times New Roman"/>
                <w:color w:val="auto"/>
                <w:sz w:val="24"/>
                <w:lang w:eastAsia="zh-CN"/>
              </w:rPr>
              <w:t>范围。</w:t>
            </w:r>
          </w:p>
          <w:p>
            <w:pPr>
              <w:keepNext w:val="0"/>
              <w:keepLines w:val="0"/>
              <w:pageBreakBefore w:val="0"/>
              <w:kinsoku/>
              <w:wordWrap/>
              <w:overflowPunct/>
              <w:topLinePunct w:val="0"/>
              <w:autoSpaceDE w:val="0"/>
              <w:autoSpaceDN w:val="0"/>
              <w:bidi w:val="0"/>
              <w:adjustRightInd w:val="0"/>
              <w:snapToGrid w:val="0"/>
              <w:spacing w:line="500" w:lineRule="exact"/>
              <w:ind w:firstLine="482" w:firstLineChars="200"/>
              <w:jc w:val="left"/>
              <w:textAlignment w:val="auto"/>
              <w:rPr>
                <w:rFonts w:hint="default" w:ascii="Times New Roman" w:hAnsi="Times New Roman" w:eastAsia="宋体" w:cs="Times New Roman"/>
                <w:b/>
                <w:color w:val="auto"/>
                <w:sz w:val="24"/>
              </w:rPr>
            </w:pPr>
            <w:r>
              <w:rPr>
                <w:rFonts w:hint="eastAsia" w:cs="Times New Roman"/>
                <w:b/>
                <w:color w:val="auto"/>
                <w:sz w:val="24"/>
                <w:lang w:val="en-US" w:eastAsia="zh-CN"/>
              </w:rPr>
              <w:t>2、</w:t>
            </w:r>
            <w:r>
              <w:rPr>
                <w:rFonts w:hint="default" w:ascii="Times New Roman" w:hAnsi="Times New Roman" w:eastAsia="宋体" w:cs="Times New Roman"/>
                <w:b/>
                <w:color w:val="auto"/>
                <w:sz w:val="24"/>
              </w:rPr>
              <w:t>“三线一单”控制要求相符性分析</w:t>
            </w:r>
          </w:p>
          <w:p>
            <w:pPr>
              <w:keepNext w:val="0"/>
              <w:keepLines w:val="0"/>
              <w:pageBreakBefore w:val="0"/>
              <w:kinsoku/>
              <w:wordWrap/>
              <w:overflowPunct/>
              <w:topLinePunct w:val="0"/>
              <w:autoSpaceDE w:val="0"/>
              <w:autoSpaceDN w:val="0"/>
              <w:bidi w:val="0"/>
              <w:adjustRightInd w:val="0"/>
              <w:snapToGrid w:val="0"/>
              <w:spacing w:line="500" w:lineRule="exact"/>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（1）根据《关于以改善环境质量为核心加强环境影响评价管理的通知》（环环评[2016]150号文），本项目与“三线一单”相符性分析主要体现在以下四个方面：</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2</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“三线一单”符合性分析情况一览表</w:t>
            </w:r>
          </w:p>
          <w:tbl>
            <w:tblPr>
              <w:tblStyle w:val="27"/>
              <w:tblW w:w="493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28" w:type="dxa"/>
                <w:left w:w="108" w:type="dxa"/>
                <w:bottom w:w="28" w:type="dxa"/>
                <w:right w:w="108" w:type="dxa"/>
              </w:tblCellMar>
            </w:tblPr>
            <w:tblGrid>
              <w:gridCol w:w="456"/>
              <w:gridCol w:w="688"/>
              <w:gridCol w:w="6063"/>
              <w:gridCol w:w="7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jc w:val="center"/>
              </w:trPr>
              <w:tc>
                <w:tcPr>
                  <w:tcW w:w="286" w:type="pct"/>
                  <w:vAlign w:val="center"/>
                </w:tcPr>
                <w:p>
                  <w:pPr>
                    <w:autoSpaceDE w:val="0"/>
                    <w:autoSpaceDN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序号</w:t>
                  </w:r>
                </w:p>
              </w:tc>
              <w:tc>
                <w:tcPr>
                  <w:tcW w:w="432" w:type="pct"/>
                  <w:vAlign w:val="center"/>
                </w:tcPr>
                <w:p>
                  <w:pPr>
                    <w:autoSpaceDE w:val="0"/>
                    <w:autoSpaceDN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判断类型</w:t>
                  </w:r>
                </w:p>
              </w:tc>
              <w:tc>
                <w:tcPr>
                  <w:tcW w:w="3805" w:type="pct"/>
                  <w:vAlign w:val="center"/>
                </w:tcPr>
                <w:p>
                  <w:pPr>
                    <w:autoSpaceDE w:val="0"/>
                    <w:autoSpaceDN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对照分析</w:t>
                  </w:r>
                </w:p>
              </w:tc>
              <w:tc>
                <w:tcPr>
                  <w:tcW w:w="475" w:type="pct"/>
                  <w:vAlign w:val="center"/>
                </w:tcPr>
                <w:p>
                  <w:pPr>
                    <w:autoSpaceDE w:val="0"/>
                    <w:autoSpaceDN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是否相符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1276" w:hRule="atLeast"/>
                <w:jc w:val="center"/>
              </w:trPr>
              <w:tc>
                <w:tcPr>
                  <w:tcW w:w="286"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432"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生态红线</w:t>
                  </w:r>
                </w:p>
              </w:tc>
              <w:tc>
                <w:tcPr>
                  <w:tcW w:w="3805" w:type="pct"/>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根据《省政府关于印发江苏省生态空间管控区域规划的通知》（苏政发[2020]1号）、</w:t>
                  </w:r>
                  <w:r>
                    <w:rPr>
                      <w:rFonts w:hint="default" w:ascii="Times New Roman" w:hAnsi="Times New Roman" w:eastAsia="宋体" w:cs="Times New Roman"/>
                      <w:color w:val="auto"/>
                      <w:sz w:val="21"/>
                      <w:szCs w:val="21"/>
                    </w:rPr>
                    <w:t>《省政府关于印发江苏省国家级生态保护红线规划的通知》（苏政发[2018]74号）文件，</w:t>
                  </w:r>
                  <w:r>
                    <w:rPr>
                      <w:rFonts w:hint="default" w:ascii="Times New Roman" w:hAnsi="Times New Roman" w:eastAsia="宋体" w:cs="Times New Roman"/>
                      <w:color w:val="auto"/>
                      <w:sz w:val="21"/>
                      <w:szCs w:val="21"/>
                      <w:lang w:val="en-US" w:eastAsia="zh-CN"/>
                    </w:rPr>
                    <w:t>本项目距离最近的生态空间管控区</w:t>
                  </w:r>
                  <w:r>
                    <w:rPr>
                      <w:rFonts w:hint="default" w:ascii="Times New Roman" w:hAnsi="Times New Roman" w:eastAsia="宋体" w:cs="Times New Roman"/>
                      <w:color w:val="auto"/>
                      <w:sz w:val="21"/>
                      <w:szCs w:val="21"/>
                    </w:rPr>
                    <w:t>丹金溧漕河（金坛市）洪水调蓄区</w:t>
                  </w:r>
                  <w:r>
                    <w:rPr>
                      <w:rFonts w:hint="eastAsia" w:cs="Times New Roman"/>
                      <w:color w:val="auto"/>
                      <w:sz w:val="21"/>
                      <w:szCs w:val="21"/>
                      <w:highlight w:val="none"/>
                      <w:lang w:val="en-US" w:eastAsia="zh-CN"/>
                    </w:rPr>
                    <w:t>3.1</w:t>
                  </w:r>
                  <w:r>
                    <w:rPr>
                      <w:rFonts w:hint="default" w:ascii="Times New Roman" w:hAnsi="Times New Roman" w:eastAsia="宋体" w:cs="Times New Roman"/>
                      <w:color w:val="auto"/>
                      <w:sz w:val="21"/>
                      <w:szCs w:val="21"/>
                      <w:highlight w:val="none"/>
                      <w:lang w:val="en-US" w:eastAsia="zh-CN"/>
                    </w:rPr>
                    <w:t>km</w:t>
                  </w:r>
                  <w:r>
                    <w:rPr>
                      <w:rFonts w:hint="default" w:ascii="Times New Roman" w:hAnsi="Times New Roman" w:eastAsia="宋体" w:cs="Times New Roman"/>
                      <w:color w:val="auto"/>
                      <w:sz w:val="21"/>
                      <w:szCs w:val="21"/>
                      <w:lang w:val="en-US" w:eastAsia="zh-CN"/>
                    </w:rPr>
                    <w:t>，不在国家级生态保护红</w:t>
                  </w:r>
                  <w:r>
                    <w:rPr>
                      <w:rFonts w:hint="default" w:ascii="Times New Roman" w:hAnsi="Times New Roman" w:eastAsia="宋体" w:cs="Times New Roman"/>
                      <w:color w:val="auto"/>
                      <w:szCs w:val="21"/>
                      <w:lang w:val="en-US" w:eastAsia="zh-CN"/>
                    </w:rPr>
                    <w:t>线范围和生态空间管控区范围内</w:t>
                  </w:r>
                  <w:r>
                    <w:rPr>
                      <w:rFonts w:hint="default" w:ascii="Times New Roman" w:hAnsi="Times New Roman" w:eastAsia="宋体" w:cs="Times New Roman"/>
                      <w:color w:val="auto"/>
                      <w:szCs w:val="21"/>
                    </w:rPr>
                    <w:t>。</w:t>
                  </w:r>
                </w:p>
              </w:tc>
              <w:tc>
                <w:tcPr>
                  <w:tcW w:w="475"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jc w:val="center"/>
              </w:trPr>
              <w:tc>
                <w:tcPr>
                  <w:tcW w:w="286"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432"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环境质量底线</w:t>
                  </w:r>
                </w:p>
              </w:tc>
              <w:tc>
                <w:tcPr>
                  <w:tcW w:w="6063" w:type="dxa"/>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highlight w:val="none"/>
                    </w:rPr>
                    <w:t>根据《202</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常州市生态环境状况公报》，</w:t>
                  </w:r>
                  <w:r>
                    <w:rPr>
                      <w:rFonts w:ascii="Times New Roman" w:hAnsi="Times New Roman" w:eastAsia="宋体"/>
                      <w:sz w:val="21"/>
                      <w:szCs w:val="21"/>
                    </w:rPr>
                    <w:t>项目所在区域大气环境质量属于不达标区，为改善常州市环境空气质量情况，常州市政府制定了相应的大气整治方案和计划，区域大气环境质量将会得到一定的改善。根据环境质量现状监测数据，项目所在地</w:t>
                  </w:r>
                  <w:r>
                    <w:rPr>
                      <w:rFonts w:hint="eastAsia" w:ascii="Times New Roman" w:hAnsi="Times New Roman" w:eastAsia="宋体"/>
                      <w:sz w:val="21"/>
                      <w:szCs w:val="21"/>
                      <w:lang w:eastAsia="zh-CN"/>
                    </w:rPr>
                    <w:t>大气、</w:t>
                  </w:r>
                  <w:r>
                    <w:rPr>
                      <w:rFonts w:ascii="Times New Roman" w:hAnsi="Times New Roman" w:eastAsia="宋体"/>
                      <w:sz w:val="21"/>
                      <w:szCs w:val="21"/>
                    </w:rPr>
                    <w:t>地表水、声环境质量监测结果均满足相应标准要求。项目建成后采取严格的污染防治措施，</w:t>
                  </w:r>
                  <w:r>
                    <w:rPr>
                      <w:rFonts w:hint="eastAsia" w:ascii="Times New Roman" w:hAnsi="Times New Roman" w:eastAsia="宋体"/>
                      <w:sz w:val="21"/>
                      <w:szCs w:val="21"/>
                      <w:lang w:eastAsia="zh-CN"/>
                    </w:rPr>
                    <w:t>废气、</w:t>
                  </w:r>
                  <w:r>
                    <w:rPr>
                      <w:rFonts w:ascii="Times New Roman" w:hAnsi="Times New Roman" w:eastAsia="宋体"/>
                      <w:sz w:val="21"/>
                      <w:szCs w:val="21"/>
                    </w:rPr>
                    <w:t>废水、厂界噪声均可达标排放，固废合理处置，不会突破项目所在地环境质量底线</w:t>
                  </w:r>
                  <w:r>
                    <w:rPr>
                      <w:rFonts w:hint="default" w:ascii="Times New Roman" w:hAnsi="Times New Roman" w:eastAsia="宋体" w:cs="Times New Roman"/>
                      <w:color w:val="auto"/>
                      <w:szCs w:val="21"/>
                    </w:rPr>
                    <w:t>。</w:t>
                  </w:r>
                </w:p>
              </w:tc>
              <w:tc>
                <w:tcPr>
                  <w:tcW w:w="757" w:type="dxa"/>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jc w:val="center"/>
              </w:trPr>
              <w:tc>
                <w:tcPr>
                  <w:tcW w:w="286"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w:t>
                  </w:r>
                </w:p>
              </w:tc>
              <w:tc>
                <w:tcPr>
                  <w:tcW w:w="432"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资源利用上线</w:t>
                  </w:r>
                </w:p>
              </w:tc>
              <w:tc>
                <w:tcPr>
                  <w:tcW w:w="3805" w:type="pct"/>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highlight w:val="none"/>
                    </w:rPr>
                    <w:t>本项目不属于</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两高一资</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类别，</w:t>
                  </w:r>
                  <w:r>
                    <w:rPr>
                      <w:rFonts w:hint="default" w:ascii="Times New Roman" w:hAnsi="Times New Roman" w:eastAsia="宋体" w:cs="Times New Roman"/>
                      <w:color w:val="auto"/>
                      <w:szCs w:val="21"/>
                    </w:rPr>
                    <w:t>所使用的能源主要为水、电能；本项目所在地水资源丰富，电力资源由当地电网公司输送，企业将采取有效的节水、节电措施，切实提高投入产出比，降低能耗，不会突破资源利用上线。符合资源利用上线相关要求。</w:t>
                  </w:r>
                </w:p>
              </w:tc>
              <w:tc>
                <w:tcPr>
                  <w:tcW w:w="475"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jc w:val="center"/>
              </w:trPr>
              <w:tc>
                <w:tcPr>
                  <w:tcW w:w="286"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w:t>
                  </w:r>
                </w:p>
              </w:tc>
              <w:tc>
                <w:tcPr>
                  <w:tcW w:w="432"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环境准入负面清单</w:t>
                  </w:r>
                </w:p>
              </w:tc>
              <w:tc>
                <w:tcPr>
                  <w:tcW w:w="3805" w:type="pct"/>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经对照，</w:t>
                  </w:r>
                  <w:r>
                    <w:rPr>
                      <w:rFonts w:hint="eastAsia" w:ascii="Times New Roman" w:hAnsi="Times New Roman" w:eastAsia="宋体" w:cs="Times New Roman"/>
                      <w:color w:val="auto"/>
                      <w:szCs w:val="21"/>
                      <w:lang w:val="en-US" w:eastAsia="zh-CN"/>
                    </w:rPr>
                    <w:t>本项目位于江苏省金坛区金城镇工业园，</w:t>
                  </w:r>
                  <w:r>
                    <w:rPr>
                      <w:rFonts w:hint="eastAsia" w:ascii="Times New Roman" w:hAnsi="Times New Roman" w:eastAsia="宋体" w:cs="Times New Roman"/>
                      <w:color w:val="auto"/>
                      <w:szCs w:val="21"/>
                      <w:lang w:eastAsia="zh-CN"/>
                    </w:rPr>
                    <w:t>符合园区产业定位；项</w:t>
                  </w:r>
                  <w:r>
                    <w:rPr>
                      <w:rFonts w:hint="eastAsia" w:cs="Times New Roman"/>
                      <w:color w:val="auto"/>
                      <w:szCs w:val="21"/>
                      <w:highlight w:val="none"/>
                      <w:lang w:eastAsia="zh-CN"/>
                    </w:rPr>
                    <w:t>目</w:t>
                  </w:r>
                  <w:r>
                    <w:rPr>
                      <w:rFonts w:hint="default" w:ascii="Times New Roman" w:hAnsi="Times New Roman" w:eastAsia="宋体" w:cs="Times New Roman"/>
                      <w:color w:val="auto"/>
                      <w:szCs w:val="21"/>
                    </w:rPr>
                    <w:t>不属于《市场准入负面清单（2022年版）》中禁止事项</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不属于《长江经济带发展负面清单指南（试行，2022年版）》中禁止建设类项目</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不属于《省发展改革委省工业和信息化厅关于坚决遏制</w:t>
                  </w:r>
                  <w:r>
                    <w:rPr>
                      <w:rFonts w:hint="eastAsia" w:cs="Times New Roman"/>
                      <w:color w:val="auto"/>
                      <w:szCs w:val="21"/>
                      <w:lang w:eastAsia="zh-CN"/>
                    </w:rPr>
                    <w:t>“</w:t>
                  </w:r>
                  <w:r>
                    <w:rPr>
                      <w:rFonts w:hint="default" w:ascii="Times New Roman" w:hAnsi="Times New Roman" w:eastAsia="宋体" w:cs="Times New Roman"/>
                      <w:color w:val="auto"/>
                      <w:szCs w:val="21"/>
                    </w:rPr>
                    <w:t>两高</w:t>
                  </w:r>
                  <w:r>
                    <w:rPr>
                      <w:rFonts w:hint="eastAsia" w:cs="Times New Roman"/>
                      <w:color w:val="auto"/>
                      <w:szCs w:val="21"/>
                      <w:lang w:eastAsia="zh-CN"/>
                    </w:rPr>
                    <w:t>”</w:t>
                  </w:r>
                  <w:r>
                    <w:rPr>
                      <w:rFonts w:hint="default" w:ascii="Times New Roman" w:hAnsi="Times New Roman" w:eastAsia="宋体" w:cs="Times New Roman"/>
                      <w:color w:val="auto"/>
                      <w:szCs w:val="21"/>
                    </w:rPr>
                    <w:t>项目盲目发展的通知》（苏发改资环发【2021】837号）中</w:t>
                  </w:r>
                  <w:r>
                    <w:rPr>
                      <w:rFonts w:hint="eastAsia" w:cs="Times New Roman"/>
                      <w:color w:val="auto"/>
                      <w:szCs w:val="21"/>
                      <w:lang w:eastAsia="zh-CN"/>
                    </w:rPr>
                    <w:t>“</w:t>
                  </w:r>
                  <w:r>
                    <w:rPr>
                      <w:rFonts w:hint="default" w:ascii="Times New Roman" w:hAnsi="Times New Roman" w:eastAsia="宋体" w:cs="Times New Roman"/>
                      <w:color w:val="auto"/>
                      <w:szCs w:val="21"/>
                    </w:rPr>
                    <w:t>两高</w:t>
                  </w:r>
                  <w:r>
                    <w:rPr>
                      <w:rFonts w:hint="eastAsia" w:cs="Times New Roman"/>
                      <w:color w:val="auto"/>
                      <w:szCs w:val="21"/>
                      <w:lang w:eastAsia="zh-CN"/>
                    </w:rPr>
                    <w:t>”</w:t>
                  </w:r>
                  <w:r>
                    <w:rPr>
                      <w:rFonts w:hint="default" w:ascii="Times New Roman" w:hAnsi="Times New Roman" w:eastAsia="宋体" w:cs="Times New Roman"/>
                      <w:color w:val="auto"/>
                      <w:szCs w:val="21"/>
                    </w:rPr>
                    <w:t>项目。因此本项目符合环境准入负面清单相关要求。</w:t>
                  </w:r>
                </w:p>
              </w:tc>
              <w:tc>
                <w:tcPr>
                  <w:tcW w:w="475"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是</w:t>
                  </w:r>
                </w:p>
              </w:tc>
            </w:tr>
          </w:tbl>
          <w:p>
            <w:pPr>
              <w:autoSpaceDE w:val="0"/>
              <w:autoSpaceDN w:val="0"/>
              <w:adjustRightInd w:val="0"/>
              <w:snapToGrid w:val="0"/>
              <w:spacing w:line="500" w:lineRule="exact"/>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（2）与《江苏省政府关于印发江苏省</w:t>
            </w:r>
            <w:r>
              <w:rPr>
                <w:rFonts w:hint="eastAsia" w:cs="Times New Roman"/>
                <w:b/>
                <w:color w:val="auto"/>
                <w:sz w:val="24"/>
                <w:lang w:eastAsia="zh-CN"/>
              </w:rPr>
              <w:t>“</w:t>
            </w:r>
            <w:r>
              <w:rPr>
                <w:rFonts w:hint="default" w:ascii="Times New Roman" w:hAnsi="Times New Roman" w:eastAsia="宋体" w:cs="Times New Roman"/>
                <w:b/>
                <w:color w:val="auto"/>
                <w:sz w:val="24"/>
              </w:rPr>
              <w:t>三线一单</w:t>
            </w:r>
            <w:r>
              <w:rPr>
                <w:rFonts w:hint="eastAsia" w:cs="Times New Roman"/>
                <w:b/>
                <w:color w:val="auto"/>
                <w:sz w:val="24"/>
                <w:lang w:eastAsia="zh-CN"/>
              </w:rPr>
              <w:t>”</w:t>
            </w:r>
            <w:r>
              <w:rPr>
                <w:rFonts w:hint="default" w:ascii="Times New Roman" w:hAnsi="Times New Roman" w:eastAsia="宋体" w:cs="Times New Roman"/>
                <w:b/>
                <w:color w:val="auto"/>
                <w:sz w:val="24"/>
              </w:rPr>
              <w:t>生态环境分区管控方案的通知》（苏政发[2020]49号）相符性分析</w:t>
            </w:r>
          </w:p>
          <w:p>
            <w:pPr>
              <w:autoSpaceDE w:val="0"/>
              <w:autoSpaceDN w:val="0"/>
              <w:adjustRightInd w:val="0"/>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本项目位于</w:t>
            </w:r>
            <w:r>
              <w:rPr>
                <w:rFonts w:hint="eastAsia" w:cs="Times New Roman"/>
                <w:color w:val="auto"/>
                <w:sz w:val="24"/>
                <w:lang w:eastAsia="zh-CN"/>
              </w:rPr>
              <w:t>常州市金坛区金城镇红山路33号</w:t>
            </w:r>
            <w:r>
              <w:rPr>
                <w:rFonts w:hint="default" w:ascii="Times New Roman" w:hAnsi="Times New Roman" w:eastAsia="宋体" w:cs="Times New Roman"/>
                <w:bCs/>
                <w:color w:val="auto"/>
                <w:sz w:val="24"/>
              </w:rPr>
              <w:t>，对照《江苏省政府关于印发江苏省</w:t>
            </w:r>
            <w:r>
              <w:rPr>
                <w:rFonts w:hint="eastAsia" w:cs="Times New Roman"/>
                <w:bCs/>
                <w:color w:val="auto"/>
                <w:sz w:val="24"/>
                <w:lang w:eastAsia="zh-CN"/>
              </w:rPr>
              <w:t>“</w:t>
            </w:r>
            <w:r>
              <w:rPr>
                <w:rFonts w:hint="default" w:ascii="Times New Roman" w:hAnsi="Times New Roman" w:eastAsia="宋体" w:cs="Times New Roman"/>
                <w:bCs/>
                <w:color w:val="auto"/>
                <w:sz w:val="24"/>
              </w:rPr>
              <w:t>三线一单</w:t>
            </w:r>
            <w:r>
              <w:rPr>
                <w:rFonts w:hint="eastAsia" w:cs="Times New Roman"/>
                <w:bCs/>
                <w:color w:val="auto"/>
                <w:sz w:val="24"/>
                <w:lang w:eastAsia="zh-CN"/>
              </w:rPr>
              <w:t>”</w:t>
            </w:r>
            <w:r>
              <w:rPr>
                <w:rFonts w:hint="default" w:ascii="Times New Roman" w:hAnsi="Times New Roman" w:eastAsia="宋体" w:cs="Times New Roman"/>
                <w:bCs/>
                <w:color w:val="auto"/>
                <w:sz w:val="24"/>
              </w:rPr>
              <w:t>生态环境分区管控方案的通知》（苏政发[2020]49号）可知，项目位于</w:t>
            </w:r>
            <w:r>
              <w:rPr>
                <w:rFonts w:hint="default" w:ascii="Times New Roman" w:hAnsi="Times New Roman" w:eastAsia="宋体" w:cs="Times New Roman"/>
                <w:bCs/>
                <w:color w:val="auto"/>
                <w:sz w:val="24"/>
                <w:highlight w:val="none"/>
              </w:rPr>
              <w:t>重点管控单元，</w:t>
            </w:r>
            <w:r>
              <w:rPr>
                <w:rFonts w:hint="default" w:ascii="Times New Roman" w:hAnsi="Times New Roman" w:eastAsia="宋体" w:cs="Times New Roman"/>
                <w:bCs/>
                <w:color w:val="auto"/>
                <w:sz w:val="24"/>
              </w:rPr>
              <w:t>其重点管控要求与本项目的相符性分析见</w:t>
            </w:r>
            <w:r>
              <w:rPr>
                <w:rFonts w:hint="default" w:ascii="Times New Roman" w:hAnsi="Times New Roman" w:eastAsia="宋体" w:cs="Times New Roman"/>
                <w:bCs/>
                <w:color w:val="auto"/>
                <w:sz w:val="24"/>
                <w:lang w:val="en-US" w:eastAsia="zh-CN"/>
              </w:rPr>
              <w:t>下表</w:t>
            </w:r>
            <w:r>
              <w:rPr>
                <w:rFonts w:hint="default" w:ascii="Times New Roman" w:hAnsi="Times New Roman" w:eastAsia="宋体" w:cs="Times New Roman"/>
                <w:bCs/>
                <w:color w:val="auto"/>
                <w:sz w:val="24"/>
              </w:rPr>
              <w:t>。</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3</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项目与苏政发[2020]49号相符性分析</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28" w:type="dxa"/>
                <w:left w:w="108" w:type="dxa"/>
                <w:bottom w:w="28" w:type="dxa"/>
                <w:right w:w="108" w:type="dxa"/>
              </w:tblCellMar>
            </w:tblPr>
            <w:tblGrid>
              <w:gridCol w:w="703"/>
              <w:gridCol w:w="5852"/>
              <w:gridCol w:w="15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436"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管控类别</w:t>
                  </w:r>
                </w:p>
              </w:tc>
              <w:tc>
                <w:tcPr>
                  <w:tcW w:w="3627"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重点管控要求</w:t>
                  </w:r>
                </w:p>
              </w:tc>
              <w:tc>
                <w:tcPr>
                  <w:tcW w:w="935"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5000" w:type="pct"/>
                  <w:gridSpan w:val="3"/>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长江流域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436" w:type="pct"/>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空间布局约束</w:t>
                  </w:r>
                </w:p>
              </w:tc>
              <w:tc>
                <w:tcPr>
                  <w:tcW w:w="3627" w:type="pct"/>
                  <w:tcBorders>
                    <w:bottom w:val="single" w:color="auto" w:sz="2" w:space="0"/>
                  </w:tcBorders>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1、始终把长江生态修复放在首位，坚持共抓大保护、不搞大开发，引导长江流域产业转型升级和布局优化调整，实现科学发展、有序发展、高质量发展。</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2、加强生态空间保护，禁止在国家确定的生态保护红线和永久基本农田范围内，投资建设除国家重大战略资源勘查项目、生态保护修复和地质灾害治理项目、重大基础设施项目、军事国防项目以及农民基本生产生活等必要的民生项目以外的项目。</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3、禁止在沿江地区新建或扩建化学工业园区，禁止新建或扩建以大宗进口油气资源为原料的石油加工、石油化工、基础有机无机化工、煤化工项目；禁止在长江干流和主要支流岸线1公里范围内新建危化品码头。</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4、强化港口布局优化，禁止建设不符合国家港口布局规划和《江苏省沿江沿海港口布局规划（2015-2030年）》《江苏省内河港口布局规划（2017-2035年）》的码头项</w:t>
                  </w:r>
                  <w:r>
                    <w:rPr>
                      <w:rFonts w:hint="eastAsia" w:cs="Times New Roman"/>
                      <w:color w:val="auto"/>
                      <w:lang w:eastAsia="zh-CN"/>
                    </w:rPr>
                    <w:t>目</w:t>
                  </w:r>
                  <w:r>
                    <w:rPr>
                      <w:rFonts w:hint="eastAsia" w:cs="Times New Roman"/>
                      <w:color w:val="auto"/>
                      <w:lang w:val="en-US" w:eastAsia="zh-CN"/>
                    </w:rPr>
                    <w:t>,禁止建设未纳入《长江干线过江通道布局规划》的过江干线通道项目</w:t>
                  </w:r>
                  <w:r>
                    <w:rPr>
                      <w:rFonts w:hint="default" w:ascii="Times New Roman" w:hAnsi="Times New Roman" w:eastAsia="宋体" w:cs="Times New Roman"/>
                      <w:color w:val="auto"/>
                    </w:rPr>
                    <w:t>。</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5、禁止新建独立焦化项目。</w:t>
                  </w:r>
                </w:p>
              </w:tc>
              <w:tc>
                <w:tcPr>
                  <w:tcW w:w="935" w:type="pct"/>
                  <w:tcBorders>
                    <w:bottom w:val="single" w:color="auto" w:sz="2" w:space="0"/>
                  </w:tcBorders>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本项目位于</w:t>
                  </w:r>
                  <w:r>
                    <w:rPr>
                      <w:rFonts w:hint="eastAsia" w:cs="Times New Roman"/>
                      <w:color w:val="auto"/>
                      <w:szCs w:val="21"/>
                      <w:lang w:eastAsia="zh-CN"/>
                    </w:rPr>
                    <w:t>常州市金坛区金城镇红山路33号</w:t>
                  </w:r>
                  <w:r>
                    <w:rPr>
                      <w:rFonts w:hint="default" w:ascii="Times New Roman" w:hAnsi="Times New Roman" w:eastAsia="宋体" w:cs="Times New Roman"/>
                      <w:color w:val="auto"/>
                    </w:rPr>
                    <w:t>，</w:t>
                  </w:r>
                  <w:r>
                    <w:rPr>
                      <w:rFonts w:hint="default" w:ascii="Times New Roman" w:hAnsi="Times New Roman" w:eastAsia="宋体" w:cs="Times New Roman"/>
                      <w:b w:val="0"/>
                      <w:bCs w:val="0"/>
                      <w:color w:val="auto"/>
                      <w:sz w:val="21"/>
                      <w:szCs w:val="21"/>
                      <w:lang w:eastAsia="zh-CN"/>
                    </w:rPr>
                    <w:t>属于长江流域内，选址</w:t>
                  </w:r>
                  <w:r>
                    <w:rPr>
                      <w:rFonts w:hint="default" w:ascii="Times New Roman" w:hAnsi="Times New Roman" w:eastAsia="宋体" w:cs="Times New Roman"/>
                      <w:color w:val="auto"/>
                    </w:rPr>
                    <w:t>不在国家确定的生态保护红线和永久基本农田范围内</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本项目属于</w:t>
                  </w:r>
                  <w:r>
                    <w:rPr>
                      <w:rFonts w:hint="eastAsia" w:cs="Times New Roman"/>
                      <w:color w:val="auto"/>
                      <w:szCs w:val="21"/>
                      <w:lang w:eastAsia="zh-CN"/>
                    </w:rPr>
                    <w:t>C3670汽车零部件及配件制造</w:t>
                  </w:r>
                  <w:r>
                    <w:rPr>
                      <w:rFonts w:hint="default" w:ascii="Times New Roman" w:hAnsi="Times New Roman" w:eastAsia="宋体" w:cs="Times New Roman"/>
                      <w:color w:val="auto"/>
                    </w:rPr>
                    <w:t>，不属于上述禁止建设的项目。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436" w:type="pct"/>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污染物排放管控</w:t>
                  </w:r>
                </w:p>
              </w:tc>
              <w:tc>
                <w:tcPr>
                  <w:tcW w:w="3627"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1、根据《江苏省长江水污染防治条例》实施污染物总量控制制度。</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2、全面加强和规范长江入河排污口管理，有效管控入河污染物排放，形成权责清晰、监控到位、管理规范的长江入河排污口监管体系，加快改善长江水环境质量。</w:t>
                  </w:r>
                </w:p>
              </w:tc>
              <w:tc>
                <w:tcPr>
                  <w:tcW w:w="93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eastAsia="zh-CN"/>
                    </w:rPr>
                    <w:t>本项目</w:t>
                  </w:r>
                  <w:r>
                    <w:rPr>
                      <w:rFonts w:hint="default" w:ascii="Times New Roman" w:hAnsi="Times New Roman" w:eastAsia="宋体" w:cs="Times New Roman"/>
                      <w:b w:val="0"/>
                      <w:bCs w:val="0"/>
                      <w:color w:val="auto"/>
                      <w:sz w:val="21"/>
                      <w:szCs w:val="21"/>
                      <w:lang w:val="en-US" w:eastAsia="zh-CN"/>
                    </w:rPr>
                    <w:t>实施总量控制，不涉及长江入河排污口。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436" w:type="pct"/>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环境风险防控</w:t>
                  </w:r>
                </w:p>
              </w:tc>
              <w:tc>
                <w:tcPr>
                  <w:tcW w:w="3627"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1、防范沿江环境风险。深化沿江石化、化工、医药、纺织、印染、化纤、危化品和石油类仓储、涉重金属和危险废物处置等重点企业环境风险防控。</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2、加强饮用水水源保护。优化水源保护区划定，推动饮用水水源地规范化建设。</w:t>
                  </w:r>
                </w:p>
              </w:tc>
              <w:tc>
                <w:tcPr>
                  <w:tcW w:w="93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eastAsia="zh-CN"/>
                    </w:rPr>
                    <w:t>本项目建设单位不属于环境风险防控重点企业。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5000" w:type="pct"/>
                  <w:gridSpan w:val="3"/>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太湖流域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436" w:type="pct"/>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空间布局约束</w:t>
                  </w:r>
                </w:p>
              </w:tc>
              <w:tc>
                <w:tcPr>
                  <w:tcW w:w="3627"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1、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2、在太湖流域一级保护区，禁止新建、扩建向水体排放污染物的建设项目，禁止新建、扩建畜禽养殖场，禁止新建、扩建高尔夫球场、水上游乐等开发项目以及设置水上餐饮经营设施。</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3、在太湖流域二级保护区，禁止新建、扩建化工、医药生产项目，禁止新建、扩建污水集中处理设施排污口以外的排污口。</w:t>
                  </w:r>
                </w:p>
              </w:tc>
              <w:tc>
                <w:tcPr>
                  <w:tcW w:w="935"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本项目位于</w:t>
                  </w:r>
                  <w:r>
                    <w:rPr>
                      <w:rFonts w:hint="eastAsia" w:cs="Times New Roman"/>
                      <w:color w:val="auto"/>
                      <w:szCs w:val="21"/>
                      <w:lang w:eastAsia="zh-CN"/>
                    </w:rPr>
                    <w:t>常州市金坛区金城镇红山路33号</w:t>
                  </w:r>
                  <w:r>
                    <w:rPr>
                      <w:rFonts w:hint="default" w:ascii="Times New Roman" w:hAnsi="Times New Roman" w:eastAsia="宋体" w:cs="Times New Roman"/>
                      <w:color w:val="auto"/>
                      <w:szCs w:val="21"/>
                    </w:rPr>
                    <w:t>，属于太湖流域三级保护区；本项目</w:t>
                  </w:r>
                  <w:r>
                    <w:rPr>
                      <w:rFonts w:hint="default" w:ascii="Times New Roman" w:hAnsi="Times New Roman" w:eastAsia="宋体" w:cs="Times New Roman"/>
                      <w:b w:val="0"/>
                      <w:bCs w:val="0"/>
                      <w:color w:val="auto"/>
                      <w:sz w:val="21"/>
                      <w:szCs w:val="21"/>
                      <w:lang w:val="en-US" w:eastAsia="zh-CN"/>
                    </w:rPr>
                    <w:t>不属于禁止新建的行业</w:t>
                  </w:r>
                  <w:r>
                    <w:rPr>
                      <w:rFonts w:hint="default" w:ascii="Times New Roman" w:hAnsi="Times New Roman" w:eastAsia="宋体" w:cs="Times New Roman"/>
                      <w:color w:val="auto"/>
                      <w:szCs w:val="21"/>
                    </w:rPr>
                    <w:t>，</w:t>
                  </w:r>
                  <w:r>
                    <w:rPr>
                      <w:rFonts w:hint="default" w:ascii="Times New Roman" w:hAnsi="Times New Roman" w:eastAsia="宋体" w:cs="Times New Roman"/>
                      <w:b w:val="0"/>
                      <w:bCs w:val="0"/>
                      <w:color w:val="auto"/>
                      <w:sz w:val="21"/>
                      <w:szCs w:val="21"/>
                      <w:lang w:val="en-US" w:eastAsia="zh-CN"/>
                    </w:rPr>
                    <w:t>无含磷、氮生产废水排放</w:t>
                  </w:r>
                  <w:r>
                    <w:rPr>
                      <w:rFonts w:hint="default" w:ascii="Times New Roman" w:hAnsi="Times New Roman" w:eastAsia="宋体" w:cs="Times New Roman"/>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436" w:type="pct"/>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污染物排放管控</w:t>
                  </w:r>
                </w:p>
              </w:tc>
              <w:tc>
                <w:tcPr>
                  <w:tcW w:w="3627"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城镇污水处理厂、纺织工业、化学工业、造纸工业、钢铁工业、电镀工业和食品工业的污水处理设施执行《太湖地区城镇污水处理厂及重点工业行业主要水污染物排放限值》。</w:t>
                  </w:r>
                </w:p>
              </w:tc>
              <w:tc>
                <w:tcPr>
                  <w:tcW w:w="935"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szCs w:val="21"/>
                    </w:rPr>
                    <w:t>本项目不属于上述行业。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436" w:type="pct"/>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环境风险防控</w:t>
                  </w:r>
                </w:p>
              </w:tc>
              <w:tc>
                <w:tcPr>
                  <w:tcW w:w="3627"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1、运输剧毒物质、危险化学品的船舶不得进入太湖。</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2、禁止向太湖流域水体排放或者倾倒油类、酸液、碱液、剧毒废渣废液、含放射性废渣废液、含病原体污水、工业废渣以及其他废弃物。</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3、加强太湖流域生态环境风险应急管控，着力提高防控太湖蓝藻水华风险预警和应急处置能力。</w:t>
                  </w:r>
                </w:p>
              </w:tc>
              <w:tc>
                <w:tcPr>
                  <w:tcW w:w="935"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b w:val="0"/>
                      <w:bCs w:val="0"/>
                      <w:color w:val="auto"/>
                      <w:sz w:val="21"/>
                      <w:szCs w:val="21"/>
                      <w:lang w:eastAsia="zh-CN"/>
                    </w:rPr>
                    <w:t>本项目</w:t>
                  </w:r>
                  <w:r>
                    <w:rPr>
                      <w:rFonts w:hint="default" w:ascii="Times New Roman" w:hAnsi="Times New Roman" w:eastAsia="宋体" w:cs="Times New Roman"/>
                      <w:b w:val="0"/>
                      <w:bCs w:val="0"/>
                      <w:color w:val="auto"/>
                      <w:sz w:val="21"/>
                      <w:szCs w:val="21"/>
                      <w:lang w:val="en-US" w:eastAsia="zh-CN"/>
                    </w:rPr>
                    <w:t>不涉及文件中相关行为</w:t>
                  </w:r>
                  <w:r>
                    <w:rPr>
                      <w:rFonts w:hint="default" w:ascii="Times New Roman" w:hAnsi="Times New Roman" w:eastAsia="宋体" w:cs="Times New Roman"/>
                      <w:color w:val="auto"/>
                    </w:rPr>
                    <w:t>。</w:t>
                  </w:r>
                </w:p>
              </w:tc>
            </w:tr>
          </w:tbl>
          <w:p>
            <w:pPr>
              <w:autoSpaceDE w:val="0"/>
              <w:autoSpaceDN w:val="0"/>
              <w:adjustRightInd w:val="0"/>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综上，本项目与《江苏省政府关于印发江苏省“三线一单”生态环境分区管控方案的通知》（苏政发[2020]49号）的要求相符。</w:t>
            </w:r>
          </w:p>
          <w:p>
            <w:pPr>
              <w:autoSpaceDE w:val="0"/>
              <w:autoSpaceDN w:val="0"/>
              <w:snapToGrid w:val="0"/>
              <w:spacing w:line="500" w:lineRule="exact"/>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（3）与《关于印发常州市</w:t>
            </w:r>
            <w:r>
              <w:rPr>
                <w:rFonts w:hint="eastAsia" w:cs="Times New Roman"/>
                <w:b/>
                <w:color w:val="auto"/>
                <w:sz w:val="24"/>
                <w:lang w:eastAsia="zh-CN"/>
              </w:rPr>
              <w:t>“</w:t>
            </w:r>
            <w:r>
              <w:rPr>
                <w:rFonts w:hint="default" w:ascii="Times New Roman" w:hAnsi="Times New Roman" w:eastAsia="宋体" w:cs="Times New Roman"/>
                <w:b/>
                <w:color w:val="auto"/>
                <w:sz w:val="24"/>
              </w:rPr>
              <w:t>三线一单</w:t>
            </w:r>
            <w:r>
              <w:rPr>
                <w:rFonts w:hint="eastAsia" w:cs="Times New Roman"/>
                <w:b/>
                <w:color w:val="auto"/>
                <w:sz w:val="24"/>
                <w:lang w:eastAsia="zh-CN"/>
              </w:rPr>
              <w:t>”</w:t>
            </w:r>
            <w:r>
              <w:rPr>
                <w:rFonts w:hint="default" w:ascii="Times New Roman" w:hAnsi="Times New Roman" w:eastAsia="宋体" w:cs="Times New Roman"/>
                <w:b/>
                <w:color w:val="auto"/>
                <w:sz w:val="24"/>
              </w:rPr>
              <w:t>生态环境分区管控实施方案的通知》（常环〔2020〕95号）相符性分析</w:t>
            </w:r>
          </w:p>
          <w:p>
            <w:pPr>
              <w:autoSpaceDE w:val="0"/>
              <w:autoSpaceDN w:val="0"/>
              <w:adjustRightInd w:val="0"/>
              <w:snapToGrid w:val="0"/>
              <w:spacing w:line="500" w:lineRule="exact"/>
              <w:ind w:firstLine="480" w:firstLineChars="200"/>
              <w:jc w:val="left"/>
              <w:rPr>
                <w:rFonts w:hint="default" w:ascii="Times New Roman" w:hAnsi="Times New Roman" w:eastAsia="宋体" w:cs="Times New Roman"/>
                <w:b/>
                <w:color w:val="auto"/>
                <w:sz w:val="24"/>
              </w:rPr>
            </w:pPr>
            <w:r>
              <w:rPr>
                <w:rFonts w:hint="default" w:ascii="Times New Roman" w:hAnsi="Times New Roman" w:eastAsia="宋体" w:cs="Times New Roman"/>
                <w:bCs/>
                <w:color w:val="auto"/>
                <w:sz w:val="24"/>
              </w:rPr>
              <w:t>本项目位于</w:t>
            </w:r>
            <w:r>
              <w:rPr>
                <w:rFonts w:hint="eastAsia" w:cs="Times New Roman"/>
                <w:bCs/>
                <w:color w:val="auto"/>
                <w:sz w:val="24"/>
                <w:lang w:eastAsia="zh-CN"/>
              </w:rPr>
              <w:t>常州市金坛区金城镇红山路33号</w:t>
            </w:r>
            <w:r>
              <w:rPr>
                <w:rFonts w:hint="default" w:ascii="Times New Roman" w:hAnsi="Times New Roman" w:eastAsia="宋体" w:cs="Times New Roman"/>
                <w:bCs/>
                <w:color w:val="auto"/>
                <w:sz w:val="24"/>
              </w:rPr>
              <w:t>，</w:t>
            </w:r>
            <w:r>
              <w:rPr>
                <w:rFonts w:hint="default" w:ascii="Times New Roman" w:hAnsi="Times New Roman" w:eastAsia="宋体" w:cs="Times New Roman"/>
                <w:color w:val="auto"/>
                <w:sz w:val="24"/>
              </w:rPr>
              <w:t>根据《关于印发常州市</w:t>
            </w:r>
            <w:r>
              <w:rPr>
                <w:rFonts w:hint="eastAsia" w:cs="Times New Roman"/>
                <w:color w:val="auto"/>
                <w:sz w:val="24"/>
                <w:lang w:eastAsia="zh-CN"/>
              </w:rPr>
              <w:t>“</w:t>
            </w:r>
            <w:r>
              <w:rPr>
                <w:rFonts w:hint="default" w:ascii="Times New Roman" w:hAnsi="Times New Roman" w:eastAsia="宋体" w:cs="Times New Roman"/>
                <w:color w:val="auto"/>
                <w:sz w:val="24"/>
              </w:rPr>
              <w:t>三线一单</w:t>
            </w:r>
            <w:r>
              <w:rPr>
                <w:rFonts w:hint="eastAsia" w:cs="Times New Roman"/>
                <w:color w:val="auto"/>
                <w:sz w:val="24"/>
                <w:lang w:eastAsia="zh-CN"/>
              </w:rPr>
              <w:t>”</w:t>
            </w:r>
            <w:r>
              <w:rPr>
                <w:rFonts w:hint="default" w:ascii="Times New Roman" w:hAnsi="Times New Roman" w:eastAsia="宋体" w:cs="Times New Roman"/>
                <w:color w:val="auto"/>
                <w:sz w:val="24"/>
              </w:rPr>
              <w:t>生态环境分区管控实施方案的通知》（常环〔2020〕95号）可知</w:t>
            </w:r>
            <w:r>
              <w:rPr>
                <w:rFonts w:hint="default" w:ascii="Times New Roman" w:hAnsi="Times New Roman" w:eastAsia="宋体" w:cs="Times New Roman"/>
                <w:bCs/>
                <w:color w:val="auto"/>
                <w:sz w:val="24"/>
              </w:rPr>
              <w:t>，项目位于重点管控单元，其重点管控要求与本项目的相符性分析见</w:t>
            </w:r>
            <w:r>
              <w:rPr>
                <w:rFonts w:hint="default" w:ascii="Times New Roman" w:hAnsi="Times New Roman" w:eastAsia="宋体" w:cs="Times New Roman"/>
                <w:bCs/>
                <w:color w:val="auto"/>
                <w:sz w:val="24"/>
                <w:lang w:val="en-US" w:eastAsia="zh-CN"/>
              </w:rPr>
              <w:t>下表</w:t>
            </w:r>
            <w:r>
              <w:rPr>
                <w:rFonts w:hint="default" w:ascii="Times New Roman" w:hAnsi="Times New Roman" w:eastAsia="宋体" w:cs="Times New Roman"/>
                <w:bCs/>
                <w:color w:val="auto"/>
                <w:sz w:val="24"/>
              </w:rPr>
              <w:t>。</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与常环〔2020〕95号相符性分析</w:t>
            </w:r>
          </w:p>
          <w:tbl>
            <w:tblPr>
              <w:tblStyle w:val="27"/>
              <w:tblW w:w="4996"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3376"/>
              <w:gridCol w:w="2782"/>
              <w:gridCol w:w="8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noWrap w:val="0"/>
                  <w:vAlign w:val="center"/>
                </w:tcPr>
                <w:p>
                  <w:pPr>
                    <w:pStyle w:val="96"/>
                    <w:rPr>
                      <w:b/>
                      <w:bCs/>
                      <w:color w:val="auto"/>
                      <w:szCs w:val="21"/>
                    </w:rPr>
                  </w:pPr>
                  <w:r>
                    <w:rPr>
                      <w:b/>
                      <w:bCs/>
                      <w:color w:val="auto"/>
                      <w:szCs w:val="21"/>
                    </w:rPr>
                    <w:t>管控类别</w:t>
                  </w:r>
                </w:p>
              </w:tc>
              <w:tc>
                <w:tcPr>
                  <w:tcW w:w="2093" w:type="pct"/>
                  <w:noWrap w:val="0"/>
                  <w:vAlign w:val="center"/>
                </w:tcPr>
                <w:p>
                  <w:pPr>
                    <w:pStyle w:val="96"/>
                    <w:rPr>
                      <w:rFonts w:eastAsia="宋体"/>
                      <w:b/>
                      <w:bCs/>
                      <w:color w:val="auto"/>
                      <w:szCs w:val="21"/>
                    </w:rPr>
                  </w:pPr>
                  <w:r>
                    <w:rPr>
                      <w:rFonts w:eastAsia="宋体"/>
                      <w:b/>
                      <w:bCs/>
                      <w:color w:val="auto"/>
                      <w:szCs w:val="21"/>
                    </w:rPr>
                    <w:t>重点管控要求</w:t>
                  </w:r>
                  <w:r>
                    <w:rPr>
                      <w:rFonts w:hint="eastAsia" w:eastAsia="宋体"/>
                      <w:b/>
                      <w:bCs/>
                      <w:color w:val="auto"/>
                      <w:szCs w:val="21"/>
                      <w:lang w:eastAsia="zh-CN"/>
                    </w:rPr>
                    <w:t>（</w:t>
                  </w:r>
                  <w:r>
                    <w:rPr>
                      <w:rFonts w:eastAsia="宋体"/>
                      <w:b/>
                      <w:bCs/>
                      <w:color w:val="auto"/>
                      <w:szCs w:val="21"/>
                    </w:rPr>
                    <w:t>金城镇工业集中区）</w:t>
                  </w:r>
                </w:p>
              </w:tc>
              <w:tc>
                <w:tcPr>
                  <w:tcW w:w="1725" w:type="pct"/>
                  <w:noWrap w:val="0"/>
                  <w:vAlign w:val="center"/>
                </w:tcPr>
                <w:p>
                  <w:pPr>
                    <w:pStyle w:val="96"/>
                    <w:rPr>
                      <w:rFonts w:eastAsia="宋体"/>
                      <w:b/>
                      <w:bCs/>
                      <w:color w:val="auto"/>
                      <w:szCs w:val="21"/>
                    </w:rPr>
                  </w:pPr>
                  <w:r>
                    <w:rPr>
                      <w:rFonts w:eastAsia="宋体"/>
                      <w:b/>
                      <w:bCs/>
                      <w:color w:val="auto"/>
                      <w:szCs w:val="21"/>
                    </w:rPr>
                    <w:t>本项目</w:t>
                  </w:r>
                </w:p>
              </w:tc>
              <w:tc>
                <w:tcPr>
                  <w:tcW w:w="512" w:type="pct"/>
                  <w:noWrap w:val="0"/>
                  <w:vAlign w:val="center"/>
                </w:tcPr>
                <w:p>
                  <w:pPr>
                    <w:pStyle w:val="96"/>
                    <w:rPr>
                      <w:b/>
                      <w:bCs/>
                      <w:color w:val="auto"/>
                      <w:szCs w:val="21"/>
                    </w:rPr>
                  </w:pPr>
                  <w:r>
                    <w:rPr>
                      <w:b/>
                      <w:bCs/>
                      <w:color w:val="auto"/>
                      <w:szCs w:val="21"/>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restart"/>
                  <w:noWrap w:val="0"/>
                  <w:vAlign w:val="center"/>
                </w:tcPr>
                <w:p>
                  <w:pPr>
                    <w:pStyle w:val="96"/>
                    <w:rPr>
                      <w:color w:val="auto"/>
                      <w:szCs w:val="21"/>
                    </w:rPr>
                  </w:pPr>
                  <w:r>
                    <w:rPr>
                      <w:color w:val="auto"/>
                      <w:szCs w:val="21"/>
                    </w:rPr>
                    <w:t>空间布局约束</w:t>
                  </w:r>
                </w:p>
              </w:tc>
              <w:tc>
                <w:tcPr>
                  <w:tcW w:w="2093" w:type="pct"/>
                  <w:noWrap w:val="0"/>
                  <w:vAlign w:val="center"/>
                </w:tcPr>
                <w:p>
                  <w:pPr>
                    <w:pStyle w:val="56"/>
                    <w:tabs>
                      <w:tab w:val="left" w:pos="608"/>
                    </w:tabs>
                    <w:spacing w:line="255" w:lineRule="exact"/>
                    <w:rPr>
                      <w:rFonts w:ascii="Times New Roman" w:hAnsi="Times New Roman" w:eastAsia="宋体" w:cs="Times New Roman"/>
                      <w:color w:val="auto"/>
                      <w:spacing w:val="2"/>
                      <w:kern w:val="2"/>
                      <w:sz w:val="21"/>
                      <w:szCs w:val="21"/>
                      <w:lang w:val="en-US" w:eastAsia="zh-CN" w:bidi="ar-SA"/>
                    </w:rPr>
                  </w:pPr>
                  <w:r>
                    <w:rPr>
                      <w:rFonts w:ascii="Times New Roman" w:hAnsi="Times New Roman" w:eastAsia="宋体" w:cs="Times New Roman"/>
                      <w:color w:val="auto"/>
                      <w:spacing w:val="2"/>
                      <w:kern w:val="2"/>
                      <w:sz w:val="21"/>
                      <w:szCs w:val="21"/>
                      <w:lang w:val="en-US" w:eastAsia="zh-CN" w:bidi="ar-SA"/>
                    </w:rPr>
                    <w:t>禁止引入国际上和国家各部门禁止或准备禁止生产的项目、明令淘汰项目。</w:t>
                  </w:r>
                </w:p>
              </w:tc>
              <w:tc>
                <w:tcPr>
                  <w:tcW w:w="1725" w:type="pct"/>
                  <w:vMerge w:val="restart"/>
                  <w:noWrap w:val="0"/>
                  <w:vAlign w:val="center"/>
                </w:tcPr>
                <w:p>
                  <w:pPr>
                    <w:pStyle w:val="96"/>
                    <w:rPr>
                      <w:b/>
                      <w:bCs/>
                      <w:color w:val="auto"/>
                      <w:szCs w:val="21"/>
                    </w:rPr>
                  </w:pPr>
                  <w:r>
                    <w:rPr>
                      <w:color w:val="auto"/>
                      <w:szCs w:val="21"/>
                    </w:rPr>
                    <w:t>本项目位</w:t>
                  </w:r>
                  <w:r>
                    <w:rPr>
                      <w:rFonts w:eastAsia="宋体"/>
                      <w:color w:val="auto"/>
                      <w:szCs w:val="21"/>
                    </w:rPr>
                    <w:t>于金城镇工业集中区，项目不属于禁止引入项目</w:t>
                  </w:r>
                  <w:r>
                    <w:rPr>
                      <w:color w:val="auto"/>
                      <w:szCs w:val="21"/>
                    </w:rPr>
                    <w:t>。</w:t>
                  </w:r>
                </w:p>
              </w:tc>
              <w:tc>
                <w:tcPr>
                  <w:tcW w:w="512" w:type="pct"/>
                  <w:vMerge w:val="restart"/>
                  <w:noWrap w:val="0"/>
                  <w:vAlign w:val="center"/>
                </w:tcPr>
                <w:p>
                  <w:pPr>
                    <w:pStyle w:val="96"/>
                    <w:rPr>
                      <w:b/>
                      <w:bCs/>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69" w:type="pct"/>
                  <w:vMerge w:val="continue"/>
                  <w:noWrap w:val="0"/>
                  <w:vAlign w:val="center"/>
                </w:tcPr>
                <w:p>
                  <w:pPr>
                    <w:pStyle w:val="96"/>
                    <w:rPr>
                      <w:color w:val="auto"/>
                      <w:szCs w:val="21"/>
                    </w:rPr>
                  </w:pPr>
                </w:p>
              </w:tc>
              <w:tc>
                <w:tcPr>
                  <w:tcW w:w="2093" w:type="pct"/>
                  <w:noWrap w:val="0"/>
                  <w:vAlign w:val="center"/>
                </w:tcPr>
                <w:p>
                  <w:pPr>
                    <w:pStyle w:val="96"/>
                    <w:rPr>
                      <w:rFonts w:ascii="Times New Roman" w:hAnsi="Times New Roman" w:eastAsia="宋体" w:cs="Times New Roman"/>
                      <w:color w:val="auto"/>
                      <w:spacing w:val="2"/>
                      <w:kern w:val="2"/>
                      <w:sz w:val="21"/>
                      <w:szCs w:val="21"/>
                      <w:lang w:val="en-US" w:eastAsia="zh-CN" w:bidi="ar-SA"/>
                    </w:rPr>
                  </w:pPr>
                  <w:r>
                    <w:rPr>
                      <w:rFonts w:ascii="Times New Roman" w:hAnsi="Times New Roman" w:eastAsia="宋体" w:cs="Times New Roman"/>
                      <w:color w:val="auto"/>
                      <w:spacing w:val="2"/>
                      <w:kern w:val="2"/>
                      <w:sz w:val="21"/>
                      <w:szCs w:val="21"/>
                      <w:lang w:val="en-US" w:eastAsia="zh-CN" w:bidi="ar-SA"/>
                    </w:rPr>
                    <w:t>禁止引入生产方式落后、高能耗、严重浪费资源和污染环境的项目。</w:t>
                  </w:r>
                </w:p>
              </w:tc>
              <w:tc>
                <w:tcPr>
                  <w:tcW w:w="1725" w:type="pct"/>
                  <w:vMerge w:val="continue"/>
                  <w:noWrap w:val="0"/>
                  <w:vAlign w:val="center"/>
                </w:tcPr>
                <w:p>
                  <w:pPr>
                    <w:pStyle w:val="96"/>
                    <w:rPr>
                      <w:b/>
                      <w:bCs/>
                      <w:color w:val="auto"/>
                      <w:szCs w:val="21"/>
                    </w:rPr>
                  </w:pPr>
                </w:p>
              </w:tc>
              <w:tc>
                <w:tcPr>
                  <w:tcW w:w="512" w:type="pct"/>
                  <w:vMerge w:val="continue"/>
                  <w:noWrap w:val="0"/>
                  <w:vAlign w:val="center"/>
                </w:tcPr>
                <w:p>
                  <w:pPr>
                    <w:pStyle w:val="96"/>
                    <w:rPr>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continue"/>
                  <w:noWrap w:val="0"/>
                  <w:vAlign w:val="center"/>
                </w:tcPr>
                <w:p>
                  <w:pPr>
                    <w:pStyle w:val="96"/>
                    <w:rPr>
                      <w:color w:val="auto"/>
                      <w:szCs w:val="21"/>
                    </w:rPr>
                  </w:pPr>
                </w:p>
              </w:tc>
              <w:tc>
                <w:tcPr>
                  <w:tcW w:w="2093" w:type="pct"/>
                  <w:noWrap w:val="0"/>
                  <w:vAlign w:val="center"/>
                </w:tcPr>
                <w:p>
                  <w:pPr>
                    <w:pStyle w:val="96"/>
                    <w:rPr>
                      <w:rFonts w:ascii="Times New Roman" w:hAnsi="Times New Roman" w:eastAsia="宋体" w:cs="Times New Roman"/>
                      <w:color w:val="auto"/>
                      <w:spacing w:val="2"/>
                      <w:kern w:val="2"/>
                      <w:sz w:val="21"/>
                      <w:szCs w:val="21"/>
                      <w:lang w:val="en-US" w:eastAsia="zh-CN" w:bidi="ar-SA"/>
                    </w:rPr>
                  </w:pPr>
                  <w:r>
                    <w:rPr>
                      <w:rFonts w:ascii="Times New Roman" w:hAnsi="Times New Roman" w:eastAsia="宋体" w:cs="Times New Roman"/>
                      <w:color w:val="auto"/>
                      <w:spacing w:val="2"/>
                      <w:kern w:val="2"/>
                      <w:sz w:val="21"/>
                      <w:szCs w:val="21"/>
                      <w:lang w:val="en-US" w:eastAsia="zh-CN" w:bidi="ar-SA"/>
                    </w:rPr>
                    <w:t>禁止引入污染严重，破坏自然生态和损害人体健康又无治理技术或难以治理的项目，如剧毒、放射性物质的生产、储运项目、有持久性污染和重金属等产生的项目等。</w:t>
                  </w:r>
                </w:p>
              </w:tc>
              <w:tc>
                <w:tcPr>
                  <w:tcW w:w="1725" w:type="pct"/>
                  <w:vMerge w:val="continue"/>
                  <w:noWrap w:val="0"/>
                  <w:vAlign w:val="center"/>
                </w:tcPr>
                <w:p>
                  <w:pPr>
                    <w:pStyle w:val="96"/>
                    <w:rPr>
                      <w:b/>
                      <w:bCs/>
                      <w:color w:val="auto"/>
                      <w:szCs w:val="21"/>
                    </w:rPr>
                  </w:pPr>
                </w:p>
              </w:tc>
              <w:tc>
                <w:tcPr>
                  <w:tcW w:w="512" w:type="pct"/>
                  <w:vMerge w:val="continue"/>
                  <w:noWrap w:val="0"/>
                  <w:vAlign w:val="center"/>
                </w:tcPr>
                <w:p>
                  <w:pPr>
                    <w:pStyle w:val="96"/>
                    <w:rPr>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continue"/>
                  <w:noWrap w:val="0"/>
                  <w:vAlign w:val="center"/>
                </w:tcPr>
                <w:p>
                  <w:pPr>
                    <w:pStyle w:val="96"/>
                    <w:rPr>
                      <w:color w:val="auto"/>
                      <w:szCs w:val="21"/>
                    </w:rPr>
                  </w:pPr>
                </w:p>
              </w:tc>
              <w:tc>
                <w:tcPr>
                  <w:tcW w:w="2093" w:type="pct"/>
                  <w:noWrap w:val="0"/>
                  <w:vAlign w:val="center"/>
                </w:tcPr>
                <w:p>
                  <w:pPr>
                    <w:pStyle w:val="96"/>
                    <w:rPr>
                      <w:rFonts w:ascii="Times New Roman" w:hAnsi="Times New Roman" w:eastAsia="宋体" w:cs="Times New Roman"/>
                      <w:color w:val="auto"/>
                      <w:spacing w:val="2"/>
                      <w:kern w:val="2"/>
                      <w:sz w:val="21"/>
                      <w:szCs w:val="21"/>
                      <w:lang w:val="en-US" w:eastAsia="zh-CN" w:bidi="ar-SA"/>
                    </w:rPr>
                  </w:pPr>
                  <w:r>
                    <w:rPr>
                      <w:rFonts w:ascii="Times New Roman" w:hAnsi="Times New Roman" w:eastAsia="宋体" w:cs="Times New Roman"/>
                      <w:color w:val="auto"/>
                      <w:spacing w:val="2"/>
                      <w:kern w:val="2"/>
                      <w:sz w:val="21"/>
                      <w:szCs w:val="21"/>
                      <w:lang w:val="en-US" w:eastAsia="zh-CN" w:bidi="ar-SA"/>
                    </w:rPr>
                    <w:t>禁止引入不符合经济规模要求，经济效益差，污染严重的小钢铁、小有色金属、小铁合金、小化工、小炼油、小建材、小造纸、小制革、小电镀等“十五小”企业及“新五小”企业，已在区内建设的应坚决予以拆除。</w:t>
                  </w:r>
                </w:p>
              </w:tc>
              <w:tc>
                <w:tcPr>
                  <w:tcW w:w="1725" w:type="pct"/>
                  <w:vMerge w:val="continue"/>
                  <w:noWrap w:val="0"/>
                  <w:vAlign w:val="center"/>
                </w:tcPr>
                <w:p>
                  <w:pPr>
                    <w:pStyle w:val="96"/>
                    <w:rPr>
                      <w:b/>
                      <w:bCs/>
                      <w:color w:val="auto"/>
                      <w:szCs w:val="21"/>
                    </w:rPr>
                  </w:pPr>
                </w:p>
              </w:tc>
              <w:tc>
                <w:tcPr>
                  <w:tcW w:w="512" w:type="pct"/>
                  <w:vMerge w:val="continue"/>
                  <w:noWrap w:val="0"/>
                  <w:vAlign w:val="center"/>
                </w:tcPr>
                <w:p>
                  <w:pPr>
                    <w:pStyle w:val="96"/>
                    <w:rPr>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restart"/>
                  <w:noWrap w:val="0"/>
                  <w:vAlign w:val="center"/>
                </w:tcPr>
                <w:p>
                  <w:pPr>
                    <w:pStyle w:val="96"/>
                    <w:rPr>
                      <w:color w:val="auto"/>
                      <w:szCs w:val="21"/>
                    </w:rPr>
                  </w:pPr>
                  <w:r>
                    <w:rPr>
                      <w:color w:val="auto"/>
                      <w:szCs w:val="21"/>
                    </w:rPr>
                    <w:t>污染物排放管控</w:t>
                  </w:r>
                </w:p>
              </w:tc>
              <w:tc>
                <w:tcPr>
                  <w:tcW w:w="2093" w:type="pct"/>
                  <w:noWrap w:val="0"/>
                  <w:vAlign w:val="center"/>
                </w:tcPr>
                <w:p>
                  <w:pPr>
                    <w:pStyle w:val="96"/>
                    <w:rPr>
                      <w:color w:val="auto"/>
                      <w:szCs w:val="21"/>
                    </w:rPr>
                  </w:pPr>
                  <w:r>
                    <w:rPr>
                      <w:color w:val="auto"/>
                      <w:szCs w:val="21"/>
                    </w:rPr>
                    <w:t>严格实施污染物总量</w:t>
                  </w:r>
                  <w:r>
                    <w:rPr>
                      <w:color w:val="auto"/>
                      <w:spacing w:val="2"/>
                      <w:szCs w:val="21"/>
                    </w:rPr>
                    <w:t>控制制度，根据区域环境质</w:t>
                  </w:r>
                  <w:r>
                    <w:rPr>
                      <w:color w:val="auto"/>
                      <w:spacing w:val="3"/>
                      <w:szCs w:val="21"/>
                    </w:rPr>
                    <w:t xml:space="preserve">量改善目标，采取有效措施减少主要污染物排放总量， </w:t>
                  </w:r>
                  <w:r>
                    <w:rPr>
                      <w:color w:val="auto"/>
                      <w:szCs w:val="21"/>
                    </w:rPr>
                    <w:t>确保区域环境质量持续改善。</w:t>
                  </w:r>
                </w:p>
              </w:tc>
              <w:tc>
                <w:tcPr>
                  <w:tcW w:w="1725" w:type="pct"/>
                  <w:vMerge w:val="restart"/>
                  <w:noWrap w:val="0"/>
                  <w:vAlign w:val="center"/>
                </w:tcPr>
                <w:p>
                  <w:pPr>
                    <w:pStyle w:val="96"/>
                    <w:rPr>
                      <w:color w:val="auto"/>
                      <w:szCs w:val="21"/>
                    </w:rPr>
                  </w:pPr>
                  <w:r>
                    <w:rPr>
                      <w:color w:val="auto"/>
                      <w:szCs w:val="22"/>
                    </w:rPr>
                    <w:t>本</w:t>
                  </w:r>
                  <w:r>
                    <w:rPr>
                      <w:color w:val="auto"/>
                      <w:szCs w:val="21"/>
                    </w:rPr>
                    <w:t>项目有机废气经处理后达标排放，废气排放总量不会突破园区环评报告及批复的总量。</w:t>
                  </w:r>
                </w:p>
              </w:tc>
              <w:tc>
                <w:tcPr>
                  <w:tcW w:w="512" w:type="pct"/>
                  <w:vMerge w:val="restart"/>
                  <w:noWrap w:val="0"/>
                  <w:vAlign w:val="center"/>
                </w:tcPr>
                <w:p>
                  <w:pPr>
                    <w:pStyle w:val="96"/>
                    <w:rPr>
                      <w:b/>
                      <w:bCs/>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continue"/>
                  <w:noWrap w:val="0"/>
                  <w:vAlign w:val="center"/>
                </w:tcPr>
                <w:p>
                  <w:pPr>
                    <w:pStyle w:val="96"/>
                    <w:rPr>
                      <w:color w:val="auto"/>
                      <w:szCs w:val="21"/>
                    </w:rPr>
                  </w:pPr>
                </w:p>
              </w:tc>
              <w:tc>
                <w:tcPr>
                  <w:tcW w:w="2093" w:type="pct"/>
                  <w:noWrap w:val="0"/>
                  <w:vAlign w:val="center"/>
                </w:tcPr>
                <w:p>
                  <w:pPr>
                    <w:pStyle w:val="96"/>
                    <w:jc w:val="center"/>
                    <w:rPr>
                      <w:color w:val="auto"/>
                      <w:szCs w:val="21"/>
                    </w:rPr>
                  </w:pPr>
                  <w:r>
                    <w:rPr>
                      <w:color w:val="auto"/>
                      <w:szCs w:val="21"/>
                    </w:rPr>
                    <w:t>园区污染物排放总量不得突破环评报告及批复的总量。</w:t>
                  </w:r>
                </w:p>
              </w:tc>
              <w:tc>
                <w:tcPr>
                  <w:tcW w:w="1725" w:type="pct"/>
                  <w:vMerge w:val="continue"/>
                  <w:noWrap w:val="0"/>
                  <w:vAlign w:val="center"/>
                </w:tcPr>
                <w:p>
                  <w:pPr>
                    <w:pStyle w:val="96"/>
                    <w:rPr>
                      <w:color w:val="auto"/>
                      <w:szCs w:val="21"/>
                    </w:rPr>
                  </w:pPr>
                </w:p>
              </w:tc>
              <w:tc>
                <w:tcPr>
                  <w:tcW w:w="512" w:type="pct"/>
                  <w:vMerge w:val="continue"/>
                  <w:noWrap w:val="0"/>
                  <w:vAlign w:val="center"/>
                </w:tcPr>
                <w:p>
                  <w:pPr>
                    <w:pStyle w:val="96"/>
                    <w:rPr>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restart"/>
                  <w:noWrap w:val="0"/>
                  <w:vAlign w:val="center"/>
                </w:tcPr>
                <w:p>
                  <w:pPr>
                    <w:pStyle w:val="96"/>
                    <w:rPr>
                      <w:color w:val="auto"/>
                      <w:szCs w:val="21"/>
                    </w:rPr>
                  </w:pPr>
                  <w:r>
                    <w:rPr>
                      <w:color w:val="auto"/>
                      <w:szCs w:val="21"/>
                    </w:rPr>
                    <w:t>环境风险防控</w:t>
                  </w:r>
                </w:p>
              </w:tc>
              <w:tc>
                <w:tcPr>
                  <w:tcW w:w="2093" w:type="pct"/>
                  <w:noWrap w:val="0"/>
                  <w:vAlign w:val="center"/>
                </w:tcPr>
                <w:p>
                  <w:pPr>
                    <w:pStyle w:val="96"/>
                    <w:rPr>
                      <w:color w:val="auto"/>
                      <w:szCs w:val="21"/>
                    </w:rPr>
                  </w:pPr>
                  <w:r>
                    <w:rPr>
                      <w:color w:val="auto"/>
                      <w:szCs w:val="21"/>
                    </w:rPr>
                    <w:t>园区建立环境应急体系，完善事故应急救援体系，加强应急物资装备储备，编制突发环境事件应急预案，定期开展演练。</w:t>
                  </w:r>
                </w:p>
              </w:tc>
              <w:tc>
                <w:tcPr>
                  <w:tcW w:w="1725" w:type="pct"/>
                  <w:vMerge w:val="restart"/>
                  <w:noWrap w:val="0"/>
                  <w:vAlign w:val="center"/>
                </w:tcPr>
                <w:p>
                  <w:pPr>
                    <w:pStyle w:val="96"/>
                    <w:rPr>
                      <w:color w:val="auto"/>
                      <w:szCs w:val="21"/>
                    </w:rPr>
                  </w:pPr>
                  <w:r>
                    <w:rPr>
                      <w:color w:val="auto"/>
                      <w:szCs w:val="21"/>
                    </w:rPr>
                    <w:t>本项目所在园区已建立环境应急体系，已加强应急物资装备储备，已编制突发环境事件应急预案并定期开展演练；项目建设单位已委托专业单位编制突发环境事件应急预案并在金坛生态环境局备案；项目建成后将加强环境影响跟踪监测，建立健全各环境要素监控体系，完善并落实园区日常环境监测与污染源监控计划。</w:t>
                  </w:r>
                </w:p>
              </w:tc>
              <w:tc>
                <w:tcPr>
                  <w:tcW w:w="512" w:type="pct"/>
                  <w:vMerge w:val="restart"/>
                  <w:noWrap w:val="0"/>
                  <w:vAlign w:val="center"/>
                </w:tcPr>
                <w:p>
                  <w:pPr>
                    <w:pStyle w:val="96"/>
                    <w:rPr>
                      <w:b/>
                      <w:bCs/>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continue"/>
                  <w:noWrap w:val="0"/>
                  <w:vAlign w:val="center"/>
                </w:tcPr>
                <w:p>
                  <w:pPr>
                    <w:pStyle w:val="96"/>
                    <w:rPr>
                      <w:color w:val="auto"/>
                      <w:szCs w:val="21"/>
                    </w:rPr>
                  </w:pPr>
                </w:p>
              </w:tc>
              <w:tc>
                <w:tcPr>
                  <w:tcW w:w="2093" w:type="pct"/>
                  <w:noWrap w:val="0"/>
                  <w:vAlign w:val="center"/>
                </w:tcPr>
                <w:p>
                  <w:pPr>
                    <w:pStyle w:val="96"/>
                    <w:rPr>
                      <w:color w:val="auto"/>
                      <w:szCs w:val="21"/>
                    </w:rPr>
                  </w:pPr>
                  <w:r>
                    <w:rPr>
                      <w:color w:val="auto"/>
                      <w:szCs w:val="21"/>
                    </w:rPr>
                    <w:t>生产、使用、储存危险化学品或其他存在环境风险的企事业单位，应当制定风险防范措施，编制完善突发环境事件应急预案，防止发生环境污染事故。</w:t>
                  </w:r>
                </w:p>
              </w:tc>
              <w:tc>
                <w:tcPr>
                  <w:tcW w:w="1725" w:type="pct"/>
                  <w:vMerge w:val="continue"/>
                  <w:noWrap w:val="0"/>
                  <w:vAlign w:val="center"/>
                </w:tcPr>
                <w:p>
                  <w:pPr>
                    <w:pStyle w:val="96"/>
                    <w:rPr>
                      <w:b/>
                      <w:bCs/>
                      <w:color w:val="auto"/>
                      <w:szCs w:val="21"/>
                    </w:rPr>
                  </w:pPr>
                </w:p>
              </w:tc>
              <w:tc>
                <w:tcPr>
                  <w:tcW w:w="512" w:type="pct"/>
                  <w:vMerge w:val="continue"/>
                  <w:noWrap w:val="0"/>
                  <w:vAlign w:val="center"/>
                </w:tcPr>
                <w:p>
                  <w:pPr>
                    <w:pStyle w:val="96"/>
                    <w:rPr>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continue"/>
                  <w:noWrap w:val="0"/>
                  <w:vAlign w:val="center"/>
                </w:tcPr>
                <w:p>
                  <w:pPr>
                    <w:pStyle w:val="96"/>
                    <w:rPr>
                      <w:color w:val="auto"/>
                      <w:szCs w:val="21"/>
                    </w:rPr>
                  </w:pPr>
                </w:p>
              </w:tc>
              <w:tc>
                <w:tcPr>
                  <w:tcW w:w="2093" w:type="pct"/>
                  <w:noWrap w:val="0"/>
                  <w:vAlign w:val="center"/>
                </w:tcPr>
                <w:p>
                  <w:pPr>
                    <w:pStyle w:val="96"/>
                    <w:rPr>
                      <w:color w:val="auto"/>
                      <w:szCs w:val="21"/>
                    </w:rPr>
                  </w:pPr>
                  <w:r>
                    <w:rPr>
                      <w:color w:val="auto"/>
                      <w:szCs w:val="21"/>
                    </w:rPr>
                    <w:t>加强环境影响跟踪监测，建立健全各环境要素监控体系，完善并落实园区日常环境监测与污染源监控计划。</w:t>
                  </w:r>
                </w:p>
              </w:tc>
              <w:tc>
                <w:tcPr>
                  <w:tcW w:w="1725" w:type="pct"/>
                  <w:vMerge w:val="continue"/>
                  <w:noWrap w:val="0"/>
                  <w:vAlign w:val="center"/>
                </w:tcPr>
                <w:p>
                  <w:pPr>
                    <w:pStyle w:val="96"/>
                    <w:rPr>
                      <w:b/>
                      <w:bCs/>
                      <w:color w:val="auto"/>
                      <w:szCs w:val="21"/>
                    </w:rPr>
                  </w:pPr>
                </w:p>
              </w:tc>
              <w:tc>
                <w:tcPr>
                  <w:tcW w:w="512" w:type="pct"/>
                  <w:vMerge w:val="continue"/>
                  <w:noWrap w:val="0"/>
                  <w:vAlign w:val="center"/>
                </w:tcPr>
                <w:p>
                  <w:pPr>
                    <w:pStyle w:val="96"/>
                    <w:rPr>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restart"/>
                  <w:noWrap w:val="0"/>
                  <w:vAlign w:val="center"/>
                </w:tcPr>
                <w:p>
                  <w:pPr>
                    <w:pStyle w:val="96"/>
                    <w:rPr>
                      <w:color w:val="auto"/>
                      <w:szCs w:val="21"/>
                    </w:rPr>
                  </w:pPr>
                  <w:r>
                    <w:rPr>
                      <w:color w:val="auto"/>
                      <w:szCs w:val="21"/>
                    </w:rPr>
                    <w:t>资源开发效率要求</w:t>
                  </w:r>
                </w:p>
              </w:tc>
              <w:tc>
                <w:tcPr>
                  <w:tcW w:w="2093" w:type="pct"/>
                  <w:noWrap w:val="0"/>
                  <w:vAlign w:val="center"/>
                </w:tcPr>
                <w:p>
                  <w:pPr>
                    <w:pStyle w:val="96"/>
                    <w:rPr>
                      <w:color w:val="auto"/>
                      <w:szCs w:val="21"/>
                    </w:rPr>
                  </w:pPr>
                  <w:r>
                    <w:rPr>
                      <w:color w:val="auto"/>
                      <w:szCs w:val="21"/>
                    </w:rPr>
                    <w:t>大力倡导使用清洁能源。</w:t>
                  </w:r>
                </w:p>
              </w:tc>
              <w:tc>
                <w:tcPr>
                  <w:tcW w:w="1725" w:type="pct"/>
                  <w:vMerge w:val="restart"/>
                  <w:noWrap w:val="0"/>
                  <w:vAlign w:val="center"/>
                </w:tcPr>
                <w:p>
                  <w:pPr>
                    <w:pStyle w:val="96"/>
                    <w:rPr>
                      <w:color w:val="auto"/>
                      <w:szCs w:val="21"/>
                    </w:rPr>
                  </w:pPr>
                  <w:r>
                    <w:rPr>
                      <w:color w:val="auto"/>
                      <w:szCs w:val="21"/>
                    </w:rPr>
                    <w:t>本项目使用清洁能源电力；项目水资源回用率较高；项目</w:t>
                  </w:r>
                  <w:r>
                    <w:rPr>
                      <w:rFonts w:hint="eastAsia"/>
                      <w:color w:val="auto"/>
                      <w:szCs w:val="21"/>
                      <w:lang w:eastAsia="zh-CN"/>
                    </w:rPr>
                    <w:t>不使用</w:t>
                  </w:r>
                  <w:r>
                    <w:rPr>
                      <w:rFonts w:ascii="Times New Roman" w:hAnsi="Times New Roman" w:eastAsia="宋体" w:cs="Times New Roman"/>
                      <w:color w:val="auto"/>
                      <w:kern w:val="2"/>
                      <w:sz w:val="21"/>
                      <w:szCs w:val="21"/>
                      <w:lang w:val="en-US" w:eastAsia="zh-CN" w:bidi="ar-SA"/>
                    </w:rPr>
                    <w:t>II 类</w:t>
                  </w:r>
                  <w:r>
                    <w:rPr>
                      <w:rFonts w:hint="eastAsia" w:eastAsia="宋体" w:cs="Times New Roman"/>
                      <w:color w:val="auto"/>
                      <w:kern w:val="2"/>
                      <w:sz w:val="21"/>
                      <w:szCs w:val="21"/>
                      <w:lang w:val="en-US" w:eastAsia="zh-CN" w:bidi="ar-SA"/>
                    </w:rPr>
                    <w:t>、</w:t>
                  </w:r>
                  <w:r>
                    <w:rPr>
                      <w:rFonts w:ascii="Times New Roman" w:hAnsi="Times New Roman" w:eastAsia="宋体" w:cs="Times New Roman"/>
                      <w:color w:val="auto"/>
                      <w:kern w:val="2"/>
                      <w:sz w:val="21"/>
                      <w:szCs w:val="21"/>
                      <w:lang w:val="en-US" w:eastAsia="zh-CN" w:bidi="ar-SA"/>
                    </w:rPr>
                    <w:t>III 类燃料</w:t>
                  </w:r>
                  <w:r>
                    <w:rPr>
                      <w:color w:val="auto"/>
                      <w:szCs w:val="21"/>
                    </w:rPr>
                    <w:t>。</w:t>
                  </w:r>
                </w:p>
              </w:tc>
              <w:tc>
                <w:tcPr>
                  <w:tcW w:w="512" w:type="pct"/>
                  <w:vMerge w:val="restart"/>
                  <w:noWrap w:val="0"/>
                  <w:vAlign w:val="center"/>
                </w:tcPr>
                <w:p>
                  <w:pPr>
                    <w:pStyle w:val="96"/>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vMerge w:val="continue"/>
                  <w:noWrap w:val="0"/>
                  <w:vAlign w:val="center"/>
                </w:tcPr>
                <w:p>
                  <w:pPr>
                    <w:pStyle w:val="96"/>
                    <w:rPr>
                      <w:color w:val="auto"/>
                      <w:szCs w:val="21"/>
                    </w:rPr>
                  </w:pPr>
                </w:p>
              </w:tc>
              <w:tc>
                <w:tcPr>
                  <w:tcW w:w="2093" w:type="pct"/>
                  <w:noWrap w:val="0"/>
                  <w:vAlign w:val="center"/>
                </w:tcPr>
                <w:p>
                  <w:pPr>
                    <w:pStyle w:val="96"/>
                    <w:rPr>
                      <w:rFonts w:eastAsia="宋体"/>
                      <w:color w:val="auto"/>
                      <w:szCs w:val="21"/>
                    </w:rPr>
                  </w:pPr>
                  <w:r>
                    <w:rPr>
                      <w:rFonts w:eastAsia="宋体"/>
                      <w:color w:val="auto"/>
                      <w:szCs w:val="21"/>
                    </w:rPr>
                    <w:t>提升废水资源化技术，提高水资源回用率。</w:t>
                  </w:r>
                </w:p>
              </w:tc>
              <w:tc>
                <w:tcPr>
                  <w:tcW w:w="1725" w:type="pct"/>
                  <w:vMerge w:val="continue"/>
                  <w:noWrap w:val="0"/>
                  <w:vAlign w:val="center"/>
                </w:tcPr>
                <w:p>
                  <w:pPr>
                    <w:pStyle w:val="96"/>
                    <w:rPr>
                      <w:color w:val="auto"/>
                      <w:szCs w:val="21"/>
                    </w:rPr>
                  </w:pPr>
                </w:p>
              </w:tc>
              <w:tc>
                <w:tcPr>
                  <w:tcW w:w="512" w:type="pct"/>
                  <w:vMerge w:val="continue"/>
                  <w:noWrap w:val="0"/>
                  <w:vAlign w:val="center"/>
                </w:tcPr>
                <w:p>
                  <w:pPr>
                    <w:pStyle w:val="96"/>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9" w:type="pct"/>
                  <w:vMerge w:val="continue"/>
                  <w:noWrap w:val="0"/>
                  <w:vAlign w:val="center"/>
                </w:tcPr>
                <w:p>
                  <w:pPr>
                    <w:pStyle w:val="96"/>
                    <w:rPr>
                      <w:color w:val="auto"/>
                      <w:szCs w:val="21"/>
                    </w:rPr>
                  </w:pPr>
                </w:p>
              </w:tc>
              <w:tc>
                <w:tcPr>
                  <w:tcW w:w="2093" w:type="pct"/>
                  <w:noWrap w:val="0"/>
                  <w:vAlign w:val="center"/>
                </w:tcPr>
                <w:p>
                  <w:pPr>
                    <w:pStyle w:val="56"/>
                    <w:numPr>
                      <w:ilvl w:val="0"/>
                      <w:numId w:val="0"/>
                    </w:numPr>
                    <w:tabs>
                      <w:tab w:val="left" w:pos="609"/>
                    </w:tabs>
                    <w:spacing w:before="0" w:after="0" w:line="292" w:lineRule="auto"/>
                    <w:ind w:left="107" w:leftChars="0" w:right="0" w:rightChars="0"/>
                    <w:jc w:val="left"/>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禁止销售使用燃料为“II 类”（较严），具体包括：1、除单台出力大于等于20蒸吨/小时锅炉以外燃用的煤炭及其制品。2、石油焦、油页岩、原油、重油、渣油、煤焦油。</w:t>
                  </w:r>
                </w:p>
              </w:tc>
              <w:tc>
                <w:tcPr>
                  <w:tcW w:w="1725" w:type="pct"/>
                  <w:vMerge w:val="continue"/>
                  <w:noWrap w:val="0"/>
                  <w:vAlign w:val="center"/>
                </w:tcPr>
                <w:p>
                  <w:pPr>
                    <w:pStyle w:val="96"/>
                    <w:rPr>
                      <w:color w:val="auto"/>
                      <w:szCs w:val="21"/>
                    </w:rPr>
                  </w:pPr>
                </w:p>
              </w:tc>
              <w:tc>
                <w:tcPr>
                  <w:tcW w:w="512" w:type="pct"/>
                  <w:vMerge w:val="continue"/>
                  <w:noWrap w:val="0"/>
                  <w:vAlign w:val="center"/>
                </w:tcPr>
                <w:p>
                  <w:pPr>
                    <w:pStyle w:val="96"/>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9" w:type="pct"/>
                  <w:vMerge w:val="continue"/>
                  <w:noWrap w:val="0"/>
                  <w:vAlign w:val="center"/>
                </w:tcPr>
                <w:p>
                  <w:pPr>
                    <w:pStyle w:val="96"/>
                  </w:pPr>
                </w:p>
              </w:tc>
              <w:tc>
                <w:tcPr>
                  <w:tcW w:w="2093" w:type="pct"/>
                  <w:noWrap w:val="0"/>
                  <w:vAlign w:val="center"/>
                </w:tcPr>
                <w:p>
                  <w:pPr>
                    <w:pStyle w:val="56"/>
                    <w:spacing w:before="20" w:line="292" w:lineRule="auto"/>
                    <w:ind w:left="107" w:right="98"/>
                    <w:jc w:val="both"/>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禁止销售使用燃料为“III 类”（严格），具体包括：1、煤炭及其制品（包括原煤、散煤、煤矸石、煤泥、煤粉、水煤浆、型煤、焦炭、兰炭等）；2、石油焦、油页岩、原油、重油</w:t>
                  </w:r>
                  <w:r>
                    <w:rPr>
                      <w:rFonts w:hint="eastAsia" w:ascii="Times New Roman" w:hAnsi="Times New Roman" w:eastAsia="宋体" w:cs="Times New Roman"/>
                      <w:color w:val="auto"/>
                      <w:kern w:val="2"/>
                      <w:sz w:val="21"/>
                      <w:szCs w:val="21"/>
                      <w:lang w:val="en-US" w:eastAsia="zh-CN" w:bidi="ar-SA"/>
                    </w:rPr>
                    <w:t>、</w:t>
                  </w:r>
                  <w:r>
                    <w:rPr>
                      <w:rFonts w:ascii="Times New Roman" w:hAnsi="Times New Roman" w:eastAsia="宋体" w:cs="Times New Roman"/>
                      <w:color w:val="auto"/>
                      <w:kern w:val="2"/>
                      <w:sz w:val="21"/>
                      <w:szCs w:val="21"/>
                      <w:lang w:val="en-US" w:eastAsia="zh-CN" w:bidi="ar-SA"/>
                    </w:rPr>
                    <w:t>渣油、煤焦油；3、非专用锅炉或未配置高效除尘设施的专用锅炉燃用的生物质成型燃料；4、国家规定的其它高污染燃料。</w:t>
                  </w:r>
                </w:p>
              </w:tc>
              <w:tc>
                <w:tcPr>
                  <w:tcW w:w="1725" w:type="pct"/>
                  <w:vMerge w:val="continue"/>
                  <w:noWrap w:val="0"/>
                  <w:vAlign w:val="center"/>
                </w:tcPr>
                <w:p>
                  <w:pPr>
                    <w:pStyle w:val="96"/>
                    <w:rPr>
                      <w:spacing w:val="-8"/>
                      <w:sz w:val="20"/>
                    </w:rPr>
                  </w:pPr>
                </w:p>
              </w:tc>
              <w:tc>
                <w:tcPr>
                  <w:tcW w:w="512" w:type="pct"/>
                  <w:vMerge w:val="continue"/>
                  <w:noWrap w:val="0"/>
                  <w:vAlign w:val="center"/>
                </w:tcPr>
                <w:p>
                  <w:pPr>
                    <w:pStyle w:val="96"/>
                    <w:rPr>
                      <w:spacing w:val="-8"/>
                      <w:sz w:val="20"/>
                    </w:rPr>
                  </w:pPr>
                </w:p>
              </w:tc>
            </w:tr>
          </w:tbl>
          <w:p>
            <w:pPr>
              <w:autoSpaceDE w:val="0"/>
              <w:autoSpaceDN w:val="0"/>
              <w:adjustRightInd w:val="0"/>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综上，本项目与《关于印发常州市</w:t>
            </w:r>
            <w:r>
              <w:rPr>
                <w:rFonts w:hint="eastAsia" w:cs="Times New Roman"/>
                <w:bCs/>
                <w:color w:val="auto"/>
                <w:sz w:val="24"/>
                <w:lang w:eastAsia="zh-CN"/>
              </w:rPr>
              <w:t>“</w:t>
            </w:r>
            <w:r>
              <w:rPr>
                <w:rFonts w:hint="default" w:ascii="Times New Roman" w:hAnsi="Times New Roman" w:eastAsia="宋体" w:cs="Times New Roman"/>
                <w:bCs/>
                <w:color w:val="auto"/>
                <w:sz w:val="24"/>
              </w:rPr>
              <w:t>三线一单</w:t>
            </w:r>
            <w:r>
              <w:rPr>
                <w:rFonts w:hint="eastAsia" w:cs="Times New Roman"/>
                <w:bCs/>
                <w:color w:val="auto"/>
                <w:sz w:val="24"/>
                <w:lang w:eastAsia="zh-CN"/>
              </w:rPr>
              <w:t>”</w:t>
            </w:r>
            <w:r>
              <w:rPr>
                <w:rFonts w:hint="default" w:ascii="Times New Roman" w:hAnsi="Times New Roman" w:eastAsia="宋体" w:cs="Times New Roman"/>
                <w:bCs/>
                <w:color w:val="auto"/>
                <w:sz w:val="24"/>
              </w:rPr>
              <w:t>生态环境分区管控实施方案的通知》（常环〔2020〕95号）的要求相符。</w:t>
            </w:r>
          </w:p>
          <w:p>
            <w:pPr>
              <w:autoSpaceDE w:val="0"/>
              <w:autoSpaceDN w:val="0"/>
              <w:adjustRightInd w:val="0"/>
              <w:snapToGrid w:val="0"/>
              <w:spacing w:line="500" w:lineRule="exact"/>
              <w:rPr>
                <w:rFonts w:hint="default" w:ascii="Times New Roman" w:hAnsi="Times New Roman" w:eastAsia="宋体" w:cs="Times New Roman"/>
                <w:b/>
                <w:bCs/>
                <w:color w:val="auto"/>
                <w:sz w:val="24"/>
              </w:rPr>
            </w:pPr>
            <w:r>
              <w:rPr>
                <w:rFonts w:hint="eastAsia" w:cs="Times New Roman"/>
                <w:b/>
                <w:bCs/>
                <w:color w:val="auto"/>
                <w:sz w:val="24"/>
                <w:lang w:val="en-US" w:eastAsia="zh-CN"/>
              </w:rPr>
              <w:t>3</w:t>
            </w:r>
            <w:r>
              <w:rPr>
                <w:rFonts w:hint="default" w:ascii="Times New Roman" w:hAnsi="Times New Roman" w:eastAsia="宋体" w:cs="Times New Roman"/>
                <w:b/>
                <w:bCs/>
                <w:color w:val="auto"/>
                <w:sz w:val="24"/>
              </w:rPr>
              <w:t>、产业政策相符性分析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5</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产业政策相符性分析</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28" w:type="dxa"/>
                <w:left w:w="79" w:type="dxa"/>
                <w:bottom w:w="28" w:type="dxa"/>
                <w:right w:w="79" w:type="dxa"/>
              </w:tblCellMar>
            </w:tblPr>
            <w:tblGrid>
              <w:gridCol w:w="649"/>
              <w:gridCol w:w="6239"/>
              <w:gridCol w:w="11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79" w:type="dxa"/>
                  <w:bottom w:w="28" w:type="dxa"/>
                  <w:right w:w="79" w:type="dxa"/>
                </w:tblCellMar>
              </w:tblPrEx>
              <w:trPr>
                <w:trHeight w:val="340" w:hRule="atLeast"/>
                <w:jc w:val="center"/>
              </w:trPr>
              <w:tc>
                <w:tcPr>
                  <w:tcW w:w="402" w:type="pct"/>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序号</w:t>
                  </w:r>
                </w:p>
              </w:tc>
              <w:tc>
                <w:tcPr>
                  <w:tcW w:w="3866" w:type="pct"/>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对照分析</w:t>
                  </w:r>
                </w:p>
              </w:tc>
              <w:tc>
                <w:tcPr>
                  <w:tcW w:w="730" w:type="pct"/>
                  <w:vAlign w:val="center"/>
                </w:tcPr>
                <w:p>
                  <w:pPr>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是否符合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79" w:type="dxa"/>
                  <w:bottom w:w="28" w:type="dxa"/>
                  <w:right w:w="79" w:type="dxa"/>
                </w:tblCellMar>
              </w:tblPrEx>
              <w:trPr>
                <w:trHeight w:val="340" w:hRule="atLeast"/>
                <w:jc w:val="center"/>
              </w:trPr>
              <w:tc>
                <w:tcPr>
                  <w:tcW w:w="402" w:type="pct"/>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3866" w:type="pct"/>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《产业结构调整指导目录（2021年本）》</w:t>
                  </w:r>
                </w:p>
              </w:tc>
              <w:tc>
                <w:tcPr>
                  <w:tcW w:w="730" w:type="pct"/>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79" w:type="dxa"/>
                  <w:bottom w:w="28" w:type="dxa"/>
                  <w:right w:w="79" w:type="dxa"/>
                </w:tblCellMar>
              </w:tblPrEx>
              <w:trPr>
                <w:trHeight w:val="340" w:hRule="atLeast"/>
                <w:jc w:val="center"/>
              </w:trPr>
              <w:tc>
                <w:tcPr>
                  <w:tcW w:w="402" w:type="pct"/>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3866" w:type="pc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《江苏省产业结构调整限制、淘汰和禁止目录（2018年本）》</w:t>
                  </w:r>
                </w:p>
              </w:tc>
              <w:tc>
                <w:tcPr>
                  <w:tcW w:w="730" w:type="pc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79" w:type="dxa"/>
                  <w:bottom w:w="28" w:type="dxa"/>
                  <w:right w:w="79" w:type="dxa"/>
                </w:tblCellMar>
              </w:tblPrEx>
              <w:trPr>
                <w:trHeight w:val="340" w:hRule="atLeast"/>
                <w:jc w:val="center"/>
              </w:trPr>
              <w:tc>
                <w:tcPr>
                  <w:tcW w:w="402" w:type="pct"/>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3</w:t>
                  </w:r>
                </w:p>
              </w:tc>
              <w:tc>
                <w:tcPr>
                  <w:tcW w:w="3866"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于202</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lang w:eastAsia="zh-CN"/>
                    </w:rPr>
                    <w:t>年</w:t>
                  </w: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lang w:eastAsia="zh-CN"/>
                    </w:rPr>
                    <w:t>月</w:t>
                  </w:r>
                  <w:r>
                    <w:rPr>
                      <w:rFonts w:hint="eastAsia" w:cs="Times New Roman"/>
                      <w:color w:val="auto"/>
                      <w:sz w:val="21"/>
                      <w:szCs w:val="21"/>
                      <w:lang w:val="en-US" w:eastAsia="zh-CN"/>
                    </w:rPr>
                    <w:t>25</w:t>
                  </w:r>
                  <w:r>
                    <w:rPr>
                      <w:rFonts w:hint="default" w:ascii="Times New Roman" w:hAnsi="Times New Roman" w:eastAsia="宋体" w:cs="Times New Roman"/>
                      <w:color w:val="auto"/>
                      <w:sz w:val="21"/>
                      <w:szCs w:val="21"/>
                      <w:lang w:eastAsia="zh-CN"/>
                    </w:rPr>
                    <w:t>日取得了</w:t>
                  </w:r>
                  <w:r>
                    <w:rPr>
                      <w:rFonts w:hint="eastAsia" w:cs="Times New Roman"/>
                      <w:color w:val="auto"/>
                      <w:sz w:val="21"/>
                      <w:szCs w:val="21"/>
                      <w:lang w:eastAsia="zh-CN"/>
                    </w:rPr>
                    <w:t>常州市金坛区工业和信息化局</w:t>
                  </w:r>
                  <w:r>
                    <w:rPr>
                      <w:rFonts w:hint="default" w:ascii="Times New Roman" w:hAnsi="Times New Roman" w:eastAsia="宋体" w:cs="Times New Roman"/>
                      <w:color w:val="auto"/>
                      <w:sz w:val="21"/>
                      <w:szCs w:val="21"/>
                      <w:lang w:eastAsia="zh-CN"/>
                    </w:rPr>
                    <w:t>的项目备案证明，备案证号：</w:t>
                  </w:r>
                  <w:r>
                    <w:rPr>
                      <w:rFonts w:hint="eastAsia" w:cs="Times New Roman"/>
                      <w:color w:val="auto"/>
                      <w:sz w:val="21"/>
                      <w:szCs w:val="21"/>
                      <w:lang w:eastAsia="zh-CN"/>
                    </w:rPr>
                    <w:t>坛工信备〔2023〕20号</w:t>
                  </w:r>
                  <w:r>
                    <w:rPr>
                      <w:rFonts w:hint="default" w:ascii="Times New Roman" w:hAnsi="Times New Roman" w:eastAsia="宋体" w:cs="Times New Roman"/>
                      <w:color w:val="auto"/>
                      <w:sz w:val="21"/>
                      <w:szCs w:val="21"/>
                      <w:lang w:eastAsia="zh-CN"/>
                    </w:rPr>
                    <w:t>，项</w:t>
                  </w:r>
                  <w:r>
                    <w:rPr>
                      <w:rFonts w:hint="default" w:ascii="Times New Roman" w:hAnsi="Times New Roman" w:eastAsia="宋体" w:cs="Times New Roman"/>
                      <w:color w:val="auto"/>
                      <w:sz w:val="21"/>
                      <w:szCs w:val="21"/>
                    </w:rPr>
                    <w:t>目代码：</w:t>
                  </w:r>
                  <w:r>
                    <w:rPr>
                      <w:rFonts w:hint="eastAsia" w:cs="Times New Roman"/>
                      <w:color w:val="auto"/>
                      <w:sz w:val="21"/>
                      <w:szCs w:val="21"/>
                      <w:lang w:eastAsia="zh-CN"/>
                    </w:rPr>
                    <w:t>2309-320413-07-02-348027</w:t>
                  </w:r>
                </w:p>
              </w:tc>
              <w:tc>
                <w:tcPr>
                  <w:tcW w:w="730"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是</w:t>
                  </w:r>
                </w:p>
              </w:tc>
            </w:tr>
          </w:tbl>
          <w:p>
            <w:pPr>
              <w:autoSpaceDE w:val="0"/>
              <w:autoSpaceDN w:val="0"/>
              <w:adjustRightInd w:val="0"/>
              <w:snapToGrid w:val="0"/>
              <w:spacing w:line="500" w:lineRule="exact"/>
              <w:rPr>
                <w:rFonts w:hint="default" w:ascii="Times New Roman" w:hAnsi="Times New Roman" w:eastAsia="宋体" w:cs="Times New Roman"/>
                <w:b/>
                <w:bCs/>
                <w:color w:val="auto"/>
                <w:sz w:val="24"/>
              </w:rPr>
            </w:pPr>
            <w:r>
              <w:rPr>
                <w:rFonts w:hint="eastAsia" w:cs="Times New Roman"/>
                <w:b/>
                <w:bCs/>
                <w:color w:val="auto"/>
                <w:sz w:val="24"/>
                <w:lang w:val="en-US" w:eastAsia="zh-CN"/>
              </w:rPr>
              <w:t>4</w:t>
            </w:r>
            <w:r>
              <w:rPr>
                <w:rFonts w:hint="default" w:ascii="Times New Roman" w:hAnsi="Times New Roman" w:eastAsia="宋体" w:cs="Times New Roman"/>
                <w:b/>
                <w:bCs/>
                <w:color w:val="auto"/>
                <w:sz w:val="24"/>
              </w:rPr>
              <w:t>、与太湖流域环境政策相符性分析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both"/>
              <w:textAlignment w:val="auto"/>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（1）对照《江苏省太湖流域三级保护区范围》（苏政办发〔2012〕221号），本项目位于太湖流域三级保护区内。</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（2）与《太湖流域管理条例》（国务院令第604号）相符性分析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6</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与国务院令第604号的相符性分析</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6200"/>
              <w:gridCol w:w="11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pPr>
                    <w:adjustRightInd w:val="0"/>
                    <w:snapToGrid w:val="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Cs w:val="21"/>
                    </w:rPr>
                    <w:t>条款</w:t>
                  </w:r>
                </w:p>
              </w:tc>
              <w:tc>
                <w:tcPr>
                  <w:tcW w:w="3842" w:type="pct"/>
                  <w:vAlign w:val="center"/>
                </w:tcPr>
                <w:p>
                  <w:pPr>
                    <w:adjustRightInd w:val="0"/>
                    <w:snapToGrid w:val="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Cs w:val="21"/>
                    </w:rPr>
                    <w:t>内容</w:t>
                  </w:r>
                </w:p>
              </w:tc>
              <w:tc>
                <w:tcPr>
                  <w:tcW w:w="713"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4" w:type="pct"/>
                  <w:tcBorders>
                    <w:bottom w:val="single" w:color="auto" w:sz="2" w:space="0"/>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第二十八条</w:t>
                  </w:r>
                </w:p>
              </w:tc>
              <w:tc>
                <w:tcPr>
                  <w:tcW w:w="3842" w:type="pct"/>
                  <w:tcBorders>
                    <w:bottom w:val="single" w:color="auto" w:sz="2" w:space="0"/>
                  </w:tcBorders>
                  <w:vAlign w:val="center"/>
                </w:tcPr>
                <w:p>
                  <w:pPr>
                    <w:adjustRightInd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排污单位排放水污染物，不得超过经核定的水污染物排放总量，并应当按照规定设置便于检查、采样的规范化排污口，悬挂标志牌；不得私设暗管或者采取其他规避监管的方式排放水污染物。</w:t>
                  </w:r>
                </w:p>
                <w:p>
                  <w:pPr>
                    <w:adjustRightInd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禁止在太湖流域设置不符合国家产业政策和水环境综合治理要求的造纸、制革、酒精、淀粉、冶金、酿造、印染、电镀等排放水污染物的生产项目，现有的生产项目不能实现达标排放的，应当依法关闭。</w:t>
                  </w:r>
                </w:p>
                <w:p>
                  <w:pPr>
                    <w:ind w:firstLine="420" w:firstLineChars="20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Cs w:val="21"/>
                    </w:rPr>
                    <w:t>在太湖流域新设企业应当符合国家规定的清洁生产要求，现有的企业尚未达到清洁生产要求的，应当按照清洁生产规划要求进行技术改造，两省一市人民政府应当加强监督检查。</w:t>
                  </w:r>
                </w:p>
              </w:tc>
              <w:tc>
                <w:tcPr>
                  <w:tcW w:w="713" w:type="pct"/>
                  <w:tcBorders>
                    <w:bottom w:val="single" w:color="auto" w:sz="2" w:space="0"/>
                  </w:tcBorders>
                  <w:vAlign w:val="center"/>
                </w:tcPr>
                <w:p>
                  <w:pPr>
                    <w:ind w:firstLine="420" w:firstLineChars="200"/>
                    <w:jc w:val="both"/>
                    <w:rPr>
                      <w:rFonts w:hint="default" w:ascii="Times New Roman" w:hAnsi="Times New Roman" w:eastAsia="宋体" w:cs="Times New Roman"/>
                      <w:color w:val="auto"/>
                    </w:rPr>
                  </w:pPr>
                  <w:r>
                    <w:rPr>
                      <w:rFonts w:hint="default" w:ascii="Times New Roman" w:hAnsi="Times New Roman" w:eastAsia="宋体" w:cs="Times New Roman"/>
                      <w:color w:val="auto"/>
                    </w:rPr>
                    <w:t>本项目属于</w:t>
                  </w:r>
                  <w:r>
                    <w:rPr>
                      <w:rFonts w:hint="eastAsia" w:cs="Times New Roman"/>
                      <w:color w:val="auto"/>
                      <w:lang w:val="en-US" w:eastAsia="zh-CN"/>
                    </w:rPr>
                    <w:t>C3670汽车零部件及配件制造</w:t>
                  </w:r>
                  <w:r>
                    <w:rPr>
                      <w:rFonts w:hint="default" w:ascii="Times New Roman" w:hAnsi="Times New Roman" w:eastAsia="宋体" w:cs="Times New Roman"/>
                      <w:color w:val="auto"/>
                    </w:rPr>
                    <w:t>，不属于禁止类项目。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444" w:type="pct"/>
                  <w:tcBorders>
                    <w:top w:val="single" w:color="auto" w:sz="2" w:space="0"/>
                    <w:bottom w:val="single" w:color="auto" w:sz="2" w:space="0"/>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第二十九条</w:t>
                  </w:r>
                </w:p>
              </w:tc>
              <w:tc>
                <w:tcPr>
                  <w:tcW w:w="3842" w:type="pct"/>
                  <w:tcBorders>
                    <w:top w:val="single" w:color="auto" w:sz="2" w:space="0"/>
                    <w:bottom w:val="single" w:color="auto" w:sz="2" w:space="0"/>
                  </w:tcBorders>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新孟河、望虞河以外的其他主要入太湖河道，自河口1万米上溯至5万米河道岸线内及其岸线两侧各1000米范围内，禁止下列行为：</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（一）新建、扩建化工、医药生产项目；</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（二）新建、扩建污水集中处理设施排污口以外的排污口；</w:t>
                  </w:r>
                </w:p>
                <w:p>
                  <w:pPr>
                    <w:ind w:firstLine="420" w:firstLineChars="20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（三）扩大水产养殖规模。</w:t>
                  </w:r>
                </w:p>
              </w:tc>
              <w:tc>
                <w:tcPr>
                  <w:tcW w:w="713" w:type="pct"/>
                  <w:tcBorders>
                    <w:top w:val="single" w:color="auto" w:sz="2" w:space="0"/>
                    <w:bottom w:val="single" w:color="auto" w:sz="2" w:space="0"/>
                  </w:tcBorders>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本项目周边不涉及入太湖河道。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44" w:type="pct"/>
                  <w:tcBorders>
                    <w:top w:val="single" w:color="auto" w:sz="2" w:space="0"/>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第三十条</w:t>
                  </w:r>
                </w:p>
              </w:tc>
              <w:tc>
                <w:tcPr>
                  <w:tcW w:w="3842" w:type="pct"/>
                  <w:tcBorders>
                    <w:top w:val="single" w:color="auto" w:sz="2" w:space="0"/>
                  </w:tcBorders>
                  <w:vAlign w:val="center"/>
                </w:tcPr>
                <w:p>
                  <w:pPr>
                    <w:ind w:firstLine="420" w:firstLineChars="20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已经设置前款第一项、第二项规定设施的，当地县级人民政府应当责令拆除或者关闭的项目。</w:t>
                  </w:r>
                </w:p>
              </w:tc>
              <w:tc>
                <w:tcPr>
                  <w:tcW w:w="713" w:type="pct"/>
                  <w:tcBorders>
                    <w:top w:val="single" w:color="auto" w:sz="2" w:space="0"/>
                  </w:tcBorders>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本项目不属于上述区域内。</w:t>
                  </w:r>
                </w:p>
              </w:tc>
            </w:tr>
          </w:tbl>
          <w:p>
            <w:pPr>
              <w:autoSpaceDE w:val="0"/>
              <w:autoSpaceDN w:val="0"/>
              <w:adjustRightInd w:val="0"/>
              <w:snapToGrid w:val="0"/>
              <w:spacing w:line="500" w:lineRule="exact"/>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综上，本项目与《太湖流域管理条例》（国务院令第604号）的要求相符。</w:t>
            </w:r>
          </w:p>
          <w:p>
            <w:pPr>
              <w:autoSpaceDE w:val="0"/>
              <w:autoSpaceDN w:val="0"/>
              <w:adjustRightInd w:val="0"/>
              <w:snapToGrid w:val="0"/>
              <w:spacing w:line="500" w:lineRule="exact"/>
              <w:ind w:firstLine="482" w:firstLineChars="200"/>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（3）与《江苏省太湖水污染防治条例》（2021年修订）相符性分析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7</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《江苏省太湖水污染防治条例》分析对照表</w:t>
            </w:r>
          </w:p>
          <w:tbl>
            <w:tblPr>
              <w:tblStyle w:val="27"/>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5976"/>
              <w:gridCol w:w="13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3" w:type="pct"/>
                  <w:noWrap w:val="0"/>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条款</w:t>
                  </w:r>
                </w:p>
              </w:tc>
              <w:tc>
                <w:tcPr>
                  <w:tcW w:w="3703" w:type="pct"/>
                  <w:noWrap w:val="0"/>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内容</w:t>
                  </w:r>
                </w:p>
              </w:tc>
              <w:tc>
                <w:tcPr>
                  <w:tcW w:w="843" w:type="pct"/>
                  <w:noWrap w:val="0"/>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53" w:type="pct"/>
                  <w:noWrap w:val="0"/>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第四十三条</w:t>
                  </w:r>
                </w:p>
              </w:tc>
              <w:tc>
                <w:tcPr>
                  <w:tcW w:w="3703" w:type="pct"/>
                  <w:noWrap w:val="0"/>
                  <w:vAlign w:val="center"/>
                </w:tcPr>
                <w:p>
                  <w:pPr>
                    <w:spacing w:line="24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太湖流域一、二、三级保护区禁止下列行为：</w:t>
                  </w:r>
                </w:p>
                <w:p>
                  <w:pPr>
                    <w:spacing w:line="240" w:lineRule="auto"/>
                    <w:ind w:firstLine="420" w:firstLineChars="200"/>
                    <w:rPr>
                      <w:rFonts w:hint="default" w:ascii="Times New Roman" w:hAnsi="Times New Roman" w:eastAsia="宋体" w:cs="Times New Roman"/>
                      <w:i w:val="0"/>
                      <w:iCs w:val="0"/>
                      <w:caps w:val="0"/>
                      <w:color w:val="auto"/>
                      <w:spacing w:val="0"/>
                      <w:kern w:val="0"/>
                      <w:sz w:val="21"/>
                      <w:szCs w:val="21"/>
                      <w:lang w:val="en-US" w:eastAsia="zh-CN" w:bidi="ar"/>
                    </w:rPr>
                  </w:pPr>
                  <w:r>
                    <w:rPr>
                      <w:rFonts w:hint="default" w:ascii="Times New Roman" w:hAnsi="Times New Roman" w:eastAsia="宋体" w:cs="Times New Roman"/>
                      <w:color w:val="auto"/>
                      <w:sz w:val="21"/>
                      <w:szCs w:val="21"/>
                    </w:rPr>
                    <w:t>（一）</w:t>
                  </w:r>
                  <w:r>
                    <w:rPr>
                      <w:rFonts w:hint="default" w:ascii="Times New Roman" w:hAnsi="Times New Roman" w:eastAsia="宋体" w:cs="Times New Roman"/>
                      <w:i w:val="0"/>
                      <w:iCs w:val="0"/>
                      <w:caps w:val="0"/>
                      <w:color w:val="auto"/>
                      <w:spacing w:val="0"/>
                      <w:kern w:val="0"/>
                      <w:sz w:val="21"/>
                      <w:szCs w:val="21"/>
                      <w:lang w:val="en-US" w:eastAsia="zh-CN" w:bidi="ar"/>
                    </w:rPr>
                    <w:t>新建、改建、扩建化学制浆造纸、制革、酿造、染料、印染、电镀以及其他排放含磷、氮等污染物的企业和项目，城镇污水集中处理等环境基础设施项目和第四十六条规定的情形除外；</w:t>
                  </w:r>
                </w:p>
                <w:p>
                  <w:pPr>
                    <w:spacing w:line="240" w:lineRule="auto"/>
                    <w:ind w:firstLine="420" w:firstLineChars="200"/>
                    <w:rPr>
                      <w:rFonts w:hint="default" w:ascii="Times New Roman" w:hAnsi="Times New Roman" w:eastAsia="宋体" w:cs="Times New Roman"/>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（二）销售、使用含磷洗涤用品；</w:t>
                  </w:r>
                </w:p>
                <w:p>
                  <w:pPr>
                    <w:spacing w:line="240" w:lineRule="auto"/>
                    <w:ind w:firstLine="420" w:firstLineChars="200"/>
                    <w:rPr>
                      <w:rFonts w:hint="default" w:ascii="Times New Roman" w:hAnsi="Times New Roman" w:eastAsia="宋体" w:cs="Times New Roman"/>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（三）向水体排放或者倾倒油类、酸液、碱液、剧毒废渣废液、含放射性废渣废液、含病原体污水、工业废渣以及其他废弃物；</w:t>
                  </w:r>
                </w:p>
                <w:p>
                  <w:pPr>
                    <w:spacing w:line="24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kern w:val="0"/>
                      <w:sz w:val="21"/>
                      <w:szCs w:val="21"/>
                      <w:lang w:val="en-US" w:eastAsia="zh-CN" w:bidi="ar"/>
                    </w:rPr>
                    <w:t>（四）在水体清洗装贮过油类或者有毒有害污染物的车辆、船舶和容器等</w:t>
                  </w:r>
                  <w:r>
                    <w:rPr>
                      <w:rFonts w:hint="default" w:ascii="Times New Roman" w:hAnsi="Times New Roman" w:eastAsia="宋体" w:cs="Times New Roman"/>
                      <w:color w:val="auto"/>
                      <w:sz w:val="21"/>
                      <w:szCs w:val="21"/>
                    </w:rPr>
                    <w:t>；</w:t>
                  </w:r>
                </w:p>
                <w:p>
                  <w:pPr>
                    <w:spacing w:line="24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（五）使用农药等有毒物毒杀水生生物；</w:t>
                  </w:r>
                </w:p>
                <w:p>
                  <w:pPr>
                    <w:spacing w:line="24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（六）向水体直接排放人畜粪便、倾倒垃圾；</w:t>
                  </w:r>
                </w:p>
                <w:p>
                  <w:pPr>
                    <w:spacing w:line="24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（七）围湖造地；</w:t>
                  </w:r>
                </w:p>
                <w:p>
                  <w:pPr>
                    <w:spacing w:line="24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（八）违法开山采石，或者进行破坏林木、植被、水生生物的活动；</w:t>
                  </w:r>
                </w:p>
                <w:p>
                  <w:pPr>
                    <w:adjustRightInd w:val="0"/>
                    <w:snapToGrid w:val="0"/>
                    <w:spacing w:line="240" w:lineRule="auto"/>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（九）法律、法规禁止的其他行为。</w:t>
                  </w:r>
                </w:p>
              </w:tc>
              <w:tc>
                <w:tcPr>
                  <w:tcW w:w="843" w:type="pct"/>
                  <w:noWrap w:val="0"/>
                  <w:vAlign w:val="center"/>
                </w:tcPr>
                <w:p>
                  <w:pPr>
                    <w:adjustRightInd w:val="0"/>
                    <w:snapToGrid w:val="0"/>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rPr>
                    <w:t>属于</w:t>
                  </w:r>
                  <w:r>
                    <w:rPr>
                      <w:rFonts w:hint="eastAsia" w:cs="Times New Roman"/>
                      <w:color w:val="auto"/>
                      <w:szCs w:val="21"/>
                      <w:lang w:eastAsia="zh-CN"/>
                    </w:rPr>
                    <w:t>C3670汽车零部件及配件制造</w:t>
                  </w:r>
                  <w:r>
                    <w:rPr>
                      <w:rFonts w:hint="default" w:ascii="Times New Roman" w:hAnsi="Times New Roman" w:eastAsia="宋体" w:cs="Times New Roman"/>
                      <w:color w:val="auto"/>
                    </w:rPr>
                    <w:t>，</w:t>
                  </w:r>
                  <w:r>
                    <w:rPr>
                      <w:rFonts w:hint="default" w:ascii="Times New Roman" w:hAnsi="Times New Roman" w:eastAsia="宋体" w:cs="Times New Roman"/>
                      <w:color w:val="auto"/>
                      <w:sz w:val="21"/>
                      <w:szCs w:val="21"/>
                    </w:rPr>
                    <w:t>位于太湖流域三级保护区内，生产过程中无含磷、氮生产废水排放</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不属于禁止类。</w:t>
                  </w: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jc w:val="left"/>
              <w:textAlignment w:val="auto"/>
              <w:rPr>
                <w:rFonts w:hint="default" w:ascii="Times New Roman" w:hAnsi="Times New Roman" w:eastAsia="宋体" w:cs="Times New Roman"/>
                <w:b/>
                <w:bCs/>
                <w:color w:val="auto"/>
                <w:sz w:val="24"/>
              </w:rPr>
            </w:pPr>
            <w:r>
              <w:rPr>
                <w:rFonts w:hint="eastAsia" w:cs="Times New Roman"/>
                <w:b/>
                <w:color w:val="auto"/>
                <w:sz w:val="24"/>
                <w:lang w:val="en-US" w:eastAsia="zh-CN"/>
              </w:rPr>
              <w:t>5</w:t>
            </w:r>
            <w:r>
              <w:rPr>
                <w:rFonts w:hint="default" w:ascii="Times New Roman" w:hAnsi="Times New Roman" w:eastAsia="宋体" w:cs="Times New Roman"/>
                <w:b/>
                <w:color w:val="auto"/>
                <w:sz w:val="24"/>
              </w:rPr>
              <w:t>、</w:t>
            </w:r>
            <w:r>
              <w:rPr>
                <w:rFonts w:hint="default" w:ascii="Times New Roman" w:hAnsi="Times New Roman" w:eastAsia="宋体" w:cs="Times New Roman"/>
                <w:b/>
                <w:bCs/>
                <w:color w:val="auto"/>
                <w:sz w:val="24"/>
              </w:rPr>
              <w:t>与其他环境保护管理要求的相符性分析</w:t>
            </w:r>
          </w:p>
          <w:p>
            <w:pPr>
              <w:keepNext w:val="0"/>
              <w:keepLines w:val="0"/>
              <w:pageBreakBefore w:val="0"/>
              <w:widowControl/>
              <w:kinsoku/>
              <w:wordWrap/>
              <w:overflowPunct/>
              <w:topLinePunct w:val="0"/>
              <w:autoSpaceDE/>
              <w:autoSpaceDN/>
              <w:bidi w:val="0"/>
              <w:adjustRightInd w:val="0"/>
              <w:snapToGrid/>
              <w:spacing w:line="500" w:lineRule="exact"/>
              <w:ind w:firstLine="482" w:firstLineChars="200"/>
              <w:textAlignment w:val="auto"/>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（1）与《江苏省大气污染防治条例》（2018年修正）相符性分析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8</w:t>
            </w:r>
            <w:r>
              <w:rPr>
                <w:rFonts w:hint="default" w:ascii="Times New Roman" w:hAnsi="Times New Roman" w:eastAsia="宋体" w:cs="Times New Roman"/>
                <w:b/>
                <w:bCs/>
                <w:color w:val="auto"/>
                <w:sz w:val="21"/>
                <w:szCs w:val="21"/>
              </w:rPr>
              <w:t xml:space="preserve"> 与《江苏省大气污染防治条例》（2018年修正）相符性分析</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31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3" w:type="pct"/>
                  <w:vAlign w:val="center"/>
                </w:tcPr>
                <w:p>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tc>
              <w:tc>
                <w:tcPr>
                  <w:tcW w:w="1946" w:type="pct"/>
                  <w:vAlign w:val="center"/>
                </w:tcPr>
                <w:p>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3" w:type="pct"/>
                  <w:vAlign w:val="center"/>
                </w:tcPr>
                <w:p>
                  <w:pPr>
                    <w:autoSpaceDE w:val="0"/>
                    <w:autoSpaceDN w:val="0"/>
                    <w:snapToGrid w:val="0"/>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第三十九条  产生挥发性有机物废气的生产经营活动，应当在密闭空间或者设备中进行，并设置废气收集和处理系统等污染防治设施，保持其正常使用；造船等无法在密闭空间进行的生产经营活动，应当采取有效措施，减少挥发性有机物排放量。</w:t>
                  </w:r>
                </w:p>
              </w:tc>
              <w:tc>
                <w:tcPr>
                  <w:tcW w:w="1946" w:type="pct"/>
                  <w:vAlign w:val="center"/>
                </w:tcPr>
                <w:p>
                  <w:pPr>
                    <w:autoSpaceDE w:val="0"/>
                    <w:autoSpaceDN w:val="0"/>
                    <w:snapToGrid w:val="0"/>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highlight w:val="none"/>
                    </w:rPr>
                    <w:t>本项目</w:t>
                  </w:r>
                  <w:r>
                    <w:rPr>
                      <w:rFonts w:hint="eastAsia" w:cs="Times New Roman"/>
                      <w:color w:val="auto"/>
                      <w:kern w:val="0"/>
                      <w:szCs w:val="21"/>
                      <w:highlight w:val="none"/>
                      <w:lang w:eastAsia="zh-CN"/>
                    </w:rPr>
                    <w:t>有机废气收集后进入</w:t>
                  </w:r>
                  <w:r>
                    <w:rPr>
                      <w:rFonts w:hint="default" w:ascii="Times New Roman" w:hAnsi="Times New Roman" w:eastAsia="宋体" w:cs="Times New Roman"/>
                      <w:color w:val="auto"/>
                      <w:kern w:val="0"/>
                      <w:szCs w:val="21"/>
                      <w:highlight w:val="none"/>
                      <w:lang w:val="en-US" w:eastAsia="zh-CN"/>
                    </w:rPr>
                    <w:t>二级活性炭吸附</w:t>
                  </w:r>
                  <w:r>
                    <w:rPr>
                      <w:rFonts w:hint="eastAsia" w:cs="Times New Roman"/>
                      <w:color w:val="auto"/>
                      <w:kern w:val="0"/>
                      <w:szCs w:val="21"/>
                      <w:highlight w:val="none"/>
                      <w:lang w:val="en-US" w:eastAsia="zh-CN"/>
                    </w:rPr>
                    <w:t>装置处理，尾气通过15m高排气筒排放</w:t>
                  </w:r>
                  <w:r>
                    <w:rPr>
                      <w:rFonts w:hint="default" w:ascii="Times New Roman" w:hAnsi="Times New Roman" w:eastAsia="宋体" w:cs="Times New Roman"/>
                      <w:color w:val="auto"/>
                      <w:kern w:val="0"/>
                      <w:szCs w:val="21"/>
                      <w:highlight w:val="none"/>
                    </w:rPr>
                    <w:t>，可有效减少挥发性</w:t>
                  </w:r>
                  <w:r>
                    <w:rPr>
                      <w:rFonts w:hint="default" w:ascii="Times New Roman" w:hAnsi="Times New Roman" w:eastAsia="宋体" w:cs="Times New Roman"/>
                      <w:color w:val="auto"/>
                      <w:szCs w:val="21"/>
                      <w:highlight w:val="none"/>
                    </w:rPr>
                    <w:t>有机物</w:t>
                  </w:r>
                  <w:r>
                    <w:rPr>
                      <w:rFonts w:hint="default" w:ascii="Times New Roman" w:hAnsi="Times New Roman" w:eastAsia="宋体" w:cs="Times New Roman"/>
                      <w:color w:val="auto"/>
                      <w:kern w:val="0"/>
                      <w:szCs w:val="21"/>
                      <w:highlight w:val="none"/>
                    </w:rPr>
                    <w:t>排放量。</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综上，本项目建设与《江苏省大气污染防治条例》（2018年修正）相符。</w:t>
            </w:r>
          </w:p>
          <w:p>
            <w:pPr>
              <w:keepNext w:val="0"/>
              <w:keepLines w:val="0"/>
              <w:pageBreakBefore w:val="0"/>
              <w:widowControl/>
              <w:kinsoku/>
              <w:wordWrap/>
              <w:overflowPunct/>
              <w:topLinePunct w:val="0"/>
              <w:autoSpaceDE/>
              <w:autoSpaceDN/>
              <w:bidi w:val="0"/>
              <w:adjustRightInd w:val="0"/>
              <w:snapToGrid/>
              <w:spacing w:line="500" w:lineRule="exact"/>
              <w:ind w:firstLine="482" w:firstLineChars="200"/>
              <w:textAlignment w:val="auto"/>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w:t>
            </w:r>
            <w:r>
              <w:rPr>
                <w:rFonts w:hint="default" w:ascii="Times New Roman" w:hAnsi="Times New Roman" w:eastAsia="宋体" w:cs="Times New Roman"/>
                <w:b/>
                <w:bCs w:val="0"/>
                <w:color w:val="auto"/>
                <w:sz w:val="24"/>
                <w:lang w:val="en-US" w:eastAsia="zh-CN"/>
              </w:rPr>
              <w:t>2</w:t>
            </w:r>
            <w:r>
              <w:rPr>
                <w:rFonts w:hint="default" w:ascii="Times New Roman" w:hAnsi="Times New Roman" w:eastAsia="宋体" w:cs="Times New Roman"/>
                <w:b/>
                <w:bCs w:val="0"/>
                <w:color w:val="auto"/>
                <w:sz w:val="24"/>
              </w:rPr>
              <w:t>）与《江苏省挥发性有机物污染物防治管理办法》（省政府令第119号）相符性分析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-9</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与省政府令第119号的相符性分析</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62"/>
              <w:gridCol w:w="26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5"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要求</w:t>
                  </w:r>
                </w:p>
              </w:tc>
              <w:tc>
                <w:tcPr>
                  <w:tcW w:w="1614"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3385" w:type="pct"/>
                  <w:tcBorders>
                    <w:bottom w:val="single" w:color="auto" w:sz="2" w:space="0"/>
                  </w:tcBorders>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根据《江苏省挥发性有机物污染物防治管理办法》：</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第十三条：新建、改建、扩建排放挥发性有机物的建设项目，应当依法进行环境影响评价。新增挥发性有机物排放总量指标的不足部分，可以依照有关规定通过排污权交易取得。</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建设项目的环境影响评价文件未经审查或者审查后未予批准的，建设单位不得开工建设。</w:t>
                  </w:r>
                </w:p>
              </w:tc>
              <w:tc>
                <w:tcPr>
                  <w:tcW w:w="1614" w:type="pct"/>
                  <w:tcBorders>
                    <w:bottom w:val="single" w:color="auto" w:sz="2" w:space="0"/>
                  </w:tcBorders>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本项目建设性质为</w:t>
                  </w:r>
                  <w:r>
                    <w:rPr>
                      <w:rFonts w:hint="default" w:ascii="Times New Roman" w:hAnsi="Times New Roman" w:eastAsia="宋体" w:cs="Times New Roman"/>
                      <w:color w:val="auto"/>
                      <w:lang w:val="en-US" w:eastAsia="zh-CN"/>
                    </w:rPr>
                    <w:t>扩建</w:t>
                  </w:r>
                  <w:r>
                    <w:rPr>
                      <w:rFonts w:hint="default" w:ascii="Times New Roman" w:hAnsi="Times New Roman" w:eastAsia="宋体" w:cs="Times New Roman"/>
                      <w:color w:val="auto"/>
                    </w:rPr>
                    <w:t>，正在进行环境影响评价</w:t>
                  </w:r>
                  <w:r>
                    <w:rPr>
                      <w:rFonts w:hint="eastAsia" w:cs="Times New Roman"/>
                      <w:color w:val="auto"/>
                      <w:lang w:eastAsia="zh-CN"/>
                    </w:rPr>
                    <w:t>工作</w:t>
                  </w:r>
                  <w:r>
                    <w:rPr>
                      <w:rFonts w:hint="default" w:ascii="Times New Roman" w:hAnsi="Times New Roman" w:eastAsia="宋体" w:cs="Times New Roman"/>
                      <w:color w:val="auto"/>
                    </w:rPr>
                    <w:t>，在环评审批前将严格落实主要污染物排放总量指标控制制度，取得主要污染物排放总量的控制指标和平衡方案，故符合文件要求。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3385" w:type="pct"/>
                  <w:tcBorders>
                    <w:top w:val="single" w:color="auto" w:sz="2" w:space="0"/>
                  </w:tcBorders>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第二十一条：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无法在密闭空间进行的生产经营活动应当采取有效措施，减少挥发性有机物排放量。</w:t>
                  </w:r>
                </w:p>
              </w:tc>
              <w:tc>
                <w:tcPr>
                  <w:tcW w:w="1614" w:type="pct"/>
                  <w:tcBorders>
                    <w:top w:val="single" w:color="auto" w:sz="2" w:space="0"/>
                  </w:tcBorders>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本项目生产过程中产生的有机废气经收集装置收集进入</w:t>
                  </w:r>
                  <w:r>
                    <w:rPr>
                      <w:rFonts w:hint="default" w:ascii="Times New Roman" w:hAnsi="Times New Roman" w:eastAsia="宋体" w:cs="Times New Roman"/>
                      <w:color w:val="auto"/>
                      <w:highlight w:val="none"/>
                    </w:rPr>
                    <w:t>“二级活性炭吸附装置处理”</w:t>
                  </w:r>
                  <w:r>
                    <w:rPr>
                      <w:rFonts w:hint="default" w:ascii="Times New Roman" w:hAnsi="Times New Roman" w:eastAsia="宋体" w:cs="Times New Roman"/>
                      <w:color w:val="auto"/>
                    </w:rPr>
                    <w:t>，最后通过15m高排气筒排放，符合相关要求。</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color w:val="auto"/>
                <w:sz w:val="24"/>
              </w:rPr>
              <w:t>综上，本项目与</w:t>
            </w:r>
            <w:r>
              <w:rPr>
                <w:rFonts w:hint="default" w:ascii="Times New Roman" w:hAnsi="Times New Roman" w:eastAsia="宋体" w:cs="Times New Roman"/>
                <w:bCs/>
                <w:color w:val="auto"/>
                <w:sz w:val="24"/>
              </w:rPr>
              <w:t>《江苏省挥发性有机物污染物防治管理办法》（省政府令第119号）</w:t>
            </w:r>
            <w:r>
              <w:rPr>
                <w:rFonts w:hint="default" w:ascii="Times New Roman" w:hAnsi="Times New Roman" w:eastAsia="宋体" w:cs="Times New Roman"/>
                <w:color w:val="auto"/>
                <w:sz w:val="24"/>
              </w:rPr>
              <w:t>的要求相符。</w:t>
            </w:r>
          </w:p>
          <w:p>
            <w:pPr>
              <w:keepNext w:val="0"/>
              <w:keepLines w:val="0"/>
              <w:pageBreakBefore w:val="0"/>
              <w:widowControl/>
              <w:kinsoku/>
              <w:wordWrap/>
              <w:overflowPunct/>
              <w:topLinePunct w:val="0"/>
              <w:autoSpaceDE/>
              <w:autoSpaceDN/>
              <w:bidi w:val="0"/>
              <w:adjustRightInd w:val="0"/>
              <w:snapToGrid/>
              <w:spacing w:line="500" w:lineRule="exact"/>
              <w:ind w:firstLine="482"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val="en-US" w:eastAsia="zh-CN"/>
              </w:rPr>
              <w:t>3</w:t>
            </w:r>
            <w:r>
              <w:rPr>
                <w:rFonts w:hint="default" w:ascii="Times New Roman" w:hAnsi="Times New Roman" w:eastAsia="宋体" w:cs="Times New Roman"/>
                <w:b/>
                <w:bCs/>
                <w:color w:val="auto"/>
                <w:sz w:val="24"/>
              </w:rPr>
              <w:t>）与《江苏省重点行业挥发性有机物污染控制指南》（苏环办〔2014〕128号）的相符性分析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ascii="Times New Roman" w:hAnsi="Times New Roman" w:eastAsia="宋体" w:cs="Times New Roman"/>
                <w:b/>
                <w:bCs/>
                <w:color w:val="auto"/>
                <w:sz w:val="21"/>
                <w:szCs w:val="21"/>
                <w:lang w:val="en-US" w:eastAsia="zh-CN"/>
              </w:rPr>
              <w:t>1</w:t>
            </w:r>
            <w:r>
              <w:rPr>
                <w:rFonts w:hint="eastAsia" w:cs="Times New Roman"/>
                <w:b/>
                <w:bCs/>
                <w:color w:val="auto"/>
                <w:sz w:val="21"/>
                <w:szCs w:val="21"/>
                <w:lang w:val="en-US" w:eastAsia="zh-CN"/>
              </w:rPr>
              <w:t>0</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与苏环办[2014]128号的相符性分析</w:t>
            </w:r>
          </w:p>
          <w:tbl>
            <w:tblPr>
              <w:tblStyle w:val="27"/>
              <w:tblW w:w="7954"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5"/>
              <w:gridCol w:w="3359"/>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595" w:type="dxa"/>
                  <w:vAlign w:val="center"/>
                </w:tcPr>
                <w:p>
                  <w:pPr>
                    <w:autoSpaceDE w:val="0"/>
                    <w:autoSpaceDN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总体要求</w:t>
                  </w:r>
                </w:p>
              </w:tc>
              <w:tc>
                <w:tcPr>
                  <w:tcW w:w="3359" w:type="dxa"/>
                  <w:tcBorders>
                    <w:right w:val="nil"/>
                  </w:tcBorders>
                  <w:vAlign w:val="center"/>
                </w:tcPr>
                <w:p>
                  <w:pPr>
                    <w:autoSpaceDE w:val="0"/>
                    <w:autoSpaceDN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相符性分析</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595" w:type="dxa"/>
                  <w:vAlign w:val="center"/>
                </w:tcPr>
                <w:p>
                  <w:pPr>
                    <w:autoSpaceDE w:val="0"/>
                    <w:autoSpaceDN w:val="0"/>
                    <w:snapToGrid w:val="0"/>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鼓励对排放的VOCs进行回收利用，并优先在生产系统内回用。对浓度、性状差异较大的废气应分类收集，并采用适宜的方式进行有效处理，确保VOCs总去除率满足管理要求，其中有机化工、医药化工、橡胶和塑料制品（有溶剂浸胶工艺）、溶剂型涂料表面涂装、包装印刷业的VOCs总收集、净化处理率均不低于90%，其他行业原则上不低于75%。</w:t>
                  </w:r>
                </w:p>
              </w:tc>
              <w:tc>
                <w:tcPr>
                  <w:tcW w:w="3359" w:type="dxa"/>
                  <w:tcBorders>
                    <w:right w:val="nil"/>
                  </w:tcBorders>
                  <w:vAlign w:val="center"/>
                </w:tcPr>
                <w:p>
                  <w:pPr>
                    <w:autoSpaceDE w:val="0"/>
                    <w:autoSpaceDN w:val="0"/>
                    <w:snapToGrid w:val="0"/>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本项目属于</w:t>
                  </w:r>
                  <w:r>
                    <w:rPr>
                      <w:rFonts w:hint="eastAsia" w:cs="Times New Roman"/>
                      <w:color w:val="auto"/>
                      <w:szCs w:val="21"/>
                      <w:lang w:eastAsia="zh-CN"/>
                    </w:rPr>
                    <w:t>C3670汽车零部件及配件制造</w:t>
                  </w:r>
                  <w:r>
                    <w:rPr>
                      <w:rFonts w:hint="default" w:ascii="Times New Roman" w:hAnsi="Times New Roman" w:eastAsia="宋体" w:cs="Times New Roman"/>
                      <w:color w:val="auto"/>
                      <w:szCs w:val="21"/>
                    </w:rPr>
                    <w:t>，本项目生产过程中产生的有机废气经集气罩收集进入</w:t>
                  </w:r>
                  <w:r>
                    <w:rPr>
                      <w:rFonts w:hint="default" w:ascii="Times New Roman" w:hAnsi="Times New Roman" w:eastAsia="宋体" w:cs="Times New Roman"/>
                      <w:color w:val="auto"/>
                      <w:szCs w:val="21"/>
                      <w:highlight w:val="none"/>
                    </w:rPr>
                    <w:t>“二级活性炭吸附装置”处理后通过15m高排气筒排放，废气收集为90%，处理效率为</w:t>
                  </w:r>
                  <w:r>
                    <w:rPr>
                      <w:rFonts w:hint="eastAsia"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rPr>
                    <w:t>，符合相关要求。</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综上，本项目建设与《江苏省重点行业挥发性有机物污染控制指南》（苏环办〔2014〕128号）相符。</w:t>
            </w:r>
          </w:p>
          <w:p>
            <w:pPr>
              <w:keepNext w:val="0"/>
              <w:keepLines w:val="0"/>
              <w:pageBreakBefore w:val="0"/>
              <w:widowControl/>
              <w:kinsoku/>
              <w:wordWrap/>
              <w:overflowPunct/>
              <w:topLinePunct w:val="0"/>
              <w:autoSpaceDE/>
              <w:autoSpaceDN/>
              <w:bidi w:val="0"/>
              <w:adjustRightInd w:val="0"/>
              <w:snapToGrid/>
              <w:spacing w:line="500" w:lineRule="exact"/>
              <w:ind w:firstLine="482" w:firstLineChars="200"/>
              <w:textAlignment w:val="auto"/>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lang w:val="en-US" w:eastAsia="zh-CN"/>
              </w:rPr>
              <w:t>4</w:t>
            </w:r>
            <w:r>
              <w:rPr>
                <w:rFonts w:hint="default" w:ascii="Times New Roman" w:hAnsi="Times New Roman" w:eastAsia="宋体" w:cs="Times New Roman"/>
                <w:b/>
                <w:bCs/>
                <w:color w:val="auto"/>
                <w:sz w:val="24"/>
                <w:lang w:eastAsia="zh-CN"/>
              </w:rPr>
              <w:t>）与关于印发《2020年挥发性有机物治理攻坚方案》的通知（环大气〔2020〕33号）相符性分析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ascii="Times New Roman" w:hAnsi="Times New Roman" w:eastAsia="宋体" w:cs="Times New Roman"/>
                <w:b/>
                <w:bCs/>
                <w:color w:val="auto"/>
                <w:sz w:val="21"/>
                <w:szCs w:val="21"/>
                <w:lang w:val="en-US" w:eastAsia="zh-CN"/>
              </w:rPr>
              <w:t>1</w:t>
            </w:r>
            <w:r>
              <w:rPr>
                <w:rFonts w:hint="eastAsia" w:cs="Times New Roman"/>
                <w:b/>
                <w:bCs/>
                <w:color w:val="auto"/>
                <w:sz w:val="21"/>
                <w:szCs w:val="21"/>
                <w:lang w:val="en-US" w:eastAsia="zh-CN"/>
              </w:rPr>
              <w:t>1</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与环大气[2020]33号相符性分析</w:t>
            </w:r>
          </w:p>
          <w:tbl>
            <w:tblPr>
              <w:tblStyle w:val="28"/>
              <w:tblW w:w="5000" w:type="pct"/>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9"/>
              <w:gridCol w:w="181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74" w:type="pct"/>
                  <w:noWrap w:val="0"/>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要求</w:t>
                  </w:r>
                </w:p>
              </w:tc>
              <w:tc>
                <w:tcPr>
                  <w:tcW w:w="1125" w:type="pct"/>
                  <w:tcBorders>
                    <w:right w:val="nil"/>
                  </w:tcBorders>
                  <w:noWrap w:val="0"/>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相符性分析</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74" w:type="pct"/>
                  <w:noWrap w:val="0"/>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（三）聚焦治污设施</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三率</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，提升综合治理效率</w:t>
                  </w:r>
                </w:p>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组织企业对现有VOCs废气收集率、治理设施同步运行率和去除率开展自查，重点关注单一采用光氧化、光催化、低温等离子、一次性活性炭吸附、喷淋吸收等工艺的治理设施，7月15日前完成。对达不到要求的VOCs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w:t>
                  </w:r>
                </w:p>
              </w:tc>
              <w:tc>
                <w:tcPr>
                  <w:tcW w:w="1125" w:type="pct"/>
                  <w:tcBorders>
                    <w:right w:val="nil"/>
                  </w:tcBorders>
                  <w:noWrap w:val="0"/>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本项目生产过程中产生</w:t>
                  </w:r>
                  <w:r>
                    <w:rPr>
                      <w:rFonts w:hint="default" w:ascii="Times New Roman" w:hAnsi="Times New Roman" w:eastAsia="宋体" w:cs="Times New Roman"/>
                      <w:color w:val="auto"/>
                      <w:lang w:val="en-US" w:eastAsia="zh-CN"/>
                    </w:rPr>
                    <w:t>的</w:t>
                  </w:r>
                  <w:r>
                    <w:rPr>
                      <w:rFonts w:hint="default" w:ascii="Times New Roman" w:hAnsi="Times New Roman" w:eastAsia="宋体" w:cs="Times New Roman"/>
                      <w:color w:val="auto"/>
                    </w:rPr>
                    <w:t>有机废气</w:t>
                  </w:r>
                  <w:r>
                    <w:rPr>
                      <w:rFonts w:hint="default" w:ascii="Times New Roman" w:hAnsi="Times New Roman" w:eastAsia="宋体" w:cs="Times New Roman"/>
                      <w:color w:val="auto"/>
                      <w:lang w:val="en-US" w:eastAsia="zh-CN"/>
                    </w:rPr>
                    <w:t>经</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二级活性炭吸附装置</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处理后</w:t>
                  </w:r>
                  <w:r>
                    <w:rPr>
                      <w:rFonts w:hint="eastAsia" w:cs="Times New Roman"/>
                      <w:color w:val="auto"/>
                      <w:lang w:eastAsia="zh-CN"/>
                    </w:rPr>
                    <w:t>可达标</w:t>
                  </w:r>
                  <w:r>
                    <w:rPr>
                      <w:rFonts w:hint="default" w:ascii="Times New Roman" w:hAnsi="Times New Roman" w:eastAsia="宋体" w:cs="Times New Roman"/>
                      <w:color w:val="auto"/>
                    </w:rPr>
                    <w:t>排放，与上述内容相符。</w:t>
                  </w:r>
                </w:p>
              </w:tc>
            </w:tr>
          </w:tbl>
          <w:p>
            <w:pPr>
              <w:keepNext w:val="0"/>
              <w:keepLines w:val="0"/>
              <w:pageBreakBefore w:val="0"/>
              <w:widowControl w:val="0"/>
              <w:kinsoku/>
              <w:wordWrap/>
              <w:overflowPunct/>
              <w:topLinePunct w:val="0"/>
              <w:autoSpaceDE w:val="0"/>
              <w:autoSpaceDN w:val="0"/>
              <w:bidi w:val="0"/>
              <w:adjustRightInd/>
              <w:snapToGrid w:val="0"/>
              <w:spacing w:line="500" w:lineRule="exact"/>
              <w:ind w:firstLine="480" w:firstLineChars="200"/>
              <w:textAlignment w:val="auto"/>
              <w:rPr>
                <w:rFonts w:hint="default" w:ascii="Times New Roman" w:hAnsi="Times New Roman" w:eastAsia="宋体" w:cs="Times New Roman"/>
                <w:b w:val="0"/>
                <w:bCs w:val="0"/>
                <w:color w:val="auto"/>
                <w:sz w:val="24"/>
                <w:lang w:eastAsia="zh-CN"/>
              </w:rPr>
            </w:pPr>
            <w:r>
              <w:rPr>
                <w:rFonts w:hint="default" w:ascii="Times New Roman" w:hAnsi="Times New Roman" w:eastAsia="宋体" w:cs="Times New Roman"/>
                <w:b w:val="0"/>
                <w:bCs w:val="0"/>
                <w:color w:val="auto"/>
                <w:sz w:val="24"/>
                <w:lang w:eastAsia="zh-CN"/>
              </w:rPr>
              <w:t>综上，本项目与《2020年挥发性有机物治理攻坚方案》的通知（环大气〔2020〕33号）的要求相符。</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lang w:val="en-US" w:eastAsia="zh-CN"/>
              </w:rPr>
              <w:t>5</w:t>
            </w:r>
            <w:r>
              <w:rPr>
                <w:rFonts w:hint="default"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lang w:val="en-US" w:eastAsia="zh-CN"/>
              </w:rPr>
              <w:t>与</w:t>
            </w:r>
            <w:r>
              <w:rPr>
                <w:rFonts w:hint="default" w:ascii="Times New Roman" w:hAnsi="Times New Roman" w:eastAsia="宋体" w:cs="Times New Roman"/>
                <w:b/>
                <w:bCs/>
                <w:color w:val="auto"/>
                <w:sz w:val="24"/>
              </w:rPr>
              <w:t>《挥发性有机物无组织排放控制标准》（GB37822-2019）相符性分析</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12</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与《挥发性有机物无组织排放控制标准》相符性分析</w:t>
            </w:r>
          </w:p>
          <w:tbl>
            <w:tblPr>
              <w:tblStyle w:val="28"/>
              <w:tblW w:w="496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58"/>
              <w:gridCol w:w="25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8"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要求</w:t>
                  </w:r>
                </w:p>
              </w:tc>
              <w:tc>
                <w:tcPr>
                  <w:tcW w:w="1591"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8"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szCs w:val="21"/>
                    </w:rPr>
                    <w:t>VOCs物料应储存于密闭的容器、包装袋、储罐、储库、料仓中；盛装VOCs物料的容器或包装袋应存放于室内，或存放于设置有雨棚、遮阳、和防渗设施的专用场地；盛装VOCs物料的容器或包装袋在非取用状态时应加盖、封口，保持密闭；</w:t>
                  </w:r>
                </w:p>
              </w:tc>
              <w:tc>
                <w:tcPr>
                  <w:tcW w:w="1591"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szCs w:val="21"/>
                    </w:rPr>
                    <w:t>本项目VOCs</w:t>
                  </w:r>
                  <w:r>
                    <w:rPr>
                      <w:rFonts w:hint="default" w:ascii="Times New Roman" w:hAnsi="Times New Roman" w:eastAsia="宋体" w:cs="Times New Roman"/>
                      <w:color w:val="auto"/>
                      <w:szCs w:val="21"/>
                      <w:lang w:val="en-US" w:eastAsia="zh-CN"/>
                    </w:rPr>
                    <w:t>物料储存于密闭的桶中，存放于室内，非取用状态时密闭</w:t>
                  </w:r>
                  <w:r>
                    <w:rPr>
                      <w:rFonts w:hint="default" w:ascii="Times New Roman" w:hAnsi="Times New Roman" w:eastAsia="宋体" w:cs="Times New Roman"/>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8" w:type="pct"/>
                  <w:vAlign w:val="center"/>
                </w:tcPr>
                <w:p>
                  <w:pPr>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Cs w:val="21"/>
                    </w:rPr>
                    <w:t>VOCs占比大于等于10%的含VOCs产品，其使用过程应采用密闭设备或在密闭空间内操作，废气应排放至VOCs废气收集处理系统；无法密闭的，应采取局部气体收集措施，废气应排放至VOCs废气收集处理系统</w:t>
                  </w:r>
                </w:p>
              </w:tc>
              <w:tc>
                <w:tcPr>
                  <w:tcW w:w="1591" w:type="pct"/>
                  <w:vMerge w:val="restar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szCs w:val="21"/>
                    </w:rPr>
                    <w:t>本项目生产过程中产生的有机废气经集气罩收集进入</w:t>
                  </w:r>
                  <w:r>
                    <w:rPr>
                      <w:rFonts w:hint="eastAsia" w:cs="Times New Roman"/>
                      <w:color w:val="auto"/>
                      <w:szCs w:val="21"/>
                      <w:lang w:eastAsia="zh-CN"/>
                    </w:rPr>
                    <w:t>“</w:t>
                  </w:r>
                  <w:r>
                    <w:rPr>
                      <w:rFonts w:hint="default" w:ascii="Times New Roman" w:hAnsi="Times New Roman" w:eastAsia="宋体" w:cs="Times New Roman"/>
                      <w:color w:val="auto"/>
                      <w:szCs w:val="21"/>
                    </w:rPr>
                    <w:t>二级活性炭吸附装置</w:t>
                  </w:r>
                  <w:r>
                    <w:rPr>
                      <w:rFonts w:hint="eastAsia" w:cs="Times New Roman"/>
                      <w:color w:val="auto"/>
                      <w:szCs w:val="21"/>
                      <w:lang w:eastAsia="zh-CN"/>
                    </w:rPr>
                    <w:t>”</w:t>
                  </w:r>
                  <w:r>
                    <w:rPr>
                      <w:rFonts w:hint="default" w:ascii="Times New Roman" w:hAnsi="Times New Roman" w:eastAsia="宋体" w:cs="Times New Roman"/>
                      <w:color w:val="auto"/>
                      <w:szCs w:val="21"/>
                    </w:rPr>
                    <w:t>处理后</w:t>
                  </w:r>
                  <w:r>
                    <w:rPr>
                      <w:rFonts w:hint="eastAsia" w:cs="Times New Roman"/>
                      <w:color w:val="auto"/>
                      <w:szCs w:val="21"/>
                      <w:lang w:eastAsia="zh-CN"/>
                    </w:rPr>
                    <w:t>可达标排放</w:t>
                  </w:r>
                  <w:r>
                    <w:rPr>
                      <w:rFonts w:hint="default" w:ascii="Times New Roman" w:hAnsi="Times New Roman" w:eastAsia="宋体" w:cs="Times New Roman"/>
                      <w:color w:val="auto"/>
                      <w:szCs w:val="21"/>
                    </w:rPr>
                    <w:t>，废气收集为90%，处理效率为</w:t>
                  </w:r>
                  <w:r>
                    <w:rPr>
                      <w:rFonts w:hint="eastAsia"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%，符合相关要求。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8" w:type="pct"/>
                  <w:vAlign w:val="center"/>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VOCs废气收集处理系统应与生产工艺设备同步运行；VOCs废气收集处理系统污染物排放应符合GB16297或相关行业排放标准的规定；对于重点地区，收集的废气中NMHC初始排放速率≥2kg/h时，应配置VOCs处理设施，处理效率不应低于80%</w:t>
                  </w:r>
                </w:p>
              </w:tc>
              <w:tc>
                <w:tcPr>
                  <w:tcW w:w="1591" w:type="pct"/>
                  <w:vMerge w:val="continue"/>
                  <w:vAlign w:val="center"/>
                </w:tcPr>
                <w:p>
                  <w:pPr>
                    <w:ind w:firstLine="420" w:firstLineChars="200"/>
                    <w:rPr>
                      <w:rFonts w:hint="default" w:ascii="Times New Roman" w:hAnsi="Times New Roman" w:eastAsia="宋体"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综上，本项目建设与《挥发性有机物无组织排放控制标准》（GB37822-2019）相符。</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eastAsia="zh-CN"/>
              </w:rPr>
              <w:t>（</w:t>
            </w:r>
            <w:r>
              <w:rPr>
                <w:rFonts w:hint="eastAsia" w:cs="Times New Roman"/>
                <w:b/>
                <w:bCs/>
                <w:color w:val="auto"/>
                <w:sz w:val="24"/>
                <w:lang w:val="en-US" w:eastAsia="zh-CN"/>
              </w:rPr>
              <w:t>6</w:t>
            </w: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lang w:val="en-US" w:eastAsia="zh-CN"/>
              </w:rPr>
              <w:t>与《</w:t>
            </w:r>
            <w:r>
              <w:rPr>
                <w:rFonts w:hint="eastAsia" w:ascii="Times New Roman" w:hAnsi="Times New Roman" w:eastAsia="宋体" w:cs="Times New Roman"/>
                <w:b/>
                <w:bCs/>
                <w:color w:val="auto"/>
                <w:sz w:val="24"/>
              </w:rPr>
              <w:t>关于印发</w:t>
            </w:r>
            <w:r>
              <w:rPr>
                <w:rFonts w:hint="eastAsia" w:ascii="Times New Roman" w:hAnsi="Times New Roman" w:eastAsia="宋体" w:cs="Times New Roman"/>
                <w:b/>
                <w:bCs/>
                <w:color w:val="auto"/>
                <w:sz w:val="24"/>
                <w:lang w:val="en-US" w:eastAsia="zh-CN"/>
              </w:rPr>
              <w:t>&lt;</w:t>
            </w:r>
            <w:r>
              <w:rPr>
                <w:rFonts w:hint="eastAsia" w:ascii="Times New Roman" w:hAnsi="Times New Roman" w:eastAsia="宋体" w:cs="Times New Roman"/>
                <w:b/>
                <w:bCs/>
                <w:color w:val="auto"/>
                <w:sz w:val="24"/>
              </w:rPr>
              <w:t>深入打好重污染天气消除、臭氧污染防治和柴油货车污染治理攻坚战行动方案</w:t>
            </w:r>
            <w:r>
              <w:rPr>
                <w:rFonts w:hint="eastAsia" w:ascii="Times New Roman" w:hAnsi="Times New Roman" w:eastAsia="宋体" w:cs="Times New Roman"/>
                <w:b/>
                <w:bCs/>
                <w:color w:val="auto"/>
                <w:sz w:val="24"/>
                <w:lang w:val="en-US" w:eastAsia="zh-CN"/>
              </w:rPr>
              <w:t>&gt;</w:t>
            </w:r>
            <w:r>
              <w:rPr>
                <w:rFonts w:hint="eastAsia" w:ascii="Times New Roman" w:hAnsi="Times New Roman" w:eastAsia="宋体" w:cs="Times New Roman"/>
                <w:b/>
                <w:bCs/>
                <w:color w:val="auto"/>
                <w:sz w:val="24"/>
              </w:rPr>
              <w:t>的通知</w:t>
            </w:r>
            <w:r>
              <w:rPr>
                <w:rFonts w:hint="eastAsia" w:ascii="Times New Roman" w:hAnsi="Times New Roman" w:eastAsia="宋体" w:cs="Times New Roman"/>
                <w:b/>
                <w:bCs/>
                <w:color w:val="auto"/>
                <w:sz w:val="24"/>
                <w:lang w:val="en-US" w:eastAsia="zh-CN"/>
              </w:rPr>
              <w:t>》（</w:t>
            </w:r>
            <w:r>
              <w:rPr>
                <w:rFonts w:hint="default" w:ascii="Times New Roman" w:hAnsi="Times New Roman" w:eastAsia="宋体" w:cs="Times New Roman"/>
                <w:b/>
                <w:bCs/>
                <w:color w:val="auto"/>
                <w:sz w:val="24"/>
              </w:rPr>
              <w:t>环大气〔2022〕68号</w:t>
            </w:r>
            <w:r>
              <w:rPr>
                <w:rFonts w:hint="eastAsia" w:ascii="Times New Roman" w:hAnsi="Times New Roman" w:eastAsia="宋体" w:cs="Times New Roman"/>
                <w:b/>
                <w:bCs/>
                <w:color w:val="auto"/>
                <w:sz w:val="24"/>
                <w:lang w:val="en-US" w:eastAsia="zh-CN"/>
              </w:rPr>
              <w:t>）</w:t>
            </w:r>
            <w:r>
              <w:rPr>
                <w:rFonts w:hint="default" w:ascii="Times New Roman" w:hAnsi="Times New Roman" w:eastAsia="宋体" w:cs="Times New Roman"/>
                <w:b/>
                <w:bCs/>
                <w:color w:val="auto"/>
                <w:sz w:val="24"/>
              </w:rPr>
              <w:t>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b/>
                <w:bCs/>
                <w:color w:val="auto"/>
                <w:sz w:val="21"/>
                <w:szCs w:val="21"/>
              </w:rPr>
            </w:pPr>
            <w:r>
              <w:rPr>
                <w:rFonts w:ascii="Times New Roman" w:hAnsi="Times New Roman"/>
                <w:b/>
                <w:bCs/>
                <w:color w:val="auto"/>
                <w:sz w:val="21"/>
                <w:szCs w:val="21"/>
              </w:rPr>
              <w:t>表1-</w:t>
            </w:r>
            <w:r>
              <w:rPr>
                <w:rFonts w:hint="eastAsia" w:ascii="Times New Roman" w:hAnsi="Times New Roman"/>
                <w:b/>
                <w:bCs/>
                <w:color w:val="auto"/>
                <w:sz w:val="21"/>
                <w:szCs w:val="21"/>
                <w:lang w:val="en-US" w:eastAsia="zh-CN"/>
              </w:rPr>
              <w:t>1</w:t>
            </w:r>
            <w:r>
              <w:rPr>
                <w:rFonts w:hint="eastAsia"/>
                <w:b/>
                <w:bCs/>
                <w:color w:val="auto"/>
                <w:sz w:val="21"/>
                <w:szCs w:val="21"/>
                <w:lang w:val="en-US" w:eastAsia="zh-CN"/>
              </w:rPr>
              <w:t>3</w:t>
            </w:r>
            <w:r>
              <w:rPr>
                <w:rFonts w:hint="eastAsia" w:ascii="Times New Roman" w:hAnsi="Times New Roman"/>
                <w:b/>
                <w:bCs/>
                <w:color w:val="auto"/>
                <w:sz w:val="21"/>
                <w:szCs w:val="21"/>
                <w:lang w:val="en-US" w:eastAsia="zh-CN"/>
              </w:rPr>
              <w:t xml:space="preserve">  </w:t>
            </w:r>
            <w:r>
              <w:rPr>
                <w:rFonts w:ascii="Times New Roman" w:hAnsi="Times New Roman"/>
                <w:b/>
                <w:bCs/>
                <w:color w:val="auto"/>
                <w:sz w:val="21"/>
                <w:szCs w:val="21"/>
              </w:rPr>
              <w:t>与常污防攻坚指办〔2021〕32号的相符性分析</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4123"/>
              <w:gridCol w:w="34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2" w:type="pct"/>
                  <w:gridSpan w:val="2"/>
                  <w:noWrap w:val="0"/>
                  <w:vAlign w:val="center"/>
                </w:tcPr>
                <w:p>
                  <w:pPr>
                    <w:keepNext w:val="0"/>
                    <w:keepLines w:val="0"/>
                    <w:suppressLineNumbers w:val="0"/>
                    <w:spacing w:before="0" w:beforeAutospacing="0" w:after="0" w:afterAutospacing="0"/>
                    <w:ind w:left="0" w:right="0"/>
                    <w:jc w:val="center"/>
                    <w:rPr>
                      <w:b/>
                      <w:color w:val="auto"/>
                    </w:rPr>
                  </w:pPr>
                  <w:r>
                    <w:rPr>
                      <w:b/>
                      <w:color w:val="auto"/>
                    </w:rPr>
                    <w:t>要求</w:t>
                  </w:r>
                </w:p>
              </w:tc>
              <w:tc>
                <w:tcPr>
                  <w:tcW w:w="2157" w:type="pct"/>
                  <w:noWrap w:val="0"/>
                  <w:vAlign w:val="center"/>
                </w:tcPr>
                <w:p>
                  <w:pPr>
                    <w:keepNext w:val="0"/>
                    <w:keepLines w:val="0"/>
                    <w:suppressLineNumbers w:val="0"/>
                    <w:spacing w:before="0" w:beforeAutospacing="0" w:after="0" w:afterAutospacing="0"/>
                    <w:ind w:left="0" w:right="0"/>
                    <w:jc w:val="center"/>
                    <w:rPr>
                      <w:b/>
                      <w:color w:val="auto"/>
                    </w:rPr>
                  </w:pPr>
                  <w:r>
                    <w:rPr>
                      <w:b/>
                      <w:color w:val="auto"/>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Merge w:val="restart"/>
                  <w:noWrap w:val="0"/>
                  <w:vAlign w:val="center"/>
                </w:tcPr>
                <w:p>
                  <w:pPr>
                    <w:keepNext w:val="0"/>
                    <w:keepLines w:val="0"/>
                    <w:widowControl/>
                    <w:suppressLineNumbers w:val="0"/>
                    <w:adjustRightInd w:val="0"/>
                    <w:snapToGrid w:val="0"/>
                    <w:spacing w:before="0" w:beforeAutospacing="0" w:after="0" w:afterAutospacing="0"/>
                    <w:ind w:left="0" w:right="0"/>
                    <w:rPr>
                      <w:rFonts w:hint="default" w:eastAsia="宋体"/>
                      <w:color w:val="auto"/>
                      <w:szCs w:val="21"/>
                      <w:lang w:val="en-US" w:eastAsia="zh-CN"/>
                    </w:rPr>
                  </w:pPr>
                  <w:r>
                    <w:rPr>
                      <w:rFonts w:hint="eastAsia"/>
                      <w:color w:val="auto"/>
                      <w:szCs w:val="21"/>
                      <w:lang w:val="en-US" w:eastAsia="zh-CN"/>
                    </w:rPr>
                    <w:t>推进重点工程</w:t>
                  </w:r>
                </w:p>
              </w:tc>
              <w:tc>
                <w:tcPr>
                  <w:tcW w:w="2555" w:type="pct"/>
                  <w:noWrap w:val="0"/>
                  <w:vAlign w:val="center"/>
                </w:tcPr>
                <w:p>
                  <w:pPr>
                    <w:keepNext w:val="0"/>
                    <w:keepLines w:val="0"/>
                    <w:widowControl/>
                    <w:suppressLineNumbers w:val="0"/>
                    <w:adjustRightInd w:val="0"/>
                    <w:snapToGrid w:val="0"/>
                    <w:spacing w:before="0" w:beforeAutospacing="0" w:after="0" w:afterAutospacing="0"/>
                    <w:ind w:left="0" w:right="0" w:firstLine="420" w:firstLineChars="200"/>
                    <w:jc w:val="both"/>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促进产业绿色转型升级，坚决遏制高耗能、高排放、低水平项目盲目发展，开展传统产业集群升级改造。推动能源清洁低碳转型，开展分散、低效煤炭综合治理。</w:t>
                  </w:r>
                </w:p>
              </w:tc>
              <w:tc>
                <w:tcPr>
                  <w:tcW w:w="2157" w:type="pct"/>
                  <w:noWrap w:val="0"/>
                  <w:vAlign w:val="center"/>
                </w:tcPr>
                <w:p>
                  <w:pPr>
                    <w:keepNext w:val="0"/>
                    <w:keepLines w:val="0"/>
                    <w:widowControl/>
                    <w:suppressLineNumbers w:val="0"/>
                    <w:adjustRightInd w:val="0"/>
                    <w:snapToGrid w:val="0"/>
                    <w:spacing w:before="0" w:beforeAutospacing="0" w:after="0" w:afterAutospacing="0"/>
                    <w:ind w:left="0" w:right="0" w:firstLine="420" w:firstLineChars="200"/>
                    <w:jc w:val="both"/>
                    <w:rPr>
                      <w:rFonts w:ascii="Times New Roman" w:hAnsi="Times New Roman" w:eastAsia="宋体" w:cs="Times New Roman"/>
                      <w:bCs/>
                      <w:color w:val="auto"/>
                      <w:szCs w:val="21"/>
                    </w:rPr>
                  </w:pPr>
                  <w:r>
                    <w:rPr>
                      <w:rFonts w:ascii="Times New Roman" w:hAnsi="Times New Roman" w:eastAsia="宋体" w:cs="Times New Roman"/>
                      <w:bCs/>
                      <w:color w:val="auto"/>
                      <w:szCs w:val="21"/>
                    </w:rPr>
                    <w:t>本项目</w:t>
                  </w:r>
                  <w:r>
                    <w:rPr>
                      <w:rFonts w:hint="eastAsia" w:ascii="Times New Roman" w:hAnsi="Times New Roman" w:eastAsia="宋体" w:cs="Times New Roman"/>
                      <w:bCs/>
                      <w:color w:val="auto"/>
                      <w:szCs w:val="21"/>
                      <w:lang w:val="en-US" w:eastAsia="zh-CN"/>
                    </w:rPr>
                    <w:t>采用清洁能源，不属于</w:t>
                  </w:r>
                  <w:r>
                    <w:rPr>
                      <w:rFonts w:hint="eastAsia" w:ascii="Times New Roman" w:hAnsi="Times New Roman" w:eastAsia="宋体" w:cs="Times New Roman"/>
                      <w:bCs/>
                      <w:color w:val="auto"/>
                      <w:szCs w:val="21"/>
                    </w:rPr>
                    <w:t>高耗能、高排放、低水平</w:t>
                  </w:r>
                  <w:r>
                    <w:rPr>
                      <w:rFonts w:hint="eastAsia" w:ascii="Times New Roman" w:hAnsi="Times New Roman" w:eastAsia="宋体" w:cs="Times New Roman"/>
                      <w:bCs/>
                      <w:color w:val="auto"/>
                      <w:szCs w:val="21"/>
                      <w:lang w:val="en-US" w:eastAsia="zh-CN"/>
                    </w:rPr>
                    <w:t>项目</w:t>
                  </w:r>
                  <w:r>
                    <w:rPr>
                      <w:rFonts w:ascii="Times New Roman" w:hAnsi="Times New Roman" w:eastAsia="宋体" w:cs="Times New Roman"/>
                      <w:bCs/>
                      <w:color w:val="auto"/>
                      <w:szCs w:val="21"/>
                    </w:rPr>
                    <w:t>，符合相关要求。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Merge w:val="continue"/>
                  <w:noWrap w:val="0"/>
                  <w:vAlign w:val="center"/>
                </w:tcPr>
                <w:p>
                  <w:pPr>
                    <w:keepNext w:val="0"/>
                    <w:keepLines w:val="0"/>
                    <w:widowControl/>
                    <w:suppressLineNumbers w:val="0"/>
                    <w:adjustRightInd w:val="0"/>
                    <w:snapToGrid w:val="0"/>
                    <w:spacing w:before="0" w:beforeAutospacing="0" w:after="0" w:afterAutospacing="0"/>
                    <w:ind w:left="0" w:right="0"/>
                    <w:rPr>
                      <w:color w:val="auto"/>
                      <w:szCs w:val="21"/>
                    </w:rPr>
                  </w:pPr>
                </w:p>
              </w:tc>
              <w:tc>
                <w:tcPr>
                  <w:tcW w:w="2555" w:type="pct"/>
                  <w:noWrap w:val="0"/>
                  <w:vAlign w:val="center"/>
                </w:tcPr>
                <w:p>
                  <w:pPr>
                    <w:keepNext w:val="0"/>
                    <w:keepLines w:val="0"/>
                    <w:widowControl/>
                    <w:suppressLineNumbers w:val="0"/>
                    <w:adjustRightInd w:val="0"/>
                    <w:snapToGrid w:val="0"/>
                    <w:spacing w:before="0" w:beforeAutospacing="0" w:after="0" w:afterAutospacing="0"/>
                    <w:ind w:left="0" w:right="0" w:firstLine="420" w:firstLineChars="200"/>
                    <w:jc w:val="both"/>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rPr>
                    <w:t>强化挥发性有机物（VOCs）、氮氧化物等多污染物协同减排，以石化、化工、涂装、制药、包装印刷和油品储运销等为重点，加强VOCs源头、过程、末端全流程治理</w:t>
                  </w:r>
                  <w:r>
                    <w:rPr>
                      <w:rFonts w:hint="eastAsia" w:ascii="Times New Roman" w:hAnsi="Times New Roman" w:eastAsia="宋体" w:cs="Times New Roman"/>
                      <w:bCs/>
                      <w:color w:val="auto"/>
                      <w:szCs w:val="21"/>
                      <w:lang w:eastAsia="zh-CN"/>
                    </w:rPr>
                    <w:t>。</w:t>
                  </w:r>
                </w:p>
              </w:tc>
              <w:tc>
                <w:tcPr>
                  <w:tcW w:w="2157" w:type="pct"/>
                  <w:noWrap w:val="0"/>
                  <w:vAlign w:val="center"/>
                </w:tcPr>
                <w:p>
                  <w:pPr>
                    <w:keepNext w:val="0"/>
                    <w:keepLines w:val="0"/>
                    <w:widowControl/>
                    <w:suppressLineNumbers w:val="0"/>
                    <w:adjustRightInd w:val="0"/>
                    <w:snapToGrid w:val="0"/>
                    <w:spacing w:before="0" w:beforeAutospacing="0" w:after="0" w:afterAutospacing="0"/>
                    <w:ind w:left="0" w:right="0" w:firstLine="420" w:firstLineChars="200"/>
                    <w:jc w:val="both"/>
                    <w:rPr>
                      <w:rFonts w:ascii="Times New Roman" w:hAnsi="Times New Roman" w:eastAsia="宋体" w:cs="Times New Roman"/>
                      <w:bCs/>
                      <w:color w:val="auto"/>
                      <w:szCs w:val="21"/>
                    </w:rPr>
                  </w:pPr>
                  <w:r>
                    <w:rPr>
                      <w:rFonts w:hint="default" w:ascii="Times New Roman" w:hAnsi="Times New Roman" w:eastAsia="宋体" w:cs="Times New Roman"/>
                      <w:color w:val="auto"/>
                    </w:rPr>
                    <w:t>本项目不属于化工、涂装、医药、包装印刷、油品储运等高VOCs排放建设项目</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生产过程中产生的有机废气经集气罩收集进入“二级活性炭吸附装置”处理后</w:t>
                  </w:r>
                  <w:r>
                    <w:rPr>
                      <w:rFonts w:hint="eastAsia" w:cs="Times New Roman"/>
                      <w:color w:val="auto"/>
                      <w:szCs w:val="21"/>
                      <w:lang w:eastAsia="zh-CN"/>
                    </w:rPr>
                    <w:t>可达标</w:t>
                  </w:r>
                  <w:r>
                    <w:rPr>
                      <w:rFonts w:hint="default" w:ascii="Times New Roman" w:hAnsi="Times New Roman" w:eastAsia="宋体" w:cs="Times New Roman"/>
                      <w:color w:val="auto"/>
                      <w:szCs w:val="21"/>
                    </w:rPr>
                    <w:t>排放</w:t>
                  </w:r>
                  <w:r>
                    <w:rPr>
                      <w:rFonts w:hint="default" w:ascii="Times New Roman" w:hAnsi="Times New Roman" w:eastAsia="宋体" w:cs="Times New Roman"/>
                      <w:color w:val="auto"/>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p>
          <w:p>
            <w:pPr>
              <w:autoSpaceDE w:val="0"/>
              <w:autoSpaceDN w:val="0"/>
              <w:adjustRightInd w:val="0"/>
              <w:snapToGrid w:val="0"/>
              <w:spacing w:line="500" w:lineRule="exact"/>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w:t>
            </w:r>
            <w:r>
              <w:rPr>
                <w:rFonts w:hint="eastAsia" w:cs="Times New Roman"/>
                <w:b/>
                <w:bCs/>
                <w:color w:val="auto"/>
                <w:sz w:val="24"/>
                <w:lang w:val="en-US" w:eastAsia="zh-CN"/>
              </w:rPr>
              <w:t>10</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val="en-US" w:eastAsia="zh-CN"/>
              </w:rPr>
              <w:t>与</w:t>
            </w:r>
            <w:r>
              <w:rPr>
                <w:rFonts w:hint="default" w:ascii="Times New Roman" w:hAnsi="Times New Roman" w:eastAsia="宋体" w:cs="Times New Roman"/>
                <w:b/>
                <w:bCs/>
                <w:color w:val="auto"/>
                <w:sz w:val="24"/>
              </w:rPr>
              <w:t>《市生态环境局关于建设项目的审批指导意见（试行）》（常州市生态环境局，2021年</w:t>
            </w:r>
            <w:r>
              <w:rPr>
                <w:rFonts w:hint="eastAsia" w:cs="Times New Roman"/>
                <w:b/>
                <w:bCs/>
                <w:color w:val="auto"/>
                <w:sz w:val="24"/>
                <w:lang w:val="en-US" w:eastAsia="zh-CN"/>
              </w:rPr>
              <w:t>11</w:t>
            </w:r>
            <w:r>
              <w:rPr>
                <w:rFonts w:hint="default" w:ascii="Times New Roman" w:hAnsi="Times New Roman" w:eastAsia="宋体" w:cs="Times New Roman"/>
                <w:b/>
                <w:bCs/>
                <w:color w:val="auto"/>
                <w:sz w:val="24"/>
              </w:rPr>
              <w:t>月</w:t>
            </w:r>
            <w:r>
              <w:rPr>
                <w:rFonts w:hint="eastAsia" w:cs="Times New Roman"/>
                <w:b/>
                <w:bCs/>
                <w:color w:val="auto"/>
                <w:sz w:val="24"/>
                <w:lang w:val="en-US" w:eastAsia="zh-CN"/>
              </w:rPr>
              <w:t>10</w:t>
            </w:r>
            <w:r>
              <w:rPr>
                <w:rFonts w:hint="default" w:ascii="Times New Roman" w:hAnsi="Times New Roman" w:eastAsia="宋体" w:cs="Times New Roman"/>
                <w:b/>
                <w:bCs/>
                <w:color w:val="auto"/>
                <w:sz w:val="24"/>
              </w:rPr>
              <w:t>日</w:t>
            </w:r>
            <w:r>
              <w:rPr>
                <w:rFonts w:hint="eastAsia" w:cs="Times New Roman"/>
                <w:b/>
                <w:bCs/>
                <w:color w:val="auto"/>
                <w:sz w:val="24"/>
                <w:lang w:eastAsia="zh-CN"/>
              </w:rPr>
              <w:t>调整</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val="en-US" w:eastAsia="zh-CN"/>
              </w:rPr>
              <w:t>的对照</w:t>
            </w:r>
            <w:r>
              <w:rPr>
                <w:rFonts w:hint="default" w:ascii="Times New Roman" w:hAnsi="Times New Roman" w:eastAsia="宋体" w:cs="Times New Roman"/>
                <w:b/>
                <w:bCs/>
                <w:color w:val="auto"/>
                <w:sz w:val="24"/>
              </w:rPr>
              <w:t>分析</w:t>
            </w:r>
          </w:p>
          <w:p>
            <w:pPr>
              <w:autoSpaceDE w:val="0"/>
              <w:autoSpaceDN w:val="0"/>
              <w:adjustRightInd w:val="0"/>
              <w:snapToGrid w:val="0"/>
              <w:spacing w:line="50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Cs/>
                <w:color w:val="auto"/>
                <w:sz w:val="24"/>
              </w:rPr>
              <w:t>本项目位于</w:t>
            </w:r>
            <w:r>
              <w:rPr>
                <w:rFonts w:hint="eastAsia" w:cs="Times New Roman"/>
                <w:color w:val="auto"/>
                <w:sz w:val="24"/>
                <w:lang w:eastAsia="zh-CN"/>
              </w:rPr>
              <w:t>常州市金坛区金城镇红山路33号</w:t>
            </w:r>
            <w:r>
              <w:rPr>
                <w:rFonts w:hint="default" w:ascii="Times New Roman" w:hAnsi="Times New Roman" w:eastAsia="宋体" w:cs="Times New Roman"/>
                <w:bCs/>
                <w:color w:val="auto"/>
                <w:sz w:val="24"/>
              </w:rPr>
              <w:t>，</w:t>
            </w:r>
            <w:r>
              <w:rPr>
                <w:rFonts w:hint="default" w:ascii="Times New Roman" w:hAnsi="Times New Roman" w:eastAsia="宋体" w:cs="Times New Roman"/>
                <w:color w:val="auto"/>
                <w:sz w:val="24"/>
                <w:lang w:val="en-US" w:eastAsia="zh-CN"/>
              </w:rPr>
              <w:t>属于大气质量国控站点周边3公里范围，属于文件中重点区域范围；同时项目不属于文件中所列的高能耗项目。项目将按照环保审批要求申请总量。</w:t>
            </w:r>
          </w:p>
          <w:p>
            <w:pPr>
              <w:autoSpaceDE w:val="0"/>
              <w:autoSpaceDN w:val="0"/>
              <w:snapToGrid w:val="0"/>
              <w:spacing w:line="500" w:lineRule="exact"/>
              <w:ind w:firstLine="482" w:firstLineChars="200"/>
              <w:jc w:val="left"/>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11</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lang w:val="en-US" w:eastAsia="zh-CN"/>
              </w:rPr>
              <w:t>与《关于印发&lt;环境保护综合名录（2021）年版&gt;的通知》（环办综合函〔2021〕495号）的对照分析</w:t>
            </w:r>
          </w:p>
          <w:p>
            <w:pPr>
              <w:autoSpaceDE w:val="0"/>
              <w:autoSpaceDN w:val="0"/>
              <w:adjustRightInd w:val="0"/>
              <w:snapToGrid w:val="0"/>
              <w:spacing w:line="500" w:lineRule="exact"/>
              <w:ind w:firstLine="480" w:firstLineChars="200"/>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本项目产品为</w:t>
            </w:r>
            <w:r>
              <w:rPr>
                <w:rFonts w:hint="eastAsia" w:cs="Times New Roman"/>
                <w:b w:val="0"/>
                <w:bCs/>
                <w:color w:val="auto"/>
                <w:sz w:val="24"/>
                <w:lang w:val="en-US" w:eastAsia="zh-CN"/>
              </w:rPr>
              <w:t>汽车零部件</w:t>
            </w:r>
            <w:r>
              <w:rPr>
                <w:rFonts w:hint="default" w:ascii="Times New Roman" w:hAnsi="Times New Roman" w:eastAsia="宋体" w:cs="Times New Roman"/>
                <w:b w:val="0"/>
                <w:bCs/>
                <w:color w:val="auto"/>
                <w:sz w:val="24"/>
                <w:lang w:val="en-US" w:eastAsia="zh-CN"/>
              </w:rPr>
              <w:t>，不属于文件中所列的</w:t>
            </w:r>
            <w:r>
              <w:rPr>
                <w:rFonts w:hint="eastAsia" w:cs="Times New Roman"/>
                <w:b w:val="0"/>
                <w:bCs/>
                <w:color w:val="auto"/>
                <w:sz w:val="24"/>
                <w:lang w:val="en-US" w:eastAsia="zh-CN"/>
              </w:rPr>
              <w:t>“</w:t>
            </w:r>
            <w:r>
              <w:rPr>
                <w:rFonts w:hint="default" w:ascii="Times New Roman" w:hAnsi="Times New Roman" w:eastAsia="宋体" w:cs="Times New Roman"/>
                <w:b w:val="0"/>
                <w:bCs/>
                <w:color w:val="auto"/>
                <w:sz w:val="24"/>
                <w:lang w:val="en-US" w:eastAsia="zh-CN"/>
              </w:rPr>
              <w:t>高污染、高环境风险</w:t>
            </w:r>
            <w:r>
              <w:rPr>
                <w:rFonts w:hint="eastAsia" w:cs="Times New Roman"/>
                <w:b w:val="0"/>
                <w:bCs/>
                <w:color w:val="auto"/>
                <w:sz w:val="24"/>
                <w:lang w:val="en-US" w:eastAsia="zh-CN"/>
              </w:rPr>
              <w:t>”</w:t>
            </w:r>
            <w:r>
              <w:rPr>
                <w:rFonts w:hint="default" w:ascii="Times New Roman" w:hAnsi="Times New Roman" w:eastAsia="宋体" w:cs="Times New Roman"/>
                <w:b w:val="0"/>
                <w:bCs/>
                <w:color w:val="auto"/>
                <w:sz w:val="24"/>
                <w:lang w:val="en-US" w:eastAsia="zh-CN"/>
              </w:rPr>
              <w:t>产品。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firstLine="482" w:firstLineChars="20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val="en-US" w:eastAsia="zh-CN"/>
              </w:rPr>
              <w:t>1</w:t>
            </w:r>
            <w:r>
              <w:rPr>
                <w:rFonts w:hint="eastAsia" w:cs="Times New Roman"/>
                <w:b/>
                <w:bCs/>
                <w:color w:val="auto"/>
                <w:sz w:val="24"/>
                <w:lang w:val="en-US" w:eastAsia="zh-CN"/>
              </w:rPr>
              <w:t>2</w:t>
            </w:r>
            <w:r>
              <w:rPr>
                <w:rFonts w:hint="default" w:ascii="Times New Roman" w:hAnsi="Times New Roman" w:eastAsia="宋体" w:cs="Times New Roman"/>
                <w:b/>
                <w:bCs/>
                <w:color w:val="auto"/>
                <w:sz w:val="24"/>
              </w:rPr>
              <w:t>）与《关于印发&lt;长江经济带发展负面清单指南(试行，2022年版)江苏省实施细则&gt;的通知》(苏长江办发[2022]55号)的相符性分析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表1-1</w:t>
            </w:r>
            <w:r>
              <w:rPr>
                <w:rFonts w:hint="eastAsia"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与苏长江办发[2022]55号号相符性分析</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14"/>
              <w:gridCol w:w="19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9"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要求</w:t>
                  </w:r>
                </w:p>
              </w:tc>
              <w:tc>
                <w:tcPr>
                  <w:tcW w:w="1210" w:type="pct"/>
                  <w:vAlign w:val="center"/>
                </w:tcPr>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9"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禁止新建、扩建不符合国家和省产业政策的尿素、磷铵、电石、烧碱、聚氯乙烯、纯碱等行业新增产能项目。</w:t>
                  </w:r>
                </w:p>
              </w:tc>
              <w:tc>
                <w:tcPr>
                  <w:tcW w:w="1210" w:type="pct"/>
                  <w:vMerge w:val="restart"/>
                  <w:vAlign w:val="center"/>
                </w:tcPr>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本项目不属于上述禁止行业或项目。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9"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禁止新建、改建、扩建高毒、高残留以及对环境影响大的农药原药</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化学合成类</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项目</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禁止新建、扩建不符合国家和省产业政策的农药、医药和染料中间体化工项目。</w:t>
                  </w:r>
                </w:p>
              </w:tc>
              <w:tc>
                <w:tcPr>
                  <w:tcW w:w="1210" w:type="pct"/>
                  <w:vMerge w:val="continue"/>
                  <w:vAlign w:val="center"/>
                </w:tcPr>
                <w:p>
                  <w:pPr>
                    <w:ind w:firstLine="420" w:firstLineChars="200"/>
                    <w:rPr>
                      <w:rFonts w:hint="default" w:ascii="Times New Roman" w:hAnsi="Times New Roman" w:eastAsia="宋体"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9"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禁止新建、扩建不符合国家石化、现代煤化工等产业布局规划的项目</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禁止新建独立焦化项目。</w:t>
                  </w:r>
                </w:p>
              </w:tc>
              <w:tc>
                <w:tcPr>
                  <w:tcW w:w="1210" w:type="pct"/>
                  <w:vMerge w:val="continue"/>
                  <w:vAlign w:val="center"/>
                </w:tcPr>
                <w:p>
                  <w:pPr>
                    <w:ind w:firstLine="420" w:firstLineChars="200"/>
                    <w:rPr>
                      <w:rFonts w:hint="default" w:ascii="Times New Roman" w:hAnsi="Times New Roman" w:eastAsia="宋体"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9"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禁止新建、扩建国家《产业结构调整指导目录》《江苏省产业结构调整限制、淘汰和禁止目录》明确的限制类、</w:t>
                  </w:r>
                  <w:r>
                    <w:rPr>
                      <w:rFonts w:hint="default" w:ascii="Times New Roman" w:hAnsi="Times New Roman" w:eastAsia="宋体" w:cs="Times New Roman"/>
                      <w:color w:val="auto"/>
                      <w:lang w:val="en-US" w:eastAsia="zh-CN"/>
                    </w:rPr>
                    <w:t>淘汰</w:t>
                  </w:r>
                  <w:r>
                    <w:rPr>
                      <w:rFonts w:hint="default" w:ascii="Times New Roman" w:hAnsi="Times New Roman" w:eastAsia="宋体" w:cs="Times New Roman"/>
                      <w:color w:val="auto"/>
                    </w:rPr>
                    <w:t>类、禁止类项目</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法律法规和相关政策明令禁止的落后产能项目</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以及明令淘汰的安全生产落后工艺及装备项目。</w:t>
                  </w:r>
                </w:p>
              </w:tc>
              <w:tc>
                <w:tcPr>
                  <w:tcW w:w="1210" w:type="pct"/>
                  <w:vMerge w:val="continue"/>
                  <w:vAlign w:val="center"/>
                </w:tcPr>
                <w:p>
                  <w:pPr>
                    <w:ind w:firstLine="420" w:firstLineChars="200"/>
                    <w:rPr>
                      <w:rFonts w:hint="default" w:ascii="Times New Roman" w:hAnsi="Times New Roman" w:eastAsia="宋体"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9" w:type="pct"/>
                  <w:vAlign w:val="center"/>
                </w:tcPr>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禁止新建、扩建不符合国家产能置换要求的严重过剩产能行业的项目。禁止新建、扩建不符合要求的高耗能高排放项目。</w:t>
                  </w:r>
                </w:p>
              </w:tc>
              <w:tc>
                <w:tcPr>
                  <w:tcW w:w="1210" w:type="pct"/>
                  <w:vMerge w:val="continue"/>
                  <w:vAlign w:val="center"/>
                </w:tcPr>
                <w:p>
                  <w:pPr>
                    <w:ind w:firstLine="420" w:firstLineChars="200"/>
                    <w:rPr>
                      <w:rFonts w:hint="default" w:ascii="Times New Roman" w:hAnsi="Times New Roman" w:eastAsia="宋体" w:cs="Times New Roman"/>
                      <w:color w:val="auto"/>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9" w:type="pct"/>
                  <w:vAlign w:val="center"/>
                </w:tcPr>
                <w:p>
                  <w:pPr>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法律法规及相关政策文件有更加严格规定的从其规定。</w:t>
                  </w:r>
                </w:p>
              </w:tc>
              <w:tc>
                <w:tcPr>
                  <w:tcW w:w="1210" w:type="pct"/>
                  <w:vMerge w:val="continue"/>
                  <w:vAlign w:val="center"/>
                </w:tcPr>
                <w:p>
                  <w:pPr>
                    <w:ind w:firstLine="420" w:firstLineChars="200"/>
                    <w:rPr>
                      <w:rFonts w:hint="default" w:ascii="Times New Roman" w:hAnsi="Times New Roman" w:eastAsia="宋体" w:cs="Times New Roman"/>
                      <w:color w:val="auto"/>
                    </w:rPr>
                  </w:pPr>
                </w:p>
              </w:tc>
            </w:tr>
          </w:tbl>
          <w:p>
            <w:pPr>
              <w:keepNext w:val="0"/>
              <w:keepLines w:val="0"/>
              <w:pageBreakBefore w:val="0"/>
              <w:widowControl w:val="0"/>
              <w:kinsoku/>
              <w:wordWrap/>
              <w:overflowPunct/>
              <w:topLinePunct w:val="0"/>
              <w:autoSpaceDE w:val="0"/>
              <w:autoSpaceDN w:val="0"/>
              <w:bidi w:val="0"/>
              <w:adjustRightInd/>
              <w:snapToGrid w:val="0"/>
              <w:spacing w:line="500" w:lineRule="exact"/>
              <w:jc w:val="left"/>
              <w:textAlignment w:val="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w:t>
            </w:r>
            <w:r>
              <w:rPr>
                <w:rFonts w:hint="eastAsia" w:cs="Times New Roman"/>
                <w:b/>
                <w:bCs/>
                <w:color w:val="auto"/>
                <w:sz w:val="24"/>
                <w:lang w:val="en-US" w:eastAsia="zh-CN"/>
              </w:rPr>
              <w:t>3</w:t>
            </w:r>
            <w:r>
              <w:rPr>
                <w:rFonts w:hint="eastAsia" w:ascii="Times New Roman" w:hAnsi="Times New Roman" w:eastAsia="宋体" w:cs="Times New Roman"/>
                <w:b/>
                <w:bCs/>
                <w:color w:val="auto"/>
                <w:sz w:val="24"/>
                <w:lang w:val="en-US" w:eastAsia="zh-CN"/>
              </w:rPr>
              <w:t>)与苏大气办</w:t>
            </w:r>
            <w:r>
              <w:rPr>
                <w:rFonts w:hint="default" w:ascii="Times New Roman" w:hAnsi="Times New Roman" w:eastAsia="宋体" w:cs="Times New Roman"/>
                <w:b/>
                <w:bCs/>
                <w:color w:val="auto"/>
                <w:sz w:val="24"/>
                <w:lang w:val="en-US" w:eastAsia="zh-CN"/>
              </w:rPr>
              <w:t>[2021]2</w:t>
            </w:r>
            <w:r>
              <w:rPr>
                <w:rFonts w:hint="eastAsia" w:ascii="Times New Roman" w:hAnsi="Times New Roman" w:eastAsia="宋体" w:cs="Times New Roman"/>
                <w:b/>
                <w:bCs/>
                <w:color w:val="auto"/>
                <w:sz w:val="24"/>
                <w:lang w:val="en-US" w:eastAsia="zh-CN"/>
              </w:rPr>
              <w:t>号</w:t>
            </w:r>
            <w:r>
              <w:rPr>
                <w:rFonts w:hint="eastAsia" w:cs="Times New Roman"/>
                <w:b/>
                <w:bCs/>
                <w:color w:val="auto"/>
                <w:sz w:val="24"/>
                <w:lang w:val="en-US" w:eastAsia="zh-CN"/>
              </w:rPr>
              <w:t>、</w:t>
            </w:r>
            <w:r>
              <w:rPr>
                <w:rFonts w:hint="eastAsia" w:ascii="Times New Roman" w:hAnsi="Times New Roman" w:eastAsia="宋体" w:cs="Times New Roman"/>
                <w:b/>
                <w:color w:val="auto"/>
                <w:kern w:val="2"/>
                <w:sz w:val="24"/>
                <w:szCs w:val="24"/>
                <w:lang w:val="en-US" w:eastAsia="zh-CN" w:bidi="ar-SA"/>
              </w:rPr>
              <w:t>常污防攻坚指办</w:t>
            </w:r>
            <w:r>
              <w:rPr>
                <w:rFonts w:hint="default" w:ascii="Times New Roman" w:hAnsi="Times New Roman" w:eastAsia="宋体" w:cs="Times New Roman"/>
                <w:b/>
                <w:bCs/>
                <w:color w:val="auto"/>
                <w:sz w:val="24"/>
                <w:lang w:val="en-US" w:eastAsia="zh-CN"/>
              </w:rPr>
              <w:t>[2021]</w:t>
            </w:r>
            <w:r>
              <w:rPr>
                <w:rFonts w:hint="eastAsia" w:ascii="Times New Roman" w:hAnsi="Times New Roman" w:eastAsia="宋体" w:cs="Times New Roman"/>
                <w:b/>
                <w:color w:val="auto"/>
                <w:kern w:val="2"/>
                <w:sz w:val="24"/>
                <w:szCs w:val="24"/>
                <w:lang w:val="en-US" w:eastAsia="zh-CN" w:bidi="ar-SA"/>
              </w:rPr>
              <w:t>32号</w:t>
            </w:r>
            <w:r>
              <w:rPr>
                <w:rFonts w:hint="eastAsia" w:cs="Times New Roman"/>
                <w:b/>
                <w:color w:val="auto"/>
                <w:kern w:val="2"/>
                <w:sz w:val="24"/>
                <w:szCs w:val="24"/>
                <w:lang w:val="en-US" w:eastAsia="zh-CN" w:bidi="ar-SA"/>
              </w:rPr>
              <w:t>文</w:t>
            </w:r>
            <w:r>
              <w:rPr>
                <w:rFonts w:hint="eastAsia" w:ascii="Times New Roman" w:hAnsi="Times New Roman" w:eastAsia="宋体" w:cs="Times New Roman"/>
                <w:b/>
                <w:bCs/>
                <w:color w:val="auto"/>
                <w:sz w:val="24"/>
                <w:lang w:val="en-US" w:eastAsia="zh-CN"/>
              </w:rPr>
              <w:t>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val="zh-CN" w:eastAsia="zh-CN"/>
              </w:rPr>
              <w:t>表</w:t>
            </w:r>
            <w:r>
              <w:rPr>
                <w:rFonts w:hint="default" w:ascii="Times New Roman" w:hAnsi="Times New Roman" w:eastAsia="宋体" w:cs="Times New Roman"/>
                <w:b/>
                <w:bCs/>
                <w:color w:val="auto"/>
                <w:sz w:val="21"/>
                <w:szCs w:val="21"/>
                <w:lang w:val="en-US" w:eastAsia="zh-CN"/>
              </w:rPr>
              <w:t>1-1</w:t>
            </w:r>
            <w:r>
              <w:rPr>
                <w:rFonts w:hint="eastAsia" w:cs="Times New Roman"/>
                <w:b/>
                <w:bCs/>
                <w:color w:val="auto"/>
                <w:sz w:val="21"/>
                <w:szCs w:val="21"/>
                <w:lang w:val="en-US" w:eastAsia="zh-CN"/>
              </w:rPr>
              <w:t>5</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zh-CN" w:eastAsia="zh-CN"/>
              </w:rPr>
              <w:t xml:space="preserve"> 与</w:t>
            </w:r>
            <w:r>
              <w:rPr>
                <w:rFonts w:hint="eastAsia" w:ascii="Times New Roman" w:hAnsi="Times New Roman" w:eastAsia="宋体" w:cs="Times New Roman"/>
                <w:b/>
                <w:bCs/>
                <w:color w:val="auto"/>
                <w:sz w:val="21"/>
                <w:szCs w:val="21"/>
                <w:lang w:val="en-US" w:eastAsia="zh-CN"/>
              </w:rPr>
              <w:t>苏大气办</w:t>
            </w:r>
            <w:r>
              <w:rPr>
                <w:rFonts w:hint="default" w:ascii="Times New Roman" w:hAnsi="Times New Roman" w:eastAsia="宋体" w:cs="Times New Roman"/>
                <w:b/>
                <w:bCs/>
                <w:color w:val="auto"/>
                <w:sz w:val="21"/>
                <w:szCs w:val="21"/>
                <w:lang w:val="en-US" w:eastAsia="zh-CN"/>
              </w:rPr>
              <w:t>[2021]2</w:t>
            </w:r>
            <w:r>
              <w:rPr>
                <w:rFonts w:hint="eastAsia" w:ascii="Times New Roman" w:hAnsi="Times New Roman" w:eastAsia="宋体" w:cs="Times New Roman"/>
                <w:b/>
                <w:bCs/>
                <w:color w:val="auto"/>
                <w:sz w:val="21"/>
                <w:szCs w:val="21"/>
                <w:lang w:val="en-US" w:eastAsia="zh-CN"/>
              </w:rPr>
              <w:t>号、常污防攻坚指办</w:t>
            </w:r>
            <w:r>
              <w:rPr>
                <w:rFonts w:hint="default" w:ascii="Times New Roman" w:hAnsi="Times New Roman" w:eastAsia="宋体" w:cs="Times New Roman"/>
                <w:b/>
                <w:bCs/>
                <w:color w:val="auto"/>
                <w:sz w:val="21"/>
                <w:szCs w:val="21"/>
                <w:lang w:val="en-US" w:eastAsia="zh-CN"/>
              </w:rPr>
              <w:t>[2021]</w:t>
            </w:r>
            <w:r>
              <w:rPr>
                <w:rFonts w:hint="eastAsia" w:ascii="Times New Roman" w:hAnsi="Times New Roman" w:eastAsia="宋体" w:cs="Times New Roman"/>
                <w:b/>
                <w:bCs/>
                <w:color w:val="auto"/>
                <w:sz w:val="21"/>
                <w:szCs w:val="21"/>
                <w:lang w:val="en-US" w:eastAsia="zh-CN"/>
              </w:rPr>
              <w:t>32号文</w:t>
            </w:r>
            <w:r>
              <w:rPr>
                <w:rFonts w:hint="default" w:ascii="Times New Roman" w:hAnsi="Times New Roman" w:eastAsia="宋体" w:cs="Times New Roman"/>
                <w:b/>
                <w:bCs/>
                <w:color w:val="auto"/>
                <w:sz w:val="21"/>
                <w:szCs w:val="21"/>
                <w:lang w:val="zh-CN" w:eastAsia="zh-CN"/>
              </w:rPr>
              <w:t>对照分析</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4624"/>
              <w:gridCol w:w="2803"/>
              <w:gridCol w:w="6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19" w:hRule="atLeast"/>
                <w:jc w:val="center"/>
              </w:trPr>
              <w:tc>
                <w:tcPr>
                  <w:tcW w:w="2866" w:type="pct"/>
                  <w:vAlign w:val="center"/>
                </w:tcPr>
                <w:p>
                  <w:pPr>
                    <w:autoSpaceDE w:val="0"/>
                    <w:autoSpaceDN w:val="0"/>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文件要求</w:t>
                  </w:r>
                </w:p>
              </w:tc>
              <w:tc>
                <w:tcPr>
                  <w:tcW w:w="1737" w:type="pct"/>
                  <w:vAlign w:val="center"/>
                </w:tcPr>
                <w:p>
                  <w:pPr>
                    <w:autoSpaceDE w:val="0"/>
                    <w:autoSpaceDN w:val="0"/>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本项目</w:t>
                  </w:r>
                </w:p>
              </w:tc>
              <w:tc>
                <w:tcPr>
                  <w:tcW w:w="396" w:type="pct"/>
                  <w:vAlign w:val="center"/>
                </w:tcPr>
                <w:p>
                  <w:pPr>
                    <w:autoSpaceDE w:val="0"/>
                    <w:autoSpaceDN w:val="0"/>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是否相符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19" w:hRule="atLeast"/>
                <w:jc w:val="center"/>
              </w:trPr>
              <w:tc>
                <w:tcPr>
                  <w:tcW w:w="28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《省大气办关于印发</w:t>
                  </w:r>
                  <w:r>
                    <w:rPr>
                      <w:rFonts w:hint="default" w:ascii="Times New Roman" w:hAnsi="Times New Roman" w:eastAsia="宋体" w:cs="Times New Roman"/>
                      <w:color w:val="auto"/>
                      <w:sz w:val="21"/>
                      <w:szCs w:val="21"/>
                      <w:lang w:val="en-US" w:eastAsia="zh-CN"/>
                    </w:rPr>
                    <w:t>&lt;</w:t>
                  </w:r>
                  <w:r>
                    <w:rPr>
                      <w:rFonts w:hint="eastAsia" w:ascii="Times New Roman" w:hAnsi="Times New Roman" w:eastAsia="宋体" w:cs="Times New Roman"/>
                      <w:color w:val="auto"/>
                      <w:sz w:val="21"/>
                      <w:szCs w:val="21"/>
                      <w:lang w:val="en-US" w:eastAsia="zh-CN"/>
                    </w:rPr>
                    <w:t>江苏省挥发性有机物清洁原料替代工作方案</w:t>
                  </w:r>
                  <w:r>
                    <w:rPr>
                      <w:rFonts w:hint="default" w:ascii="Times New Roman" w:hAnsi="Times New Roman" w:eastAsia="宋体" w:cs="Times New Roman"/>
                      <w:color w:val="auto"/>
                      <w:sz w:val="21"/>
                      <w:szCs w:val="21"/>
                      <w:lang w:val="en-US" w:eastAsia="zh-CN"/>
                    </w:rPr>
                    <w:t xml:space="preserve">&gt; </w:t>
                  </w:r>
                  <w:r>
                    <w:rPr>
                      <w:rFonts w:hint="eastAsia" w:ascii="Times New Roman" w:hAnsi="Times New Roman" w:eastAsia="宋体" w:cs="Times New Roman"/>
                      <w:color w:val="auto"/>
                      <w:sz w:val="21"/>
                      <w:szCs w:val="21"/>
                      <w:lang w:val="en-US" w:eastAsia="zh-CN"/>
                    </w:rPr>
                    <w:t>的通知》（苏大气办</w:t>
                  </w:r>
                  <w:r>
                    <w:rPr>
                      <w:rFonts w:hint="default" w:ascii="Times New Roman" w:hAnsi="Times New Roman" w:eastAsia="宋体" w:cs="Times New Roman"/>
                      <w:color w:val="auto"/>
                      <w:sz w:val="21"/>
                      <w:szCs w:val="21"/>
                      <w:lang w:val="en-US" w:eastAsia="zh-CN"/>
                    </w:rPr>
                    <w:t>[2021]2</w:t>
                  </w:r>
                  <w:r>
                    <w:rPr>
                      <w:rFonts w:hint="eastAsia" w:ascii="Times New Roman" w:hAnsi="Times New Roman" w:eastAsia="宋体" w:cs="Times New Roman"/>
                      <w:color w:val="auto"/>
                      <w:sz w:val="21"/>
                      <w:szCs w:val="21"/>
                      <w:lang w:val="en-US" w:eastAsia="zh-CN"/>
                    </w:rPr>
                    <w:t>号））要求：以工业涂装、包装印刷、木材加工、纺织（附件</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 xml:space="preserve">）等行业为重点，分阶段推进 </w:t>
                  </w:r>
                  <w:r>
                    <w:rPr>
                      <w:rFonts w:hint="default" w:ascii="Times New Roman" w:hAnsi="Times New Roman" w:eastAsia="宋体" w:cs="Times New Roman"/>
                      <w:color w:val="auto"/>
                      <w:sz w:val="21"/>
                      <w:szCs w:val="21"/>
                      <w:lang w:val="en-US" w:eastAsia="zh-CN"/>
                    </w:rPr>
                    <w:t xml:space="preserve">3130 </w:t>
                  </w:r>
                  <w:r>
                    <w:rPr>
                      <w:rFonts w:hint="eastAsia" w:ascii="Times New Roman" w:hAnsi="Times New Roman" w:eastAsia="宋体" w:cs="Times New Roman"/>
                      <w:color w:val="auto"/>
                      <w:sz w:val="21"/>
                      <w:szCs w:val="21"/>
                      <w:lang w:val="en-US" w:eastAsia="zh-CN"/>
                    </w:rPr>
                    <w:t>家企业（附件</w:t>
                  </w: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）清洁原料替代工作。实施替代的企业要使用符合《低挥发性有机化合物含量涂料产品技术要求》 （</w:t>
                  </w:r>
                  <w:r>
                    <w:rPr>
                      <w:rFonts w:hint="default" w:ascii="Times New Roman" w:hAnsi="Times New Roman" w:eastAsia="宋体" w:cs="Times New Roman"/>
                      <w:color w:val="auto"/>
                      <w:sz w:val="21"/>
                      <w:szCs w:val="21"/>
                      <w:lang w:val="en-US" w:eastAsia="zh-CN"/>
                    </w:rPr>
                    <w:t>GB/T38597-2020</w:t>
                  </w:r>
                  <w:r>
                    <w:rPr>
                      <w:rFonts w:hint="eastAsia" w:ascii="Times New Roman" w:hAnsi="Times New Roman" w:eastAsia="宋体" w:cs="Times New Roman"/>
                      <w:color w:val="auto"/>
                      <w:sz w:val="21"/>
                      <w:szCs w:val="21"/>
                      <w:lang w:val="en-US" w:eastAsia="zh-CN"/>
                    </w:rPr>
                    <w:t>）规定的粉末、水性、无溶剂、辐射固化涂料产品；符合《油墨中可挥发性有机化合物（</w:t>
                  </w:r>
                  <w:r>
                    <w:rPr>
                      <w:rFonts w:hint="default" w:ascii="Times New Roman" w:hAnsi="Times New Roman" w:eastAsia="宋体" w:cs="Times New Roman"/>
                      <w:color w:val="auto"/>
                      <w:sz w:val="21"/>
                      <w:szCs w:val="21"/>
                      <w:lang w:val="en-US" w:eastAsia="zh-CN"/>
                    </w:rPr>
                    <w:t>VOCs</w:t>
                  </w:r>
                  <w:r>
                    <w:rPr>
                      <w:rFonts w:hint="eastAsia" w:ascii="Times New Roman" w:hAnsi="Times New Roman" w:eastAsia="宋体" w:cs="Times New Roman"/>
                      <w:color w:val="auto"/>
                      <w:sz w:val="21"/>
                      <w:szCs w:val="21"/>
                      <w:lang w:val="en-US" w:eastAsia="zh-CN"/>
                    </w:rPr>
                    <w:t>）含量的限值》 （</w:t>
                  </w:r>
                  <w:r>
                    <w:rPr>
                      <w:rFonts w:hint="default" w:ascii="Times New Roman" w:hAnsi="Times New Roman" w:eastAsia="宋体" w:cs="Times New Roman"/>
                      <w:color w:val="auto"/>
                      <w:sz w:val="21"/>
                      <w:szCs w:val="21"/>
                      <w:lang w:val="en-US" w:eastAsia="zh-CN"/>
                    </w:rPr>
                    <w:t>GB38507-2020</w:t>
                  </w:r>
                  <w:r>
                    <w:rPr>
                      <w:rFonts w:hint="eastAsia" w:ascii="Times New Roman" w:hAnsi="Times New Roman" w:eastAsia="宋体" w:cs="Times New Roman"/>
                      <w:color w:val="auto"/>
                      <w:sz w:val="21"/>
                      <w:szCs w:val="21"/>
                      <w:lang w:val="en-US" w:eastAsia="zh-CN"/>
                    </w:rPr>
                    <w:t>）规定的水性油墨和能量固化油墨产品；符合《清洗剂挥发性有机化合物含量限值》（</w:t>
                  </w:r>
                  <w:r>
                    <w:rPr>
                      <w:rFonts w:hint="default" w:ascii="Times New Roman" w:hAnsi="Times New Roman" w:eastAsia="宋体" w:cs="Times New Roman"/>
                      <w:color w:val="auto"/>
                      <w:sz w:val="21"/>
                      <w:szCs w:val="21"/>
                      <w:lang w:val="en-US" w:eastAsia="zh-CN"/>
                    </w:rPr>
                    <w:t>GB 38508-2020</w:t>
                  </w:r>
                  <w:r>
                    <w:rPr>
                      <w:rFonts w:hint="eastAsia" w:ascii="Times New Roman" w:hAnsi="Times New Roman" w:eastAsia="宋体" w:cs="Times New Roman"/>
                      <w:color w:val="auto"/>
                      <w:sz w:val="21"/>
                      <w:szCs w:val="21"/>
                      <w:lang w:val="en-US" w:eastAsia="zh-CN"/>
                    </w:rPr>
                    <w:t>）规定的水基、半水基清洗剂产品；符合《胶粘剂挥发性有机化合物限量》（</w:t>
                  </w:r>
                  <w:r>
                    <w:rPr>
                      <w:rFonts w:hint="default" w:ascii="Times New Roman" w:hAnsi="Times New Roman" w:eastAsia="宋体" w:cs="Times New Roman"/>
                      <w:color w:val="auto"/>
                      <w:sz w:val="21"/>
                      <w:szCs w:val="21"/>
                      <w:lang w:val="en-US" w:eastAsia="zh-CN"/>
                    </w:rPr>
                    <w:t>GB 33372-2020</w:t>
                  </w:r>
                  <w:r>
                    <w:rPr>
                      <w:rFonts w:hint="eastAsia" w:ascii="Times New Roman" w:hAnsi="Times New Roman" w:eastAsia="宋体" w:cs="Times New Roman"/>
                      <w:color w:val="auto"/>
                      <w:sz w:val="21"/>
                      <w:szCs w:val="21"/>
                      <w:lang w:val="en-US" w:eastAsia="zh-CN"/>
                    </w:rPr>
                    <w:t>）规定的水基型、本体型胶粘剂产品。若确实无法达到上述要求，应提供相应的论证说明，相关涂料、油墨、清洗剂、胶粘剂等产品应符合相关标准中</w:t>
                  </w:r>
                  <w:r>
                    <w:rPr>
                      <w:rFonts w:hint="default" w:ascii="Times New Roman" w:hAnsi="Times New Roman" w:eastAsia="宋体" w:cs="Times New Roman"/>
                      <w:color w:val="auto"/>
                      <w:sz w:val="21"/>
                      <w:szCs w:val="21"/>
                      <w:lang w:val="en-US" w:eastAsia="zh-CN"/>
                    </w:rPr>
                    <w:t>VOCs</w:t>
                  </w:r>
                  <w:r>
                    <w:rPr>
                      <w:rFonts w:hint="eastAsia" w:ascii="Times New Roman" w:hAnsi="Times New Roman" w:eastAsia="宋体" w:cs="Times New Roman"/>
                      <w:color w:val="auto"/>
                      <w:sz w:val="21"/>
                      <w:szCs w:val="21"/>
                      <w:lang w:val="en-US" w:eastAsia="zh-CN"/>
                    </w:rPr>
                    <w:t xml:space="preserve">含量的限值要求。 </w:t>
                  </w:r>
                </w:p>
              </w:tc>
              <w:tc>
                <w:tcPr>
                  <w:tcW w:w="17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color w:val="auto"/>
                      <w:sz w:val="21"/>
                      <w:szCs w:val="21"/>
                      <w:lang w:eastAsia="zh-CN"/>
                    </w:rPr>
                  </w:pPr>
                  <w:r>
                    <w:rPr>
                      <w:rFonts w:hint="eastAsia" w:ascii="宋体" w:hAnsi="宋体" w:eastAsia="宋体" w:cs="宋体"/>
                      <w:color w:val="auto"/>
                      <w:kern w:val="0"/>
                      <w:sz w:val="21"/>
                      <w:szCs w:val="21"/>
                      <w:lang w:val="en-US" w:eastAsia="zh-CN" w:bidi="ar"/>
                    </w:rPr>
                    <w:t>本项目</w:t>
                  </w:r>
                  <w:r>
                    <w:rPr>
                      <w:rFonts w:hint="eastAsia" w:ascii="宋体" w:hAnsi="宋体" w:cs="宋体"/>
                      <w:color w:val="auto"/>
                      <w:kern w:val="0"/>
                      <w:sz w:val="21"/>
                      <w:szCs w:val="21"/>
                      <w:lang w:val="en-US" w:eastAsia="zh-CN" w:bidi="ar"/>
                    </w:rPr>
                    <w:t>枪头清洗</w:t>
                  </w:r>
                  <w:r>
                    <w:rPr>
                      <w:rFonts w:hint="eastAsia" w:ascii="宋体" w:hAnsi="宋体" w:eastAsia="宋体" w:cs="宋体"/>
                      <w:color w:val="auto"/>
                      <w:kern w:val="0"/>
                      <w:sz w:val="21"/>
                      <w:szCs w:val="21"/>
                      <w:lang w:val="en-US" w:eastAsia="zh-CN" w:bidi="ar"/>
                    </w:rPr>
                    <w:t>使用</w:t>
                  </w:r>
                  <w:r>
                    <w:rPr>
                      <w:rFonts w:hint="eastAsia" w:ascii="宋体" w:hAnsi="宋体" w:cs="宋体"/>
                      <w:color w:val="auto"/>
                      <w:kern w:val="0"/>
                      <w:sz w:val="21"/>
                      <w:szCs w:val="21"/>
                      <w:lang w:val="en-US" w:eastAsia="zh-CN" w:bidi="ar"/>
                    </w:rPr>
                    <w:t>水性脱模</w:t>
                  </w:r>
                  <w:r>
                    <w:rPr>
                      <w:rFonts w:hint="eastAsia" w:ascii="宋体" w:hAnsi="宋体" w:eastAsia="宋体" w:cs="宋体"/>
                      <w:color w:val="auto"/>
                      <w:kern w:val="0"/>
                      <w:sz w:val="21"/>
                      <w:szCs w:val="21"/>
                      <w:lang w:val="en-US" w:eastAsia="zh-CN" w:bidi="ar"/>
                    </w:rPr>
                    <w:t>剂</w:t>
                  </w:r>
                  <w:r>
                    <w:rPr>
                      <w:rFonts w:hint="eastAsia" w:ascii="Times New Roman" w:hAnsi="Times New Roman" w:eastAsia="宋体" w:cs="Times New Roman"/>
                      <w:color w:val="auto"/>
                      <w:sz w:val="21"/>
                      <w:szCs w:val="21"/>
                      <w:lang w:val="en-US" w:eastAsia="zh-CN"/>
                    </w:rPr>
                    <w:t>，根据建设单位提供的</w:t>
                  </w:r>
                  <w:r>
                    <w:rPr>
                      <w:rFonts w:hint="eastAsia" w:ascii="宋体" w:hAnsi="宋体" w:cs="宋体"/>
                      <w:color w:val="auto"/>
                      <w:kern w:val="0"/>
                      <w:sz w:val="21"/>
                      <w:szCs w:val="21"/>
                      <w:lang w:val="en-US" w:eastAsia="zh-CN" w:bidi="ar"/>
                    </w:rPr>
                    <w:t>水性脱模</w:t>
                  </w:r>
                  <w:r>
                    <w:rPr>
                      <w:rFonts w:hint="eastAsia" w:ascii="宋体" w:hAnsi="宋体" w:eastAsia="宋体" w:cs="宋体"/>
                      <w:color w:val="auto"/>
                      <w:kern w:val="0"/>
                      <w:sz w:val="21"/>
                      <w:szCs w:val="21"/>
                      <w:lang w:val="en-US" w:eastAsia="zh-CN" w:bidi="ar"/>
                    </w:rPr>
                    <w:t>剂</w:t>
                  </w:r>
                  <w:r>
                    <w:rPr>
                      <w:rFonts w:hint="default" w:ascii="Times New Roman" w:hAnsi="Times New Roman" w:eastAsia="宋体" w:cs="Times New Roman"/>
                      <w:color w:val="auto"/>
                      <w:sz w:val="21"/>
                      <w:szCs w:val="21"/>
                      <w:lang w:val="en-US" w:eastAsia="zh-CN"/>
                    </w:rPr>
                    <w:t>SGS</w:t>
                  </w:r>
                  <w:r>
                    <w:rPr>
                      <w:rFonts w:hint="eastAsia" w:ascii="Times New Roman" w:hAnsi="Times New Roman" w:eastAsia="宋体" w:cs="Times New Roman"/>
                      <w:color w:val="auto"/>
                      <w:sz w:val="21"/>
                      <w:szCs w:val="21"/>
                      <w:lang w:val="en-US" w:eastAsia="zh-CN"/>
                    </w:rPr>
                    <w:t>检测报告，</w:t>
                  </w:r>
                  <w:r>
                    <w:rPr>
                      <w:rFonts w:hint="eastAsia" w:ascii="宋体" w:hAnsi="宋体" w:cs="宋体"/>
                      <w:color w:val="auto"/>
                      <w:kern w:val="0"/>
                      <w:sz w:val="21"/>
                      <w:szCs w:val="21"/>
                      <w:lang w:val="en-US" w:eastAsia="zh-CN" w:bidi="ar"/>
                    </w:rPr>
                    <w:t>水性脱模</w:t>
                  </w:r>
                  <w:r>
                    <w:rPr>
                      <w:rFonts w:hint="eastAsia" w:ascii="宋体" w:hAnsi="宋体" w:eastAsia="宋体" w:cs="宋体"/>
                      <w:color w:val="auto"/>
                      <w:kern w:val="0"/>
                      <w:sz w:val="21"/>
                      <w:szCs w:val="21"/>
                      <w:lang w:val="en-US" w:eastAsia="zh-CN" w:bidi="ar"/>
                    </w:rPr>
                    <w:t>剂</w:t>
                  </w:r>
                  <w:r>
                    <w:rPr>
                      <w:rFonts w:hint="eastAsia" w:ascii="Times New Roman" w:hAnsi="Times New Roman" w:eastAsia="宋体" w:cs="Times New Roman"/>
                      <w:color w:val="auto"/>
                      <w:sz w:val="21"/>
                      <w:szCs w:val="21"/>
                      <w:lang w:val="en-US" w:eastAsia="zh-CN"/>
                    </w:rPr>
                    <w:t>中挥发性有机物含量</w:t>
                  </w:r>
                  <w:r>
                    <w:rPr>
                      <w:rFonts w:hint="eastAsia" w:cs="Times New Roman"/>
                      <w:color w:val="auto"/>
                      <w:sz w:val="21"/>
                      <w:szCs w:val="21"/>
                      <w:lang w:val="en-US" w:eastAsia="zh-CN"/>
                    </w:rPr>
                    <w:t>约</w:t>
                  </w:r>
                  <w:r>
                    <w:rPr>
                      <w:rFonts w:hint="eastAsia" w:cs="Times New Roman"/>
                      <w:bCs/>
                      <w:color w:val="auto"/>
                      <w:kern w:val="2"/>
                      <w:sz w:val="21"/>
                      <w:szCs w:val="21"/>
                      <w:lang w:val="en-US" w:eastAsia="zh-CN" w:bidi="ar-SA"/>
                    </w:rPr>
                    <w:t>5mg/L</w:t>
                  </w:r>
                  <w:r>
                    <w:rPr>
                      <w:rFonts w:hint="eastAsia" w:ascii="Times New Roman" w:hAnsi="Times New Roman" w:eastAsia="宋体" w:cs="Times New Roman"/>
                      <w:color w:val="auto"/>
                      <w:sz w:val="21"/>
                      <w:szCs w:val="21"/>
                      <w:lang w:val="en-US" w:eastAsia="zh-CN"/>
                    </w:rPr>
                    <w:t>，符合</w:t>
                  </w:r>
                  <w:r>
                    <w:rPr>
                      <w:rFonts w:hint="default" w:ascii="Times New Roman" w:hAnsi="Times New Roman" w:eastAsia="宋体" w:cs="Times New Roman"/>
                      <w:color w:val="auto"/>
                      <w:kern w:val="0"/>
                      <w:sz w:val="21"/>
                      <w:szCs w:val="21"/>
                      <w:lang w:val="en-US" w:eastAsia="zh-CN" w:bidi="ar"/>
                    </w:rPr>
                    <w:t>《清洗剂挥发性有机化合物含量限值》（GB 38508-2020）</w:t>
                  </w:r>
                  <w:r>
                    <w:rPr>
                      <w:rFonts w:hint="default" w:ascii="Times New Roman" w:hAnsi="Times New Roman" w:eastAsia="宋体" w:cs="Times New Roman"/>
                      <w:color w:val="auto"/>
                      <w:sz w:val="21"/>
                      <w:szCs w:val="21"/>
                      <w:lang w:eastAsia="zh-CN"/>
                    </w:rPr>
                    <w:t>要求</w:t>
                  </w:r>
                  <w:r>
                    <w:rPr>
                      <w:rFonts w:hint="default" w:ascii="Times New Roman" w:hAnsi="Times New Roman" w:eastAsia="宋体" w:cs="Times New Roman"/>
                      <w:color w:val="auto"/>
                      <w:sz w:val="21"/>
                      <w:szCs w:val="21"/>
                      <w:lang w:val="en-US" w:eastAsia="zh-CN"/>
                    </w:rPr>
                    <w:t>。</w:t>
                  </w:r>
                </w:p>
                <w:p>
                  <w:pPr>
                    <w:keepNext w:val="0"/>
                    <w:keepLines w:val="0"/>
                    <w:widowControl/>
                    <w:suppressLineNumbers w:val="0"/>
                    <w:jc w:val="left"/>
                    <w:rPr>
                      <w:rFonts w:hint="default" w:ascii="Times New Roman" w:hAnsi="Times New Roman" w:eastAsia="宋体" w:cs="Times New Roman"/>
                      <w:color w:val="auto"/>
                      <w:szCs w:val="21"/>
                    </w:rPr>
                  </w:pPr>
                </w:p>
              </w:tc>
              <w:tc>
                <w:tcPr>
                  <w:tcW w:w="396" w:type="pct"/>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19" w:hRule="atLeast"/>
                <w:jc w:val="center"/>
              </w:trPr>
              <w:tc>
                <w:tcPr>
                  <w:tcW w:w="28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zh-CN" w:eastAsia="zh-CN"/>
                    </w:rPr>
                    <w:t>《</w:t>
                  </w:r>
                  <w:r>
                    <w:rPr>
                      <w:rFonts w:hint="eastAsia" w:ascii="Times New Roman" w:hAnsi="Times New Roman" w:eastAsia="宋体" w:cs="Times New Roman"/>
                      <w:color w:val="auto"/>
                      <w:sz w:val="21"/>
                      <w:szCs w:val="21"/>
                      <w:lang w:val="en-US" w:eastAsia="zh-CN"/>
                    </w:rPr>
                    <w:t>常州市挥发性有机物清洁原料替代工作方案》（常污防攻坚指办</w:t>
                  </w:r>
                  <w:r>
                    <w:rPr>
                      <w:rFonts w:hint="default" w:ascii="Times New Roman" w:hAnsi="Times New Roman" w:eastAsia="宋体" w:cs="Times New Roman"/>
                      <w:color w:val="auto"/>
                      <w:sz w:val="21"/>
                      <w:szCs w:val="21"/>
                      <w:lang w:val="en-US" w:eastAsia="zh-CN"/>
                    </w:rPr>
                    <w:t>[2021]</w:t>
                  </w:r>
                  <w:r>
                    <w:rPr>
                      <w:rFonts w:hint="eastAsia" w:ascii="Times New Roman" w:hAnsi="Times New Roman" w:eastAsia="宋体" w:cs="Times New Roman"/>
                      <w:color w:val="auto"/>
                      <w:sz w:val="21"/>
                      <w:szCs w:val="21"/>
                      <w:lang w:val="en-US" w:eastAsia="zh-CN"/>
                    </w:rPr>
                    <w:t>32号）要求：</w:t>
                  </w:r>
                  <w:r>
                    <w:rPr>
                      <w:rFonts w:hint="default" w:ascii="Times New Roman" w:hAnsi="Times New Roman" w:eastAsia="宋体" w:cs="Times New Roman"/>
                      <w:color w:val="auto"/>
                      <w:sz w:val="21"/>
                      <w:szCs w:val="21"/>
                      <w:lang w:val="en-US" w:eastAsia="zh-CN"/>
                    </w:rPr>
                    <w:t xml:space="preserve">以工业涂装、包装印刷、木材加工、纺织等行业为重点，按照省大气办《关于印发江苏省挥发性有机 </w:t>
                  </w:r>
                </w:p>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物清洁原料替代工作方案的通知》中源头替代具体要求，加快推进182家企业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GB 38508-2020）规定的水基、半水基清洗剂产品；符合《胶粘剂挥发性有机化合物限量》 </w:t>
                  </w:r>
                </w:p>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33372-2020）规定的水基型、本体型胶粘剂产品。若确实无法达到上述要求，应提供相应的论证说明，相关涂料、油墨、清洗剂、胶粘剂等产品应符合相关标准中 VOCs 含量的限值要求。</w:t>
                  </w:r>
                </w:p>
              </w:tc>
              <w:tc>
                <w:tcPr>
                  <w:tcW w:w="2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default" w:ascii="Times New Roman" w:hAnsi="Times New Roman" w:eastAsia="宋体" w:cs="Times New Roman"/>
                      <w:color w:val="auto"/>
                      <w:sz w:val="21"/>
                      <w:szCs w:val="21"/>
                      <w:lang w:eastAsia="zh-CN"/>
                    </w:rPr>
                  </w:pPr>
                  <w:r>
                    <w:rPr>
                      <w:rFonts w:hint="eastAsia" w:ascii="宋体" w:hAnsi="宋体" w:eastAsia="宋体" w:cs="宋体"/>
                      <w:color w:val="auto"/>
                      <w:kern w:val="0"/>
                      <w:sz w:val="21"/>
                      <w:szCs w:val="21"/>
                      <w:lang w:val="en-US" w:eastAsia="zh-CN" w:bidi="ar"/>
                    </w:rPr>
                    <w:t>本项目</w:t>
                  </w:r>
                  <w:r>
                    <w:rPr>
                      <w:rFonts w:hint="eastAsia" w:ascii="宋体" w:hAnsi="宋体" w:cs="宋体"/>
                      <w:color w:val="auto"/>
                      <w:kern w:val="0"/>
                      <w:sz w:val="21"/>
                      <w:szCs w:val="21"/>
                      <w:lang w:val="en-US" w:eastAsia="zh-CN" w:bidi="ar"/>
                    </w:rPr>
                    <w:t>枪头清洗</w:t>
                  </w:r>
                  <w:r>
                    <w:rPr>
                      <w:rFonts w:hint="eastAsia" w:ascii="宋体" w:hAnsi="宋体" w:eastAsia="宋体" w:cs="宋体"/>
                      <w:color w:val="auto"/>
                      <w:kern w:val="0"/>
                      <w:sz w:val="21"/>
                      <w:szCs w:val="21"/>
                      <w:lang w:val="en-US" w:eastAsia="zh-CN" w:bidi="ar"/>
                    </w:rPr>
                    <w:t>使用</w:t>
                  </w:r>
                  <w:r>
                    <w:rPr>
                      <w:rFonts w:hint="eastAsia" w:ascii="宋体" w:hAnsi="宋体" w:cs="宋体"/>
                      <w:color w:val="auto"/>
                      <w:kern w:val="0"/>
                      <w:sz w:val="21"/>
                      <w:szCs w:val="21"/>
                      <w:lang w:val="en-US" w:eastAsia="zh-CN" w:bidi="ar"/>
                    </w:rPr>
                    <w:t>水性脱模</w:t>
                  </w:r>
                  <w:r>
                    <w:rPr>
                      <w:rFonts w:hint="eastAsia" w:ascii="宋体" w:hAnsi="宋体" w:eastAsia="宋体" w:cs="宋体"/>
                      <w:color w:val="auto"/>
                      <w:kern w:val="0"/>
                      <w:sz w:val="21"/>
                      <w:szCs w:val="21"/>
                      <w:lang w:val="en-US" w:eastAsia="zh-CN" w:bidi="ar"/>
                    </w:rPr>
                    <w:t>剂</w:t>
                  </w:r>
                  <w:r>
                    <w:rPr>
                      <w:rFonts w:hint="eastAsia" w:ascii="Times New Roman" w:hAnsi="Times New Roman" w:eastAsia="宋体" w:cs="Times New Roman"/>
                      <w:color w:val="auto"/>
                      <w:sz w:val="21"/>
                      <w:szCs w:val="21"/>
                      <w:lang w:val="en-US" w:eastAsia="zh-CN"/>
                    </w:rPr>
                    <w:t>，根据建设单位提供的</w:t>
                  </w:r>
                  <w:r>
                    <w:rPr>
                      <w:rFonts w:hint="eastAsia" w:ascii="宋体" w:hAnsi="宋体" w:cs="宋体"/>
                      <w:color w:val="auto"/>
                      <w:kern w:val="0"/>
                      <w:sz w:val="21"/>
                      <w:szCs w:val="21"/>
                      <w:lang w:val="en-US" w:eastAsia="zh-CN" w:bidi="ar"/>
                    </w:rPr>
                    <w:t>水性脱模</w:t>
                  </w:r>
                  <w:r>
                    <w:rPr>
                      <w:rFonts w:hint="eastAsia" w:ascii="宋体" w:hAnsi="宋体" w:eastAsia="宋体" w:cs="宋体"/>
                      <w:color w:val="auto"/>
                      <w:kern w:val="0"/>
                      <w:sz w:val="21"/>
                      <w:szCs w:val="21"/>
                      <w:lang w:val="en-US" w:eastAsia="zh-CN" w:bidi="ar"/>
                    </w:rPr>
                    <w:t>剂</w:t>
                  </w:r>
                  <w:r>
                    <w:rPr>
                      <w:rFonts w:hint="default" w:ascii="Times New Roman" w:hAnsi="Times New Roman" w:eastAsia="宋体" w:cs="Times New Roman"/>
                      <w:color w:val="auto"/>
                      <w:sz w:val="21"/>
                      <w:szCs w:val="21"/>
                      <w:lang w:val="en-US" w:eastAsia="zh-CN"/>
                    </w:rPr>
                    <w:t>SGS</w:t>
                  </w:r>
                  <w:r>
                    <w:rPr>
                      <w:rFonts w:hint="eastAsia" w:ascii="Times New Roman" w:hAnsi="Times New Roman" w:eastAsia="宋体" w:cs="Times New Roman"/>
                      <w:color w:val="auto"/>
                      <w:sz w:val="21"/>
                      <w:szCs w:val="21"/>
                      <w:lang w:val="en-US" w:eastAsia="zh-CN"/>
                    </w:rPr>
                    <w:t>检测报告，</w:t>
                  </w:r>
                  <w:r>
                    <w:rPr>
                      <w:rFonts w:hint="eastAsia" w:ascii="宋体" w:hAnsi="宋体" w:cs="宋体"/>
                      <w:color w:val="auto"/>
                      <w:kern w:val="0"/>
                      <w:sz w:val="21"/>
                      <w:szCs w:val="21"/>
                      <w:lang w:val="en-US" w:eastAsia="zh-CN" w:bidi="ar"/>
                    </w:rPr>
                    <w:t>水性脱模</w:t>
                  </w:r>
                  <w:r>
                    <w:rPr>
                      <w:rFonts w:hint="eastAsia" w:ascii="宋体" w:hAnsi="宋体" w:eastAsia="宋体" w:cs="宋体"/>
                      <w:color w:val="auto"/>
                      <w:kern w:val="0"/>
                      <w:sz w:val="21"/>
                      <w:szCs w:val="21"/>
                      <w:lang w:val="en-US" w:eastAsia="zh-CN" w:bidi="ar"/>
                    </w:rPr>
                    <w:t>剂</w:t>
                  </w:r>
                  <w:r>
                    <w:rPr>
                      <w:rFonts w:hint="eastAsia" w:ascii="Times New Roman" w:hAnsi="Times New Roman" w:eastAsia="宋体" w:cs="Times New Roman"/>
                      <w:color w:val="auto"/>
                      <w:sz w:val="21"/>
                      <w:szCs w:val="21"/>
                      <w:lang w:val="en-US" w:eastAsia="zh-CN"/>
                    </w:rPr>
                    <w:t>中挥发性有机物含量</w:t>
                  </w:r>
                  <w:r>
                    <w:rPr>
                      <w:rFonts w:hint="eastAsia" w:cs="Times New Roman"/>
                      <w:color w:val="auto"/>
                      <w:sz w:val="21"/>
                      <w:szCs w:val="21"/>
                      <w:lang w:val="en-US" w:eastAsia="zh-CN"/>
                    </w:rPr>
                    <w:t>约</w:t>
                  </w:r>
                  <w:r>
                    <w:rPr>
                      <w:rFonts w:hint="eastAsia" w:cs="Times New Roman"/>
                      <w:bCs/>
                      <w:color w:val="auto"/>
                      <w:kern w:val="2"/>
                      <w:sz w:val="21"/>
                      <w:szCs w:val="21"/>
                      <w:lang w:val="en-US" w:eastAsia="zh-CN" w:bidi="ar-SA"/>
                    </w:rPr>
                    <w:t>5mg/L</w:t>
                  </w:r>
                  <w:r>
                    <w:rPr>
                      <w:rFonts w:hint="eastAsia" w:ascii="Times New Roman" w:hAnsi="Times New Roman" w:eastAsia="宋体" w:cs="Times New Roman"/>
                      <w:color w:val="auto"/>
                      <w:sz w:val="21"/>
                      <w:szCs w:val="21"/>
                      <w:lang w:val="en-US" w:eastAsia="zh-CN"/>
                    </w:rPr>
                    <w:t>，符合</w:t>
                  </w:r>
                  <w:r>
                    <w:rPr>
                      <w:rFonts w:hint="default" w:ascii="Times New Roman" w:hAnsi="Times New Roman" w:eastAsia="宋体" w:cs="Times New Roman"/>
                      <w:color w:val="auto"/>
                      <w:kern w:val="0"/>
                      <w:sz w:val="21"/>
                      <w:szCs w:val="21"/>
                      <w:lang w:val="en-US" w:eastAsia="zh-CN" w:bidi="ar"/>
                    </w:rPr>
                    <w:t>《清洗剂挥发性有机化合物含量限值》（GB 38508-2020）</w:t>
                  </w:r>
                  <w:r>
                    <w:rPr>
                      <w:rFonts w:hint="default" w:ascii="Times New Roman" w:hAnsi="Times New Roman" w:eastAsia="宋体" w:cs="Times New Roman"/>
                      <w:color w:val="auto"/>
                      <w:sz w:val="21"/>
                      <w:szCs w:val="21"/>
                      <w:lang w:eastAsia="zh-CN"/>
                    </w:rPr>
                    <w:t>要求</w:t>
                  </w:r>
                  <w:r>
                    <w:rPr>
                      <w:rFonts w:hint="default" w:ascii="Times New Roman" w:hAnsi="Times New Roman" w:eastAsia="宋体" w:cs="Times New Roman"/>
                      <w:color w:val="auto"/>
                      <w:sz w:val="21"/>
                      <w:szCs w:val="21"/>
                      <w:lang w:val="en-US" w:eastAsia="zh-CN"/>
                    </w:rPr>
                    <w:t>。</w:t>
                  </w:r>
                </w:p>
                <w:p>
                  <w:pPr>
                    <w:keepNext w:val="0"/>
                    <w:keepLines w:val="0"/>
                    <w:widowControl/>
                    <w:suppressLineNumbers w:val="0"/>
                    <w:jc w:val="left"/>
                    <w:rPr>
                      <w:rFonts w:hint="default" w:ascii="Times New Roman" w:hAnsi="Times New Roman" w:eastAsia="宋体" w:cs="Times New Roman"/>
                      <w:color w:val="auto"/>
                      <w:szCs w:val="21"/>
                    </w:rPr>
                  </w:pPr>
                </w:p>
              </w:tc>
              <w:tc>
                <w:tcPr>
                  <w:tcW w:w="639" w:type="dxa"/>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bl>
          <w:p>
            <w:pPr>
              <w:autoSpaceDE w:val="0"/>
              <w:autoSpaceDN w:val="0"/>
              <w:snapToGrid w:val="0"/>
              <w:spacing w:line="500" w:lineRule="exact"/>
              <w:ind w:firstLine="482" w:firstLineChars="200"/>
              <w:jc w:val="left"/>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val="en-US" w:eastAsia="zh-CN"/>
              </w:rPr>
              <w:t>1</w:t>
            </w:r>
            <w:r>
              <w:rPr>
                <w:rFonts w:hint="eastAsia" w:cs="Times New Roman"/>
                <w:b/>
                <w:bCs/>
                <w:color w:val="auto"/>
                <w:sz w:val="24"/>
                <w:lang w:val="en-US" w:eastAsia="zh-CN"/>
              </w:rPr>
              <w:t>4</w:t>
            </w:r>
            <w:r>
              <w:rPr>
                <w:rFonts w:hint="default" w:ascii="Times New Roman" w:hAnsi="Times New Roman" w:eastAsia="宋体" w:cs="Times New Roman"/>
                <w:b/>
                <w:bCs/>
                <w:color w:val="auto"/>
                <w:sz w:val="24"/>
              </w:rPr>
              <w:t>）与</w:t>
            </w:r>
            <w:r>
              <w:rPr>
                <w:rFonts w:hint="default" w:ascii="Times New Roman" w:hAnsi="Times New Roman" w:eastAsia="宋体" w:cs="Times New Roman"/>
                <w:b/>
                <w:color w:val="auto"/>
                <w:sz w:val="24"/>
                <w:lang w:val="zh-CN"/>
              </w:rPr>
              <w:t>《省生态环境厅关于进一步做好建设项目环评审批工作的通知》（苏环办[2019]36号）相符性分析</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val="zh-CN" w:eastAsia="zh-CN"/>
              </w:rPr>
              <w:t>表</w:t>
            </w:r>
            <w:r>
              <w:rPr>
                <w:rFonts w:hint="default" w:ascii="Times New Roman" w:hAnsi="Times New Roman" w:eastAsia="宋体" w:cs="Times New Roman"/>
                <w:b/>
                <w:bCs/>
                <w:color w:val="auto"/>
                <w:sz w:val="21"/>
                <w:szCs w:val="21"/>
                <w:lang w:val="en-US" w:eastAsia="zh-CN"/>
              </w:rPr>
              <w:t>1-1</w:t>
            </w:r>
            <w:r>
              <w:rPr>
                <w:rFonts w:hint="eastAsia" w:cs="Times New Roman"/>
                <w:b/>
                <w:bCs/>
                <w:color w:val="auto"/>
                <w:sz w:val="21"/>
                <w:szCs w:val="21"/>
                <w:lang w:val="en-US" w:eastAsia="zh-CN"/>
              </w:rPr>
              <w:t>6</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zh-CN" w:eastAsia="zh-CN"/>
              </w:rPr>
              <w:t xml:space="preserve"> 与苏环办[2019]36号文对照分析</w:t>
            </w:r>
          </w:p>
          <w:tbl>
            <w:tblPr>
              <w:tblStyle w:val="27"/>
              <w:tblW w:w="805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1402"/>
              <w:gridCol w:w="3620"/>
              <w:gridCol w:w="2504"/>
              <w:gridCol w:w="5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19" w:hRule="atLeast"/>
                <w:jc w:val="center"/>
              </w:trPr>
              <w:tc>
                <w:tcPr>
                  <w:tcW w:w="870" w:type="pct"/>
                  <w:vAlign w:val="center"/>
                </w:tcPr>
                <w:p>
                  <w:pPr>
                    <w:autoSpaceDE w:val="0"/>
                    <w:autoSpaceDN w:val="0"/>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类别</w:t>
                  </w:r>
                </w:p>
              </w:tc>
              <w:tc>
                <w:tcPr>
                  <w:tcW w:w="2246" w:type="pct"/>
                  <w:vAlign w:val="center"/>
                </w:tcPr>
                <w:p>
                  <w:pPr>
                    <w:autoSpaceDE w:val="0"/>
                    <w:autoSpaceDN w:val="0"/>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文件要求（建设项目环评审批要点）</w:t>
                  </w:r>
                </w:p>
              </w:tc>
              <w:tc>
                <w:tcPr>
                  <w:tcW w:w="1554" w:type="pct"/>
                  <w:vAlign w:val="center"/>
                </w:tcPr>
                <w:p>
                  <w:pPr>
                    <w:autoSpaceDE w:val="0"/>
                    <w:autoSpaceDN w:val="0"/>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本项目</w:t>
                  </w:r>
                </w:p>
              </w:tc>
              <w:tc>
                <w:tcPr>
                  <w:tcW w:w="328" w:type="pct"/>
                  <w:vAlign w:val="center"/>
                </w:tcPr>
                <w:p>
                  <w:pPr>
                    <w:autoSpaceDE w:val="0"/>
                    <w:autoSpaceDN w:val="0"/>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是否相符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19" w:hRule="atLeast"/>
                <w:jc w:val="center"/>
              </w:trPr>
              <w:tc>
                <w:tcPr>
                  <w:tcW w:w="870" w:type="pct"/>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《建设项目环境保护管理条例》</w:t>
                  </w:r>
                </w:p>
              </w:tc>
              <w:tc>
                <w:tcPr>
                  <w:tcW w:w="2246" w:type="pct"/>
                  <w:vAlign w:val="center"/>
                </w:tcPr>
                <w:p>
                  <w:pPr>
                    <w:autoSpaceDE w:val="0"/>
                    <w:autoSpaceDN w:val="0"/>
                    <w:adjustRightInd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3）建设项目采取的污染防治措施无法确保污染物排放达到国家和地方排放标准，或者未采取必要措施预防和控制生态破坏；（4）改建、扩建和技术改造项目，未针对项目原有环境污染和生态破坏提出有效防治措施；（5）建设项目的环境影响报告书、环境影响报告表的基础资料数据明显不实，内容存在重大缺陷、遗漏，或者环境影响评价结论不明确、不合理。</w:t>
                  </w:r>
                </w:p>
              </w:tc>
              <w:tc>
                <w:tcPr>
                  <w:tcW w:w="1554" w:type="pct"/>
                  <w:vAlign w:val="center"/>
                </w:tcPr>
                <w:p>
                  <w:pPr>
                    <w:autoSpaceDE w:val="0"/>
                    <w:autoSpaceDN w:val="0"/>
                    <w:adjustRightInd w:val="0"/>
                    <w:snapToGrid w:val="0"/>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①本项目所在地规划符合环境保护法律法规和相关法定规划要求；②项目所在区域环境控制质量不达标，本项目采取的措施有效可行，确保污染物稳定达标，区域已经制定限期达标规划，项目建设满足区域环境质量改善目标管理要求；③项目污染物经处理后可稳定达到国家和地方排放标准；④本项目基础数据真实有效，评价结论合理可信。</w:t>
                  </w:r>
                </w:p>
              </w:tc>
              <w:tc>
                <w:tcPr>
                  <w:tcW w:w="328" w:type="pct"/>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153" w:hRule="atLeast"/>
                <w:jc w:val="center"/>
              </w:trPr>
              <w:tc>
                <w:tcPr>
                  <w:tcW w:w="870" w:type="pct"/>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《农用地土壤环境管理办法（试行）》</w:t>
                  </w:r>
                </w:p>
              </w:tc>
              <w:tc>
                <w:tcPr>
                  <w:tcW w:w="2246" w:type="pct"/>
                  <w:vAlign w:val="center"/>
                </w:tcPr>
                <w:p>
                  <w:pPr>
                    <w:autoSpaceDE w:val="0"/>
                    <w:autoSpaceDN w:val="0"/>
                    <w:adjustRightInd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严格控制在优先保护类耕地集中区域新建有色金属冶炼、石油加工、化工、焦化、电镀、制革等行业企业，有关环境保护主管部门依法不予审批可能造成耕地土壤污染的建设项目环境影响报告书或者报告表。</w:t>
                  </w:r>
                </w:p>
              </w:tc>
              <w:tc>
                <w:tcPr>
                  <w:tcW w:w="1554" w:type="pct"/>
                  <w:vAlign w:val="center"/>
                </w:tcPr>
                <w:p>
                  <w:pPr>
                    <w:autoSpaceDE w:val="0"/>
                    <w:autoSpaceDN w:val="0"/>
                    <w:adjustRightInd w:val="0"/>
                    <w:snapToGrid w:val="0"/>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本项目位于</w:t>
                  </w:r>
                  <w:r>
                    <w:rPr>
                      <w:rFonts w:hint="eastAsia" w:cs="Times New Roman"/>
                      <w:bCs/>
                      <w:color w:val="auto"/>
                      <w:szCs w:val="21"/>
                      <w:lang w:eastAsia="zh-CN"/>
                    </w:rPr>
                    <w:t>常州市金坛区金城镇红山路33号</w:t>
                  </w:r>
                  <w:r>
                    <w:rPr>
                      <w:rFonts w:hint="default" w:ascii="Times New Roman" w:hAnsi="Times New Roman" w:eastAsia="宋体" w:cs="Times New Roman"/>
                      <w:color w:val="auto"/>
                      <w:szCs w:val="21"/>
                    </w:rPr>
                    <w:t>，用地性质为工业用地。</w:t>
                  </w:r>
                </w:p>
              </w:tc>
              <w:tc>
                <w:tcPr>
                  <w:tcW w:w="328" w:type="pct"/>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32" w:hRule="atLeast"/>
                <w:jc w:val="center"/>
              </w:trPr>
              <w:tc>
                <w:tcPr>
                  <w:tcW w:w="870" w:type="pct"/>
                  <w:vAlign w:val="center"/>
                </w:tcPr>
                <w:p>
                  <w:pPr>
                    <w:autoSpaceDE w:val="0"/>
                    <w:autoSpaceDN w:val="0"/>
                    <w:adjustRightInd w:val="0"/>
                    <w:snapToGrid w:val="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《关于印发&lt;建设项目主要污染物排放总量指标审核及管理暂行办法&gt;的通知》</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环发〔2014〕197号</w:t>
                  </w:r>
                  <w:r>
                    <w:rPr>
                      <w:rFonts w:hint="eastAsia" w:ascii="Times New Roman" w:hAnsi="Times New Roman" w:eastAsia="宋体" w:cs="Times New Roman"/>
                      <w:color w:val="auto"/>
                      <w:szCs w:val="21"/>
                      <w:lang w:val="en-US" w:eastAsia="zh-CN"/>
                    </w:rPr>
                    <w:t>)</w:t>
                  </w:r>
                </w:p>
              </w:tc>
              <w:tc>
                <w:tcPr>
                  <w:tcW w:w="2246" w:type="pct"/>
                  <w:vAlign w:val="center"/>
                </w:tcPr>
                <w:p>
                  <w:pPr>
                    <w:autoSpaceDE w:val="0"/>
                    <w:autoSpaceDN w:val="0"/>
                    <w:adjustRightInd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严格落实污染物排放总量控制制度，把主要污染物排放总量指标作为建设项目环境影响评价审批的前置条件。排放主要污染物的建设项目，在环境影响评价文件审批前，须取得主要污染物排放总量指标。</w:t>
                  </w:r>
                </w:p>
              </w:tc>
              <w:tc>
                <w:tcPr>
                  <w:tcW w:w="1554" w:type="pct"/>
                  <w:vAlign w:val="center"/>
                </w:tcPr>
                <w:p>
                  <w:pPr>
                    <w:autoSpaceDE w:val="0"/>
                    <w:autoSpaceDN w:val="0"/>
                    <w:adjustRightInd w:val="0"/>
                    <w:snapToGrid w:val="0"/>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本项目拟在环境影响评价文件审批前，取得主要污染物排放总量指标。</w:t>
                  </w:r>
                </w:p>
              </w:tc>
              <w:tc>
                <w:tcPr>
                  <w:tcW w:w="328" w:type="pct"/>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18" w:hRule="atLeast"/>
                <w:jc w:val="center"/>
              </w:trPr>
              <w:tc>
                <w:tcPr>
                  <w:tcW w:w="870" w:type="pct"/>
                  <w:vAlign w:val="center"/>
                </w:tcPr>
                <w:p>
                  <w:pPr>
                    <w:autoSpaceDE w:val="0"/>
                    <w:autoSpaceDN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《关于以改善环境质量为核心加强环境影响评价管理的通知》（环环评〔2016〕150号）</w:t>
                  </w:r>
                </w:p>
              </w:tc>
              <w:tc>
                <w:tcPr>
                  <w:tcW w:w="2246" w:type="pct"/>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规划环评要作为规划所包含项目环评的重要依据，对于不符合规划环评结论及审查意见的项目环评，依法不予审批。</w:t>
                  </w: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对于现有同类型项目环境污染或生态破坏严重、环境违法违规现象多发，致使环境容量接近或超过承载能力的地区，在现有问题整改到位前，依法暂停审批该地区同类行业的项目环评文件。</w:t>
                  </w: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对环境质量现状超标的地区，项目拟采取的措施不能满足区域环境质量改善目标管理要求的，依法不予审批其环评文件。对未达到环境质量目标考核要求的地区，除民生项目与节能减排项目外，依法暂停审批该地区新增排放相应重点污染物的项目环评文件。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554" w:type="pct"/>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本项目建设内容符合所在区域定位，且不在生态保护红线范围内；</w:t>
                  </w:r>
                </w:p>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项目所在地为非达标区，</w:t>
                  </w:r>
                  <w:r>
                    <w:rPr>
                      <w:rFonts w:hint="default" w:ascii="Times New Roman" w:hAnsi="Times New Roman" w:eastAsia="宋体" w:cs="Times New Roman"/>
                      <w:color w:val="auto"/>
                      <w:szCs w:val="21"/>
                      <w:highlight w:val="none"/>
                    </w:rPr>
                    <w:t>本项目各废气因子排放量较小，</w:t>
                  </w:r>
                  <w:r>
                    <w:rPr>
                      <w:rFonts w:hint="default" w:ascii="Times New Roman" w:hAnsi="Times New Roman" w:eastAsia="宋体" w:cs="Times New Roman"/>
                      <w:color w:val="auto"/>
                      <w:szCs w:val="21"/>
                    </w:rPr>
                    <w:t>对周围保护目标影响均较小，均未超过各因子的环境质量标准。因此，项目排放的大气污染物对周围空气环境影响较小。</w:t>
                  </w:r>
                </w:p>
              </w:tc>
              <w:tc>
                <w:tcPr>
                  <w:tcW w:w="328" w:type="pct"/>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94" w:hRule="atLeast"/>
                <w:jc w:val="center"/>
              </w:trPr>
              <w:tc>
                <w:tcPr>
                  <w:tcW w:w="870" w:type="pct"/>
                  <w:vAlign w:val="center"/>
                </w:tcPr>
                <w:p>
                  <w:pPr>
                    <w:autoSpaceDE w:val="0"/>
                    <w:autoSpaceDN w:val="0"/>
                    <w:snapToGrid w:val="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《关于全面加强生态环境保护坚决打好污染防治攻坚战的实施意见》</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苏发</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2018</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24号</w:t>
                  </w:r>
                  <w:r>
                    <w:rPr>
                      <w:rFonts w:hint="eastAsia" w:ascii="Times New Roman" w:hAnsi="Times New Roman" w:eastAsia="宋体" w:cs="Times New Roman"/>
                      <w:color w:val="auto"/>
                      <w:szCs w:val="21"/>
                      <w:lang w:val="en-US" w:eastAsia="zh-CN"/>
                    </w:rPr>
                    <w:t>)</w:t>
                  </w:r>
                </w:p>
              </w:tc>
              <w:tc>
                <w:tcPr>
                  <w:tcW w:w="2246" w:type="pct"/>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严禁在长江干流及主要支流岸线1公里范围内新建布局化工园区和化工企业。严格化工项目环评审批，提高准入门槛，新建化工项目原则上投资额不得低于10亿元，不得新建、改建、扩建三类中间体项目。</w:t>
                  </w:r>
                </w:p>
              </w:tc>
              <w:tc>
                <w:tcPr>
                  <w:tcW w:w="1554" w:type="pct"/>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本项目不属于化工企业。</w:t>
                  </w:r>
                </w:p>
              </w:tc>
              <w:tc>
                <w:tcPr>
                  <w:tcW w:w="328" w:type="pct"/>
                  <w:vAlign w:val="center"/>
                </w:tcPr>
                <w:p>
                  <w:pPr>
                    <w:autoSpaceDE w:val="0"/>
                    <w:autoSpaceDN w:val="0"/>
                    <w:snapToGrid w:val="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918" w:hRule="atLeast"/>
                <w:jc w:val="center"/>
              </w:trPr>
              <w:tc>
                <w:tcPr>
                  <w:tcW w:w="870" w:type="pct"/>
                  <w:vAlign w:val="center"/>
                </w:tcPr>
                <w:p>
                  <w:pPr>
                    <w:autoSpaceDE w:val="0"/>
                    <w:autoSpaceDN w:val="0"/>
                    <w:adjustRightInd w:val="0"/>
                    <w:snapToGrid w:val="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《省政府关于印发江苏省国家级生态保护红线规划的通知》</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苏政发〔2018〕74号</w:t>
                  </w:r>
                  <w:r>
                    <w:rPr>
                      <w:rFonts w:hint="eastAsia" w:ascii="Times New Roman" w:hAnsi="Times New Roman" w:eastAsia="宋体" w:cs="Times New Roman"/>
                      <w:color w:val="auto"/>
                      <w:szCs w:val="21"/>
                      <w:lang w:val="en-US" w:eastAsia="zh-CN"/>
                    </w:rPr>
                    <w:t>)</w:t>
                  </w:r>
                </w:p>
              </w:tc>
              <w:tc>
                <w:tcPr>
                  <w:tcW w:w="2246" w:type="pct"/>
                  <w:vAlign w:val="center"/>
                </w:tcPr>
                <w:p>
                  <w:pPr>
                    <w:autoSpaceDE w:val="0"/>
                    <w:autoSpaceDN w:val="0"/>
                    <w:adjustRightInd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生态保护红线原则上按禁止开发区域的要求进行管理，严禁不符合主体功能定位的各类开发活动，严禁任意改变用途。</w:t>
                  </w:r>
                </w:p>
              </w:tc>
              <w:tc>
                <w:tcPr>
                  <w:tcW w:w="1554" w:type="pct"/>
                  <w:vAlign w:val="center"/>
                </w:tcPr>
                <w:p>
                  <w:pPr>
                    <w:autoSpaceDE w:val="0"/>
                    <w:autoSpaceDN w:val="0"/>
                    <w:adjustRightInd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本项目不在生态保护红线内。</w:t>
                  </w:r>
                </w:p>
              </w:tc>
              <w:tc>
                <w:tcPr>
                  <w:tcW w:w="328" w:type="pct"/>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670" w:hRule="atLeast"/>
                <w:jc w:val="center"/>
              </w:trPr>
              <w:tc>
                <w:tcPr>
                  <w:tcW w:w="870" w:type="pct"/>
                  <w:vAlign w:val="center"/>
                </w:tcPr>
                <w:p>
                  <w:pPr>
                    <w:autoSpaceDE w:val="0"/>
                    <w:autoSpaceDN w:val="0"/>
                    <w:snapToGrid w:val="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推动长江经济带发展领导小组办公室关于印发《长江经济带发展负面清单指南（试行，2022年版）》的通知（长江办〔2022〕7号）</w:t>
                  </w:r>
                </w:p>
              </w:tc>
              <w:tc>
                <w:tcPr>
                  <w:tcW w:w="2246" w:type="pct"/>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禁止建设不符合全国和省级港口布局规划以及港口总体规划的码头项目，禁止建设不符合《长江干线过江通道布局规划》的过长江通道项目。2.禁止在自然保护区核心区、缓冲区的岸线和河段范围内投资建设旅游和生产经营项目。禁止在风景名胜区核心景区的岸线和河段范围内投资建设与风景名胜资源保护无关的项目。3.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4.禁止在水产种质资源保护区的岸线和河段范围内新建围湖造田、围海造地或围填海等投资建设项目。禁止在国家湿地公园的岸线和河段范围内挖沙、采矿，以及任何不符合主体功能定位的投资建设项目。5.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油水功能区划》划定的河段及湖泊保护区、保留区内投资建设不利于水资源及自然生态保护的项目。6．禁止未经许可在长江</w:t>
                  </w:r>
                  <w:r>
                    <w:rPr>
                      <w:rFonts w:hint="eastAsia"/>
                      <w:color w:val="auto"/>
                      <w:lang w:val="en-US" w:eastAsia="zh-CN"/>
                    </w:rPr>
                    <w:t>干支流</w:t>
                  </w:r>
                  <w:r>
                    <w:rPr>
                      <w:rFonts w:hint="default" w:ascii="Times New Roman" w:hAnsi="Times New Roman" w:eastAsia="宋体" w:cs="Times New Roman"/>
                      <w:color w:val="auto"/>
                      <w:szCs w:val="21"/>
                    </w:rPr>
                    <w:t>及湖泊新设、改设或扩大排污口。7．禁止在“一江一口两湖七河”和332个水生生物保护区开展生产性捕捞。8.禁止在长江</w:t>
                  </w:r>
                  <w:r>
                    <w:rPr>
                      <w:rFonts w:hint="eastAsia"/>
                      <w:color w:val="auto"/>
                      <w:lang w:val="en-US" w:eastAsia="zh-CN"/>
                    </w:rPr>
                    <w:t>干</w:t>
                  </w:r>
                  <w:r>
                    <w:rPr>
                      <w:rFonts w:hint="default" w:ascii="Times New Roman" w:hAnsi="Times New Roman" w:eastAsia="宋体" w:cs="Times New Roman"/>
                      <w:color w:val="auto"/>
                      <w:szCs w:val="21"/>
                    </w:rPr>
                    <w:t>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9.禁止在合规园区外新建、扩建钢铁、石化、化工、焦化、建材、有色、制浆造纸等高污染项目。10.禁止新建、扩建不符合国家石化、现代煤化工等产业布局规划的项目。11.禁止新建、扩建法律法规和相关政策明令禁止的落后产能项目。禁止新建、扩建不符合国家产能置换要求的严重过剩产能行业的项目。禁止新建、扩建不符合要求的高耗能高排放项目。12，法律法规及相关政策文件有更加严格规定的从其规定。</w:t>
                  </w:r>
                </w:p>
              </w:tc>
              <w:tc>
                <w:tcPr>
                  <w:tcW w:w="1554" w:type="pct"/>
                  <w:vAlign w:val="center"/>
                </w:tcPr>
                <w:p>
                  <w:pPr>
                    <w:autoSpaceDE w:val="0"/>
                    <w:autoSpaceDN w:val="0"/>
                    <w:snapToGrid w:val="0"/>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本项目不属于禁止建设项目。</w:t>
                  </w:r>
                </w:p>
              </w:tc>
              <w:tc>
                <w:tcPr>
                  <w:tcW w:w="328" w:type="pct"/>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bl>
          <w:p>
            <w:pPr>
              <w:autoSpaceDE w:val="0"/>
              <w:autoSpaceDN w:val="0"/>
              <w:adjustRightInd w:val="0"/>
              <w:snapToGrid w:val="0"/>
              <w:rPr>
                <w:rFonts w:hint="default" w:ascii="Times New Roman" w:hAnsi="Times New Roman" w:eastAsia="宋体" w:cs="Times New Roman"/>
                <w:color w:val="auto"/>
                <w:kern w:val="0"/>
                <w:szCs w:val="21"/>
              </w:rPr>
            </w:pP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0"/>
        <w:rPr>
          <w:rFonts w:hint="default" w:ascii="Times New Roman" w:hAnsi="Times New Roman" w:eastAsia="黑体" w:cs="Times New Roman"/>
          <w:color w:val="auto"/>
          <w:sz w:val="10"/>
          <w:szCs w:val="10"/>
        </w:rPr>
        <w:sectPr>
          <w:footerReference r:id="rId3" w:type="default"/>
          <w:pgSz w:w="11906" w:h="16838"/>
          <w:pgMar w:top="1417" w:right="1417" w:bottom="1417" w:left="1417"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pPr>
      <w:bookmarkStart w:id="2" w:name="_Toc19526"/>
      <w:r>
        <w:rPr>
          <w:rFonts w:hint="default" w:ascii="Times New Roman" w:hAnsi="Times New Roman" w:eastAsia="黑体" w:cs="Times New Roman"/>
          <w:snapToGrid w:val="0"/>
          <w:color w:val="auto"/>
          <w:sz w:val="30"/>
          <w:szCs w:val="30"/>
        </w:rPr>
        <w:t>二、建设项目工程分析</w:t>
      </w:r>
      <w:bookmarkEnd w:id="2"/>
    </w:p>
    <w:tbl>
      <w:tblPr>
        <w:tblStyle w:val="2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8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0" w:hRule="atLeast"/>
        </w:trPr>
        <w:tc>
          <w:tcPr>
            <w:tcW w:w="777" w:type="dxa"/>
            <w:vAlign w:val="center"/>
          </w:tcPr>
          <w:p>
            <w:pPr>
              <w:pStyle w:val="25"/>
              <w:adjustRightInd w:val="0"/>
              <w:snapToGrid w:val="0"/>
              <w:spacing w:before="0" w:beforeAutospacing="0" w:after="0" w:afterAutospacing="0"/>
              <w:jc w:val="center"/>
              <w:rPr>
                <w:rFonts w:hint="default" w:ascii="Times New Roman" w:hAnsi="Times New Roman" w:cs="Times New Roman"/>
                <w:color w:val="auto"/>
                <w:szCs w:val="24"/>
              </w:rPr>
            </w:pPr>
            <w:r>
              <w:rPr>
                <w:rFonts w:hint="default" w:ascii="Times New Roman" w:hAnsi="Times New Roman" w:cs="Times New Roman"/>
                <w:color w:val="auto"/>
                <w:szCs w:val="24"/>
              </w:rPr>
              <w:t>建设内容</w:t>
            </w:r>
          </w:p>
        </w:tc>
        <w:tc>
          <w:tcPr>
            <w:tcW w:w="8283" w:type="dxa"/>
          </w:tcPr>
          <w:p>
            <w:pPr>
              <w:snapToGrid w:val="0"/>
              <w:spacing w:line="500" w:lineRule="exact"/>
              <w:rPr>
                <w:rFonts w:hint="default" w:ascii="Times New Roman" w:hAnsi="Times New Roman" w:cs="Times New Roman"/>
                <w:b/>
                <w:color w:val="auto"/>
                <w:sz w:val="24"/>
              </w:rPr>
            </w:pPr>
            <w:r>
              <w:rPr>
                <w:rFonts w:hint="default" w:ascii="Times New Roman" w:hAnsi="Times New Roman" w:cs="Times New Roman"/>
                <w:b/>
                <w:color w:val="auto"/>
                <w:sz w:val="24"/>
              </w:rPr>
              <w:t>1、项目由来</w:t>
            </w:r>
          </w:p>
          <w:p>
            <w:pPr>
              <w:widowControl/>
              <w:spacing w:line="500" w:lineRule="exact"/>
              <w:ind w:firstLine="480" w:firstLineChars="200"/>
              <w:rPr>
                <w:rFonts w:hint="eastAsia" w:ascii="Times New Roman" w:hAnsi="Times New Roman" w:eastAsia="宋体" w:cs="Times New Roman"/>
                <w:color w:val="auto"/>
                <w:sz w:val="24"/>
                <w:lang w:eastAsia="zh-CN"/>
              </w:rPr>
            </w:pPr>
            <w:r>
              <w:rPr>
                <w:rFonts w:hint="eastAsia" w:cs="Times New Roman"/>
                <w:bCs/>
                <w:color w:val="auto"/>
                <w:sz w:val="24"/>
                <w:lang w:eastAsia="zh-CN"/>
              </w:rPr>
              <w:t>常州盛业汽车零部件有限公司</w:t>
            </w:r>
            <w:r>
              <w:rPr>
                <w:rFonts w:hint="default" w:ascii="Times New Roman" w:hAnsi="Times New Roman" w:eastAsia="宋体" w:cs="Times New Roman"/>
                <w:bCs/>
                <w:color w:val="auto"/>
                <w:sz w:val="24"/>
              </w:rPr>
              <w:t>（以下简称</w:t>
            </w:r>
            <w:r>
              <w:rPr>
                <w:rFonts w:hint="eastAsia" w:cs="Times New Roman"/>
                <w:bCs/>
                <w:color w:val="auto"/>
                <w:sz w:val="24"/>
                <w:lang w:eastAsia="zh-CN"/>
              </w:rPr>
              <w:t>“盛业汽车”</w:t>
            </w:r>
            <w:r>
              <w:rPr>
                <w:rFonts w:hint="default" w:ascii="Times New Roman" w:hAnsi="Times New Roman" w:eastAsia="宋体" w:cs="Times New Roman"/>
                <w:bCs/>
                <w:color w:val="auto"/>
                <w:sz w:val="24"/>
              </w:rPr>
              <w:t>）成立于201</w:t>
            </w:r>
            <w:r>
              <w:rPr>
                <w:rFonts w:hint="eastAsia" w:cs="Times New Roman"/>
                <w:bCs/>
                <w:color w:val="auto"/>
                <w:sz w:val="24"/>
                <w:lang w:val="en-US" w:eastAsia="zh-CN"/>
              </w:rPr>
              <w:t>0</w:t>
            </w:r>
            <w:r>
              <w:rPr>
                <w:rFonts w:hint="default" w:ascii="Times New Roman" w:hAnsi="Times New Roman" w:eastAsia="宋体" w:cs="Times New Roman"/>
                <w:bCs/>
                <w:color w:val="auto"/>
                <w:sz w:val="24"/>
              </w:rPr>
              <w:t>年1月</w:t>
            </w:r>
            <w:r>
              <w:rPr>
                <w:rFonts w:hint="eastAsia" w:cs="Times New Roman"/>
                <w:bCs/>
                <w:color w:val="auto"/>
                <w:sz w:val="24"/>
                <w:lang w:val="en-US" w:eastAsia="zh-CN"/>
              </w:rPr>
              <w:t>14</w:t>
            </w:r>
            <w:r>
              <w:rPr>
                <w:rFonts w:hint="default" w:ascii="Times New Roman" w:hAnsi="Times New Roman" w:eastAsia="宋体" w:cs="Times New Roman"/>
                <w:bCs/>
                <w:color w:val="auto"/>
                <w:sz w:val="24"/>
              </w:rPr>
              <w:t>日，企业类型为有限责任公司（自然人投资），地址为</w:t>
            </w:r>
            <w:r>
              <w:rPr>
                <w:rFonts w:hint="eastAsia" w:ascii="Times New Roman" w:hAnsi="Times New Roman" w:eastAsia="宋体" w:cs="Times New Roman"/>
                <w:bCs/>
                <w:color w:val="auto"/>
                <w:sz w:val="24"/>
                <w:lang w:eastAsia="zh-CN"/>
              </w:rPr>
              <w:t>常州市金坛区金城镇红山路33号</w:t>
            </w:r>
            <w:r>
              <w:rPr>
                <w:rFonts w:hint="default" w:ascii="Times New Roman" w:hAnsi="Times New Roman" w:eastAsia="宋体" w:cs="Times New Roman"/>
                <w:bCs/>
                <w:color w:val="auto"/>
                <w:sz w:val="24"/>
              </w:rPr>
              <w:t>，注册资金为</w:t>
            </w:r>
            <w:r>
              <w:rPr>
                <w:rFonts w:hint="eastAsia" w:ascii="Times New Roman" w:hAnsi="Times New Roman" w:eastAsia="宋体" w:cs="Times New Roman"/>
                <w:bCs/>
                <w:color w:val="auto"/>
                <w:sz w:val="24"/>
                <w:lang w:val="en-US" w:eastAsia="zh-CN"/>
              </w:rPr>
              <w:t>1</w:t>
            </w:r>
            <w:r>
              <w:rPr>
                <w:rFonts w:hint="default" w:ascii="Times New Roman" w:hAnsi="Times New Roman" w:eastAsia="宋体" w:cs="Times New Roman"/>
                <w:bCs/>
                <w:color w:val="auto"/>
                <w:sz w:val="24"/>
              </w:rPr>
              <w:t>00万元，经营范围为“汽车零部件、工程机械零部件、五金制品的生产、加工、销售。（依法须经批准的项目，经相关部门批</w:t>
            </w:r>
            <w:r>
              <w:rPr>
                <w:rFonts w:hint="default" w:ascii="Times New Roman" w:hAnsi="Times New Roman" w:eastAsia="宋体" w:cs="Times New Roman"/>
                <w:bCs/>
                <w:color w:val="auto"/>
                <w:sz w:val="24"/>
                <w:szCs w:val="22"/>
              </w:rPr>
              <w:t>准后方可开展经营活动）”</w:t>
            </w:r>
            <w:r>
              <w:rPr>
                <w:rFonts w:hint="eastAsia" w:ascii="Times New Roman" w:hAnsi="Times New Roman" w:eastAsia="宋体" w:cs="Times New Roman"/>
                <w:bCs/>
                <w:color w:val="auto"/>
                <w:sz w:val="24"/>
                <w:szCs w:val="22"/>
                <w:lang w:eastAsia="zh-CN"/>
              </w:rPr>
              <w:t>。</w:t>
            </w:r>
          </w:p>
          <w:p>
            <w:pPr>
              <w:widowControl/>
              <w:spacing w:line="500" w:lineRule="exact"/>
              <w:ind w:firstLine="480" w:firstLineChars="200"/>
              <w:rPr>
                <w:rFonts w:hint="default" w:ascii="Times New Roman" w:hAnsi="Times New Roman" w:eastAsia="宋体" w:cs="Times New Roman"/>
                <w:color w:val="0000FF"/>
                <w:sz w:val="24"/>
                <w:szCs w:val="24"/>
                <w:lang w:val="en-US" w:eastAsia="zh-CN"/>
              </w:rPr>
            </w:pPr>
            <w:r>
              <w:rPr>
                <w:rFonts w:hint="default" w:ascii="Times New Roman" w:hAnsi="Times New Roman" w:cs="Times New Roman"/>
                <w:color w:val="auto"/>
                <w:sz w:val="24"/>
              </w:rPr>
              <w:t>企</w:t>
            </w:r>
            <w:r>
              <w:rPr>
                <w:rFonts w:hint="default" w:ascii="Times New Roman" w:hAnsi="Times New Roman" w:eastAsia="宋体" w:cs="Times New Roman"/>
                <w:bCs/>
                <w:color w:val="auto"/>
                <w:sz w:val="24"/>
              </w:rPr>
              <w:t>业</w:t>
            </w:r>
            <w:r>
              <w:rPr>
                <w:rFonts w:hint="eastAsia" w:ascii="Times New Roman" w:hAnsi="Times New Roman" w:eastAsia="宋体" w:cs="Times New Roman"/>
                <w:bCs/>
                <w:color w:val="auto"/>
                <w:sz w:val="24"/>
                <w:lang w:eastAsia="zh-CN"/>
              </w:rPr>
              <w:t>《年产汽车内饰件</w:t>
            </w:r>
            <w:r>
              <w:rPr>
                <w:rFonts w:hint="eastAsia" w:ascii="Times New Roman" w:hAnsi="Times New Roman" w:eastAsia="宋体" w:cs="Times New Roman"/>
                <w:bCs/>
                <w:color w:val="auto"/>
                <w:sz w:val="24"/>
                <w:lang w:val="en-US" w:eastAsia="zh-CN"/>
              </w:rPr>
              <w:t>20万套项目</w:t>
            </w:r>
            <w:r>
              <w:rPr>
                <w:rFonts w:hint="default" w:ascii="Times New Roman" w:hAnsi="Times New Roman" w:eastAsia="宋体" w:cs="Times New Roman"/>
                <w:bCs/>
                <w:color w:val="auto"/>
                <w:sz w:val="24"/>
                <w:lang w:eastAsia="zh-CN"/>
              </w:rPr>
              <w:t>环境影响报告</w:t>
            </w:r>
            <w:r>
              <w:rPr>
                <w:rFonts w:hint="eastAsia" w:ascii="Times New Roman" w:hAnsi="Times New Roman" w:eastAsia="宋体" w:cs="Times New Roman"/>
                <w:bCs/>
                <w:color w:val="auto"/>
                <w:sz w:val="24"/>
                <w:lang w:eastAsia="zh-CN"/>
              </w:rPr>
              <w:t>表》</w:t>
            </w:r>
            <w:r>
              <w:rPr>
                <w:rFonts w:hint="eastAsia" w:ascii="Times New Roman" w:hAnsi="Times New Roman" w:eastAsia="宋体" w:cs="Times New Roman"/>
                <w:bCs/>
                <w:color w:val="auto"/>
                <w:sz w:val="24"/>
                <w:lang w:val="en-US" w:eastAsia="zh-CN"/>
              </w:rPr>
              <w:t>于</w:t>
            </w:r>
            <w:r>
              <w:rPr>
                <w:rFonts w:hint="eastAsia" w:cs="Times New Roman"/>
                <w:color w:val="auto"/>
                <w:sz w:val="24"/>
                <w:lang w:val="en-US" w:eastAsia="zh-CN"/>
              </w:rPr>
              <w:t>2016年3月7日取得金坛区环境保护局审批意见（坛环审[2016]23号），</w:t>
            </w:r>
            <w:r>
              <w:rPr>
                <w:rFonts w:hint="eastAsia" w:cs="Times New Roman"/>
                <w:color w:val="auto"/>
                <w:sz w:val="24"/>
                <w:szCs w:val="24"/>
                <w:lang w:eastAsia="zh-CN"/>
              </w:rPr>
              <w:t>该项目</w:t>
            </w:r>
            <w:r>
              <w:rPr>
                <w:rFonts w:hint="default" w:ascii="Times New Roman" w:hAnsi="Times New Roman" w:eastAsia="宋体" w:cs="Times New Roman"/>
                <w:color w:val="auto"/>
                <w:sz w:val="24"/>
                <w:szCs w:val="24"/>
              </w:rPr>
              <w:t>于2016年展开了自查评估工作，并于2017年2月20日纳入环境保护违法违规建设项目完善备案名单。</w:t>
            </w:r>
            <w:r>
              <w:rPr>
                <w:rFonts w:hint="eastAsia" w:ascii="Times New Roman" w:hAnsi="Times New Roman" w:eastAsia="宋体" w:cs="Times New Roman"/>
                <w:color w:val="auto"/>
                <w:sz w:val="24"/>
                <w:szCs w:val="24"/>
                <w:lang w:val="en-US" w:eastAsia="zh-CN"/>
              </w:rPr>
              <w:t>由于废气治理措施发生变化，公司于202</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年10月</w:t>
            </w:r>
            <w:r>
              <w:rPr>
                <w:rFonts w:hint="eastAsia" w:cs="Times New Roman"/>
                <w:color w:val="auto"/>
                <w:sz w:val="24"/>
                <w:szCs w:val="24"/>
                <w:lang w:val="en-US" w:eastAsia="zh-CN"/>
              </w:rPr>
              <w:t>16</w:t>
            </w:r>
            <w:r>
              <w:rPr>
                <w:rFonts w:hint="eastAsia" w:ascii="Times New Roman" w:hAnsi="Times New Roman" w:eastAsia="宋体" w:cs="Times New Roman"/>
                <w:color w:val="auto"/>
                <w:sz w:val="24"/>
                <w:szCs w:val="24"/>
                <w:lang w:val="en-US" w:eastAsia="zh-CN"/>
              </w:rPr>
              <w:t>日申报了“</w:t>
            </w:r>
            <w:r>
              <w:rPr>
                <w:rFonts w:hint="eastAsia" w:cs="Times New Roman"/>
                <w:color w:val="auto"/>
                <w:sz w:val="24"/>
                <w:szCs w:val="24"/>
                <w:lang w:val="en-US" w:eastAsia="zh-CN"/>
              </w:rPr>
              <w:t>有机</w:t>
            </w:r>
            <w:r>
              <w:rPr>
                <w:rFonts w:hint="eastAsia" w:ascii="Times New Roman" w:hAnsi="Times New Roman" w:eastAsia="宋体" w:cs="Times New Roman"/>
                <w:color w:val="auto"/>
                <w:sz w:val="24"/>
                <w:szCs w:val="24"/>
                <w:lang w:val="en-US" w:eastAsia="zh-CN"/>
              </w:rPr>
              <w:t>废气整治项目环境影响登记表”并在常州市生态环境局备案，备案号为</w:t>
            </w:r>
            <w:r>
              <w:rPr>
                <w:rFonts w:hint="eastAsia" w:cs="Times New Roman"/>
                <w:color w:val="auto"/>
                <w:sz w:val="24"/>
                <w:szCs w:val="24"/>
                <w:lang w:val="en-US" w:eastAsia="zh-CN"/>
              </w:rPr>
              <w:t>202332041300000634</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 xml:space="preserve"> </w:t>
            </w:r>
          </w:p>
          <w:p>
            <w:pPr>
              <w:widowControl/>
              <w:spacing w:line="500" w:lineRule="exact"/>
              <w:ind w:firstLine="480" w:firstLineChars="200"/>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目前厂区实际拥有年产</w:t>
            </w:r>
            <w:r>
              <w:rPr>
                <w:rFonts w:hint="eastAsia" w:ascii="Times New Roman" w:hAnsi="Times New Roman" w:eastAsia="宋体" w:cs="Times New Roman"/>
                <w:color w:val="auto"/>
                <w:sz w:val="24"/>
                <w:szCs w:val="24"/>
                <w:highlight w:val="none"/>
                <w:lang w:val="en-US" w:eastAsia="zh-CN"/>
              </w:rPr>
              <w:t>地毯7万件</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车门内饰板8万套、备胎盖5万套</w:t>
            </w:r>
            <w:r>
              <w:rPr>
                <w:rFonts w:hint="default" w:ascii="Times New Roman" w:hAnsi="Times New Roman" w:eastAsia="宋体" w:cs="Times New Roman"/>
                <w:color w:val="auto"/>
                <w:sz w:val="24"/>
                <w:szCs w:val="24"/>
                <w:highlight w:val="none"/>
                <w:lang w:val="en-US" w:eastAsia="zh-CN"/>
              </w:rPr>
              <w:t>的生产规模</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企业于202</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月</w:t>
            </w:r>
            <w:r>
              <w:rPr>
                <w:rFonts w:hint="eastAsia"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lang w:eastAsia="zh-CN"/>
              </w:rPr>
              <w:t>日取得了排污</w:t>
            </w:r>
            <w:r>
              <w:rPr>
                <w:rFonts w:hint="eastAsia" w:ascii="Times New Roman" w:hAnsi="Times New Roman" w:eastAsia="宋体" w:cs="Times New Roman"/>
                <w:color w:val="auto"/>
                <w:sz w:val="24"/>
                <w:szCs w:val="24"/>
                <w:highlight w:val="none"/>
                <w:lang w:val="en-US" w:eastAsia="zh-CN"/>
              </w:rPr>
              <w:t>登记回执</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登记</w:t>
            </w:r>
            <w:r>
              <w:rPr>
                <w:rFonts w:hint="default" w:ascii="Times New Roman" w:hAnsi="Times New Roman" w:eastAsia="宋体" w:cs="Times New Roman"/>
                <w:color w:val="auto"/>
                <w:sz w:val="24"/>
                <w:szCs w:val="24"/>
                <w:highlight w:val="none"/>
                <w:lang w:eastAsia="zh-CN"/>
              </w:rPr>
              <w:t>编号：</w:t>
            </w:r>
            <w:r>
              <w:rPr>
                <w:rFonts w:hint="eastAsia" w:ascii="Times New Roman" w:hAnsi="Times New Roman" w:eastAsia="宋体" w:cs="Times New Roman"/>
                <w:color w:val="auto"/>
                <w:sz w:val="24"/>
                <w:szCs w:val="24"/>
                <w:highlight w:val="none"/>
                <w:lang w:eastAsia="zh-CN"/>
              </w:rPr>
              <w:t>913204136993973038002Z</w:t>
            </w:r>
            <w:r>
              <w:rPr>
                <w:rFonts w:hint="default" w:ascii="Times New Roman" w:hAnsi="Times New Roman" w:eastAsia="宋体" w:cs="Times New Roman"/>
                <w:color w:val="auto"/>
                <w:sz w:val="24"/>
                <w:szCs w:val="24"/>
                <w:highlight w:val="none"/>
                <w:lang w:eastAsia="zh-CN"/>
              </w:rPr>
              <w:t>。</w:t>
            </w:r>
          </w:p>
          <w:p>
            <w:pPr>
              <w:widowControl/>
              <w:spacing w:line="500" w:lineRule="exact"/>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为了适应</w:t>
            </w:r>
            <w:r>
              <w:rPr>
                <w:rFonts w:hint="eastAsia" w:ascii="Times New Roman" w:hAnsi="Times New Roman" w:eastAsia="宋体" w:cs="Times New Roman"/>
                <w:color w:val="auto"/>
                <w:sz w:val="24"/>
                <w:szCs w:val="24"/>
                <w:highlight w:val="none"/>
                <w:lang w:eastAsia="zh-CN"/>
              </w:rPr>
              <w:t>汽车轻量化发展</w:t>
            </w:r>
            <w:r>
              <w:rPr>
                <w:rFonts w:hint="default" w:ascii="Times New Roman" w:hAnsi="Times New Roman" w:eastAsia="宋体" w:cs="Times New Roman"/>
                <w:color w:val="auto"/>
                <w:sz w:val="24"/>
                <w:szCs w:val="24"/>
                <w:highlight w:val="none"/>
                <w:lang w:eastAsia="zh-CN"/>
              </w:rPr>
              <w:t>需求，进一步加强公司</w:t>
            </w:r>
            <w:r>
              <w:rPr>
                <w:rFonts w:hint="eastAsia" w:ascii="Times New Roman" w:hAnsi="Times New Roman" w:eastAsia="宋体" w:cs="Times New Roman"/>
                <w:color w:val="auto"/>
                <w:sz w:val="24"/>
                <w:szCs w:val="24"/>
                <w:highlight w:val="none"/>
                <w:lang w:val="en-US" w:eastAsia="zh-CN"/>
              </w:rPr>
              <w:t>产品</w:t>
            </w:r>
            <w:r>
              <w:rPr>
                <w:rFonts w:hint="default" w:ascii="Times New Roman" w:hAnsi="Times New Roman" w:eastAsia="宋体" w:cs="Times New Roman"/>
                <w:color w:val="auto"/>
                <w:sz w:val="24"/>
                <w:szCs w:val="24"/>
                <w:highlight w:val="none"/>
                <w:lang w:eastAsia="zh-CN"/>
              </w:rPr>
              <w:t>的市场竞争力，</w:t>
            </w:r>
            <w:r>
              <w:rPr>
                <w:rFonts w:hint="eastAsia" w:ascii="Times New Roman" w:hAnsi="Times New Roman" w:eastAsia="宋体" w:cs="Times New Roman"/>
                <w:color w:val="auto"/>
                <w:sz w:val="24"/>
                <w:szCs w:val="24"/>
                <w:highlight w:val="none"/>
                <w:lang w:eastAsia="zh-CN"/>
              </w:rPr>
              <w:t>盛业汽车</w:t>
            </w:r>
            <w:r>
              <w:rPr>
                <w:rFonts w:hint="default" w:ascii="Times New Roman" w:hAnsi="Times New Roman" w:eastAsia="宋体" w:cs="Times New Roman"/>
                <w:color w:val="auto"/>
                <w:sz w:val="24"/>
                <w:szCs w:val="24"/>
                <w:highlight w:val="none"/>
                <w:lang w:eastAsia="zh-CN"/>
              </w:rPr>
              <w:t>拟投资</w:t>
            </w:r>
            <w:r>
              <w:rPr>
                <w:rFonts w:hint="eastAsia"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0万元，对现有项目</w:t>
            </w:r>
            <w:r>
              <w:rPr>
                <w:rFonts w:hint="eastAsia" w:ascii="Times New Roman" w:hAnsi="Times New Roman" w:eastAsia="宋体" w:cs="Times New Roman"/>
                <w:color w:val="auto"/>
                <w:sz w:val="24"/>
                <w:szCs w:val="24"/>
                <w:highlight w:val="none"/>
                <w:lang w:val="en-US" w:eastAsia="zh-CN"/>
              </w:rPr>
              <w:t>汽车地毯生产工艺</w:t>
            </w:r>
            <w:r>
              <w:rPr>
                <w:rFonts w:hint="default" w:ascii="Times New Roman" w:hAnsi="Times New Roman" w:eastAsia="宋体" w:cs="Times New Roman"/>
                <w:color w:val="auto"/>
                <w:sz w:val="24"/>
                <w:szCs w:val="24"/>
                <w:highlight w:val="none"/>
                <w:lang w:eastAsia="zh-CN"/>
              </w:rPr>
              <w:t>进行技术改造并扩产</w:t>
            </w:r>
            <w:r>
              <w:rPr>
                <w:rFonts w:hint="eastAsia" w:ascii="Times New Roman" w:hAnsi="Times New Roman" w:eastAsia="宋体" w:cs="Times New Roman"/>
                <w:color w:val="auto"/>
                <w:sz w:val="24"/>
                <w:szCs w:val="24"/>
                <w:highlight w:val="none"/>
                <w:lang w:val="en-US" w:eastAsia="zh-CN"/>
              </w:rPr>
              <w:t>汽车地毯</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2-1</w:t>
            </w:r>
            <w:r>
              <w:rPr>
                <w:rFonts w:hint="default" w:ascii="Times New Roman" w:hAnsi="Times New Roman" w:eastAsia="宋体" w:cs="Times New Roman"/>
                <w:b/>
                <w:bCs/>
                <w:color w:val="auto"/>
                <w:sz w:val="21"/>
                <w:szCs w:val="21"/>
                <w:highlight w:val="none"/>
              </w:rPr>
              <w:t xml:space="preserve">  本项目改</w:t>
            </w:r>
            <w:r>
              <w:rPr>
                <w:rFonts w:hint="eastAsia" w:cs="Times New Roman"/>
                <w:b/>
                <w:bCs/>
                <w:color w:val="auto"/>
                <w:sz w:val="21"/>
                <w:szCs w:val="21"/>
                <w:highlight w:val="none"/>
                <w:lang w:eastAsia="zh-CN"/>
              </w:rPr>
              <w:t>扩建</w:t>
            </w:r>
            <w:r>
              <w:rPr>
                <w:rFonts w:hint="default" w:ascii="Times New Roman" w:hAnsi="Times New Roman" w:eastAsia="宋体" w:cs="Times New Roman"/>
                <w:b/>
                <w:bCs/>
                <w:color w:val="auto"/>
                <w:sz w:val="21"/>
                <w:szCs w:val="21"/>
                <w:highlight w:val="none"/>
              </w:rPr>
              <w:t>方案一览表</w:t>
            </w:r>
          </w:p>
          <w:tbl>
            <w:tblPr>
              <w:tblStyle w:val="27"/>
              <w:tblW w:w="4998" w:type="pct"/>
              <w:jc w:val="center"/>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50"/>
              <w:gridCol w:w="1769"/>
              <w:gridCol w:w="5580"/>
            </w:tblGrid>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5" w:type="pct"/>
                  <w:noWrap w:val="0"/>
                  <w:vAlign w:val="center"/>
                </w:tcPr>
                <w:p>
                  <w:pPr>
                    <w:spacing w:line="240" w:lineRule="atLeas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053" w:type="pct"/>
                  <w:noWrap w:val="0"/>
                  <w:vAlign w:val="center"/>
                </w:tcPr>
                <w:p>
                  <w:pPr>
                    <w:spacing w:line="240" w:lineRule="atLeast"/>
                    <w:jc w:val="center"/>
                    <w:rPr>
                      <w:rFonts w:hint="default" w:ascii="Times New Roman" w:hAnsi="Times New Roman" w:cs="Times New Roman"/>
                      <w:b/>
                      <w:bCs/>
                      <w:color w:val="auto"/>
                      <w:sz w:val="21"/>
                      <w:szCs w:val="21"/>
                    </w:rPr>
                  </w:pPr>
                  <w:r>
                    <w:rPr>
                      <w:rFonts w:hint="eastAsia" w:cs="Times New Roman"/>
                      <w:b/>
                      <w:bCs/>
                      <w:color w:val="auto"/>
                      <w:sz w:val="21"/>
                      <w:szCs w:val="21"/>
                      <w:lang w:eastAsia="zh-CN"/>
                    </w:rPr>
                    <w:t>改扩建</w:t>
                  </w:r>
                  <w:r>
                    <w:rPr>
                      <w:rFonts w:hint="default" w:ascii="Times New Roman" w:hAnsi="Times New Roman" w:cs="Times New Roman"/>
                      <w:b/>
                      <w:bCs/>
                      <w:color w:val="auto"/>
                      <w:sz w:val="21"/>
                      <w:szCs w:val="21"/>
                    </w:rPr>
                    <w:t>方案</w:t>
                  </w:r>
                </w:p>
              </w:tc>
              <w:tc>
                <w:tcPr>
                  <w:tcW w:w="3320" w:type="pct"/>
                  <w:noWrap w:val="0"/>
                  <w:vAlign w:val="center"/>
                </w:tcPr>
                <w:p>
                  <w:pPr>
                    <w:spacing w:line="240" w:lineRule="atLeas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建设内容</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5" w:type="pct"/>
                  <w:noWrap w:val="0"/>
                  <w:vAlign w:val="center"/>
                </w:tcPr>
                <w:p>
                  <w:pPr>
                    <w:spacing w:line="24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3"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产品方案调整</w:t>
                  </w:r>
                </w:p>
              </w:tc>
              <w:tc>
                <w:tcPr>
                  <w:tcW w:w="3320" w:type="pct"/>
                  <w:noWrap w:val="0"/>
                  <w:vAlign w:val="center"/>
                </w:tcPr>
                <w:p>
                  <w:pPr>
                    <w:adjustRightInd w:val="0"/>
                    <w:snapToGrid w:val="0"/>
                    <w:jc w:val="center"/>
                    <w:rPr>
                      <w:rFonts w:hint="default" w:ascii="Times New Roman" w:hAnsi="Times New Roman" w:cs="Times New Roman"/>
                      <w:color w:val="auto"/>
                      <w:sz w:val="21"/>
                      <w:szCs w:val="21"/>
                      <w:lang w:val="en-US"/>
                    </w:rPr>
                  </w:pPr>
                  <w:r>
                    <w:rPr>
                      <w:rFonts w:hint="eastAsia" w:ascii="Times New Roman" w:hAnsi="Times New Roman" w:eastAsia="宋体" w:cs="Times New Roman"/>
                      <w:color w:val="auto"/>
                      <w:sz w:val="21"/>
                      <w:szCs w:val="21"/>
                      <w:highlight w:val="none"/>
                      <w:lang w:val="en-US" w:eastAsia="zh-CN"/>
                    </w:rPr>
                    <w:t>车门内饰板停产，地毯产量增加</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5" w:type="pct"/>
                  <w:noWrap w:val="0"/>
                  <w:vAlign w:val="center"/>
                </w:tcPr>
                <w:p>
                  <w:pPr>
                    <w:spacing w:line="24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53"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工艺改进</w:t>
                  </w:r>
                </w:p>
              </w:tc>
              <w:tc>
                <w:tcPr>
                  <w:tcW w:w="3320" w:type="pct"/>
                  <w:noWrap w:val="0"/>
                  <w:vAlign w:val="center"/>
                </w:tcPr>
                <w:p>
                  <w:pPr>
                    <w:adjustRightInd w:val="0"/>
                    <w:snapToGrid w:val="0"/>
                    <w:jc w:val="center"/>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地毯生产工艺流程新增发泡工序</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5" w:type="pct"/>
                  <w:noWrap w:val="0"/>
                  <w:vAlign w:val="center"/>
                </w:tcPr>
                <w:p>
                  <w:pPr>
                    <w:spacing w:line="24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53"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淘汰落后设备</w:t>
                  </w:r>
                </w:p>
              </w:tc>
              <w:tc>
                <w:tcPr>
                  <w:tcW w:w="3320" w:type="pct"/>
                  <w:noWrap w:val="0"/>
                  <w:vAlign w:val="center"/>
                </w:tcPr>
                <w:p>
                  <w:pPr>
                    <w:adjustRightInd w:val="0"/>
                    <w:snapToGrid w:val="0"/>
                    <w:jc w:val="center"/>
                    <w:rPr>
                      <w:rFonts w:hint="default"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淘汰</w:t>
                  </w:r>
                  <w:r>
                    <w:rPr>
                      <w:rFonts w:hint="eastAsia" w:eastAsia="宋体" w:cs="Times New Roman"/>
                      <w:color w:val="auto"/>
                      <w:sz w:val="21"/>
                      <w:szCs w:val="21"/>
                      <w:highlight w:val="none"/>
                      <w:lang w:val="en-US" w:eastAsia="zh-CN"/>
                    </w:rPr>
                    <w:t>高周波塑胶熔接机</w:t>
                  </w:r>
                  <w:r>
                    <w:rPr>
                      <w:rFonts w:hint="default" w:eastAsia="宋体" w:cs="Times New Roman"/>
                      <w:color w:val="auto"/>
                      <w:sz w:val="21"/>
                      <w:szCs w:val="21"/>
                      <w:highlight w:val="none"/>
                      <w:lang w:val="en-US" w:eastAsia="zh-CN"/>
                    </w:rPr>
                    <w:t>等设备</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5" w:type="pct"/>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1053"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新增设备</w:t>
                  </w:r>
                </w:p>
              </w:tc>
              <w:tc>
                <w:tcPr>
                  <w:tcW w:w="3320" w:type="pct"/>
                  <w:noWrap w:val="0"/>
                  <w:vAlign w:val="center"/>
                </w:tcPr>
                <w:p>
                  <w:pPr>
                    <w:adjustRightInd w:val="0"/>
                    <w:snapToGrid w:val="0"/>
                    <w:jc w:val="center"/>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 xml:space="preserve">新增2台液压机、1台高压发泡机、2套闭模发泡模具和 </w:t>
                  </w:r>
                </w:p>
                <w:p>
                  <w:pPr>
                    <w:adjustRightInd w:val="0"/>
                    <w:snapToGrid w:val="0"/>
                    <w:jc w:val="center"/>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1套发泡工装、</w:t>
                  </w:r>
                  <w:r>
                    <w:rPr>
                      <w:rFonts w:hint="eastAsia" w:cs="Times New Roman"/>
                      <w:color w:val="auto"/>
                      <w:sz w:val="21"/>
                      <w:szCs w:val="21"/>
                      <w:highlight w:val="none"/>
                      <w:lang w:val="en-US" w:eastAsia="zh-CN"/>
                    </w:rPr>
                    <w:t>1</w:t>
                  </w:r>
                  <w:r>
                    <w:rPr>
                      <w:rFonts w:hint="eastAsia" w:eastAsia="宋体" w:cs="Times New Roman"/>
                      <w:color w:val="auto"/>
                      <w:sz w:val="21"/>
                      <w:szCs w:val="21"/>
                      <w:highlight w:val="none"/>
                      <w:lang w:val="en-US" w:eastAsia="zh-CN"/>
                    </w:rPr>
                    <w:t>条机器人水切割线</w:t>
                  </w:r>
                </w:p>
              </w:tc>
            </w:tr>
          </w:tbl>
          <w:p>
            <w:pPr>
              <w:widowControl/>
              <w:spacing w:line="5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项目建成后</w:t>
            </w:r>
            <w:r>
              <w:rPr>
                <w:rFonts w:hint="eastAsia" w:ascii="Times New Roman" w:hAnsi="Times New Roman" w:eastAsia="宋体" w:cs="Times New Roman"/>
                <w:color w:val="auto"/>
                <w:sz w:val="24"/>
                <w:szCs w:val="24"/>
                <w:highlight w:val="none"/>
                <w:lang w:val="en-US" w:eastAsia="zh-CN"/>
              </w:rPr>
              <w:t>可新增</w:t>
            </w:r>
            <w:r>
              <w:rPr>
                <w:rFonts w:hint="default" w:ascii="Times New Roman" w:hAnsi="Times New Roman" w:eastAsia="宋体" w:cs="Times New Roman"/>
                <w:color w:val="auto"/>
                <w:sz w:val="24"/>
                <w:szCs w:val="24"/>
                <w:highlight w:val="none"/>
                <w:lang w:val="en-US" w:eastAsia="zh-CN"/>
              </w:rPr>
              <w:t>年产</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万</w:t>
            </w:r>
            <w:r>
              <w:rPr>
                <w:rFonts w:hint="eastAsia" w:ascii="Times New Roman" w:hAnsi="Times New Roman" w:eastAsia="宋体" w:cs="Times New Roman"/>
                <w:color w:val="auto"/>
                <w:sz w:val="24"/>
                <w:szCs w:val="24"/>
                <w:highlight w:val="none"/>
                <w:lang w:val="en-US" w:eastAsia="zh-CN"/>
              </w:rPr>
              <w:t>套汽车内饰件</w:t>
            </w:r>
            <w:r>
              <w:rPr>
                <w:rFonts w:hint="default" w:ascii="Times New Roman" w:hAnsi="Times New Roman" w:eastAsia="宋体" w:cs="Times New Roman"/>
                <w:color w:val="auto"/>
                <w:sz w:val="24"/>
                <w:szCs w:val="24"/>
                <w:highlight w:val="none"/>
                <w:lang w:val="en-US" w:eastAsia="zh-CN"/>
              </w:rPr>
              <w:t>的生产规模</w:t>
            </w:r>
            <w:r>
              <w:rPr>
                <w:rFonts w:hint="eastAsia" w:ascii="Times New Roman" w:hAnsi="Times New Roman" w:eastAsia="宋体" w:cs="Times New Roman"/>
                <w:color w:val="auto"/>
                <w:sz w:val="24"/>
                <w:szCs w:val="24"/>
                <w:highlight w:val="none"/>
                <w:lang w:val="en-US" w:eastAsia="zh-CN"/>
              </w:rPr>
              <w:t>，全厂</w:t>
            </w:r>
            <w:r>
              <w:rPr>
                <w:rFonts w:hint="default" w:ascii="Times New Roman" w:hAnsi="Times New Roman" w:eastAsia="宋体" w:cs="Times New Roman"/>
                <w:color w:val="auto"/>
                <w:sz w:val="24"/>
                <w:szCs w:val="24"/>
                <w:highlight w:val="none"/>
                <w:lang w:val="en-US" w:eastAsia="zh-CN"/>
              </w:rPr>
              <w:t>可形成年产</w:t>
            </w:r>
            <w:r>
              <w:rPr>
                <w:rFonts w:hint="eastAsia" w:ascii="Times New Roman" w:hAnsi="Times New Roman" w:eastAsia="宋体" w:cs="Times New Roman"/>
                <w:color w:val="auto"/>
                <w:sz w:val="24"/>
                <w:szCs w:val="24"/>
                <w:highlight w:val="none"/>
                <w:lang w:val="en-US" w:eastAsia="zh-CN"/>
              </w:rPr>
              <w:t>地毯2</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万件</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备胎盖</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万套</w:t>
            </w:r>
            <w:r>
              <w:rPr>
                <w:rFonts w:hint="default" w:ascii="Times New Roman" w:hAnsi="Times New Roman" w:eastAsia="宋体" w:cs="Times New Roman"/>
                <w:color w:val="auto"/>
                <w:sz w:val="24"/>
                <w:szCs w:val="24"/>
                <w:highlight w:val="none"/>
                <w:lang w:val="en-US" w:eastAsia="zh-CN"/>
              </w:rPr>
              <w:t>的生产规模。</w:t>
            </w:r>
            <w:r>
              <w:rPr>
                <w:rFonts w:hint="eastAsia" w:ascii="Times New Roman" w:hAnsi="Times New Roman" w:eastAsia="宋体" w:cs="Times New Roman"/>
                <w:color w:val="auto"/>
                <w:sz w:val="24"/>
              </w:rPr>
              <w:t>本次环评对全厂进行评价</w:t>
            </w:r>
            <w:r>
              <w:rPr>
                <w:rFonts w:hint="eastAsia" w:ascii="Times New Roman" w:hAnsi="Times New Roman" w:eastAsia="宋体" w:cs="Times New Roman"/>
                <w:color w:val="auto"/>
                <w:sz w:val="24"/>
                <w:lang w:eastAsia="zh-CN"/>
              </w:rPr>
              <w:t>。</w:t>
            </w:r>
          </w:p>
          <w:p>
            <w:pPr>
              <w:widowControl/>
              <w:spacing w:line="50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本</w:t>
            </w:r>
            <w:r>
              <w:rPr>
                <w:rFonts w:hint="default" w:ascii="Times New Roman" w:hAnsi="Times New Roman" w:cs="Times New Roman"/>
                <w:color w:val="auto"/>
                <w:sz w:val="24"/>
              </w:rPr>
              <w:t>项目已于</w:t>
            </w:r>
            <w:r>
              <w:rPr>
                <w:rFonts w:hint="default" w:ascii="Times New Roman" w:hAnsi="Times New Roman" w:cs="Times New Roman"/>
                <w:color w:val="auto"/>
                <w:sz w:val="24"/>
                <w:lang w:eastAsia="zh-CN"/>
              </w:rPr>
              <w:t>202</w:t>
            </w:r>
            <w:r>
              <w:rPr>
                <w:rFonts w:hint="eastAsia" w:cs="Times New Roman"/>
                <w:color w:val="auto"/>
                <w:sz w:val="24"/>
                <w:lang w:val="en-US" w:eastAsia="zh-CN"/>
              </w:rPr>
              <w:t>3</w:t>
            </w:r>
            <w:r>
              <w:rPr>
                <w:rFonts w:hint="default" w:ascii="Times New Roman" w:hAnsi="Times New Roman" w:cs="Times New Roman"/>
                <w:color w:val="auto"/>
                <w:sz w:val="24"/>
                <w:lang w:eastAsia="zh-CN"/>
              </w:rPr>
              <w:t>年</w:t>
            </w:r>
            <w:r>
              <w:rPr>
                <w:rFonts w:hint="eastAsia" w:cs="Times New Roman"/>
                <w:color w:val="auto"/>
                <w:sz w:val="24"/>
                <w:lang w:val="en-US" w:eastAsia="zh-CN"/>
              </w:rPr>
              <w:t>9</w:t>
            </w:r>
            <w:r>
              <w:rPr>
                <w:rFonts w:hint="default" w:ascii="Times New Roman" w:hAnsi="Times New Roman" w:cs="Times New Roman"/>
                <w:color w:val="auto"/>
                <w:sz w:val="24"/>
                <w:lang w:eastAsia="zh-CN"/>
              </w:rPr>
              <w:t>月</w:t>
            </w:r>
            <w:r>
              <w:rPr>
                <w:rFonts w:hint="eastAsia" w:cs="Times New Roman"/>
                <w:color w:val="auto"/>
                <w:sz w:val="24"/>
                <w:lang w:val="en-US" w:eastAsia="zh-CN"/>
              </w:rPr>
              <w:t>25</w:t>
            </w:r>
            <w:r>
              <w:rPr>
                <w:rFonts w:hint="default" w:ascii="Times New Roman" w:hAnsi="Times New Roman" w:cs="Times New Roman"/>
                <w:color w:val="auto"/>
                <w:sz w:val="24"/>
                <w:lang w:eastAsia="zh-CN"/>
              </w:rPr>
              <w:t>日</w:t>
            </w:r>
            <w:r>
              <w:rPr>
                <w:rFonts w:hint="default" w:ascii="Times New Roman" w:hAnsi="Times New Roman" w:cs="Times New Roman"/>
                <w:color w:val="auto"/>
                <w:sz w:val="24"/>
              </w:rPr>
              <w:t>取得</w:t>
            </w:r>
            <w:r>
              <w:rPr>
                <w:rFonts w:hint="eastAsia" w:cs="Times New Roman"/>
                <w:color w:val="auto"/>
                <w:sz w:val="24"/>
                <w:lang w:eastAsia="zh-CN"/>
              </w:rPr>
              <w:t>常州市金坛区工业和信息化局</w:t>
            </w:r>
            <w:r>
              <w:rPr>
                <w:rFonts w:hint="default" w:ascii="Times New Roman" w:hAnsi="Times New Roman" w:cs="Times New Roman"/>
                <w:color w:val="auto"/>
                <w:sz w:val="24"/>
              </w:rPr>
              <w:t>的项目备案证明，备案证号：</w:t>
            </w:r>
            <w:r>
              <w:rPr>
                <w:rFonts w:hint="eastAsia" w:cs="Times New Roman"/>
                <w:color w:val="auto"/>
                <w:sz w:val="24"/>
                <w:lang w:eastAsia="zh-CN"/>
              </w:rPr>
              <w:t>坛工信备〔2023〕20号</w:t>
            </w:r>
            <w:r>
              <w:rPr>
                <w:rFonts w:hint="default" w:ascii="Times New Roman" w:hAnsi="Times New Roman" w:cs="Times New Roman"/>
                <w:color w:val="auto"/>
                <w:sz w:val="24"/>
              </w:rPr>
              <w:t>。</w:t>
            </w:r>
          </w:p>
          <w:p>
            <w:pPr>
              <w:widowControl/>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中华人民共和国环境保护法》（2014年修订）、《中华人民共和国环境影响评价法》（2018年修订）和《建设项目环境影响评价分类管理名录》（2021年）的有关规定，本项目应进行环境影响评价。根据《建设项目环境影响评价分类管理名录》（2021年），本项目属于</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sz w:val="24"/>
                <w:lang w:val="en-US" w:eastAsia="zh-CN"/>
              </w:rPr>
              <w:t>三十三、汽车制造业</w:t>
            </w:r>
            <w:r>
              <w:rPr>
                <w:rFonts w:hint="eastAsia" w:cs="Times New Roman"/>
                <w:color w:val="auto"/>
                <w:sz w:val="24"/>
                <w:lang w:val="en-US" w:eastAsia="zh-CN"/>
              </w:rPr>
              <w:t>，</w:t>
            </w:r>
            <w:r>
              <w:rPr>
                <w:rFonts w:hint="default" w:ascii="Times New Roman" w:hAnsi="Times New Roman" w:eastAsia="宋体" w:cs="Times New Roman"/>
                <w:sz w:val="24"/>
                <w:lang w:val="en-US" w:eastAsia="zh-CN"/>
              </w:rPr>
              <w:t>71 汽车零部件及配件制造</w:t>
            </w:r>
            <w:r>
              <w:rPr>
                <w:rFonts w:hint="eastAsia"/>
                <w:color w:val="auto"/>
                <w:lang w:val="en-US" w:eastAsia="zh-CN"/>
              </w:rPr>
              <w:t>”</w:t>
            </w:r>
            <w:r>
              <w:rPr>
                <w:rFonts w:hint="default" w:ascii="Times New Roman" w:hAnsi="Times New Roman" w:cs="Times New Roman"/>
                <w:color w:val="auto"/>
                <w:sz w:val="24"/>
              </w:rPr>
              <w:t>类别，应编制环境影响评价报告表。</w:t>
            </w:r>
            <w:r>
              <w:rPr>
                <w:rFonts w:hint="eastAsia" w:cs="Times New Roman"/>
                <w:color w:val="auto"/>
                <w:sz w:val="24"/>
                <w:lang w:eastAsia="zh-CN"/>
              </w:rPr>
              <w:t>常州盛业汽车零部件有限公司</w:t>
            </w:r>
            <w:r>
              <w:rPr>
                <w:rFonts w:hint="default" w:ascii="Times New Roman" w:hAnsi="Times New Roman" w:cs="Times New Roman"/>
                <w:color w:val="auto"/>
                <w:sz w:val="24"/>
              </w:rPr>
              <w:t>委托专业环评单位承担该项目的环境影响评价工作。环评单位在现场踏勘、调查的基础上，通过对有关资料的收集、整理和分析计算，编制完成了该项目的环境影响报告表，报请审批。</w:t>
            </w:r>
          </w:p>
          <w:p>
            <w:pPr>
              <w:autoSpaceDE w:val="0"/>
              <w:autoSpaceDN w:val="0"/>
              <w:adjustRightInd w:val="0"/>
              <w:snapToGrid w:val="0"/>
              <w:spacing w:line="500" w:lineRule="exact"/>
              <w:jc w:val="lef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lang w:val="en-US" w:eastAsia="zh-CN"/>
              </w:rPr>
              <w:t>2</w:t>
            </w:r>
            <w:r>
              <w:rPr>
                <w:rFonts w:hint="default" w:ascii="Times New Roman" w:hAnsi="Times New Roman" w:cs="Times New Roman"/>
                <w:b/>
                <w:bCs/>
                <w:color w:val="auto"/>
                <w:kern w:val="0"/>
                <w:sz w:val="24"/>
              </w:rPr>
              <w:t>、产品方案</w:t>
            </w:r>
          </w:p>
          <w:p>
            <w:pPr>
              <w:autoSpaceDE w:val="0"/>
              <w:autoSpaceDN w:val="0"/>
              <w:adjustRightInd w:val="0"/>
              <w:snapToGrid w:val="0"/>
              <w:spacing w:line="500" w:lineRule="exact"/>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本项目建成后，全厂产品方案见表2-2。</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表2-</w:t>
            </w:r>
            <w:r>
              <w:rPr>
                <w:rFonts w:hint="eastAsia" w:cs="Times New Roman"/>
                <w:b/>
                <w:bCs/>
                <w:color w:val="auto"/>
                <w:sz w:val="21"/>
                <w:szCs w:val="21"/>
                <w:highlight w:val="none"/>
                <w:lang w:val="en-US" w:eastAsia="zh-CN"/>
              </w:rPr>
              <w:t>2</w:t>
            </w:r>
            <w:r>
              <w:rPr>
                <w:rFonts w:hint="default" w:ascii="Times New Roman" w:hAnsi="Times New Roman" w:cs="Times New Roman"/>
                <w:b/>
                <w:bCs/>
                <w:color w:val="auto"/>
                <w:sz w:val="21"/>
                <w:szCs w:val="21"/>
                <w:highlight w:val="none"/>
              </w:rPr>
              <w:t xml:space="preserve"> </w:t>
            </w:r>
            <w:r>
              <w:rPr>
                <w:rFonts w:hint="eastAsia" w:ascii="Times New Roman" w:hAnsi="Times New Roman"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rPr>
              <w:t>本项目建成后全厂产品方案一览表</w:t>
            </w:r>
          </w:p>
          <w:tbl>
            <w:tblPr>
              <w:tblStyle w:val="27"/>
              <w:tblW w:w="4989" w:type="pct"/>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459"/>
              <w:gridCol w:w="1459"/>
              <w:gridCol w:w="1223"/>
              <w:gridCol w:w="1223"/>
              <w:gridCol w:w="1231"/>
              <w:gridCol w:w="1256"/>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8" w:type="pct"/>
                  <w:vMerge w:val="restart"/>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740" w:type="pct"/>
                  <w:gridSpan w:val="2"/>
                  <w:vMerge w:val="restart"/>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产品名称</w:t>
                  </w:r>
                </w:p>
              </w:tc>
              <w:tc>
                <w:tcPr>
                  <w:tcW w:w="2192" w:type="pct"/>
                  <w:gridSpan w:val="3"/>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生产能力</w:t>
                  </w:r>
                </w:p>
              </w:tc>
              <w:tc>
                <w:tcPr>
                  <w:tcW w:w="749" w:type="pct"/>
                  <w:vMerge w:val="restart"/>
                  <w:tcBorders>
                    <w:right w:val="nil"/>
                  </w:tcBorders>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年运行时数h</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8" w:type="pct"/>
                  <w:vMerge w:val="continue"/>
                  <w:vAlign w:val="center"/>
                </w:tcPr>
                <w:p>
                  <w:pPr>
                    <w:pStyle w:val="53"/>
                    <w:adjustRightInd w:val="0"/>
                    <w:rPr>
                      <w:rFonts w:hint="default" w:ascii="Times New Roman" w:hAnsi="Times New Roman" w:eastAsia="宋体" w:cs="Times New Roman"/>
                      <w:b/>
                      <w:bCs/>
                      <w:color w:val="auto"/>
                      <w:sz w:val="21"/>
                      <w:szCs w:val="21"/>
                    </w:rPr>
                  </w:pPr>
                </w:p>
              </w:tc>
              <w:tc>
                <w:tcPr>
                  <w:tcW w:w="1740" w:type="pct"/>
                  <w:gridSpan w:val="2"/>
                  <w:vMerge w:val="continue"/>
                  <w:vAlign w:val="center"/>
                </w:tcPr>
                <w:p>
                  <w:pPr>
                    <w:pStyle w:val="53"/>
                    <w:adjustRightInd w:val="0"/>
                    <w:rPr>
                      <w:rFonts w:hint="default" w:ascii="Times New Roman" w:hAnsi="Times New Roman" w:eastAsia="宋体" w:cs="Times New Roman"/>
                      <w:b/>
                      <w:bCs/>
                      <w:color w:val="auto"/>
                      <w:sz w:val="21"/>
                      <w:szCs w:val="21"/>
                    </w:rPr>
                  </w:pPr>
                </w:p>
              </w:tc>
              <w:tc>
                <w:tcPr>
                  <w:tcW w:w="729" w:type="pct"/>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改</w:t>
                  </w:r>
                  <w:r>
                    <w:rPr>
                      <w:rFonts w:hint="default" w:ascii="Times New Roman" w:hAnsi="Times New Roman" w:eastAsia="宋体" w:cs="Times New Roman"/>
                      <w:b/>
                      <w:bCs/>
                      <w:color w:val="auto"/>
                      <w:sz w:val="21"/>
                      <w:szCs w:val="21"/>
                    </w:rPr>
                    <w:t>扩建前</w:t>
                  </w:r>
                </w:p>
              </w:tc>
              <w:tc>
                <w:tcPr>
                  <w:tcW w:w="729" w:type="pct"/>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改</w:t>
                  </w:r>
                  <w:r>
                    <w:rPr>
                      <w:rFonts w:hint="default" w:ascii="Times New Roman" w:hAnsi="Times New Roman" w:eastAsia="宋体" w:cs="Times New Roman"/>
                      <w:b/>
                      <w:bCs/>
                      <w:color w:val="auto"/>
                      <w:sz w:val="21"/>
                      <w:szCs w:val="21"/>
                    </w:rPr>
                    <w:t>扩建后</w:t>
                  </w:r>
                </w:p>
              </w:tc>
              <w:tc>
                <w:tcPr>
                  <w:tcW w:w="733" w:type="pct"/>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变化量</w:t>
                  </w:r>
                </w:p>
              </w:tc>
              <w:tc>
                <w:tcPr>
                  <w:tcW w:w="749" w:type="pct"/>
                  <w:vMerge w:val="continue"/>
                  <w:tcBorders>
                    <w:right w:val="nil"/>
                  </w:tcBorders>
                  <w:vAlign w:val="center"/>
                </w:tcPr>
                <w:p>
                  <w:pPr>
                    <w:pStyle w:val="53"/>
                    <w:adjustRightInd w:val="0"/>
                    <w:rPr>
                      <w:rFonts w:hint="default" w:ascii="Times New Roman" w:hAnsi="Times New Roman" w:eastAsia="宋体" w:cs="Times New Roman"/>
                      <w:b/>
                      <w:bCs/>
                      <w:color w:val="auto"/>
                      <w:sz w:val="21"/>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8" w:type="pct"/>
                  <w:vAlign w:val="center"/>
                </w:tcPr>
                <w:p>
                  <w:pPr>
                    <w:pStyle w:val="53"/>
                    <w:adjustRightIn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870" w:type="pct"/>
                  <w:vMerge w:val="restart"/>
                  <w:vAlign w:val="center"/>
                </w:tcPr>
                <w:p>
                  <w:pPr>
                    <w:adjustRightInd w:val="0"/>
                    <w:snapToGrid w:val="0"/>
                    <w:jc w:val="center"/>
                    <w:rPr>
                      <w:rFonts w:hint="eastAsia" w:ascii="Times New Roman" w:hAnsi="Times New Roman" w:eastAsia="宋体" w:cs="Times New Roman"/>
                      <w:bCs/>
                      <w:color w:val="auto"/>
                      <w:sz w:val="21"/>
                      <w:lang w:val="en-US" w:eastAsia="zh-CN"/>
                    </w:rPr>
                  </w:pPr>
                  <w:r>
                    <w:rPr>
                      <w:rFonts w:hint="eastAsia" w:cs="Times New Roman"/>
                      <w:bCs/>
                      <w:color w:val="auto"/>
                      <w:sz w:val="21"/>
                      <w:lang w:val="en-US" w:eastAsia="zh-CN"/>
                    </w:rPr>
                    <w:t>汽车内饰件</w:t>
                  </w:r>
                </w:p>
              </w:tc>
              <w:tc>
                <w:tcPr>
                  <w:tcW w:w="870" w:type="pct"/>
                  <w:vAlign w:val="center"/>
                </w:tcPr>
                <w:p>
                  <w:pPr>
                    <w:adjustRightInd w:val="0"/>
                    <w:snapToGrid w:val="0"/>
                    <w:jc w:val="center"/>
                    <w:rPr>
                      <w:rFonts w:hint="default" w:ascii="Times New Roman" w:hAnsi="Times New Roman" w:eastAsia="宋体" w:cs="Times New Roman"/>
                      <w:bCs/>
                      <w:color w:val="auto"/>
                      <w:sz w:val="21"/>
                      <w:lang w:val="en-US" w:eastAsia="zh-CN"/>
                    </w:rPr>
                  </w:pPr>
                  <w:r>
                    <w:rPr>
                      <w:rFonts w:hint="eastAsia" w:ascii="Times New Roman" w:hAnsi="Times New Roman" w:eastAsia="宋体" w:cs="Times New Roman"/>
                      <w:bCs/>
                      <w:color w:val="auto"/>
                      <w:sz w:val="21"/>
                      <w:lang w:val="en-US" w:eastAsia="zh-CN"/>
                    </w:rPr>
                    <w:t>地毯</w:t>
                  </w:r>
                </w:p>
              </w:tc>
              <w:tc>
                <w:tcPr>
                  <w:tcW w:w="729" w:type="pct"/>
                  <w:vAlign w:val="center"/>
                </w:tcPr>
                <w:p>
                  <w:pPr>
                    <w:adjustRightInd w:val="0"/>
                    <w:snapToGrid w:val="0"/>
                    <w:jc w:val="center"/>
                    <w:rPr>
                      <w:rFonts w:hint="default" w:ascii="Times New Roman" w:hAnsi="Times New Roman" w:eastAsia="宋体" w:cs="Times New Roman"/>
                      <w:bCs/>
                      <w:color w:val="auto"/>
                      <w:sz w:val="21"/>
                      <w:lang w:val="en-US" w:eastAsia="zh-CN"/>
                    </w:rPr>
                  </w:pPr>
                  <w:r>
                    <w:rPr>
                      <w:rFonts w:hint="eastAsia" w:ascii="Times New Roman" w:hAnsi="Times New Roman" w:eastAsia="宋体" w:cs="Times New Roman"/>
                      <w:bCs/>
                      <w:color w:val="auto"/>
                      <w:sz w:val="21"/>
                      <w:lang w:val="en-US" w:eastAsia="zh-CN"/>
                    </w:rPr>
                    <w:t>7万套</w:t>
                  </w:r>
                  <w:r>
                    <w:rPr>
                      <w:rFonts w:hint="default" w:ascii="Times New Roman" w:hAnsi="Times New Roman" w:eastAsia="宋体" w:cs="Times New Roman"/>
                      <w:bCs/>
                      <w:color w:val="auto"/>
                      <w:sz w:val="21"/>
                      <w:lang w:val="en-US" w:eastAsia="zh-CN"/>
                    </w:rPr>
                    <w:t>/a</w:t>
                  </w:r>
                </w:p>
              </w:tc>
              <w:tc>
                <w:tcPr>
                  <w:tcW w:w="729" w:type="pct"/>
                  <w:vAlign w:val="center"/>
                </w:tcPr>
                <w:p>
                  <w:pPr>
                    <w:adjustRightInd w:val="0"/>
                    <w:snapToGrid w:val="0"/>
                    <w:jc w:val="center"/>
                    <w:rPr>
                      <w:rFonts w:hint="default" w:ascii="Times New Roman" w:hAnsi="Times New Roman" w:eastAsia="宋体" w:cs="Times New Roman"/>
                      <w:bCs/>
                      <w:color w:val="auto"/>
                      <w:sz w:val="21"/>
                      <w:lang w:val="en-US" w:eastAsia="zh-CN"/>
                    </w:rPr>
                  </w:pPr>
                  <w:r>
                    <w:rPr>
                      <w:rFonts w:hint="eastAsia" w:ascii="Times New Roman" w:hAnsi="Times New Roman" w:cs="Times New Roman"/>
                      <w:bCs/>
                      <w:color w:val="auto"/>
                      <w:sz w:val="21"/>
                      <w:lang w:val="en-US" w:eastAsia="zh-CN"/>
                    </w:rPr>
                    <w:t>2</w:t>
                  </w:r>
                  <w:r>
                    <w:rPr>
                      <w:rFonts w:hint="eastAsia" w:cs="Times New Roman"/>
                      <w:bCs/>
                      <w:color w:val="auto"/>
                      <w:sz w:val="21"/>
                      <w:lang w:val="en-US" w:eastAsia="zh-CN"/>
                    </w:rPr>
                    <w:t>5</w:t>
                  </w:r>
                  <w:r>
                    <w:rPr>
                      <w:rFonts w:hint="eastAsia" w:ascii="Times New Roman" w:hAnsi="Times New Roman" w:eastAsia="宋体" w:cs="Times New Roman"/>
                      <w:bCs/>
                      <w:color w:val="auto"/>
                      <w:sz w:val="21"/>
                      <w:lang w:val="en-US" w:eastAsia="zh-CN"/>
                    </w:rPr>
                    <w:t>万套</w:t>
                  </w:r>
                  <w:r>
                    <w:rPr>
                      <w:rFonts w:hint="default" w:ascii="Times New Roman" w:hAnsi="Times New Roman" w:eastAsia="宋体" w:cs="Times New Roman"/>
                      <w:bCs/>
                      <w:color w:val="auto"/>
                      <w:sz w:val="21"/>
                      <w:lang w:val="en-US" w:eastAsia="zh-CN"/>
                    </w:rPr>
                    <w:t>/a</w:t>
                  </w:r>
                </w:p>
              </w:tc>
              <w:tc>
                <w:tcPr>
                  <w:tcW w:w="733" w:type="pct"/>
                  <w:vAlign w:val="center"/>
                </w:tcPr>
                <w:p>
                  <w:pPr>
                    <w:adjustRightInd w:val="0"/>
                    <w:snapToGrid w:val="0"/>
                    <w:jc w:val="center"/>
                    <w:rPr>
                      <w:rFonts w:hint="default" w:ascii="Times New Roman" w:hAnsi="Times New Roman" w:eastAsia="宋体" w:cs="Times New Roman"/>
                      <w:bCs/>
                      <w:color w:val="auto"/>
                      <w:sz w:val="21"/>
                      <w:lang w:val="en-US" w:eastAsia="zh-CN"/>
                    </w:rPr>
                  </w:pPr>
                  <w:r>
                    <w:rPr>
                      <w:rFonts w:hint="eastAsia" w:ascii="Times New Roman" w:hAnsi="Times New Roman" w:eastAsia="宋体" w:cs="Times New Roman"/>
                      <w:bCs/>
                      <w:color w:val="auto"/>
                      <w:sz w:val="21"/>
                      <w:lang w:val="en-US" w:eastAsia="zh-CN"/>
                    </w:rPr>
                    <w:t>+</w:t>
                  </w:r>
                  <w:r>
                    <w:rPr>
                      <w:rFonts w:hint="eastAsia" w:cs="Times New Roman"/>
                      <w:bCs/>
                      <w:color w:val="auto"/>
                      <w:sz w:val="21"/>
                      <w:lang w:val="en-US" w:eastAsia="zh-CN"/>
                    </w:rPr>
                    <w:t>18</w:t>
                  </w:r>
                  <w:r>
                    <w:rPr>
                      <w:rFonts w:hint="eastAsia" w:ascii="Times New Roman" w:hAnsi="Times New Roman" w:eastAsia="宋体" w:cs="Times New Roman"/>
                      <w:bCs/>
                      <w:color w:val="auto"/>
                      <w:sz w:val="21"/>
                      <w:lang w:val="en-US" w:eastAsia="zh-CN"/>
                    </w:rPr>
                    <w:t>万套</w:t>
                  </w:r>
                  <w:r>
                    <w:rPr>
                      <w:rFonts w:hint="default" w:ascii="Times New Roman" w:hAnsi="Times New Roman" w:eastAsia="宋体" w:cs="Times New Roman"/>
                      <w:bCs/>
                      <w:color w:val="auto"/>
                      <w:sz w:val="21"/>
                      <w:lang w:val="en-US" w:eastAsia="zh-CN"/>
                    </w:rPr>
                    <w:t>/a</w:t>
                  </w:r>
                </w:p>
              </w:tc>
              <w:tc>
                <w:tcPr>
                  <w:tcW w:w="749" w:type="pct"/>
                  <w:tcBorders>
                    <w:right w:val="nil"/>
                  </w:tcBorders>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24</w:t>
                  </w:r>
                  <w:r>
                    <w:rPr>
                      <w:rFonts w:hint="default" w:ascii="Times New Roman" w:hAnsi="Times New Roman" w:cs="Times New Roman"/>
                      <w:color w:val="auto"/>
                      <w:szCs w:val="21"/>
                      <w:highlight w:val="none"/>
                      <w:lang w:val="en-US" w:eastAsia="zh-CN"/>
                    </w:rPr>
                    <w:t>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8" w:type="pct"/>
                  <w:vAlign w:val="center"/>
                </w:tcPr>
                <w:p>
                  <w:pPr>
                    <w:pStyle w:val="53"/>
                    <w:adjustRightIn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870" w:type="pct"/>
                  <w:vMerge w:val="continue"/>
                  <w:vAlign w:val="center"/>
                </w:tcPr>
                <w:p>
                  <w:pPr>
                    <w:adjustRightInd w:val="0"/>
                    <w:snapToGrid w:val="0"/>
                    <w:jc w:val="center"/>
                    <w:rPr>
                      <w:rFonts w:hint="eastAsia" w:ascii="Times New Roman" w:hAnsi="Times New Roman" w:eastAsia="宋体" w:cs="Times New Roman"/>
                      <w:bCs/>
                      <w:color w:val="auto"/>
                      <w:sz w:val="21"/>
                      <w:lang w:val="en-US" w:eastAsia="zh-CN"/>
                    </w:rPr>
                  </w:pPr>
                </w:p>
              </w:tc>
              <w:tc>
                <w:tcPr>
                  <w:tcW w:w="870" w:type="pct"/>
                  <w:vAlign w:val="center"/>
                </w:tcPr>
                <w:p>
                  <w:pPr>
                    <w:adjustRightInd w:val="0"/>
                    <w:snapToGrid w:val="0"/>
                    <w:jc w:val="center"/>
                    <w:rPr>
                      <w:rFonts w:hint="default" w:ascii="Times New Roman" w:hAnsi="Times New Roman" w:eastAsia="宋体" w:cs="Times New Roman"/>
                      <w:bCs/>
                      <w:color w:val="auto"/>
                      <w:sz w:val="21"/>
                      <w:lang w:val="en-US" w:eastAsia="zh-CN"/>
                    </w:rPr>
                  </w:pPr>
                  <w:r>
                    <w:rPr>
                      <w:rFonts w:hint="eastAsia" w:ascii="Times New Roman" w:hAnsi="Times New Roman" w:eastAsia="宋体" w:cs="Times New Roman"/>
                      <w:bCs/>
                      <w:color w:val="auto"/>
                      <w:sz w:val="21"/>
                      <w:lang w:val="en-US" w:eastAsia="zh-CN"/>
                    </w:rPr>
                    <w:t>车门内饰板</w:t>
                  </w:r>
                </w:p>
              </w:tc>
              <w:tc>
                <w:tcPr>
                  <w:tcW w:w="729" w:type="pct"/>
                  <w:vAlign w:val="center"/>
                </w:tcPr>
                <w:p>
                  <w:pPr>
                    <w:adjustRightInd w:val="0"/>
                    <w:snapToGrid w:val="0"/>
                    <w:jc w:val="center"/>
                    <w:rPr>
                      <w:rFonts w:hint="default" w:ascii="Times New Roman" w:hAnsi="Times New Roman" w:eastAsia="宋体" w:cs="Times New Roman"/>
                      <w:bCs/>
                      <w:color w:val="auto"/>
                      <w:sz w:val="21"/>
                      <w:lang w:val="en-US" w:eastAsia="zh-CN"/>
                    </w:rPr>
                  </w:pPr>
                  <w:r>
                    <w:rPr>
                      <w:rFonts w:hint="eastAsia" w:ascii="Times New Roman" w:hAnsi="Times New Roman" w:eastAsia="宋体" w:cs="Times New Roman"/>
                      <w:bCs/>
                      <w:color w:val="auto"/>
                      <w:sz w:val="21"/>
                      <w:lang w:val="en-US" w:eastAsia="zh-CN"/>
                    </w:rPr>
                    <w:t>8万套</w:t>
                  </w:r>
                  <w:r>
                    <w:rPr>
                      <w:rFonts w:hint="default" w:ascii="Times New Roman" w:hAnsi="Times New Roman" w:eastAsia="宋体" w:cs="Times New Roman"/>
                      <w:bCs/>
                      <w:color w:val="auto"/>
                      <w:sz w:val="21"/>
                      <w:lang w:val="en-US" w:eastAsia="zh-CN"/>
                    </w:rPr>
                    <w:t>/a</w:t>
                  </w:r>
                </w:p>
              </w:tc>
              <w:tc>
                <w:tcPr>
                  <w:tcW w:w="729" w:type="pct"/>
                  <w:vAlign w:val="center"/>
                </w:tcPr>
                <w:p>
                  <w:pPr>
                    <w:adjustRightInd w:val="0"/>
                    <w:snapToGrid w:val="0"/>
                    <w:jc w:val="center"/>
                    <w:rPr>
                      <w:rFonts w:hint="default" w:ascii="Times New Roman" w:hAnsi="Times New Roman" w:eastAsia="宋体" w:cs="Times New Roman"/>
                      <w:bCs/>
                      <w:color w:val="auto"/>
                      <w:sz w:val="21"/>
                      <w:lang w:val="en-US" w:eastAsia="zh-CN"/>
                    </w:rPr>
                  </w:pPr>
                  <w:r>
                    <w:rPr>
                      <w:rFonts w:hint="eastAsia" w:ascii="Times New Roman" w:hAnsi="Times New Roman" w:cs="Times New Roman"/>
                      <w:bCs/>
                      <w:color w:val="auto"/>
                      <w:sz w:val="21"/>
                      <w:lang w:val="en-US" w:eastAsia="zh-CN"/>
                    </w:rPr>
                    <w:t>0</w:t>
                  </w:r>
                  <w:r>
                    <w:rPr>
                      <w:rFonts w:hint="eastAsia" w:ascii="Times New Roman" w:hAnsi="Times New Roman" w:eastAsia="宋体" w:cs="Times New Roman"/>
                      <w:bCs/>
                      <w:color w:val="auto"/>
                      <w:sz w:val="21"/>
                      <w:lang w:val="en-US" w:eastAsia="zh-CN"/>
                    </w:rPr>
                    <w:t>万套</w:t>
                  </w:r>
                  <w:r>
                    <w:rPr>
                      <w:rFonts w:hint="default" w:ascii="Times New Roman" w:hAnsi="Times New Roman" w:eastAsia="宋体" w:cs="Times New Roman"/>
                      <w:bCs/>
                      <w:color w:val="auto"/>
                      <w:sz w:val="21"/>
                      <w:lang w:val="en-US" w:eastAsia="zh-CN"/>
                    </w:rPr>
                    <w:t>/a</w:t>
                  </w:r>
                </w:p>
              </w:tc>
              <w:tc>
                <w:tcPr>
                  <w:tcW w:w="733" w:type="pct"/>
                  <w:vAlign w:val="center"/>
                </w:tcPr>
                <w:p>
                  <w:pPr>
                    <w:adjustRightInd w:val="0"/>
                    <w:snapToGrid w:val="0"/>
                    <w:jc w:val="center"/>
                    <w:rPr>
                      <w:rFonts w:hint="default" w:ascii="Times New Roman" w:hAnsi="Times New Roman" w:eastAsia="宋体" w:cs="Times New Roman"/>
                      <w:bCs/>
                      <w:color w:val="auto"/>
                      <w:sz w:val="21"/>
                      <w:lang w:val="en-US" w:eastAsia="zh-CN"/>
                    </w:rPr>
                  </w:pPr>
                  <w:r>
                    <w:rPr>
                      <w:rFonts w:hint="eastAsia" w:cs="Times New Roman"/>
                      <w:bCs/>
                      <w:color w:val="auto"/>
                      <w:sz w:val="21"/>
                      <w:lang w:val="en-US" w:eastAsia="zh-CN"/>
                    </w:rPr>
                    <w:t>-</w:t>
                  </w:r>
                  <w:r>
                    <w:rPr>
                      <w:rFonts w:hint="eastAsia" w:ascii="Times New Roman" w:hAnsi="Times New Roman" w:eastAsia="宋体" w:cs="Times New Roman"/>
                      <w:bCs/>
                      <w:color w:val="auto"/>
                      <w:sz w:val="21"/>
                      <w:lang w:val="en-US" w:eastAsia="zh-CN"/>
                    </w:rPr>
                    <w:t>8万套</w:t>
                  </w:r>
                  <w:r>
                    <w:rPr>
                      <w:rFonts w:hint="default" w:ascii="Times New Roman" w:hAnsi="Times New Roman" w:eastAsia="宋体" w:cs="Times New Roman"/>
                      <w:bCs/>
                      <w:color w:val="auto"/>
                      <w:sz w:val="21"/>
                      <w:lang w:val="en-US" w:eastAsia="zh-CN"/>
                    </w:rPr>
                    <w:t>/a</w:t>
                  </w:r>
                </w:p>
              </w:tc>
              <w:tc>
                <w:tcPr>
                  <w:tcW w:w="749" w:type="pct"/>
                  <w:tcBorders>
                    <w:right w:val="nil"/>
                  </w:tcBorders>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8" w:type="pct"/>
                  <w:vAlign w:val="center"/>
                </w:tcPr>
                <w:p>
                  <w:pPr>
                    <w:pStyle w:val="53"/>
                    <w:adjustRightInd w:val="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870" w:type="pct"/>
                  <w:vMerge w:val="continue"/>
                  <w:vAlign w:val="center"/>
                </w:tcPr>
                <w:p>
                  <w:pPr>
                    <w:adjustRightInd w:val="0"/>
                    <w:snapToGrid w:val="0"/>
                    <w:jc w:val="center"/>
                    <w:rPr>
                      <w:rFonts w:hint="eastAsia" w:ascii="Times New Roman" w:hAnsi="Times New Roman" w:eastAsia="宋体" w:cs="Times New Roman"/>
                      <w:bCs/>
                      <w:color w:val="auto"/>
                      <w:sz w:val="21"/>
                      <w:lang w:val="en-US" w:eastAsia="zh-CN"/>
                    </w:rPr>
                  </w:pPr>
                </w:p>
              </w:tc>
              <w:tc>
                <w:tcPr>
                  <w:tcW w:w="870" w:type="pct"/>
                  <w:vAlign w:val="center"/>
                </w:tcPr>
                <w:p>
                  <w:pPr>
                    <w:adjustRightInd w:val="0"/>
                    <w:snapToGrid w:val="0"/>
                    <w:jc w:val="center"/>
                    <w:rPr>
                      <w:rFonts w:hint="eastAsia" w:ascii="Times New Roman" w:hAnsi="Times New Roman" w:eastAsia="宋体" w:cs="Times New Roman"/>
                      <w:bCs/>
                      <w:color w:val="auto"/>
                      <w:sz w:val="21"/>
                      <w:lang w:val="en-US" w:eastAsia="zh-CN"/>
                    </w:rPr>
                  </w:pPr>
                  <w:r>
                    <w:rPr>
                      <w:rFonts w:hint="eastAsia" w:ascii="Times New Roman" w:hAnsi="Times New Roman" w:eastAsia="宋体" w:cs="Times New Roman"/>
                      <w:bCs/>
                      <w:color w:val="auto"/>
                      <w:sz w:val="21"/>
                      <w:lang w:val="en-US" w:eastAsia="zh-CN"/>
                    </w:rPr>
                    <w:t>备胎盖</w:t>
                  </w:r>
                </w:p>
              </w:tc>
              <w:tc>
                <w:tcPr>
                  <w:tcW w:w="729" w:type="pct"/>
                  <w:vAlign w:val="center"/>
                </w:tcPr>
                <w:p>
                  <w:pPr>
                    <w:adjustRightInd w:val="0"/>
                    <w:snapToGrid w:val="0"/>
                    <w:jc w:val="center"/>
                    <w:rPr>
                      <w:rFonts w:hint="eastAsia" w:ascii="Times New Roman" w:hAnsi="Times New Roman" w:eastAsia="宋体" w:cs="Times New Roman"/>
                      <w:bCs/>
                      <w:color w:val="auto"/>
                      <w:sz w:val="21"/>
                      <w:lang w:val="en-US" w:eastAsia="zh-CN"/>
                    </w:rPr>
                  </w:pPr>
                  <w:r>
                    <w:rPr>
                      <w:rFonts w:hint="eastAsia" w:ascii="Times New Roman" w:hAnsi="Times New Roman" w:eastAsia="宋体" w:cs="Times New Roman"/>
                      <w:bCs/>
                      <w:color w:val="auto"/>
                      <w:sz w:val="21"/>
                      <w:lang w:val="en-US" w:eastAsia="zh-CN"/>
                    </w:rPr>
                    <w:t>5万套</w:t>
                  </w:r>
                  <w:r>
                    <w:rPr>
                      <w:rFonts w:hint="default" w:ascii="Times New Roman" w:hAnsi="Times New Roman" w:eastAsia="宋体" w:cs="Times New Roman"/>
                      <w:bCs/>
                      <w:color w:val="auto"/>
                      <w:sz w:val="21"/>
                      <w:lang w:val="en-US" w:eastAsia="zh-CN"/>
                    </w:rPr>
                    <w:t>/a</w:t>
                  </w:r>
                </w:p>
              </w:tc>
              <w:tc>
                <w:tcPr>
                  <w:tcW w:w="729" w:type="pct"/>
                  <w:vAlign w:val="center"/>
                </w:tcPr>
                <w:p>
                  <w:pPr>
                    <w:adjustRightInd w:val="0"/>
                    <w:snapToGrid w:val="0"/>
                    <w:jc w:val="center"/>
                    <w:rPr>
                      <w:rFonts w:hint="eastAsia" w:ascii="Times New Roman" w:hAnsi="Times New Roman" w:eastAsia="宋体" w:cs="Times New Roman"/>
                      <w:bCs/>
                      <w:color w:val="auto"/>
                      <w:sz w:val="21"/>
                      <w:lang w:val="en-US" w:eastAsia="zh-CN"/>
                    </w:rPr>
                  </w:pPr>
                  <w:r>
                    <w:rPr>
                      <w:rFonts w:hint="eastAsia" w:cs="Times New Roman"/>
                      <w:bCs/>
                      <w:color w:val="auto"/>
                      <w:sz w:val="21"/>
                      <w:lang w:val="en-US" w:eastAsia="zh-CN"/>
                    </w:rPr>
                    <w:t>5</w:t>
                  </w:r>
                  <w:r>
                    <w:rPr>
                      <w:rFonts w:hint="eastAsia" w:ascii="Times New Roman" w:hAnsi="Times New Roman" w:eastAsia="宋体" w:cs="Times New Roman"/>
                      <w:bCs/>
                      <w:color w:val="auto"/>
                      <w:sz w:val="21"/>
                      <w:lang w:val="en-US" w:eastAsia="zh-CN"/>
                    </w:rPr>
                    <w:t>万套</w:t>
                  </w:r>
                  <w:r>
                    <w:rPr>
                      <w:rFonts w:hint="default" w:ascii="Times New Roman" w:hAnsi="Times New Roman" w:eastAsia="宋体" w:cs="Times New Roman"/>
                      <w:bCs/>
                      <w:color w:val="auto"/>
                      <w:sz w:val="21"/>
                      <w:lang w:val="en-US" w:eastAsia="zh-CN"/>
                    </w:rPr>
                    <w:t>/a</w:t>
                  </w:r>
                </w:p>
              </w:tc>
              <w:tc>
                <w:tcPr>
                  <w:tcW w:w="733" w:type="pct"/>
                  <w:vAlign w:val="center"/>
                </w:tcPr>
                <w:p>
                  <w:pPr>
                    <w:adjustRightInd w:val="0"/>
                    <w:snapToGrid w:val="0"/>
                    <w:jc w:val="center"/>
                    <w:rPr>
                      <w:rFonts w:hint="default" w:ascii="Times New Roman" w:hAnsi="Times New Roman" w:eastAsia="宋体" w:cs="Times New Roman"/>
                      <w:bCs/>
                      <w:color w:val="auto"/>
                      <w:sz w:val="21"/>
                      <w:lang w:val="en-US" w:eastAsia="zh-CN"/>
                    </w:rPr>
                  </w:pPr>
                  <w:r>
                    <w:rPr>
                      <w:rFonts w:hint="eastAsia" w:cs="Times New Roman"/>
                      <w:bCs/>
                      <w:color w:val="auto"/>
                      <w:sz w:val="21"/>
                      <w:lang w:val="en-US" w:eastAsia="zh-CN"/>
                    </w:rPr>
                    <w:t>+0</w:t>
                  </w:r>
                </w:p>
              </w:tc>
              <w:tc>
                <w:tcPr>
                  <w:tcW w:w="749" w:type="pct"/>
                  <w:tcBorders>
                    <w:right w:val="nil"/>
                  </w:tcBorders>
                  <w:vAlign w:val="center"/>
                </w:tcPr>
                <w:p>
                  <w:pPr>
                    <w:adjustRightInd w:val="0"/>
                    <w:snapToGrid w:val="0"/>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24</w:t>
                  </w:r>
                  <w:r>
                    <w:rPr>
                      <w:rFonts w:hint="default" w:ascii="Times New Roman" w:hAnsi="Times New Roman" w:cs="Times New Roman"/>
                      <w:color w:val="auto"/>
                      <w:szCs w:val="21"/>
                      <w:highlight w:val="none"/>
                      <w:lang w:val="en-US" w:eastAsia="zh-CN"/>
                    </w:rPr>
                    <w:t>00</w:t>
                  </w:r>
                </w:p>
              </w:tc>
            </w:tr>
          </w:tbl>
          <w:p>
            <w:pPr>
              <w:adjustRightInd w:val="0"/>
              <w:snapToGrid w:val="0"/>
              <w:spacing w:before="48" w:beforeLines="20" w:line="500" w:lineRule="exact"/>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、原辅材料</w:t>
            </w:r>
          </w:p>
          <w:p>
            <w:pPr>
              <w:adjustRightInd w:val="0"/>
              <w:snapToGrid w:val="0"/>
              <w:spacing w:line="500" w:lineRule="exact"/>
              <w:jc w:val="center"/>
              <w:rPr>
                <w:rFonts w:hint="eastAsia"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rPr>
              <w:t>表2-</w:t>
            </w:r>
            <w:r>
              <w:rPr>
                <w:rFonts w:hint="eastAsia" w:ascii="Times New Roman" w:hAnsi="Times New Roman" w:cs="Times New Roman"/>
                <w:b/>
                <w:bCs/>
                <w:color w:val="auto"/>
                <w:sz w:val="21"/>
                <w:szCs w:val="21"/>
                <w:highlight w:val="none"/>
                <w:lang w:val="en-US" w:eastAsia="zh-CN"/>
              </w:rPr>
              <w:t xml:space="preserve">3 </w:t>
            </w:r>
            <w:r>
              <w:rPr>
                <w:rFonts w:hint="default" w:ascii="Times New Roman" w:hAnsi="Times New Roman" w:cs="Times New Roman"/>
                <w:b/>
                <w:bCs/>
                <w:color w:val="auto"/>
                <w:sz w:val="21"/>
                <w:szCs w:val="21"/>
                <w:highlight w:val="none"/>
              </w:rPr>
              <w:t xml:space="preserve"> 本项目建成后全厂原辅料消耗情况</w:t>
            </w:r>
            <w:r>
              <w:rPr>
                <w:rFonts w:hint="eastAsia" w:cs="Times New Roman"/>
                <w:b/>
                <w:bCs/>
                <w:color w:val="auto"/>
                <w:sz w:val="21"/>
                <w:szCs w:val="21"/>
                <w:highlight w:val="none"/>
                <w:lang w:eastAsia="zh-CN"/>
              </w:rPr>
              <w:t>一览表</w:t>
            </w:r>
          </w:p>
          <w:tbl>
            <w:tblPr>
              <w:tblStyle w:val="2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784"/>
              <w:gridCol w:w="1112"/>
              <w:gridCol w:w="2285"/>
              <w:gridCol w:w="717"/>
              <w:gridCol w:w="769"/>
              <w:gridCol w:w="835"/>
              <w:gridCol w:w="881"/>
              <w:gridCol w:w="10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0" w:type="auto"/>
                  <w:vMerge w:val="restart"/>
                  <w:vAlign w:val="center"/>
                </w:tcPr>
                <w:p>
                  <w:pPr>
                    <w:adjustRightInd w:val="0"/>
                    <w:snapToGrid w:val="0"/>
                    <w:jc w:val="center"/>
                    <w:rPr>
                      <w:rFonts w:hint="eastAsia" w:ascii="Times New Roman" w:hAnsi="Times New Roman" w:eastAsia="宋体" w:cs="Times New Roman"/>
                      <w:b/>
                      <w:bCs/>
                      <w:color w:val="auto"/>
                      <w:sz w:val="21"/>
                      <w:szCs w:val="21"/>
                      <w:lang w:eastAsia="zh-CN"/>
                    </w:rPr>
                  </w:pPr>
                  <w:r>
                    <w:rPr>
                      <w:rFonts w:hint="eastAsia" w:cs="Times New Roman"/>
                      <w:b/>
                      <w:bCs/>
                      <w:color w:val="auto"/>
                      <w:sz w:val="21"/>
                      <w:szCs w:val="21"/>
                      <w:lang w:eastAsia="zh-CN"/>
                    </w:rPr>
                    <w:t>产品</w:t>
                  </w:r>
                </w:p>
              </w:tc>
              <w:tc>
                <w:tcPr>
                  <w:tcW w:w="1112" w:type="dxa"/>
                  <w:vMerge w:val="restart"/>
                  <w:vAlign w:val="center"/>
                </w:tcPr>
                <w:p>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2285" w:type="dxa"/>
                  <w:vMerge w:val="restart"/>
                  <w:vAlign w:val="center"/>
                </w:tcPr>
                <w:p>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Cs w:val="21"/>
                    </w:rPr>
                    <w:t>规格、成分</w:t>
                  </w:r>
                </w:p>
              </w:tc>
              <w:tc>
                <w:tcPr>
                  <w:tcW w:w="0" w:type="auto"/>
                  <w:gridSpan w:val="3"/>
                  <w:tcBorders>
                    <w:bottom w:val="single" w:color="auto" w:sz="4" w:space="0"/>
                  </w:tcBorders>
                  <w:vAlign w:val="center"/>
                </w:tcPr>
                <w:p>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消耗量（</w:t>
                  </w:r>
                  <w:r>
                    <w:rPr>
                      <w:rFonts w:hint="default" w:ascii="Times New Roman" w:hAnsi="Times New Roman" w:eastAsia="宋体" w:cs="Times New Roman"/>
                      <w:b/>
                      <w:bCs/>
                      <w:color w:val="auto"/>
                      <w:sz w:val="21"/>
                      <w:szCs w:val="21"/>
                      <w:lang w:val="en-US" w:eastAsia="zh-CN"/>
                    </w:rPr>
                    <w:t>单位</w:t>
                  </w:r>
                  <w:r>
                    <w:rPr>
                      <w:rFonts w:hint="default" w:ascii="Times New Roman" w:hAnsi="Times New Roman" w:eastAsia="宋体" w:cs="Times New Roman"/>
                      <w:b/>
                      <w:bCs/>
                      <w:color w:val="auto"/>
                      <w:sz w:val="21"/>
                      <w:szCs w:val="21"/>
                    </w:rPr>
                    <w:t>/a）</w:t>
                  </w:r>
                </w:p>
              </w:tc>
              <w:tc>
                <w:tcPr>
                  <w:tcW w:w="0" w:type="auto"/>
                  <w:vMerge w:val="restart"/>
                  <w:vAlign w:val="center"/>
                </w:tcPr>
                <w:p>
                  <w:pPr>
                    <w:keepNext w:val="0"/>
                    <w:keepLines w:val="0"/>
                    <w:pageBreakBefore w:val="0"/>
                    <w:kinsoku/>
                    <w:wordWrap/>
                    <w:overflowPunct/>
                    <w:topLinePunct w:val="0"/>
                    <w:bidi w:val="0"/>
                    <w:adjustRightInd w:val="0"/>
                    <w:snapToGrid w:val="0"/>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Cs w:val="21"/>
                    </w:rPr>
                    <w:t>最</w:t>
                  </w:r>
                  <w:r>
                    <w:rPr>
                      <w:rFonts w:hint="default" w:ascii="Times New Roman" w:hAnsi="Times New Roman" w:eastAsia="宋体" w:cs="Times New Roman"/>
                      <w:b/>
                      <w:bCs/>
                      <w:color w:val="auto"/>
                      <w:szCs w:val="21"/>
                    </w:rPr>
                    <w:t>大储存量</w:t>
                  </w:r>
                </w:p>
              </w:tc>
              <w:tc>
                <w:tcPr>
                  <w:tcW w:w="0" w:type="auto"/>
                  <w:vMerge w:val="restart"/>
                  <w:vAlign w:val="center"/>
                </w:tcPr>
                <w:p>
                  <w:pPr>
                    <w:keepNext w:val="0"/>
                    <w:keepLines w:val="0"/>
                    <w:pageBreakBefore w:val="0"/>
                    <w:kinsoku/>
                    <w:wordWrap/>
                    <w:overflowPunct/>
                    <w:topLinePunct w:val="0"/>
                    <w:bidi w:val="0"/>
                    <w:adjustRightInd w:val="0"/>
                    <w:snapToGrid w:val="0"/>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Cs w:val="21"/>
                    </w:rPr>
                    <w:t>来源及运输方式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continue"/>
                  <w:vAlign w:val="center"/>
                </w:tcPr>
                <w:p>
                  <w:pPr>
                    <w:adjustRightInd w:val="0"/>
                    <w:snapToGrid w:val="0"/>
                    <w:jc w:val="center"/>
                    <w:rPr>
                      <w:rFonts w:hint="default" w:ascii="Times New Roman" w:hAnsi="Times New Roman" w:eastAsia="宋体" w:cs="Times New Roman"/>
                      <w:b/>
                      <w:bCs/>
                      <w:color w:val="auto"/>
                      <w:sz w:val="21"/>
                      <w:szCs w:val="21"/>
                    </w:rPr>
                  </w:pPr>
                </w:p>
              </w:tc>
              <w:tc>
                <w:tcPr>
                  <w:tcW w:w="1112" w:type="dxa"/>
                  <w:vMerge w:val="continue"/>
                  <w:vAlign w:val="center"/>
                </w:tcPr>
                <w:p>
                  <w:pPr>
                    <w:adjustRightInd w:val="0"/>
                    <w:snapToGrid w:val="0"/>
                    <w:jc w:val="center"/>
                    <w:rPr>
                      <w:rFonts w:hint="default" w:ascii="Times New Roman" w:hAnsi="Times New Roman" w:eastAsia="宋体" w:cs="Times New Roman"/>
                      <w:b/>
                      <w:bCs/>
                      <w:color w:val="auto"/>
                      <w:sz w:val="21"/>
                      <w:szCs w:val="21"/>
                    </w:rPr>
                  </w:pPr>
                </w:p>
              </w:tc>
              <w:tc>
                <w:tcPr>
                  <w:tcW w:w="2285" w:type="dxa"/>
                  <w:vMerge w:val="continue"/>
                  <w:tcBorders>
                    <w:bottom w:val="single" w:color="auto" w:sz="4" w:space="0"/>
                  </w:tcBorders>
                  <w:vAlign w:val="center"/>
                </w:tcPr>
                <w:p>
                  <w:pPr>
                    <w:adjustRightInd w:val="0"/>
                    <w:snapToGrid w:val="0"/>
                    <w:jc w:val="center"/>
                    <w:rPr>
                      <w:rFonts w:hint="default" w:ascii="Times New Roman" w:hAnsi="Times New Roman" w:eastAsia="宋体" w:cs="Times New Roman"/>
                      <w:b/>
                      <w:bCs/>
                      <w:color w:val="auto"/>
                      <w:sz w:val="21"/>
                      <w:szCs w:val="21"/>
                    </w:rPr>
                  </w:pPr>
                </w:p>
              </w:tc>
              <w:tc>
                <w:tcPr>
                  <w:tcW w:w="0" w:type="auto"/>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bCs/>
                      <w:color w:val="auto"/>
                      <w:sz w:val="21"/>
                      <w:szCs w:val="21"/>
                    </w:rPr>
                  </w:pPr>
                  <w:r>
                    <w:rPr>
                      <w:rFonts w:hint="eastAsia" w:cs="Times New Roman"/>
                      <w:b/>
                      <w:bCs/>
                      <w:color w:val="auto"/>
                      <w:sz w:val="21"/>
                      <w:szCs w:val="21"/>
                      <w:lang w:eastAsia="zh-CN"/>
                    </w:rPr>
                    <w:t>改</w:t>
                  </w:r>
                  <w:r>
                    <w:rPr>
                      <w:rFonts w:hint="default" w:ascii="Times New Roman" w:hAnsi="Times New Roman" w:eastAsia="宋体" w:cs="Times New Roman"/>
                      <w:b/>
                      <w:bCs/>
                      <w:color w:val="auto"/>
                      <w:sz w:val="21"/>
                      <w:szCs w:val="21"/>
                    </w:rPr>
                    <w:t>扩建前</w:t>
                  </w:r>
                </w:p>
              </w:tc>
              <w:tc>
                <w:tcPr>
                  <w:tcW w:w="0" w:type="auto"/>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bCs/>
                      <w:color w:val="auto"/>
                      <w:sz w:val="21"/>
                      <w:szCs w:val="21"/>
                    </w:rPr>
                  </w:pPr>
                  <w:r>
                    <w:rPr>
                      <w:rFonts w:hint="eastAsia" w:cs="Times New Roman"/>
                      <w:b/>
                      <w:bCs/>
                      <w:color w:val="auto"/>
                      <w:sz w:val="21"/>
                      <w:szCs w:val="21"/>
                      <w:lang w:eastAsia="zh-CN"/>
                    </w:rPr>
                    <w:t>改</w:t>
                  </w:r>
                  <w:r>
                    <w:rPr>
                      <w:rFonts w:hint="default" w:ascii="Times New Roman" w:hAnsi="Times New Roman" w:eastAsia="宋体" w:cs="Times New Roman"/>
                      <w:b/>
                      <w:bCs/>
                      <w:color w:val="auto"/>
                      <w:sz w:val="21"/>
                      <w:szCs w:val="21"/>
                    </w:rPr>
                    <w:t>扩建后</w:t>
                  </w:r>
                </w:p>
              </w:tc>
              <w:tc>
                <w:tcPr>
                  <w:tcW w:w="0" w:type="auto"/>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变化量</w:t>
                  </w:r>
                </w:p>
              </w:tc>
              <w:tc>
                <w:tcPr>
                  <w:tcW w:w="0" w:type="auto"/>
                  <w:vMerge w:val="continue"/>
                  <w:tcBorders>
                    <w:bottom w:val="single" w:color="auto" w:sz="4" w:space="0"/>
                  </w:tcBorders>
                  <w:vAlign w:val="center"/>
                </w:tcPr>
                <w:p>
                  <w:pPr>
                    <w:keepNext w:val="0"/>
                    <w:keepLines w:val="0"/>
                    <w:pageBreakBefore w:val="0"/>
                    <w:kinsoku/>
                    <w:wordWrap/>
                    <w:overflowPunct/>
                    <w:topLinePunct w:val="0"/>
                    <w:bidi w:val="0"/>
                    <w:adjustRightInd w:val="0"/>
                    <w:snapToGrid w:val="0"/>
                    <w:ind w:left="0" w:leftChars="0" w:right="0" w:rightChars="0"/>
                    <w:jc w:val="center"/>
                    <w:rPr>
                      <w:rFonts w:hint="default" w:ascii="Times New Roman" w:hAnsi="Times New Roman" w:eastAsia="宋体" w:cs="Times New Roman"/>
                      <w:b/>
                      <w:bCs/>
                      <w:color w:val="auto"/>
                      <w:sz w:val="21"/>
                      <w:szCs w:val="21"/>
                    </w:rPr>
                  </w:pPr>
                </w:p>
              </w:tc>
              <w:tc>
                <w:tcPr>
                  <w:tcW w:w="0" w:type="auto"/>
                  <w:vMerge w:val="continue"/>
                  <w:tcBorders>
                    <w:bottom w:val="single" w:color="auto" w:sz="4" w:space="0"/>
                  </w:tcBorders>
                  <w:vAlign w:val="center"/>
                </w:tcPr>
                <w:p>
                  <w:pPr>
                    <w:keepNext w:val="0"/>
                    <w:keepLines w:val="0"/>
                    <w:pageBreakBefore w:val="0"/>
                    <w:kinsoku/>
                    <w:wordWrap/>
                    <w:overflowPunct/>
                    <w:topLinePunct w:val="0"/>
                    <w:bidi w:val="0"/>
                    <w:adjustRightInd w:val="0"/>
                    <w:snapToGrid w:val="0"/>
                    <w:ind w:left="0" w:leftChars="0" w:right="0" w:rightChars="0"/>
                    <w:jc w:val="center"/>
                    <w:rPr>
                      <w:rFonts w:hint="default" w:ascii="Times New Roman" w:hAnsi="Times New Roman" w:eastAsia="宋体" w:cs="Times New Roman"/>
                      <w:b/>
                      <w:bCs/>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restart"/>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Cs/>
                      <w:color w:val="auto"/>
                      <w:sz w:val="21"/>
                      <w:lang w:val="en-US" w:eastAsia="zh-CN"/>
                    </w:rPr>
                    <w:t>地毯</w:t>
                  </w:r>
                </w:p>
              </w:tc>
              <w:tc>
                <w:tcPr>
                  <w:tcW w:w="1112" w:type="dxa"/>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针刺面料</w:t>
                  </w:r>
                </w:p>
              </w:tc>
              <w:tc>
                <w:tcPr>
                  <w:tcW w:w="2285" w:type="dxa"/>
                  <w:tcBorders>
                    <w:top w:val="single" w:color="auto" w:sz="4" w:space="0"/>
                  </w:tcBorders>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PET</w:t>
                  </w:r>
                </w:p>
              </w:tc>
              <w:tc>
                <w:tcPr>
                  <w:tcW w:w="0" w:type="auto"/>
                  <w:tcBorders>
                    <w:top w:val="single" w:color="auto" w:sz="4" w:space="0"/>
                  </w:tcBorders>
                  <w:vAlign w:val="center"/>
                </w:tcPr>
                <w:p>
                  <w:pPr>
                    <w:pStyle w:val="70"/>
                    <w:tabs>
                      <w:tab w:val="center" w:pos="4153"/>
                      <w:tab w:val="right" w:pos="8306"/>
                    </w:tabs>
                    <w:adjustRightInd w:val="0"/>
                    <w:snapToGrid w:val="0"/>
                    <w:rPr>
                      <w:rFonts w:hint="eastAsia"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w:t>
                  </w:r>
                  <w:r>
                    <w:rPr>
                      <w:rFonts w:hint="eastAsia" w:ascii="Times New Roman" w:hAnsi="Times New Roman" w:eastAsia="宋体" w:cs="Times New Roman"/>
                      <w:kern w:val="2"/>
                      <w:sz w:val="21"/>
                      <w:szCs w:val="21"/>
                      <w:lang w:val="en-US" w:eastAsia="zh-CN" w:bidi="ar-SA"/>
                    </w:rPr>
                    <w:t>万m</w:t>
                  </w:r>
                  <w:r>
                    <w:rPr>
                      <w:rFonts w:hint="eastAsia" w:ascii="Times New Roman" w:hAnsi="Times New Roman" w:eastAsia="宋体" w:cs="Times New Roman"/>
                      <w:kern w:val="2"/>
                      <w:sz w:val="21"/>
                      <w:szCs w:val="21"/>
                      <w:vertAlign w:val="superscript"/>
                      <w:lang w:val="en-US" w:eastAsia="zh-CN" w:bidi="ar-SA"/>
                    </w:rPr>
                    <w:t>2</w:t>
                  </w:r>
                </w:p>
              </w:tc>
              <w:tc>
                <w:tcPr>
                  <w:tcW w:w="0" w:type="auto"/>
                  <w:tcBorders>
                    <w:top w:val="single" w:color="auto" w:sz="4" w:space="0"/>
                  </w:tcBorders>
                  <w:vAlign w:val="center"/>
                </w:tcPr>
                <w:p>
                  <w:pPr>
                    <w:adjustRightInd w:val="0"/>
                    <w:snapToGrid w:val="0"/>
                    <w:jc w:val="center"/>
                    <w:rPr>
                      <w:rFonts w:hint="eastAsia" w:cs="Times New Roman"/>
                      <w:color w:val="auto"/>
                      <w:sz w:val="21"/>
                      <w:szCs w:val="21"/>
                      <w:lang w:val="en-US" w:eastAsia="zh-CN"/>
                    </w:rPr>
                  </w:pPr>
                  <w:r>
                    <w:rPr>
                      <w:rFonts w:hint="eastAsia" w:cs="Times New Roman"/>
                      <w:kern w:val="2"/>
                      <w:sz w:val="21"/>
                      <w:szCs w:val="21"/>
                      <w:lang w:val="en-US" w:eastAsia="zh-CN" w:bidi="ar-SA"/>
                    </w:rPr>
                    <w:t>116</w:t>
                  </w:r>
                  <w:r>
                    <w:rPr>
                      <w:rFonts w:hint="eastAsia" w:ascii="Times New Roman" w:hAnsi="Times New Roman" w:eastAsia="宋体" w:cs="Times New Roman"/>
                      <w:kern w:val="2"/>
                      <w:sz w:val="21"/>
                      <w:szCs w:val="21"/>
                      <w:lang w:val="en-US" w:eastAsia="zh-CN" w:bidi="ar-SA"/>
                    </w:rPr>
                    <w:t>万m</w:t>
                  </w:r>
                  <w:r>
                    <w:rPr>
                      <w:rFonts w:hint="eastAsia" w:ascii="Times New Roman" w:hAnsi="Times New Roman" w:eastAsia="宋体" w:cs="Times New Roman"/>
                      <w:kern w:val="2"/>
                      <w:sz w:val="21"/>
                      <w:szCs w:val="21"/>
                      <w:vertAlign w:val="superscript"/>
                      <w:lang w:val="en-US" w:eastAsia="zh-CN" w:bidi="ar-SA"/>
                    </w:rPr>
                    <w:t>2</w:t>
                  </w:r>
                </w:p>
              </w:tc>
              <w:tc>
                <w:tcPr>
                  <w:tcW w:w="0" w:type="auto"/>
                  <w:tcBorders>
                    <w:top w:val="single" w:color="auto" w:sz="4" w:space="0"/>
                  </w:tcBorders>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+88万m</w:t>
                  </w:r>
                  <w:r>
                    <w:rPr>
                      <w:rFonts w:hint="eastAsia" w:ascii="Times New Roman" w:hAnsi="Times New Roman" w:eastAsia="宋体" w:cs="Times New Roman"/>
                      <w:kern w:val="2"/>
                      <w:sz w:val="21"/>
                      <w:szCs w:val="21"/>
                      <w:vertAlign w:val="superscript"/>
                      <w:lang w:val="en-US" w:eastAsia="zh-CN" w:bidi="ar-SA"/>
                    </w:rPr>
                    <w:t>2</w:t>
                  </w:r>
                </w:p>
              </w:tc>
              <w:tc>
                <w:tcPr>
                  <w:tcW w:w="0" w:type="auto"/>
                  <w:tcBorders>
                    <w:top w:val="single" w:color="auto" w:sz="4" w:space="0"/>
                  </w:tcBorders>
                  <w:vAlign w:val="center"/>
                </w:tcPr>
                <w:p>
                  <w:pPr>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8</w:t>
                  </w:r>
                  <w:r>
                    <w:rPr>
                      <w:rFonts w:hint="eastAsia" w:ascii="Times New Roman" w:hAnsi="Times New Roman" w:eastAsia="宋体" w:cs="Times New Roman"/>
                      <w:kern w:val="2"/>
                      <w:sz w:val="21"/>
                      <w:szCs w:val="21"/>
                      <w:lang w:val="en-US" w:eastAsia="zh-CN" w:bidi="ar-SA"/>
                    </w:rPr>
                    <w:t>万m</w:t>
                  </w:r>
                  <w:r>
                    <w:rPr>
                      <w:rFonts w:hint="eastAsia" w:ascii="Times New Roman" w:hAnsi="Times New Roman" w:eastAsia="宋体" w:cs="Times New Roman"/>
                      <w:kern w:val="2"/>
                      <w:sz w:val="21"/>
                      <w:szCs w:val="21"/>
                      <w:vertAlign w:val="superscript"/>
                      <w:lang w:val="en-US" w:eastAsia="zh-CN" w:bidi="ar-SA"/>
                    </w:rPr>
                    <w:t>2</w:t>
                  </w:r>
                </w:p>
              </w:tc>
              <w:tc>
                <w:tcPr>
                  <w:tcW w:w="0" w:type="auto"/>
                  <w:tcBorders>
                    <w:top w:val="single" w:color="auto" w:sz="4" w:space="0"/>
                  </w:tcBorders>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auto"/>
                      <w:szCs w:val="21"/>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continue"/>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p>
              </w:tc>
              <w:tc>
                <w:tcPr>
                  <w:tcW w:w="1112" w:type="dxa"/>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发泡A料</w:t>
                  </w:r>
                </w:p>
              </w:tc>
              <w:tc>
                <w:tcPr>
                  <w:tcW w:w="2285" w:type="dxa"/>
                  <w:tcBorders>
                    <w:top w:val="single" w:color="auto" w:sz="4" w:space="0"/>
                  </w:tcBorders>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聚醚多元醇、聚合物多元醇、水</w:t>
                  </w:r>
                </w:p>
              </w:tc>
              <w:tc>
                <w:tcPr>
                  <w:tcW w:w="0" w:type="auto"/>
                  <w:tcBorders>
                    <w:top w:val="single" w:color="auto" w:sz="4" w:space="0"/>
                  </w:tcBorders>
                  <w:vAlign w:val="center"/>
                </w:tcPr>
                <w:p>
                  <w:pPr>
                    <w:adjustRightInd w:val="0"/>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op w:val="single" w:color="auto" w:sz="4" w:space="0"/>
                  </w:tcBorders>
                  <w:vAlign w:val="center"/>
                </w:tcPr>
                <w:p>
                  <w:pPr>
                    <w:pStyle w:val="25"/>
                    <w:keepNext w:val="0"/>
                    <w:keepLines w:val="0"/>
                    <w:widowControl/>
                    <w:suppressLineNumbers w:val="0"/>
                    <w:ind w:left="0" w:leftChars="0" w:right="0" w:rightChars="0"/>
                    <w:jc w:val="center"/>
                    <w:rPr>
                      <w:rFonts w:hint="eastAsia" w:cs="Times New Roman"/>
                      <w:color w:val="auto"/>
                      <w:sz w:val="21"/>
                      <w:szCs w:val="21"/>
                      <w:lang w:val="en-US" w:eastAsia="zh-CN"/>
                    </w:rPr>
                  </w:pPr>
                  <w:r>
                    <w:rPr>
                      <w:rFonts w:hint="eastAsia" w:ascii="Times New Roman" w:hAnsi="Times New Roman" w:eastAsia="宋体" w:cs="Times New Roman"/>
                      <w:kern w:val="2"/>
                      <w:sz w:val="21"/>
                      <w:szCs w:val="21"/>
                      <w:lang w:val="en-US" w:eastAsia="zh-CN" w:bidi="ar-SA"/>
                    </w:rPr>
                    <w:t>20t</w:t>
                  </w:r>
                </w:p>
              </w:tc>
              <w:tc>
                <w:tcPr>
                  <w:tcW w:w="0" w:type="auto"/>
                  <w:tcBorders>
                    <w:top w:val="single" w:color="auto" w:sz="4" w:space="0"/>
                  </w:tcBorders>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+20t</w:t>
                  </w:r>
                </w:p>
              </w:tc>
              <w:tc>
                <w:tcPr>
                  <w:tcW w:w="0" w:type="auto"/>
                  <w:tcBorders>
                    <w:top w:val="single" w:color="auto" w:sz="4" w:space="0"/>
                  </w:tcBorders>
                  <w:vAlign w:val="center"/>
                </w:tcPr>
                <w:p>
                  <w:pPr>
                    <w:spacing w:line="320" w:lineRule="exact"/>
                    <w:jc w:val="center"/>
                    <w:rPr>
                      <w:rFonts w:hint="eastAsia" w:ascii="Times New Roman" w:hAnsi="Times New Roman" w:eastAsia="宋体" w:cs="Times New Roman"/>
                      <w:kern w:val="2"/>
                      <w:sz w:val="21"/>
                      <w:szCs w:val="21"/>
                      <w:lang w:val="en-US" w:eastAsia="zh-CN" w:bidi="ar-SA"/>
                    </w:rPr>
                  </w:pPr>
                  <w:r>
                    <w:rPr>
                      <w:rFonts w:hint="eastAsia" w:eastAsia="宋体"/>
                      <w:szCs w:val="21"/>
                      <w:lang w:val="en-US" w:eastAsia="zh-CN"/>
                    </w:rPr>
                    <w:t>2t</w:t>
                  </w:r>
                </w:p>
              </w:tc>
              <w:tc>
                <w:tcPr>
                  <w:tcW w:w="0" w:type="auto"/>
                  <w:tcBorders>
                    <w:top w:val="single" w:color="auto" w:sz="4" w:space="0"/>
                  </w:tcBorders>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auto"/>
                      <w:szCs w:val="21"/>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continue"/>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p>
              </w:tc>
              <w:tc>
                <w:tcPr>
                  <w:tcW w:w="1112" w:type="dxa"/>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发泡B料</w:t>
                  </w:r>
                </w:p>
              </w:tc>
              <w:tc>
                <w:tcPr>
                  <w:tcW w:w="2285" w:type="dxa"/>
                  <w:tcBorders>
                    <w:top w:val="single" w:color="auto" w:sz="4" w:space="0"/>
                  </w:tcBorders>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改性MDI</w:t>
                  </w:r>
                </w:p>
              </w:tc>
              <w:tc>
                <w:tcPr>
                  <w:tcW w:w="0" w:type="auto"/>
                  <w:tcBorders>
                    <w:top w:val="single" w:color="auto" w:sz="4" w:space="0"/>
                  </w:tcBorders>
                  <w:vAlign w:val="center"/>
                </w:tcPr>
                <w:p>
                  <w:pPr>
                    <w:adjustRightInd w:val="0"/>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op w:val="single" w:color="auto" w:sz="4" w:space="0"/>
                  </w:tcBorders>
                  <w:vAlign w:val="center"/>
                </w:tcPr>
                <w:p>
                  <w:pPr>
                    <w:pStyle w:val="25"/>
                    <w:keepNext w:val="0"/>
                    <w:keepLines w:val="0"/>
                    <w:widowControl/>
                    <w:suppressLineNumbers w:val="0"/>
                    <w:ind w:left="0" w:leftChars="0" w:right="0" w:rightChars="0"/>
                    <w:jc w:val="center"/>
                    <w:rPr>
                      <w:rFonts w:hint="eastAsia" w:cs="Times New Roman"/>
                      <w:color w:val="auto"/>
                      <w:sz w:val="21"/>
                      <w:szCs w:val="21"/>
                      <w:lang w:val="en-US" w:eastAsia="zh-CN"/>
                    </w:rPr>
                  </w:pPr>
                  <w:r>
                    <w:rPr>
                      <w:rFonts w:hint="eastAsia" w:ascii="Times New Roman" w:hAnsi="Times New Roman" w:eastAsia="宋体" w:cs="Times New Roman"/>
                      <w:kern w:val="2"/>
                      <w:sz w:val="21"/>
                      <w:szCs w:val="21"/>
                      <w:lang w:val="en-US" w:eastAsia="zh-CN" w:bidi="ar-SA"/>
                    </w:rPr>
                    <w:t>10t</w:t>
                  </w:r>
                </w:p>
              </w:tc>
              <w:tc>
                <w:tcPr>
                  <w:tcW w:w="0" w:type="auto"/>
                  <w:tcBorders>
                    <w:top w:val="single" w:color="auto" w:sz="4" w:space="0"/>
                  </w:tcBorders>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+10t</w:t>
                  </w:r>
                </w:p>
              </w:tc>
              <w:tc>
                <w:tcPr>
                  <w:tcW w:w="0" w:type="auto"/>
                  <w:tcBorders>
                    <w:top w:val="single" w:color="auto" w:sz="4" w:space="0"/>
                  </w:tcBorders>
                  <w:vAlign w:val="center"/>
                </w:tcPr>
                <w:p>
                  <w:pPr>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0.4</w:t>
                  </w:r>
                  <w:r>
                    <w:rPr>
                      <w:rFonts w:hint="eastAsia" w:eastAsia="宋体"/>
                      <w:szCs w:val="21"/>
                      <w:lang w:val="en-US" w:eastAsia="zh-CN"/>
                    </w:rPr>
                    <w:t>t</w:t>
                  </w:r>
                </w:p>
              </w:tc>
              <w:tc>
                <w:tcPr>
                  <w:tcW w:w="0" w:type="auto"/>
                  <w:tcBorders>
                    <w:top w:val="single" w:color="auto" w:sz="4" w:space="0"/>
                  </w:tcBorders>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auto"/>
                      <w:szCs w:val="21"/>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continue"/>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p>
              </w:tc>
              <w:tc>
                <w:tcPr>
                  <w:tcW w:w="111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sz w:val="21"/>
                      <w:szCs w:val="21"/>
                      <w:lang w:val="en-US" w:eastAsia="zh-CN"/>
                    </w:rPr>
                    <w:t>水性</w:t>
                  </w:r>
                  <w:r>
                    <w:rPr>
                      <w:rFonts w:hint="eastAsia" w:ascii="Times New Roman" w:hAnsi="Times New Roman" w:eastAsia="宋体" w:cs="Times New Roman"/>
                      <w:color w:val="000000"/>
                      <w:sz w:val="21"/>
                      <w:szCs w:val="21"/>
                      <w:lang w:eastAsia="zh-CN"/>
                    </w:rPr>
                    <w:t>脱模剂</w:t>
                  </w:r>
                </w:p>
              </w:tc>
              <w:tc>
                <w:tcPr>
                  <w:tcW w:w="2285" w:type="dxa"/>
                  <w:tcBorders>
                    <w:top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1"/>
                      <w:szCs w:val="21"/>
                      <w:lang w:val="en-US" w:eastAsia="zh-CN"/>
                    </w:rPr>
                  </w:pPr>
                  <w:r>
                    <w:rPr>
                      <w:rFonts w:hint="eastAsia" w:cs="Times New Roman"/>
                      <w:color w:val="auto"/>
                      <w:kern w:val="0"/>
                      <w:sz w:val="21"/>
                      <w:szCs w:val="21"/>
                      <w:highlight w:val="none"/>
                      <w:lang w:val="en-US" w:eastAsia="zh-CN" w:bidi="en-US"/>
                    </w:rPr>
                    <w:t>水75-80%、石蜡19-23%、添加剂1-2%</w:t>
                  </w:r>
                </w:p>
              </w:tc>
              <w:tc>
                <w:tcPr>
                  <w:tcW w:w="0" w:type="auto"/>
                  <w:tcBorders>
                    <w:top w:val="single" w:color="auto" w:sz="4" w:space="0"/>
                  </w:tcBorders>
                  <w:vAlign w:val="center"/>
                </w:tcPr>
                <w:p>
                  <w:pPr>
                    <w:pStyle w:val="70"/>
                    <w:adjustRightInd w:val="0"/>
                    <w:snapToGrid w:val="0"/>
                    <w:rPr>
                      <w:rFonts w:hint="eastAsia"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0" w:type="auto"/>
                  <w:tcBorders>
                    <w:top w:val="single" w:color="auto" w:sz="4" w:space="0"/>
                  </w:tcBorders>
                  <w:vAlign w:val="center"/>
                </w:tcPr>
                <w:p>
                  <w:pPr>
                    <w:keepNext w:val="0"/>
                    <w:keepLines w:val="0"/>
                    <w:widowControl/>
                    <w:suppressLineNumbers w:val="0"/>
                    <w:jc w:val="center"/>
                    <w:textAlignment w:val="center"/>
                    <w:rPr>
                      <w:rFonts w:hint="eastAsia" w:cs="Times New Roman"/>
                      <w:color w:val="auto"/>
                      <w:sz w:val="21"/>
                      <w:szCs w:val="21"/>
                      <w:lang w:val="en-US" w:eastAsia="zh-CN"/>
                    </w:rPr>
                  </w:pPr>
                  <w:r>
                    <w:rPr>
                      <w:rFonts w:hint="eastAsia" w:eastAsia="宋体"/>
                      <w:sz w:val="21"/>
                      <w:szCs w:val="21"/>
                      <w:lang w:val="en-US" w:eastAsia="zh-CN"/>
                    </w:rPr>
                    <w:t>0.45t</w:t>
                  </w:r>
                </w:p>
              </w:tc>
              <w:tc>
                <w:tcPr>
                  <w:tcW w:w="0" w:type="auto"/>
                  <w:tcBorders>
                    <w:top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+0.45t</w:t>
                  </w:r>
                </w:p>
              </w:tc>
              <w:tc>
                <w:tcPr>
                  <w:tcW w:w="0" w:type="auto"/>
                  <w:tcBorders>
                    <w:top w:val="single" w:color="auto" w:sz="4" w:space="0"/>
                  </w:tcBorders>
                  <w:vAlign w:val="center"/>
                </w:tcPr>
                <w:p>
                  <w:pPr>
                    <w:spacing w:line="320" w:lineRule="exact"/>
                    <w:jc w:val="center"/>
                    <w:rPr>
                      <w:rFonts w:hint="eastAsia" w:eastAsia="宋体"/>
                      <w:sz w:val="21"/>
                      <w:szCs w:val="21"/>
                      <w:lang w:val="en-US" w:eastAsia="zh-CN"/>
                    </w:rPr>
                  </w:pPr>
                  <w:r>
                    <w:rPr>
                      <w:rFonts w:hint="eastAsia"/>
                      <w:szCs w:val="21"/>
                      <w:lang w:val="en-US" w:eastAsia="zh-CN"/>
                    </w:rPr>
                    <w:t>0.1t</w:t>
                  </w:r>
                </w:p>
              </w:tc>
              <w:tc>
                <w:tcPr>
                  <w:tcW w:w="0" w:type="auto"/>
                  <w:tcBorders>
                    <w:top w:val="single" w:color="auto" w:sz="4" w:space="0"/>
                  </w:tcBorders>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eastAsia="宋体"/>
                      <w:sz w:val="21"/>
                      <w:szCs w:val="21"/>
                      <w:lang w:val="en-US" w:eastAsia="zh-CN"/>
                    </w:rPr>
                  </w:pPr>
                  <w:r>
                    <w:rPr>
                      <w:rFonts w:hint="default" w:ascii="Times New Roman" w:hAnsi="Times New Roman" w:cs="Times New Roman"/>
                      <w:color w:val="auto"/>
                      <w:szCs w:val="21"/>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continue"/>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p>
              </w:tc>
              <w:tc>
                <w:tcPr>
                  <w:tcW w:w="1112" w:type="dxa"/>
                  <w:vAlign w:val="center"/>
                </w:tcPr>
                <w:p>
                  <w:pPr>
                    <w:pStyle w:val="69"/>
                    <w:spacing w:line="7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sz w:val="21"/>
                      <w:szCs w:val="21"/>
                      <w:highlight w:val="none"/>
                      <w:lang w:eastAsia="zh-CN"/>
                    </w:rPr>
                    <w:t>液压油</w:t>
                  </w:r>
                </w:p>
              </w:tc>
              <w:tc>
                <w:tcPr>
                  <w:tcW w:w="2285" w:type="dxa"/>
                  <w:tcBorders>
                    <w:top w:val="single" w:color="auto" w:sz="4" w:space="0"/>
                  </w:tcBorders>
                  <w:vAlign w:val="center"/>
                </w:tcPr>
                <w:p>
                  <w:pPr>
                    <w:widowControl/>
                    <w:spacing w:line="320" w:lineRule="exact"/>
                    <w:jc w:val="center"/>
                    <w:rPr>
                      <w:rFonts w:hint="eastAsia" w:ascii="Times New Roman" w:hAnsi="Times New Roman" w:eastAsia="宋体" w:cs="Times New Roman"/>
                      <w:color w:val="000000"/>
                      <w:sz w:val="21"/>
                      <w:szCs w:val="21"/>
                      <w:highlight w:val="none"/>
                      <w:lang w:eastAsia="zh-CN"/>
                    </w:rPr>
                  </w:pPr>
                  <w:r>
                    <w:rPr>
                      <w:rFonts w:hint="eastAsia" w:cs="Times New Roman"/>
                      <w:color w:val="auto"/>
                      <w:kern w:val="0"/>
                      <w:sz w:val="21"/>
                      <w:szCs w:val="21"/>
                      <w:highlight w:val="none"/>
                      <w:lang w:val="en-US" w:eastAsia="zh-CN" w:bidi="ar-SA"/>
                    </w:rPr>
                    <w:t>矿物油</w:t>
                  </w:r>
                </w:p>
              </w:tc>
              <w:tc>
                <w:tcPr>
                  <w:tcW w:w="0" w:type="auto"/>
                  <w:tcBorders>
                    <w:top w:val="single" w:color="auto" w:sz="4" w:space="0"/>
                  </w:tcBorders>
                  <w:vAlign w:val="center"/>
                </w:tcPr>
                <w:p>
                  <w:pPr>
                    <w:adjustRightInd w:val="0"/>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op w:val="single" w:color="auto" w:sz="4" w:space="0"/>
                  </w:tcBorders>
                  <w:vAlign w:val="center"/>
                </w:tcPr>
                <w:p>
                  <w:pPr>
                    <w:spacing w:line="320" w:lineRule="exact"/>
                    <w:jc w:val="center"/>
                    <w:rPr>
                      <w:rFonts w:hint="eastAsia" w:cs="Times New Roman"/>
                      <w:color w:val="auto"/>
                      <w:sz w:val="21"/>
                      <w:szCs w:val="21"/>
                      <w:lang w:val="en-US" w:eastAsia="zh-CN"/>
                    </w:rPr>
                  </w:pPr>
                  <w:r>
                    <w:rPr>
                      <w:rFonts w:hint="eastAsia" w:eastAsia="宋体"/>
                      <w:sz w:val="21"/>
                      <w:szCs w:val="21"/>
                      <w:highlight w:val="none"/>
                      <w:lang w:val="en-US" w:eastAsia="zh-CN"/>
                    </w:rPr>
                    <w:t>3t</w:t>
                  </w:r>
                  <w:r>
                    <w:rPr>
                      <w:rFonts w:hint="eastAsia"/>
                      <w:sz w:val="21"/>
                      <w:szCs w:val="21"/>
                      <w:highlight w:val="none"/>
                      <w:lang w:val="en-US" w:eastAsia="zh-CN"/>
                    </w:rPr>
                    <w:t>/3a</w:t>
                  </w:r>
                </w:p>
              </w:tc>
              <w:tc>
                <w:tcPr>
                  <w:tcW w:w="0" w:type="auto"/>
                  <w:tcBorders>
                    <w:top w:val="single" w:color="auto" w:sz="4" w:space="0"/>
                  </w:tcBorders>
                  <w:vAlign w:val="center"/>
                </w:tcPr>
                <w:p>
                  <w:pPr>
                    <w:spacing w:line="320" w:lineRule="exact"/>
                    <w:jc w:val="center"/>
                    <w:rPr>
                      <w:rFonts w:hint="eastAsia" w:ascii="Times New Roman" w:hAnsi="Times New Roman" w:eastAsia="宋体" w:cs="Times New Roman"/>
                      <w:kern w:val="2"/>
                      <w:sz w:val="21"/>
                      <w:szCs w:val="21"/>
                      <w:lang w:val="en-US" w:eastAsia="zh-CN" w:bidi="ar-SA"/>
                    </w:rPr>
                  </w:pPr>
                  <w:r>
                    <w:rPr>
                      <w:rFonts w:hint="eastAsia" w:eastAsia="宋体"/>
                      <w:sz w:val="21"/>
                      <w:szCs w:val="21"/>
                      <w:highlight w:val="none"/>
                      <w:lang w:val="en-US" w:eastAsia="zh-CN"/>
                    </w:rPr>
                    <w:t>+3t</w:t>
                  </w:r>
                  <w:r>
                    <w:rPr>
                      <w:rFonts w:hint="eastAsia"/>
                      <w:sz w:val="21"/>
                      <w:szCs w:val="21"/>
                      <w:highlight w:val="none"/>
                      <w:lang w:val="en-US" w:eastAsia="zh-CN"/>
                    </w:rPr>
                    <w:t>/3a</w:t>
                  </w:r>
                </w:p>
              </w:tc>
              <w:tc>
                <w:tcPr>
                  <w:tcW w:w="0" w:type="auto"/>
                  <w:tcBorders>
                    <w:top w:val="single" w:color="auto" w:sz="4" w:space="0"/>
                  </w:tcBorders>
                  <w:vAlign w:val="center"/>
                </w:tcPr>
                <w:p>
                  <w:pPr>
                    <w:spacing w:line="320" w:lineRule="exact"/>
                    <w:jc w:val="center"/>
                    <w:rPr>
                      <w:rFonts w:hint="default"/>
                      <w:sz w:val="21"/>
                      <w:szCs w:val="21"/>
                      <w:highlight w:val="none"/>
                      <w:lang w:val="en-US" w:eastAsia="zh-CN"/>
                    </w:rPr>
                  </w:pPr>
                  <w:r>
                    <w:rPr>
                      <w:rFonts w:hint="eastAsia"/>
                      <w:sz w:val="21"/>
                      <w:szCs w:val="21"/>
                      <w:highlight w:val="none"/>
                      <w:lang w:val="en-US" w:eastAsia="zh-CN"/>
                    </w:rPr>
                    <w:t>0.17t</w:t>
                  </w:r>
                </w:p>
              </w:tc>
              <w:tc>
                <w:tcPr>
                  <w:tcW w:w="0" w:type="auto"/>
                  <w:tcBorders>
                    <w:top w:val="single" w:color="auto" w:sz="4" w:space="0"/>
                  </w:tcBorders>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eastAsia="宋体"/>
                      <w:sz w:val="21"/>
                      <w:szCs w:val="21"/>
                      <w:highlight w:val="none"/>
                      <w:lang w:val="en-US" w:eastAsia="zh-CN"/>
                    </w:rPr>
                  </w:pPr>
                  <w:r>
                    <w:rPr>
                      <w:rFonts w:hint="default" w:ascii="Times New Roman" w:hAnsi="Times New Roman" w:cs="Times New Roman"/>
                      <w:color w:val="auto"/>
                      <w:szCs w:val="21"/>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restart"/>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Cs/>
                      <w:color w:val="auto"/>
                      <w:sz w:val="21"/>
                      <w:lang w:val="en-US" w:eastAsia="zh-CN"/>
                    </w:rPr>
                    <w:t>备胎盖</w:t>
                  </w:r>
                </w:p>
              </w:tc>
              <w:tc>
                <w:tcPr>
                  <w:tcW w:w="1112" w:type="dxa"/>
                  <w:vAlign w:val="center"/>
                </w:tcPr>
                <w:p>
                  <w:pPr>
                    <w:pStyle w:val="25"/>
                    <w:keepNext w:val="0"/>
                    <w:keepLines w:val="0"/>
                    <w:widowControl/>
                    <w:suppressLineNumbers w:val="0"/>
                    <w:ind w:left="0" w:leftChars="0" w:right="0" w:right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kern w:val="2"/>
                      <w:sz w:val="21"/>
                      <w:szCs w:val="21"/>
                      <w:lang w:val="en-US" w:eastAsia="zh-CN" w:bidi="ar-SA"/>
                    </w:rPr>
                    <w:t>无纺布</w:t>
                  </w:r>
                </w:p>
              </w:tc>
              <w:tc>
                <w:tcPr>
                  <w:tcW w:w="2285" w:type="dxa"/>
                  <w:tcBorders>
                    <w:top w:val="single" w:color="auto" w:sz="4" w:space="0"/>
                  </w:tcBorders>
                  <w:vAlign w:val="center"/>
                </w:tcPr>
                <w:p>
                  <w:pPr>
                    <w:pStyle w:val="25"/>
                    <w:keepNext w:val="0"/>
                    <w:keepLines w:val="0"/>
                    <w:widowControl/>
                    <w:suppressLineNumbers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PET</w:t>
                  </w:r>
                </w:p>
              </w:tc>
              <w:tc>
                <w:tcPr>
                  <w:tcW w:w="0" w:type="auto"/>
                  <w:tcBorders>
                    <w:top w:val="single" w:color="auto" w:sz="4" w:space="0"/>
                  </w:tcBorders>
                  <w:vAlign w:val="center"/>
                </w:tcPr>
                <w:p>
                  <w:pPr>
                    <w:widowControl/>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8.3</w:t>
                  </w:r>
                  <w:r>
                    <w:rPr>
                      <w:rFonts w:hint="eastAsia" w:ascii="Times New Roman" w:hAnsi="Times New Roman" w:eastAsia="宋体" w:cs="Times New Roman"/>
                      <w:kern w:val="2"/>
                      <w:sz w:val="21"/>
                      <w:szCs w:val="21"/>
                      <w:lang w:val="en-US" w:eastAsia="zh-CN" w:bidi="ar-SA"/>
                    </w:rPr>
                    <w:t>万m</w:t>
                  </w:r>
                  <w:r>
                    <w:rPr>
                      <w:rFonts w:hint="eastAsia" w:ascii="Times New Roman" w:hAnsi="Times New Roman" w:eastAsia="宋体" w:cs="Times New Roman"/>
                      <w:kern w:val="2"/>
                      <w:sz w:val="21"/>
                      <w:szCs w:val="21"/>
                      <w:vertAlign w:val="superscript"/>
                      <w:lang w:val="en-US" w:eastAsia="zh-CN" w:bidi="ar-SA"/>
                    </w:rPr>
                    <w:t>2</w:t>
                  </w:r>
                </w:p>
              </w:tc>
              <w:tc>
                <w:tcPr>
                  <w:tcW w:w="0" w:type="auto"/>
                  <w:tcBorders>
                    <w:top w:val="single" w:color="auto" w:sz="4" w:space="0"/>
                  </w:tcBorders>
                  <w:vAlign w:val="center"/>
                </w:tcPr>
                <w:p>
                  <w:pPr>
                    <w:widowControl/>
                    <w:adjustRightInd w:val="0"/>
                    <w:snapToGrid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8.3</w:t>
                  </w:r>
                  <w:r>
                    <w:rPr>
                      <w:rFonts w:hint="eastAsia" w:ascii="Times New Roman" w:hAnsi="Times New Roman" w:eastAsia="宋体" w:cs="Times New Roman"/>
                      <w:kern w:val="2"/>
                      <w:sz w:val="21"/>
                      <w:szCs w:val="21"/>
                      <w:lang w:val="en-US" w:eastAsia="zh-CN" w:bidi="ar-SA"/>
                    </w:rPr>
                    <w:t>万m</w:t>
                  </w:r>
                  <w:r>
                    <w:rPr>
                      <w:rFonts w:hint="eastAsia" w:ascii="Times New Roman" w:hAnsi="Times New Roman" w:eastAsia="宋体" w:cs="Times New Roman"/>
                      <w:kern w:val="2"/>
                      <w:sz w:val="21"/>
                      <w:szCs w:val="21"/>
                      <w:vertAlign w:val="superscript"/>
                      <w:lang w:val="en-US" w:eastAsia="zh-CN" w:bidi="ar-SA"/>
                    </w:rPr>
                    <w:t>2</w:t>
                  </w:r>
                </w:p>
              </w:tc>
              <w:tc>
                <w:tcPr>
                  <w:tcW w:w="0" w:type="auto"/>
                  <w:tcBorders>
                    <w:top w:val="single" w:color="auto" w:sz="4" w:space="0"/>
                  </w:tcBorders>
                  <w:vAlign w:val="center"/>
                </w:tcPr>
                <w:p>
                  <w:pPr>
                    <w:pStyle w:val="25"/>
                    <w:keepNext w:val="0"/>
                    <w:keepLines w:val="0"/>
                    <w:widowControl/>
                    <w:suppressLineNumbers w:val="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kern w:val="2"/>
                      <w:sz w:val="21"/>
                      <w:szCs w:val="21"/>
                      <w:lang w:val="en-US" w:eastAsia="zh-CN" w:bidi="ar-SA"/>
                    </w:rPr>
                    <w:t>+</w:t>
                  </w:r>
                  <w:r>
                    <w:rPr>
                      <w:rFonts w:hint="eastAsia" w:ascii="Times New Roman" w:hAnsi="Times New Roman" w:cs="Times New Roman"/>
                      <w:kern w:val="2"/>
                      <w:sz w:val="21"/>
                      <w:szCs w:val="21"/>
                      <w:lang w:val="en-US" w:eastAsia="zh-CN" w:bidi="ar-SA"/>
                    </w:rPr>
                    <w:t>0</w:t>
                  </w:r>
                </w:p>
              </w:tc>
              <w:tc>
                <w:tcPr>
                  <w:tcW w:w="0" w:type="auto"/>
                  <w:tcBorders>
                    <w:top w:val="single" w:color="auto" w:sz="4" w:space="0"/>
                  </w:tcBorders>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w:t>
                  </w:r>
                  <w:r>
                    <w:rPr>
                      <w:rFonts w:hint="eastAsia" w:ascii="Times New Roman" w:hAnsi="Times New Roman" w:eastAsia="宋体" w:cs="Times New Roman"/>
                      <w:kern w:val="2"/>
                      <w:sz w:val="21"/>
                      <w:szCs w:val="21"/>
                      <w:lang w:val="en-US" w:eastAsia="zh-CN" w:bidi="ar-SA"/>
                    </w:rPr>
                    <w:t>万m</w:t>
                  </w:r>
                  <w:r>
                    <w:rPr>
                      <w:rFonts w:hint="eastAsia" w:ascii="Times New Roman" w:hAnsi="Times New Roman" w:eastAsia="宋体" w:cs="Times New Roman"/>
                      <w:kern w:val="2"/>
                      <w:sz w:val="21"/>
                      <w:szCs w:val="21"/>
                      <w:vertAlign w:val="superscript"/>
                      <w:lang w:val="en-US" w:eastAsia="zh-CN" w:bidi="ar-SA"/>
                    </w:rPr>
                    <w:t>2</w:t>
                  </w:r>
                </w:p>
              </w:tc>
              <w:tc>
                <w:tcPr>
                  <w:tcW w:w="0" w:type="auto"/>
                  <w:tcBorders>
                    <w:top w:val="single" w:color="auto" w:sz="4" w:space="0"/>
                  </w:tcBorders>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auto"/>
                      <w:szCs w:val="21"/>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continue"/>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p>
              </w:tc>
              <w:tc>
                <w:tcPr>
                  <w:tcW w:w="1112" w:type="dxa"/>
                  <w:vAlign w:val="center"/>
                </w:tcPr>
                <w:p>
                  <w:pPr>
                    <w:pStyle w:val="25"/>
                    <w:keepNext w:val="0"/>
                    <w:keepLines w:val="0"/>
                    <w:widowControl/>
                    <w:suppressLineNumbers w:val="0"/>
                    <w:ind w:left="0" w:leftChars="0" w:right="0" w:right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kern w:val="2"/>
                      <w:sz w:val="21"/>
                      <w:szCs w:val="21"/>
                      <w:lang w:val="en-US" w:eastAsia="zh-CN" w:bidi="ar-SA"/>
                    </w:rPr>
                    <w:t>中密度板</w:t>
                  </w:r>
                </w:p>
              </w:tc>
              <w:tc>
                <w:tcPr>
                  <w:tcW w:w="2285" w:type="dxa"/>
                  <w:vAlign w:val="center"/>
                </w:tcPr>
                <w:p>
                  <w:pPr>
                    <w:pStyle w:val="25"/>
                    <w:keepNext w:val="0"/>
                    <w:keepLines w:val="0"/>
                    <w:widowControl/>
                    <w:suppressLineNumbers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0" w:type="auto"/>
                  <w:vAlign w:val="center"/>
                </w:tcPr>
                <w:p>
                  <w:pPr>
                    <w:pStyle w:val="25"/>
                    <w:adjustRightInd w:val="0"/>
                    <w:snapToGrid w:val="0"/>
                    <w:spacing w:before="0" w:beforeAutospacing="0" w:after="0" w:afterAutospacing="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kern w:val="2"/>
                      <w:sz w:val="21"/>
                      <w:szCs w:val="21"/>
                      <w:lang w:val="en-US" w:eastAsia="zh-CN" w:bidi="ar-SA"/>
                    </w:rPr>
                    <w:t>5万张</w:t>
                  </w:r>
                </w:p>
              </w:tc>
              <w:tc>
                <w:tcPr>
                  <w:tcW w:w="0" w:type="auto"/>
                  <w:vAlign w:val="center"/>
                </w:tcPr>
                <w:p>
                  <w:pPr>
                    <w:pStyle w:val="25"/>
                    <w:adjustRightInd w:val="0"/>
                    <w:snapToGrid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kern w:val="2"/>
                      <w:sz w:val="21"/>
                      <w:szCs w:val="21"/>
                      <w:lang w:val="en-US" w:eastAsia="zh-CN" w:bidi="ar-SA"/>
                    </w:rPr>
                    <w:t>5万张</w:t>
                  </w:r>
                </w:p>
              </w:tc>
              <w:tc>
                <w:tcPr>
                  <w:tcW w:w="0" w:type="auto"/>
                  <w:vAlign w:val="center"/>
                </w:tcPr>
                <w:p>
                  <w:pPr>
                    <w:pStyle w:val="25"/>
                    <w:keepNext w:val="0"/>
                    <w:keepLines w:val="0"/>
                    <w:widowControl/>
                    <w:suppressLineNumbers w:val="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kern w:val="2"/>
                      <w:sz w:val="21"/>
                      <w:szCs w:val="21"/>
                      <w:lang w:val="en-US" w:eastAsia="zh-CN" w:bidi="ar-SA"/>
                    </w:rPr>
                    <w:t>+</w:t>
                  </w:r>
                  <w:r>
                    <w:rPr>
                      <w:rFonts w:hint="eastAsia" w:ascii="Times New Roman" w:hAnsi="Times New Roman" w:cs="Times New Roman"/>
                      <w:kern w:val="2"/>
                      <w:sz w:val="21"/>
                      <w:szCs w:val="21"/>
                      <w:lang w:val="en-US" w:eastAsia="zh-CN" w:bidi="ar-SA"/>
                    </w:rPr>
                    <w:t>0</w:t>
                  </w:r>
                </w:p>
              </w:tc>
              <w:tc>
                <w:tcPr>
                  <w:tcW w:w="0" w:type="auto"/>
                  <w:vAlign w:val="center"/>
                </w:tcPr>
                <w:p>
                  <w:pPr>
                    <w:pStyle w:val="25"/>
                    <w:keepNext w:val="0"/>
                    <w:keepLines w:val="0"/>
                    <w:widowControl/>
                    <w:suppressLineNumbers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5000</w:t>
                  </w:r>
                  <w:r>
                    <w:rPr>
                      <w:rFonts w:hint="eastAsia" w:ascii="Times New Roman" w:hAnsi="Times New Roman" w:eastAsia="宋体" w:cs="Times New Roman"/>
                      <w:kern w:val="2"/>
                      <w:sz w:val="21"/>
                      <w:szCs w:val="21"/>
                      <w:lang w:val="en-US" w:eastAsia="zh-CN" w:bidi="ar-SA"/>
                    </w:rPr>
                    <w:t>张</w:t>
                  </w:r>
                </w:p>
              </w:tc>
              <w:tc>
                <w:tcPr>
                  <w:tcW w:w="0" w:type="auto"/>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auto"/>
                      <w:szCs w:val="21"/>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restart"/>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Cs/>
                      <w:color w:val="auto"/>
                      <w:sz w:val="21"/>
                      <w:lang w:val="en-US" w:eastAsia="zh-CN"/>
                    </w:rPr>
                    <w:t>车门内饰板</w:t>
                  </w:r>
                </w:p>
              </w:tc>
              <w:tc>
                <w:tcPr>
                  <w:tcW w:w="1112" w:type="dxa"/>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针织面料</w:t>
                  </w:r>
                </w:p>
              </w:tc>
              <w:tc>
                <w:tcPr>
                  <w:tcW w:w="2285" w:type="dxa"/>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PET</w:t>
                  </w:r>
                </w:p>
              </w:tc>
              <w:tc>
                <w:tcPr>
                  <w:tcW w:w="0" w:type="auto"/>
                  <w:vAlign w:val="center"/>
                </w:tcPr>
                <w:p>
                  <w:pPr>
                    <w:pStyle w:val="70"/>
                    <w:tabs>
                      <w:tab w:val="center" w:pos="4153"/>
                      <w:tab w:val="right" w:pos="8306"/>
                    </w:tabs>
                    <w:adjustRightInd w:val="0"/>
                    <w:snapToGrid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w:t>
                  </w:r>
                  <w:r>
                    <w:rPr>
                      <w:rFonts w:hint="eastAsia" w:ascii="Times New Roman" w:hAnsi="Times New Roman" w:eastAsia="宋体" w:cs="Times New Roman"/>
                      <w:kern w:val="2"/>
                      <w:sz w:val="21"/>
                      <w:szCs w:val="21"/>
                      <w:lang w:val="en-US" w:eastAsia="zh-CN" w:bidi="ar-SA"/>
                    </w:rPr>
                    <w:t>万m</w:t>
                  </w:r>
                  <w:r>
                    <w:rPr>
                      <w:rFonts w:hint="eastAsia" w:ascii="Times New Roman" w:hAnsi="Times New Roman" w:eastAsia="宋体" w:cs="Times New Roman"/>
                      <w:kern w:val="2"/>
                      <w:sz w:val="21"/>
                      <w:szCs w:val="21"/>
                      <w:vertAlign w:val="superscript"/>
                      <w:lang w:val="en-US" w:eastAsia="zh-CN" w:bidi="ar-SA"/>
                    </w:rPr>
                    <w:t>2</w:t>
                  </w:r>
                </w:p>
              </w:tc>
              <w:tc>
                <w:tcPr>
                  <w:tcW w:w="0" w:type="auto"/>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0" w:type="auto"/>
                  <w:vAlign w:val="center"/>
                </w:tcPr>
                <w:p>
                  <w:pPr>
                    <w:pStyle w:val="70"/>
                    <w:tabs>
                      <w:tab w:val="center" w:pos="4153"/>
                      <w:tab w:val="right" w:pos="8306"/>
                    </w:tabs>
                    <w:adjustRightInd w:val="0"/>
                    <w:snapToGrid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auto"/>
                      <w:sz w:val="21"/>
                      <w:szCs w:val="21"/>
                      <w:lang w:val="en-US" w:eastAsia="zh-CN"/>
                    </w:rPr>
                    <w:t>-4.2</w:t>
                  </w:r>
                  <w:r>
                    <w:rPr>
                      <w:rFonts w:hint="eastAsia" w:ascii="Times New Roman" w:hAnsi="Times New Roman" w:eastAsia="宋体" w:cs="Times New Roman"/>
                      <w:kern w:val="2"/>
                      <w:sz w:val="21"/>
                      <w:szCs w:val="21"/>
                      <w:lang w:val="en-US" w:eastAsia="zh-CN" w:bidi="ar-SA"/>
                    </w:rPr>
                    <w:t>万m</w:t>
                  </w:r>
                  <w:r>
                    <w:rPr>
                      <w:rFonts w:hint="eastAsia" w:ascii="Times New Roman" w:hAnsi="Times New Roman" w:eastAsia="宋体" w:cs="Times New Roman"/>
                      <w:kern w:val="2"/>
                      <w:sz w:val="21"/>
                      <w:szCs w:val="21"/>
                      <w:vertAlign w:val="superscript"/>
                      <w:lang w:val="en-US" w:eastAsia="zh-CN" w:bidi="ar-SA"/>
                    </w:rPr>
                    <w:t>2</w:t>
                  </w:r>
                </w:p>
              </w:tc>
              <w:tc>
                <w:tcPr>
                  <w:tcW w:w="0" w:type="auto"/>
                  <w:vAlign w:val="center"/>
                </w:tcPr>
                <w:p>
                  <w:pPr>
                    <w:pStyle w:val="70"/>
                    <w:tabs>
                      <w:tab w:val="center" w:pos="4153"/>
                      <w:tab w:val="right" w:pos="8306"/>
                    </w:tabs>
                    <w:adjustRightInd w:val="0"/>
                    <w:snapToGrid w:val="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0" w:type="auto"/>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continue"/>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p>
              </w:tc>
              <w:tc>
                <w:tcPr>
                  <w:tcW w:w="1112" w:type="dxa"/>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纤维纸板</w:t>
                  </w:r>
                </w:p>
              </w:tc>
              <w:tc>
                <w:tcPr>
                  <w:tcW w:w="2285" w:type="dxa"/>
                  <w:vAlign w:val="center"/>
                </w:tcPr>
                <w:p>
                  <w:pPr>
                    <w:pStyle w:val="25"/>
                    <w:keepNext w:val="0"/>
                    <w:keepLines w:val="0"/>
                    <w:widowControl/>
                    <w:suppressLineNumbers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0" w:type="auto"/>
                  <w:vAlign w:val="center"/>
                </w:tcPr>
                <w:p>
                  <w:pPr>
                    <w:pStyle w:val="70"/>
                    <w:tabs>
                      <w:tab w:val="center" w:pos="4153"/>
                      <w:tab w:val="right" w:pos="8306"/>
                    </w:tabs>
                    <w:adjustRightInd w:val="0"/>
                    <w:snapToGrid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w:t>
                  </w:r>
                  <w:r>
                    <w:rPr>
                      <w:rFonts w:hint="eastAsia" w:ascii="Times New Roman" w:hAnsi="Times New Roman" w:eastAsia="宋体" w:cs="Times New Roman"/>
                      <w:kern w:val="2"/>
                      <w:sz w:val="21"/>
                      <w:szCs w:val="21"/>
                      <w:lang w:val="en-US" w:eastAsia="zh-CN" w:bidi="ar-SA"/>
                    </w:rPr>
                    <w:t>万张</w:t>
                  </w:r>
                </w:p>
              </w:tc>
              <w:tc>
                <w:tcPr>
                  <w:tcW w:w="0" w:type="auto"/>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0" w:type="auto"/>
                  <w:vAlign w:val="center"/>
                </w:tcPr>
                <w:p>
                  <w:pPr>
                    <w:pStyle w:val="70"/>
                    <w:tabs>
                      <w:tab w:val="center" w:pos="4153"/>
                      <w:tab w:val="right" w:pos="8306"/>
                    </w:tabs>
                    <w:adjustRightInd w:val="0"/>
                    <w:snapToGrid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auto"/>
                      <w:sz w:val="21"/>
                      <w:szCs w:val="21"/>
                      <w:lang w:val="en-US" w:eastAsia="zh-CN"/>
                    </w:rPr>
                    <w:t>-5.3</w:t>
                  </w:r>
                  <w:r>
                    <w:rPr>
                      <w:rFonts w:hint="eastAsia" w:ascii="Times New Roman" w:hAnsi="Times New Roman" w:eastAsia="宋体" w:cs="Times New Roman"/>
                      <w:kern w:val="2"/>
                      <w:sz w:val="21"/>
                      <w:szCs w:val="21"/>
                      <w:lang w:val="en-US" w:eastAsia="zh-CN" w:bidi="ar-SA"/>
                    </w:rPr>
                    <w:t>万张</w:t>
                  </w:r>
                </w:p>
              </w:tc>
              <w:tc>
                <w:tcPr>
                  <w:tcW w:w="0" w:type="auto"/>
                  <w:vAlign w:val="center"/>
                </w:tcPr>
                <w:p>
                  <w:pPr>
                    <w:pStyle w:val="70"/>
                    <w:tabs>
                      <w:tab w:val="center" w:pos="4153"/>
                      <w:tab w:val="right" w:pos="8306"/>
                    </w:tabs>
                    <w:adjustRightInd w:val="0"/>
                    <w:snapToGrid w:val="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0" w:type="auto"/>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0" w:type="auto"/>
                  <w:vMerge w:val="continue"/>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p>
              </w:tc>
              <w:tc>
                <w:tcPr>
                  <w:tcW w:w="1112" w:type="dxa"/>
                  <w:vAlign w:val="center"/>
                </w:tcPr>
                <w:p>
                  <w:pPr>
                    <w:pStyle w:val="25"/>
                    <w:keepNext w:val="0"/>
                    <w:keepLines w:val="0"/>
                    <w:widowControl/>
                    <w:suppressLineNumbers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PVC薄膜</w:t>
                  </w:r>
                </w:p>
              </w:tc>
              <w:tc>
                <w:tcPr>
                  <w:tcW w:w="2285" w:type="dxa"/>
                  <w:vAlign w:val="center"/>
                </w:tcPr>
                <w:p>
                  <w:pPr>
                    <w:pStyle w:val="25"/>
                    <w:keepNext w:val="0"/>
                    <w:keepLines w:val="0"/>
                    <w:widowControl/>
                    <w:suppressLineNumbers w:val="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PVC</w:t>
                  </w:r>
                </w:p>
              </w:tc>
              <w:tc>
                <w:tcPr>
                  <w:tcW w:w="0" w:type="auto"/>
                  <w:vAlign w:val="center"/>
                </w:tcPr>
                <w:p>
                  <w:pPr>
                    <w:pStyle w:val="70"/>
                    <w:tabs>
                      <w:tab w:val="center" w:pos="4153"/>
                      <w:tab w:val="right" w:pos="8306"/>
                    </w:tabs>
                    <w:adjustRightInd w:val="0"/>
                    <w:snapToGrid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4.3t</w:t>
                  </w:r>
                </w:p>
              </w:tc>
              <w:tc>
                <w:tcPr>
                  <w:tcW w:w="0" w:type="auto"/>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0" w:type="auto"/>
                  <w:vAlign w:val="center"/>
                </w:tcPr>
                <w:p>
                  <w:pPr>
                    <w:pStyle w:val="70"/>
                    <w:tabs>
                      <w:tab w:val="center" w:pos="4153"/>
                      <w:tab w:val="right" w:pos="8306"/>
                    </w:tabs>
                    <w:adjustRightInd w:val="0"/>
                    <w:snapToGrid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auto"/>
                      <w:sz w:val="21"/>
                      <w:szCs w:val="21"/>
                      <w:lang w:val="en-US" w:eastAsia="zh-CN"/>
                    </w:rPr>
                    <w:t>-4.3t</w:t>
                  </w:r>
                </w:p>
              </w:tc>
              <w:tc>
                <w:tcPr>
                  <w:tcW w:w="0" w:type="auto"/>
                  <w:vAlign w:val="center"/>
                </w:tcPr>
                <w:p>
                  <w:pPr>
                    <w:pStyle w:val="70"/>
                    <w:tabs>
                      <w:tab w:val="center" w:pos="4153"/>
                      <w:tab w:val="right" w:pos="8306"/>
                    </w:tabs>
                    <w:adjustRightInd w:val="0"/>
                    <w:snapToGrid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0" w:type="auto"/>
                  <w:vAlign w:val="center"/>
                </w:tcPr>
                <w:p>
                  <w:pPr>
                    <w:keepNext w:val="0"/>
                    <w:keepLines w:val="0"/>
                    <w:pageBreakBefore w:val="0"/>
                    <w:kinsoku/>
                    <w:wordWrap/>
                    <w:overflowPunct/>
                    <w:topLinePunct w:val="0"/>
                    <w:bidi w:val="0"/>
                    <w:adjustRightInd w:val="0"/>
                    <w:snapToGrid w:val="0"/>
                    <w:ind w:left="0" w:leftChars="0" w:right="0" w:right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rPr>
                    <w:t>国内汽运</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color w:val="auto"/>
                <w:sz w:val="21"/>
                <w:szCs w:val="21"/>
                <w:highlight w:val="none"/>
              </w:rPr>
            </w:pPr>
            <w:r>
              <w:rPr>
                <w:rFonts w:hint="eastAsia" w:cs="Times New Roman"/>
                <w:b w:val="0"/>
                <w:bCs/>
                <w:color w:val="auto"/>
                <w:sz w:val="21"/>
                <w:szCs w:val="21"/>
                <w:lang w:val="en-US" w:eastAsia="zh-CN"/>
              </w:rPr>
              <w:t>注：项目喷头采用</w:t>
            </w:r>
            <w:r>
              <w:rPr>
                <w:rFonts w:hint="eastAsia" w:ascii="Times New Roman" w:hAnsi="Times New Roman" w:eastAsia="宋体" w:cs="Times New Roman"/>
                <w:b w:val="0"/>
                <w:bCs/>
                <w:color w:val="auto"/>
                <w:sz w:val="21"/>
                <w:szCs w:val="21"/>
                <w:lang w:val="en-US" w:eastAsia="zh-CN"/>
              </w:rPr>
              <w:t>水性</w:t>
            </w:r>
            <w:r>
              <w:rPr>
                <w:rFonts w:hint="eastAsia" w:ascii="Times New Roman" w:hAnsi="Times New Roman" w:eastAsia="宋体" w:cs="Times New Roman"/>
                <w:b w:val="0"/>
                <w:bCs/>
                <w:color w:val="auto"/>
                <w:sz w:val="21"/>
                <w:szCs w:val="21"/>
                <w:lang w:eastAsia="zh-CN"/>
              </w:rPr>
              <w:t>脱模剂清洗，</w:t>
            </w:r>
            <w:r>
              <w:rPr>
                <w:rFonts w:hint="eastAsia" w:ascii="Times New Roman" w:hAnsi="Times New Roman" w:eastAsia="宋体" w:cs="Times New Roman"/>
                <w:b w:val="0"/>
                <w:bCs/>
                <w:color w:val="auto"/>
                <w:sz w:val="21"/>
                <w:szCs w:val="21"/>
                <w:lang w:val="en-US" w:eastAsia="zh-CN"/>
              </w:rPr>
              <w:t>根据建设单位提供的</w:t>
            </w:r>
            <w:r>
              <w:rPr>
                <w:rFonts w:hint="eastAsia" w:ascii="宋体" w:hAnsi="宋体" w:cs="宋体"/>
                <w:b w:val="0"/>
                <w:bCs/>
                <w:color w:val="auto"/>
                <w:kern w:val="0"/>
                <w:sz w:val="21"/>
                <w:szCs w:val="21"/>
                <w:lang w:val="en-US" w:eastAsia="zh-CN" w:bidi="ar"/>
              </w:rPr>
              <w:t>水性脱模</w:t>
            </w:r>
            <w:r>
              <w:rPr>
                <w:rFonts w:hint="eastAsia" w:ascii="宋体" w:hAnsi="宋体" w:eastAsia="宋体" w:cs="宋体"/>
                <w:b w:val="0"/>
                <w:bCs/>
                <w:color w:val="auto"/>
                <w:kern w:val="0"/>
                <w:sz w:val="21"/>
                <w:szCs w:val="21"/>
                <w:lang w:val="en-US" w:eastAsia="zh-CN" w:bidi="ar"/>
              </w:rPr>
              <w:t>剂</w:t>
            </w:r>
            <w:r>
              <w:rPr>
                <w:rFonts w:hint="default" w:ascii="Times New Roman" w:hAnsi="Times New Roman" w:eastAsia="宋体" w:cs="Times New Roman"/>
                <w:b w:val="0"/>
                <w:bCs/>
                <w:color w:val="auto"/>
                <w:sz w:val="21"/>
                <w:szCs w:val="21"/>
                <w:lang w:val="en-US" w:eastAsia="zh-CN"/>
              </w:rPr>
              <w:t>SGS</w:t>
            </w:r>
            <w:r>
              <w:rPr>
                <w:rFonts w:hint="eastAsia" w:ascii="Times New Roman" w:hAnsi="Times New Roman" w:eastAsia="宋体" w:cs="Times New Roman"/>
                <w:b w:val="0"/>
                <w:bCs/>
                <w:color w:val="auto"/>
                <w:sz w:val="21"/>
                <w:szCs w:val="21"/>
                <w:lang w:val="en-US" w:eastAsia="zh-CN"/>
              </w:rPr>
              <w:t>检测报告，</w:t>
            </w:r>
            <w:r>
              <w:rPr>
                <w:rFonts w:hint="eastAsia" w:ascii="宋体" w:hAnsi="宋体" w:cs="宋体"/>
                <w:b w:val="0"/>
                <w:bCs/>
                <w:color w:val="auto"/>
                <w:kern w:val="0"/>
                <w:sz w:val="21"/>
                <w:szCs w:val="21"/>
                <w:lang w:val="en-US" w:eastAsia="zh-CN" w:bidi="ar"/>
              </w:rPr>
              <w:t>水性脱模</w:t>
            </w:r>
            <w:r>
              <w:rPr>
                <w:rFonts w:hint="eastAsia" w:ascii="宋体" w:hAnsi="宋体" w:eastAsia="宋体" w:cs="宋体"/>
                <w:b w:val="0"/>
                <w:bCs/>
                <w:color w:val="auto"/>
                <w:kern w:val="0"/>
                <w:sz w:val="21"/>
                <w:szCs w:val="21"/>
                <w:lang w:val="en-US" w:eastAsia="zh-CN" w:bidi="ar"/>
              </w:rPr>
              <w:t>剂</w:t>
            </w:r>
            <w:r>
              <w:rPr>
                <w:rFonts w:hint="eastAsia" w:ascii="Times New Roman" w:hAnsi="Times New Roman" w:eastAsia="宋体" w:cs="Times New Roman"/>
                <w:b w:val="0"/>
                <w:bCs/>
                <w:color w:val="auto"/>
                <w:sz w:val="21"/>
                <w:szCs w:val="21"/>
                <w:lang w:val="en-US" w:eastAsia="zh-CN"/>
              </w:rPr>
              <w:t>中挥发性有机物含量</w:t>
            </w:r>
            <w:r>
              <w:rPr>
                <w:rFonts w:hint="eastAsia" w:cs="Times New Roman"/>
                <w:b w:val="0"/>
                <w:bCs/>
                <w:color w:val="auto"/>
                <w:sz w:val="21"/>
                <w:szCs w:val="21"/>
                <w:lang w:val="en-US" w:eastAsia="zh-CN"/>
              </w:rPr>
              <w:t>约</w:t>
            </w:r>
            <w:r>
              <w:rPr>
                <w:rFonts w:hint="eastAsia" w:cs="Times New Roman"/>
                <w:b w:val="0"/>
                <w:bCs/>
                <w:color w:val="auto"/>
                <w:kern w:val="2"/>
                <w:sz w:val="21"/>
                <w:szCs w:val="21"/>
                <w:lang w:val="en-US" w:eastAsia="zh-CN" w:bidi="ar-SA"/>
              </w:rPr>
              <w:t>5mg/L</w:t>
            </w:r>
            <w:r>
              <w:rPr>
                <w:rFonts w:hint="eastAsia" w:ascii="Times New Roman" w:hAnsi="Times New Roman" w:eastAsia="宋体" w:cs="Times New Roman"/>
                <w:b w:val="0"/>
                <w:bCs/>
                <w:color w:val="auto"/>
                <w:sz w:val="21"/>
                <w:szCs w:val="21"/>
                <w:lang w:val="en-US" w:eastAsia="zh-CN"/>
              </w:rPr>
              <w:t>，符合</w:t>
            </w:r>
            <w:r>
              <w:rPr>
                <w:rFonts w:hint="default" w:ascii="Times New Roman" w:hAnsi="Times New Roman" w:eastAsia="宋体" w:cs="Times New Roman"/>
                <w:b w:val="0"/>
                <w:bCs/>
                <w:color w:val="auto"/>
                <w:kern w:val="0"/>
                <w:sz w:val="21"/>
                <w:szCs w:val="21"/>
                <w:lang w:val="en-US" w:eastAsia="zh-CN" w:bidi="ar"/>
              </w:rPr>
              <w:t>《清洗剂挥发性有机化合物含量限值》（GB 38508-2020）</w:t>
            </w:r>
            <w:r>
              <w:rPr>
                <w:rFonts w:hint="eastAsia" w:ascii="Times New Roman" w:hAnsi="Times New Roman" w:eastAsia="宋体" w:cs="Times New Roman"/>
                <w:b w:val="0"/>
                <w:bCs/>
                <w:color w:val="auto"/>
                <w:kern w:val="0"/>
                <w:sz w:val="21"/>
                <w:szCs w:val="21"/>
                <w:lang w:val="en-US" w:eastAsia="zh-CN" w:bidi="ar"/>
              </w:rPr>
              <w:t>表1水基型清洗剂VOC含量</w:t>
            </w:r>
            <w:r>
              <w:rPr>
                <w:rFonts w:hint="default" w:ascii="Times New Roman" w:hAnsi="Times New Roman" w:eastAsia="宋体" w:cs="Times New Roman"/>
                <w:b w:val="0"/>
                <w:bCs/>
                <w:color w:val="auto"/>
                <w:sz w:val="21"/>
                <w:szCs w:val="21"/>
                <w:lang w:eastAsia="zh-CN"/>
              </w:rPr>
              <w:t>要求</w:t>
            </w:r>
            <w:r>
              <w:rPr>
                <w:rFonts w:hint="eastAsia" w:ascii="Times New Roman" w:hAnsi="Times New Roman" w:eastAsia="宋体" w:cs="Times New Roman"/>
                <w:b w:val="0"/>
                <w:bCs/>
                <w:color w:val="auto"/>
                <w:sz w:val="21"/>
                <w:szCs w:val="21"/>
                <w:lang w:eastAsia="zh-CN"/>
              </w:rPr>
              <w:t>（</w:t>
            </w:r>
            <w:r>
              <w:rPr>
                <w:rFonts w:hint="default" w:ascii="Arial" w:hAnsi="Arial" w:eastAsia="宋体" w:cs="Arial"/>
                <w:b w:val="0"/>
                <w:bCs/>
                <w:color w:val="auto"/>
                <w:sz w:val="21"/>
                <w:szCs w:val="21"/>
                <w:lang w:eastAsia="zh-CN"/>
              </w:rPr>
              <w:t>≤</w:t>
            </w:r>
            <w:r>
              <w:rPr>
                <w:rFonts w:hint="eastAsia" w:ascii="Times New Roman" w:hAnsi="Times New Roman" w:eastAsia="宋体" w:cs="Times New Roman"/>
                <w:b w:val="0"/>
                <w:bCs/>
                <w:color w:val="auto"/>
                <w:sz w:val="21"/>
                <w:szCs w:val="21"/>
                <w:lang w:val="en-US" w:eastAsia="zh-CN"/>
              </w:rPr>
              <w:t>50g</w:t>
            </w:r>
            <w:r>
              <w:rPr>
                <w:rFonts w:hint="eastAsia" w:cs="Times New Roman"/>
                <w:b w:val="0"/>
                <w:bCs/>
                <w:color w:val="auto"/>
                <w:kern w:val="2"/>
                <w:sz w:val="21"/>
                <w:szCs w:val="21"/>
                <w:lang w:val="en-US" w:eastAsia="zh-CN" w:bidi="ar-SA"/>
              </w:rPr>
              <w:t>/L</w:t>
            </w:r>
            <w:r>
              <w:rPr>
                <w:rFonts w:hint="eastAsia" w:ascii="Times New Roman" w:hAnsi="Times New Roman" w:eastAsia="宋体" w:cs="Times New Roman"/>
                <w:b w:val="0"/>
                <w:bCs/>
                <w:color w:val="auto"/>
                <w:sz w:val="21"/>
                <w:szCs w:val="21"/>
                <w:lang w:eastAsia="zh-CN"/>
              </w:rPr>
              <w:t>）。</w:t>
            </w:r>
            <w:r>
              <w:rPr>
                <w:rFonts w:hint="default" w:ascii="Times New Roman" w:hAnsi="Times New Roman" w:cs="Times New Roman"/>
                <w:color w:val="auto"/>
                <w:sz w:val="24"/>
              </w:rPr>
              <w:t>主要原辅材料理化性质见下表</w:t>
            </w:r>
            <w:r>
              <w:rPr>
                <w:rFonts w:hint="default" w:ascii="Times New Roman" w:hAnsi="Times New Roman" w:cs="Times New Roman"/>
                <w:color w:val="auto"/>
                <w:sz w:val="24"/>
                <w:lang w:eastAsia="zh-CN"/>
              </w:rPr>
              <w:t>。</w:t>
            </w:r>
          </w:p>
          <w:p>
            <w:pPr>
              <w:adjustRightInd w:val="0"/>
              <w:snapToGrid w:val="0"/>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表2-</w:t>
            </w:r>
            <w:r>
              <w:rPr>
                <w:rFonts w:hint="eastAsia" w:ascii="Times New Roman" w:hAnsi="Times New Roman" w:cs="Times New Roman"/>
                <w:b/>
                <w:bCs/>
                <w:color w:val="auto"/>
                <w:sz w:val="21"/>
                <w:szCs w:val="21"/>
                <w:highlight w:val="none"/>
                <w:lang w:val="en-US" w:eastAsia="zh-CN"/>
              </w:rPr>
              <w:t xml:space="preserve">4 </w:t>
            </w:r>
            <w:r>
              <w:rPr>
                <w:rFonts w:hint="default" w:ascii="Times New Roman" w:hAnsi="Times New Roman"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val="en-US" w:eastAsia="zh-CN"/>
              </w:rPr>
              <w:t>本项目</w:t>
            </w:r>
            <w:r>
              <w:rPr>
                <w:rFonts w:hint="default" w:ascii="Times New Roman" w:hAnsi="Times New Roman" w:cs="Times New Roman"/>
                <w:b/>
                <w:bCs/>
                <w:color w:val="auto"/>
                <w:sz w:val="21"/>
                <w:szCs w:val="21"/>
                <w:highlight w:val="none"/>
              </w:rPr>
              <w:t>原辅材料理化性质</w:t>
            </w:r>
          </w:p>
          <w:tbl>
            <w:tblPr>
              <w:tblStyle w:val="27"/>
              <w:tblW w:w="8407" w:type="dxa"/>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51" w:type="dxa"/>
                <w:bottom w:w="0" w:type="dxa"/>
                <w:right w:w="51" w:type="dxa"/>
              </w:tblCellMar>
            </w:tblPr>
            <w:tblGrid>
              <w:gridCol w:w="701"/>
              <w:gridCol w:w="5944"/>
              <w:gridCol w:w="846"/>
              <w:gridCol w:w="916"/>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01" w:type="dxa"/>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名称</w:t>
                  </w:r>
                </w:p>
              </w:tc>
              <w:tc>
                <w:tcPr>
                  <w:tcW w:w="5944" w:type="dxa"/>
                  <w:tcBorders>
                    <w:right w:val="single" w:color="000000" w:sz="2"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理化性质</w:t>
                  </w:r>
                </w:p>
              </w:tc>
              <w:tc>
                <w:tcPr>
                  <w:tcW w:w="846" w:type="dxa"/>
                  <w:tcBorders>
                    <w:left w:val="single" w:color="000000" w:sz="2" w:space="0"/>
                    <w:right w:val="single" w:color="000000" w:sz="2"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燃爆性</w:t>
                  </w:r>
                </w:p>
              </w:tc>
              <w:tc>
                <w:tcPr>
                  <w:tcW w:w="916" w:type="dxa"/>
                  <w:tcBorders>
                    <w:left w:val="single" w:color="000000" w:sz="2"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毒性毒理</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01" w:type="dxa"/>
                  <w:vAlign w:val="center"/>
                </w:tcPr>
                <w:p>
                  <w:pPr>
                    <w:keepNext w:val="0"/>
                    <w:keepLines w:val="0"/>
                    <w:pageBreakBefore w:val="0"/>
                    <w:kinsoku/>
                    <w:wordWrap/>
                    <w:overflowPunct/>
                    <w:topLinePunct w:val="0"/>
                    <w:bidi w:val="0"/>
                    <w:adjustRightInd w:val="0"/>
                    <w:snapToGrid w:val="0"/>
                    <w:ind w:left="0" w:leftChars="0" w:right="0" w:rightChars="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kern w:val="0"/>
                      <w:sz w:val="21"/>
                      <w:szCs w:val="21"/>
                      <w:highlight w:val="none"/>
                      <w:lang w:val="en-US" w:eastAsia="zh-CN" w:bidi="ar-SA"/>
                    </w:rPr>
                    <w:t>PET</w:t>
                  </w:r>
                </w:p>
              </w:tc>
              <w:tc>
                <w:tcPr>
                  <w:tcW w:w="5944" w:type="dxa"/>
                  <w:tcBorders>
                    <w:right w:val="single" w:color="000000" w:sz="2" w:space="0"/>
                  </w:tcBorders>
                  <w:vAlign w:val="center"/>
                </w:tcPr>
                <w:p>
                  <w:pPr>
                    <w:keepNext w:val="0"/>
                    <w:keepLines w:val="0"/>
                    <w:pageBreakBefore w:val="0"/>
                    <w:widowControl/>
                    <w:suppressLineNumbers w:val="0"/>
                    <w:kinsoku/>
                    <w:wordWrap/>
                    <w:overflowPunct/>
                    <w:topLinePunct w:val="0"/>
                    <w:bidi w:val="0"/>
                    <w:adjustRightInd w:val="0"/>
                    <w:snapToGrid w:val="0"/>
                    <w:ind w:left="0" w:leftChars="0" w:right="0" w:rightChars="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val="en-US" w:eastAsia="zh-CN" w:bidi="ar"/>
                    </w:rPr>
                    <w:t>分子式 C</w:t>
                  </w:r>
                  <w:r>
                    <w:rPr>
                      <w:rFonts w:hint="default" w:ascii="Times New Roman" w:hAnsi="Times New Roman" w:eastAsia="宋体" w:cs="Times New Roman"/>
                      <w:color w:val="auto"/>
                      <w:kern w:val="0"/>
                      <w:sz w:val="13"/>
                      <w:szCs w:val="13"/>
                      <w:lang w:val="en-US" w:eastAsia="zh-CN" w:bidi="ar"/>
                    </w:rPr>
                    <w:t>15</w:t>
                  </w:r>
                  <w:r>
                    <w:rPr>
                      <w:rFonts w:hint="default" w:ascii="Times New Roman" w:hAnsi="Times New Roman" w:eastAsia="宋体" w:cs="Times New Roman"/>
                      <w:color w:val="auto"/>
                      <w:kern w:val="0"/>
                      <w:sz w:val="21"/>
                      <w:szCs w:val="21"/>
                      <w:lang w:val="en-US" w:eastAsia="zh-CN" w:bidi="ar"/>
                    </w:rPr>
                    <w:t>H</w:t>
                  </w:r>
                  <w:r>
                    <w:rPr>
                      <w:rFonts w:hint="default" w:ascii="Times New Roman" w:hAnsi="Times New Roman" w:eastAsia="宋体" w:cs="Times New Roman"/>
                      <w:color w:val="auto"/>
                      <w:kern w:val="0"/>
                      <w:sz w:val="13"/>
                      <w:szCs w:val="13"/>
                      <w:lang w:val="en-US" w:eastAsia="zh-CN" w:bidi="ar"/>
                    </w:rPr>
                    <w:t>10</w:t>
                  </w:r>
                  <w:r>
                    <w:rPr>
                      <w:rFonts w:hint="default" w:ascii="Times New Roman" w:hAnsi="Times New Roman" w:eastAsia="宋体" w:cs="Times New Roman"/>
                      <w:color w:val="auto"/>
                      <w:kern w:val="0"/>
                      <w:sz w:val="21"/>
                      <w:szCs w:val="21"/>
                      <w:lang w:val="en-US" w:eastAsia="zh-CN" w:bidi="ar"/>
                    </w:rPr>
                    <w:t>N</w:t>
                  </w:r>
                  <w:r>
                    <w:rPr>
                      <w:rFonts w:hint="default" w:ascii="Times New Roman" w:hAnsi="Times New Roman" w:eastAsia="宋体" w:cs="Times New Roman"/>
                      <w:color w:val="auto"/>
                      <w:kern w:val="0"/>
                      <w:sz w:val="13"/>
                      <w:szCs w:val="13"/>
                      <w:lang w:val="en-US" w:eastAsia="zh-CN" w:bidi="ar"/>
                    </w:rPr>
                    <w:t>2</w:t>
                  </w:r>
                  <w:r>
                    <w:rPr>
                      <w:rFonts w:hint="default" w:ascii="Times New Roman" w:hAnsi="Times New Roman" w:eastAsia="宋体" w:cs="Times New Roman"/>
                      <w:color w:val="auto"/>
                      <w:kern w:val="0"/>
                      <w:sz w:val="21"/>
                      <w:szCs w:val="21"/>
                      <w:lang w:val="en-US" w:eastAsia="zh-CN" w:bidi="ar"/>
                    </w:rPr>
                    <w:t>O</w:t>
                  </w:r>
                  <w:r>
                    <w:rPr>
                      <w:rFonts w:hint="default" w:ascii="Times New Roman" w:hAnsi="Times New Roman" w:eastAsia="宋体" w:cs="Times New Roman"/>
                      <w:color w:val="auto"/>
                      <w:kern w:val="0"/>
                      <w:sz w:val="13"/>
                      <w:szCs w:val="13"/>
                      <w:lang w:val="en-US" w:eastAsia="zh-CN" w:bidi="ar"/>
                    </w:rPr>
                    <w:t>2</w:t>
                  </w:r>
                  <w:r>
                    <w:rPr>
                      <w:rFonts w:hint="default" w:ascii="Times New Roman" w:hAnsi="Times New Roman" w:eastAsia="宋体" w:cs="Times New Roman"/>
                      <w:color w:val="auto"/>
                      <w:kern w:val="0"/>
                      <w:sz w:val="21"/>
                      <w:szCs w:val="21"/>
                      <w:lang w:val="en-US" w:eastAsia="zh-CN" w:bidi="ar"/>
                    </w:rPr>
                    <w:t>，白色至淡黄色片或晶体，熔点 38-44℃，沸点 392℃，闪点＞196℃</w:t>
                  </w:r>
                </w:p>
              </w:tc>
              <w:tc>
                <w:tcPr>
                  <w:tcW w:w="846" w:type="dxa"/>
                  <w:tcBorders>
                    <w:left w:val="single" w:color="000000" w:sz="2" w:space="0"/>
                    <w:right w:val="single" w:color="000000" w:sz="2" w:space="0"/>
                  </w:tcBorders>
                  <w:vAlign w:val="center"/>
                </w:tcPr>
                <w:p>
                  <w:pPr>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可燃</w:t>
                  </w:r>
                </w:p>
              </w:tc>
              <w:tc>
                <w:tcPr>
                  <w:tcW w:w="916" w:type="dxa"/>
                  <w:tcBorders>
                    <w:left w:val="single" w:color="000000" w:sz="2" w:space="0"/>
                  </w:tcBorders>
                  <w:vAlign w:val="center"/>
                </w:tcPr>
                <w:p>
                  <w:pPr>
                    <w:snapToGrid w:val="0"/>
                    <w:jc w:val="center"/>
                    <w:rPr>
                      <w:rFonts w:hint="default" w:ascii="Times New Roman" w:hAnsi="Times New Roman" w:cs="Times New Roman"/>
                      <w:color w:val="auto"/>
                      <w:szCs w:val="21"/>
                      <w:shd w:val="clear" w:color="auto" w:fill="FFFFFF"/>
                      <w:lang w:val="en-US" w:eastAsia="zh-CN"/>
                    </w:rPr>
                  </w:pPr>
                  <w:r>
                    <w:rPr>
                      <w:rFonts w:hint="default" w:ascii="Times New Roman" w:hAnsi="Times New Roman" w:eastAsia="宋体" w:cs="Times New Roman"/>
                      <w:color w:val="auto"/>
                      <w:szCs w:val="21"/>
                      <w:highlight w:val="none"/>
                    </w:rPr>
                    <w:t>/</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01"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1"/>
                    </w:rPr>
                    <w:t>聚醚多元醇</w:t>
                  </w:r>
                </w:p>
              </w:tc>
              <w:tc>
                <w:tcPr>
                  <w:tcW w:w="5944" w:type="dxa"/>
                  <w:tcBorders>
                    <w:right w:val="single" w:color="000000" w:sz="2" w:space="0"/>
                  </w:tcBorders>
                  <w:vAlign w:val="center"/>
                </w:tcPr>
                <w:p>
                  <w:pPr>
                    <w:snapToGrid w:val="0"/>
                    <w:rPr>
                      <w:rFonts w:hint="default" w:ascii="Times New Roman" w:hAnsi="Times New Roman" w:eastAsia="宋体" w:cs="Times New Roman"/>
                      <w:color w:val="auto"/>
                      <w:kern w:val="2"/>
                      <w:sz w:val="21"/>
                      <w:szCs w:val="21"/>
                      <w:shd w:val="clear" w:color="auto" w:fill="FFFFFF"/>
                      <w:lang w:val="en-US" w:eastAsia="zh-CN" w:bidi="ar-SA"/>
                    </w:rPr>
                  </w:pPr>
                  <w:r>
                    <w:rPr>
                      <w:rFonts w:hint="default" w:ascii="Times New Roman" w:hAnsi="Times New Roman" w:eastAsia="宋体" w:cs="Times New Roman"/>
                      <w:color w:val="auto"/>
                      <w:szCs w:val="21"/>
                    </w:rPr>
                    <w:t>是由起始剂（含活性氢基团的化合物）与环氧乙烷（EO）、环氧丙烷（PO）、环氧丁烷（BO）等在催化剂存在下经加聚反应制得。透明粘性液体，性质较为稳定，略带特殊气味、溶于水，与胺、一氟三氯甲烷及绝大多数有机物相溶性好，非易燃易爆物品无腐蚀性</w:t>
                  </w:r>
                  <w:r>
                    <w:rPr>
                      <w:rFonts w:hint="default" w:ascii="Times New Roman" w:hAnsi="Times New Roman" w:eastAsia="宋体" w:cs="Times New Roman"/>
                      <w:szCs w:val="21"/>
                    </w:rPr>
                    <w:t>。</w:t>
                  </w:r>
                </w:p>
              </w:tc>
              <w:tc>
                <w:tcPr>
                  <w:tcW w:w="846" w:type="dxa"/>
                  <w:tcBorders>
                    <w:left w:val="single" w:color="000000" w:sz="2" w:space="0"/>
                    <w:right w:val="single" w:color="000000" w:sz="2" w:space="0"/>
                  </w:tcBorders>
                  <w:vAlign w:val="center"/>
                </w:tcPr>
                <w:p>
                  <w:pPr>
                    <w:snapToGrid w:val="0"/>
                    <w:jc w:val="center"/>
                    <w:rPr>
                      <w:rFonts w:hint="default" w:ascii="Times New Roman" w:hAnsi="Times New Roman" w:eastAsia="宋体" w:cs="Times New Roman"/>
                      <w:color w:val="auto"/>
                      <w:kern w:val="2"/>
                      <w:sz w:val="21"/>
                      <w:szCs w:val="21"/>
                      <w:shd w:val="clear" w:color="auto" w:fill="FFFFFF"/>
                      <w:lang w:val="en-US" w:eastAsia="zh-CN" w:bidi="ar-SA"/>
                    </w:rPr>
                  </w:pPr>
                  <w:r>
                    <w:rPr>
                      <w:rFonts w:hint="default" w:ascii="Times New Roman" w:hAnsi="Times New Roman" w:eastAsia="宋体" w:cs="Times New Roman"/>
                      <w:szCs w:val="21"/>
                    </w:rPr>
                    <w:t>可燃</w:t>
                  </w:r>
                </w:p>
              </w:tc>
              <w:tc>
                <w:tcPr>
                  <w:tcW w:w="916" w:type="dxa"/>
                  <w:tcBorders>
                    <w:left w:val="single" w:color="000000" w:sz="2" w:space="0"/>
                  </w:tcBorders>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shd w:val="clear" w:color="auto" w:fill="FFFFFF"/>
                      <w:lang w:val="en-US" w:eastAsia="zh-CN"/>
                    </w:rPr>
                    <w:t>低毒</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01" w:type="dxa"/>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kern w:val="2"/>
                      <w:sz w:val="21"/>
                      <w:szCs w:val="21"/>
                      <w:lang w:val="en-US" w:eastAsia="zh-CN" w:bidi="ar-SA"/>
                    </w:rPr>
                    <w:t>改性MDI</w:t>
                  </w:r>
                  <w:r>
                    <w:rPr>
                      <w:rFonts w:hint="default" w:ascii="Times New Roman" w:hAnsi="Times New Roman" w:eastAsia="宋体" w:cs="Times New Roman"/>
                      <w:szCs w:val="21"/>
                    </w:rPr>
                    <w:t xml:space="preserve"> </w:t>
                  </w:r>
                </w:p>
              </w:tc>
              <w:tc>
                <w:tcPr>
                  <w:tcW w:w="5944" w:type="dxa"/>
                  <w:tcBorders>
                    <w:right w:val="single" w:color="000000" w:sz="2" w:space="0"/>
                  </w:tcBorders>
                  <w:vAlign w:val="center"/>
                </w:tcPr>
                <w:p>
                  <w:pPr>
                    <w:snapToGrid w:val="0"/>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rPr>
                    <w:t>异氰酸酯混合物，由二苯基甲烷二异氰酸酯和多亚甲基多苯基多异氰酸酯组成。棕色液体，有轻微刺激性气味。相对密度1.22(25℃)， 沸点＞300℃(1013hPa)，粘度 30mPa·s (25℃)，闪点＞170℃，蒸汽压＜10 -4 mmHg（40℃），自燃温度＞200℃。</w:t>
                  </w:r>
                </w:p>
              </w:tc>
              <w:tc>
                <w:tcPr>
                  <w:tcW w:w="846" w:type="dxa"/>
                  <w:tcBorders>
                    <w:left w:val="single" w:color="000000" w:sz="2" w:space="0"/>
                    <w:right w:val="single" w:color="000000" w:sz="2" w:space="0"/>
                  </w:tcBorders>
                  <w:vAlign w:val="center"/>
                </w:tcPr>
                <w:p>
                  <w:pPr>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szCs w:val="21"/>
                    </w:rPr>
                    <w:t>可燃</w:t>
                  </w:r>
                </w:p>
              </w:tc>
              <w:tc>
                <w:tcPr>
                  <w:tcW w:w="916" w:type="dxa"/>
                  <w:tcBorders>
                    <w:left w:val="single" w:color="000000" w:sz="2" w:space="0"/>
                  </w:tcBorders>
                  <w:vAlign w:val="center"/>
                </w:tcPr>
                <w:p>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01" w:type="dxa"/>
                  <w:vAlign w:val="center"/>
                </w:tcPr>
                <w:p>
                  <w:pPr>
                    <w:adjustRightInd w:val="0"/>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000000"/>
                      <w:sz w:val="21"/>
                      <w:szCs w:val="21"/>
                      <w:lang w:eastAsia="zh-CN"/>
                    </w:rPr>
                    <w:t>脱模剂</w:t>
                  </w:r>
                </w:p>
              </w:tc>
              <w:tc>
                <w:tcPr>
                  <w:tcW w:w="5944" w:type="dxa"/>
                  <w:tcBorders>
                    <w:right w:val="single" w:color="000000" w:sz="2" w:space="0"/>
                  </w:tcBorders>
                  <w:vAlign w:val="center"/>
                </w:tcPr>
                <w:p>
                  <w:pPr>
                    <w:adjustRightInd w:val="0"/>
                    <w:snapToGrid w:val="0"/>
                    <w:jc w:val="center"/>
                    <w:rPr>
                      <w:rFonts w:hint="default" w:ascii="Times New Roman" w:hAnsi="Times New Roman" w:eastAsia="宋体" w:cs="Times New Roman"/>
                      <w:color w:val="auto"/>
                      <w:szCs w:val="21"/>
                      <w:highlight w:val="none"/>
                    </w:rPr>
                  </w:pPr>
                  <w:r>
                    <w:rPr>
                      <w:rFonts w:hint="eastAsia"/>
                      <w:color w:val="auto"/>
                      <w:sz w:val="21"/>
                      <w:szCs w:val="21"/>
                      <w:lang w:eastAsia="zh-CN"/>
                    </w:rPr>
                    <w:t>乳白色</w:t>
                  </w:r>
                  <w:r>
                    <w:rPr>
                      <w:rFonts w:ascii="Times New Roman" w:hAnsi="Times New Roman"/>
                      <w:color w:val="auto"/>
                      <w:sz w:val="21"/>
                      <w:szCs w:val="21"/>
                      <w:lang w:eastAsia="zh-CN"/>
                    </w:rPr>
                    <w:t>液体，</w:t>
                  </w:r>
                  <w:r>
                    <w:rPr>
                      <w:rFonts w:hint="default" w:ascii="Times New Roman" w:hAnsi="Times New Roman" w:cs="Times New Roman"/>
                      <w:color w:val="auto"/>
                      <w:szCs w:val="21"/>
                      <w:highlight w:val="none"/>
                    </w:rPr>
                    <w:t>相对密度(水=1 ):0.</w:t>
                  </w:r>
                  <w:r>
                    <w:rPr>
                      <w:rFonts w:hint="eastAsia"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eastAsia="宋体" w:cs="Times New Roman"/>
                      <w:i w:val="0"/>
                      <w:iCs w:val="0"/>
                      <w:caps w:val="0"/>
                      <w:color w:val="auto"/>
                      <w:spacing w:val="0"/>
                      <w:sz w:val="21"/>
                      <w:szCs w:val="21"/>
                      <w:shd w:val="clear" w:color="auto" w:fill="FFFFFF"/>
                      <w:lang w:eastAsia="zh-CN"/>
                    </w:rPr>
                    <w:t>，</w:t>
                  </w:r>
                  <w:r>
                    <w:rPr>
                      <w:rFonts w:hint="eastAsia"/>
                      <w:color w:val="auto"/>
                      <w:sz w:val="21"/>
                      <w:szCs w:val="21"/>
                      <w:lang w:eastAsia="zh-CN"/>
                    </w:rPr>
                    <w:t>熔</w:t>
                  </w:r>
                  <w:r>
                    <w:rPr>
                      <w:rFonts w:ascii="Times New Roman" w:hAnsi="Times New Roman"/>
                      <w:color w:val="auto"/>
                      <w:sz w:val="21"/>
                      <w:szCs w:val="21"/>
                      <w:lang w:eastAsia="zh-CN"/>
                    </w:rPr>
                    <w:t>点</w:t>
                  </w:r>
                  <w:r>
                    <w:rPr>
                      <w:rFonts w:hint="eastAsia"/>
                      <w:color w:val="auto"/>
                      <w:sz w:val="21"/>
                      <w:szCs w:val="21"/>
                      <w:lang w:val="en-US" w:eastAsia="zh-CN"/>
                    </w:rPr>
                    <w:t>55-65</w:t>
                  </w:r>
                  <w:r>
                    <w:rPr>
                      <w:rFonts w:ascii="Times New Roman" w:hAnsi="Times New Roman"/>
                      <w:color w:val="auto"/>
                      <w:sz w:val="21"/>
                      <w:szCs w:val="21"/>
                      <w:lang w:eastAsia="zh-CN"/>
                    </w:rPr>
                    <w:t>℃，</w:t>
                  </w:r>
                  <w:r>
                    <w:rPr>
                      <w:rFonts w:ascii="Times New Roman" w:hAnsi="Times New Roman"/>
                      <w:color w:val="auto"/>
                      <w:sz w:val="21"/>
                      <w:szCs w:val="21"/>
                      <w:shd w:val="clear" w:color="auto" w:fill="FFFFFF"/>
                      <w:lang w:eastAsia="zh-CN"/>
                    </w:rPr>
                    <w:t>溶于水。</w:t>
                  </w:r>
                </w:p>
              </w:tc>
              <w:tc>
                <w:tcPr>
                  <w:tcW w:w="846" w:type="dxa"/>
                  <w:tcBorders>
                    <w:left w:val="single" w:color="000000" w:sz="2" w:space="0"/>
                    <w:right w:val="single" w:color="000000" w:sz="2" w:space="0"/>
                  </w:tcBorders>
                  <w:vAlign w:val="center"/>
                </w:tcPr>
                <w:p>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lang w:val="en-US" w:eastAsia="zh-CN"/>
                    </w:rPr>
                    <w:t>可</w:t>
                  </w:r>
                  <w:r>
                    <w:rPr>
                      <w:rFonts w:hint="default" w:ascii="Times New Roman" w:hAnsi="Times New Roman" w:cs="Times New Roman"/>
                      <w:color w:val="auto"/>
                      <w:szCs w:val="21"/>
                      <w:lang w:val="en-US" w:eastAsia="zh-CN"/>
                    </w:rPr>
                    <w:t>燃</w:t>
                  </w:r>
                </w:p>
              </w:tc>
              <w:tc>
                <w:tcPr>
                  <w:tcW w:w="916" w:type="dxa"/>
                  <w:tcBorders>
                    <w:left w:val="single" w:color="000000" w:sz="2" w:space="0"/>
                  </w:tcBorders>
                  <w:vAlign w:val="center"/>
                </w:tcPr>
                <w:p>
                  <w:pPr>
                    <w:adjustRightInd w:val="0"/>
                    <w:snapToGrid w:val="0"/>
                    <w:jc w:val="center"/>
                    <w:rPr>
                      <w:rFonts w:hint="default" w:ascii="Times New Roman" w:hAnsi="Times New Roman" w:eastAsia="宋体" w:cs="Times New Roman"/>
                      <w:color w:val="auto"/>
                      <w:szCs w:val="21"/>
                      <w:highlight w:val="none"/>
                    </w:rPr>
                  </w:pPr>
                  <w:r>
                    <w:rPr>
                      <w:rFonts w:hint="eastAsia" w:cs="Times New Roman"/>
                      <w:color w:val="auto"/>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01" w:type="dxa"/>
                  <w:vAlign w:val="center"/>
                </w:tcPr>
                <w:p>
                  <w:pPr>
                    <w:widowControl/>
                    <w:adjustRightInd w:val="0"/>
                    <w:snapToGrid w:val="0"/>
                    <w:jc w:val="center"/>
                    <w:textAlignment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液压</w:t>
                  </w:r>
                  <w:r>
                    <w:rPr>
                      <w:rFonts w:hint="default" w:ascii="Times New Roman" w:hAnsi="Times New Roman" w:cs="Times New Roman"/>
                      <w:color w:val="auto"/>
                      <w:kern w:val="0"/>
                      <w:szCs w:val="21"/>
                      <w:lang w:val="en-US" w:eastAsia="zh-CN"/>
                    </w:rPr>
                    <w:t>油</w:t>
                  </w:r>
                </w:p>
              </w:tc>
              <w:tc>
                <w:tcPr>
                  <w:tcW w:w="5944" w:type="dxa"/>
                  <w:tcBorders>
                    <w:right w:val="single" w:color="000000" w:sz="2" w:space="0"/>
                  </w:tcBorders>
                  <w:vAlign w:val="center"/>
                </w:tcPr>
                <w:p>
                  <w:pPr>
                    <w:adjustRightInd w:val="0"/>
                    <w:snapToGrid w:val="0"/>
                    <w:jc w:val="center"/>
                    <w:rPr>
                      <w:rFonts w:hint="default" w:ascii="Times New Roman" w:hAnsi="Times New Roman" w:cs="Times New Roman"/>
                      <w:color w:val="auto"/>
                      <w:szCs w:val="21"/>
                      <w:highlight w:val="none"/>
                      <w:lang w:val="en-US"/>
                    </w:rPr>
                  </w:pPr>
                  <w:r>
                    <w:rPr>
                      <w:rFonts w:hint="eastAsia" w:cs="Times New Roman"/>
                      <w:color w:val="auto"/>
                      <w:szCs w:val="21"/>
                      <w:highlight w:val="none"/>
                      <w:lang w:eastAsia="zh-CN"/>
                    </w:rPr>
                    <w:t>淡黄色</w:t>
                  </w:r>
                  <w:r>
                    <w:rPr>
                      <w:rFonts w:hint="default" w:ascii="Times New Roman" w:hAnsi="Times New Roman" w:cs="Times New Roman"/>
                      <w:color w:val="auto"/>
                      <w:szCs w:val="21"/>
                      <w:highlight w:val="none"/>
                    </w:rPr>
                    <w:t>油</w:t>
                  </w:r>
                  <w:r>
                    <w:rPr>
                      <w:rFonts w:hint="eastAsia" w:cs="Times New Roman"/>
                      <w:color w:val="auto"/>
                      <w:szCs w:val="21"/>
                      <w:highlight w:val="none"/>
                      <w:lang w:eastAsia="zh-CN"/>
                    </w:rPr>
                    <w:t>状</w:t>
                  </w:r>
                  <w:r>
                    <w:rPr>
                      <w:rFonts w:hint="default" w:ascii="Times New Roman" w:hAnsi="Times New Roman" w:cs="Times New Roman"/>
                      <w:color w:val="auto"/>
                      <w:szCs w:val="21"/>
                      <w:highlight w:val="none"/>
                    </w:rPr>
                    <w:t>液体，相对密度(水=1 ):0.</w:t>
                  </w: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9</w:t>
                  </w:r>
                  <w:r>
                    <w:rPr>
                      <w:rFonts w:hint="default" w:ascii="Times New Roman" w:hAnsi="Times New Roman" w:cs="Times New Roman"/>
                      <w:color w:val="auto"/>
                      <w:szCs w:val="21"/>
                      <w:highlight w:val="none"/>
                    </w:rPr>
                    <w:t>，闪点:</w:t>
                  </w:r>
                  <w:r>
                    <w:rPr>
                      <w:rFonts w:hint="eastAsia" w:cs="Times New Roman"/>
                      <w:color w:val="auto"/>
                      <w:szCs w:val="21"/>
                      <w:highlight w:val="none"/>
                      <w:lang w:val="en-US" w:eastAsia="zh-CN"/>
                    </w:rPr>
                    <w:t>76</w:t>
                  </w:r>
                  <w:r>
                    <w:rPr>
                      <w:rFonts w:hint="default"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，引燃温度：248</w:t>
                  </w:r>
                  <w:r>
                    <w:rPr>
                      <w:rFonts w:hint="default"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，不</w:t>
                  </w:r>
                  <w:r>
                    <w:rPr>
                      <w:rFonts w:ascii="Times New Roman" w:hAnsi="Times New Roman"/>
                      <w:color w:val="auto"/>
                      <w:sz w:val="21"/>
                      <w:szCs w:val="21"/>
                      <w:shd w:val="clear" w:color="auto" w:fill="FFFFFF"/>
                      <w:lang w:eastAsia="zh-CN"/>
                    </w:rPr>
                    <w:t>溶于水。</w:t>
                  </w:r>
                </w:p>
              </w:tc>
              <w:tc>
                <w:tcPr>
                  <w:tcW w:w="846" w:type="dxa"/>
                  <w:tcBorders>
                    <w:left w:val="single" w:color="000000" w:sz="2" w:space="0"/>
                    <w:right w:val="single" w:color="000000" w:sz="2" w:space="0"/>
                  </w:tcBorders>
                  <w:vAlign w:val="center"/>
                </w:tcPr>
                <w:p>
                  <w:pPr>
                    <w:adjustRightInd w:val="0"/>
                    <w:snapToGrid w:val="0"/>
                    <w:jc w:val="center"/>
                    <w:rPr>
                      <w:rFonts w:hint="default" w:ascii="Times New Roman" w:hAnsi="Times New Roman" w:eastAsia="宋体" w:cs="Times New Roman"/>
                      <w:color w:val="auto"/>
                      <w:szCs w:val="21"/>
                      <w:shd w:val="clear" w:color="auto" w:fill="FFFFFF"/>
                      <w:lang w:val="en-US" w:eastAsia="zh-CN"/>
                    </w:rPr>
                  </w:pPr>
                  <w:r>
                    <w:rPr>
                      <w:rFonts w:hint="default" w:ascii="Times New Roman" w:hAnsi="Times New Roman" w:eastAsia="宋体" w:cs="Times New Roman"/>
                      <w:color w:val="auto"/>
                      <w:szCs w:val="21"/>
                      <w:lang w:val="en-US" w:eastAsia="zh-CN"/>
                    </w:rPr>
                    <w:t>可</w:t>
                  </w:r>
                  <w:r>
                    <w:rPr>
                      <w:rFonts w:hint="default" w:ascii="Times New Roman" w:hAnsi="Times New Roman" w:cs="Times New Roman"/>
                      <w:color w:val="auto"/>
                      <w:szCs w:val="21"/>
                      <w:lang w:val="en-US" w:eastAsia="zh-CN"/>
                    </w:rPr>
                    <w:t>燃</w:t>
                  </w:r>
                </w:p>
              </w:tc>
              <w:tc>
                <w:tcPr>
                  <w:tcW w:w="916" w:type="dxa"/>
                  <w:tcBorders>
                    <w:left w:val="single" w:color="000000" w:sz="2"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shd w:val="clear" w:color="auto" w:fill="FFFFFF"/>
                      <w:lang w:val="en-US" w:eastAsia="zh-CN"/>
                    </w:rPr>
                    <w:t>低毒</w:t>
                  </w:r>
                </w:p>
              </w:tc>
            </w:tr>
          </w:tbl>
          <w:p>
            <w:pPr>
              <w:adjustRightInd w:val="0"/>
              <w:snapToGrid w:val="0"/>
              <w:spacing w:line="500" w:lineRule="exact"/>
              <w:ind w:firstLine="241" w:firstLineChars="100"/>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、主要生产设施</w:t>
            </w:r>
          </w:p>
          <w:p>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kern w:val="0"/>
                <w:sz w:val="24"/>
              </w:rPr>
              <w:t>本项目建成后全厂设备情况见</w:t>
            </w:r>
            <w:r>
              <w:rPr>
                <w:rFonts w:hint="eastAsia" w:cs="Times New Roman"/>
                <w:color w:val="auto"/>
                <w:kern w:val="0"/>
                <w:sz w:val="24"/>
                <w:lang w:eastAsia="zh-CN"/>
              </w:rPr>
              <w:t>下</w:t>
            </w:r>
            <w:r>
              <w:rPr>
                <w:rFonts w:hint="default" w:ascii="Times New Roman" w:hAnsi="Times New Roman" w:cs="Times New Roman"/>
                <w:color w:val="auto"/>
                <w:kern w:val="0"/>
                <w:sz w:val="24"/>
              </w:rPr>
              <w:t>表</w:t>
            </w:r>
            <w:r>
              <w:rPr>
                <w:rFonts w:hint="default" w:ascii="Times New Roman" w:hAnsi="Times New Roman" w:cs="Times New Roman"/>
                <w:color w:val="auto"/>
                <w:sz w:val="24"/>
              </w:rPr>
              <w:t>。</w:t>
            </w:r>
          </w:p>
          <w:p>
            <w:pPr>
              <w:adjustRightInd w:val="0"/>
              <w:snapToGrid w:val="0"/>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表2-</w:t>
            </w:r>
            <w:r>
              <w:rPr>
                <w:rFonts w:hint="eastAsia" w:cs="Times New Roman"/>
                <w:b/>
                <w:bCs/>
                <w:color w:val="auto"/>
                <w:sz w:val="21"/>
                <w:szCs w:val="21"/>
                <w:highlight w:val="none"/>
                <w:lang w:val="en-US" w:eastAsia="zh-CN"/>
              </w:rPr>
              <w:t>5</w:t>
            </w:r>
            <w:r>
              <w:rPr>
                <w:rFonts w:hint="eastAsia" w:ascii="Times New Roman" w:hAnsi="Times New Roman"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rPr>
              <w:t>本项目建成后全厂主要生产设备一览表</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79" w:type="dxa"/>
                <w:bottom w:w="0" w:type="dxa"/>
                <w:right w:w="79" w:type="dxa"/>
              </w:tblCellMar>
            </w:tblPr>
            <w:tblGrid>
              <w:gridCol w:w="1091"/>
              <w:gridCol w:w="2238"/>
              <w:gridCol w:w="1384"/>
              <w:gridCol w:w="1095"/>
              <w:gridCol w:w="1095"/>
              <w:gridCol w:w="866"/>
              <w:gridCol w:w="635"/>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PrEx>
              <w:trPr>
                <w:trHeight w:val="340" w:hRule="atLeast"/>
                <w:jc w:val="center"/>
              </w:trPr>
              <w:tc>
                <w:tcPr>
                  <w:tcW w:w="649"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331"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设备名称</w:t>
                  </w:r>
                </w:p>
              </w:tc>
              <w:tc>
                <w:tcPr>
                  <w:tcW w:w="823"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规格、型号</w:t>
                  </w:r>
                </w:p>
              </w:tc>
              <w:tc>
                <w:tcPr>
                  <w:tcW w:w="1817" w:type="pct"/>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数量（台/套）</w:t>
                  </w:r>
                </w:p>
              </w:tc>
              <w:tc>
                <w:tcPr>
                  <w:tcW w:w="377"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eastAsia" w:ascii="Times New Roman" w:hAnsi="Times New Roman" w:eastAsia="宋体" w:cs="Times New Roman"/>
                      <w:b/>
                      <w:bCs/>
                      <w:color w:val="auto"/>
                      <w:sz w:val="21"/>
                      <w:szCs w:val="21"/>
                      <w:lang w:eastAsia="zh-CN"/>
                    </w:rPr>
                  </w:pPr>
                  <w:r>
                    <w:rPr>
                      <w:rFonts w:hint="eastAsia" w:cs="Times New Roman"/>
                      <w:b/>
                      <w:bCs/>
                      <w:color w:val="auto"/>
                      <w:sz w:val="21"/>
                      <w:szCs w:val="21"/>
                      <w:lang w:eastAsia="zh-CN"/>
                    </w:rPr>
                    <w:t>备注</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p>
              </w:tc>
              <w:tc>
                <w:tcPr>
                  <w:tcW w:w="1331"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p>
              </w:tc>
              <w:tc>
                <w:tcPr>
                  <w:tcW w:w="823"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p>
              </w:tc>
              <w:tc>
                <w:tcPr>
                  <w:tcW w:w="651" w:type="pct"/>
                  <w:tcBorders>
                    <w:top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r>
                    <w:rPr>
                      <w:rFonts w:hint="eastAsia" w:cs="Times New Roman"/>
                      <w:b/>
                      <w:bCs/>
                      <w:color w:val="auto"/>
                      <w:sz w:val="21"/>
                      <w:szCs w:val="21"/>
                      <w:lang w:eastAsia="zh-CN"/>
                    </w:rPr>
                    <w:t>改</w:t>
                  </w:r>
                  <w:r>
                    <w:rPr>
                      <w:rFonts w:hint="default" w:ascii="Times New Roman" w:hAnsi="Times New Roman" w:cs="Times New Roman"/>
                      <w:b/>
                      <w:bCs/>
                      <w:color w:val="auto"/>
                      <w:sz w:val="21"/>
                      <w:szCs w:val="21"/>
                    </w:rPr>
                    <w:t>扩建前</w:t>
                  </w:r>
                </w:p>
              </w:tc>
              <w:tc>
                <w:tcPr>
                  <w:tcW w:w="651" w:type="pc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r>
                    <w:rPr>
                      <w:rFonts w:hint="eastAsia" w:cs="Times New Roman"/>
                      <w:b/>
                      <w:bCs/>
                      <w:color w:val="auto"/>
                      <w:sz w:val="21"/>
                      <w:szCs w:val="21"/>
                      <w:lang w:eastAsia="zh-CN"/>
                    </w:rPr>
                    <w:t>改</w:t>
                  </w:r>
                  <w:r>
                    <w:rPr>
                      <w:rFonts w:hint="default" w:ascii="Times New Roman" w:hAnsi="Times New Roman" w:cs="Times New Roman"/>
                      <w:b/>
                      <w:bCs/>
                      <w:color w:val="auto"/>
                      <w:sz w:val="21"/>
                      <w:szCs w:val="21"/>
                    </w:rPr>
                    <w:t>扩建后</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变化量</w:t>
                  </w:r>
                </w:p>
              </w:tc>
              <w:tc>
                <w:tcPr>
                  <w:tcW w:w="377"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
                      <w:bCs/>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生产设备</w:t>
                  </w: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四柱液压机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YX-D-180T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515" w:type="pct"/>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0</w:t>
                  </w:r>
                </w:p>
              </w:tc>
              <w:tc>
                <w:tcPr>
                  <w:tcW w:w="377" w:type="pct"/>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四柱液压机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YX-D-350T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515" w:type="pct"/>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0</w:t>
                  </w:r>
                </w:p>
              </w:tc>
              <w:tc>
                <w:tcPr>
                  <w:tcW w:w="377" w:type="pct"/>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四柱液压机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YX-D-200T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0</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四柱液压机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Y71-200T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2</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2</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0</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打孔机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0</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泡棉直切机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FDLQ-4</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0</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烘箱</w:t>
                  </w:r>
                </w:p>
              </w:tc>
              <w:tc>
                <w:tcPr>
                  <w:tcW w:w="823" w:type="pct"/>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10</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10</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0</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高周波塑胶熔接机</w:t>
                  </w:r>
                </w:p>
              </w:tc>
              <w:tc>
                <w:tcPr>
                  <w:tcW w:w="823" w:type="pct"/>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6</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0</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rPr>
                  </w:pPr>
                  <w:r>
                    <w:rPr>
                      <w:rFonts w:hint="eastAsia" w:cs="Times New Roman"/>
                      <w:bCs/>
                      <w:color w:val="auto"/>
                      <w:sz w:val="21"/>
                      <w:szCs w:val="21"/>
                      <w:lang w:val="en-US" w:eastAsia="zh-CN"/>
                    </w:rPr>
                    <w:t>-6</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cs="Times New Roman"/>
                      <w:bCs/>
                      <w:color w:val="auto"/>
                      <w:sz w:val="21"/>
                      <w:szCs w:val="21"/>
                      <w:lang w:val="en-US" w:eastAsia="zh-CN"/>
                    </w:rPr>
                  </w:pPr>
                  <w:r>
                    <w:rPr>
                      <w:rFonts w:hint="eastAsia" w:cs="Times New Roman"/>
                      <w:bCs/>
                      <w:color w:val="auto"/>
                      <w:sz w:val="21"/>
                      <w:szCs w:val="21"/>
                      <w:lang w:val="en-US" w:eastAsia="zh-CN"/>
                    </w:rPr>
                    <w:t>淘汰</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切割机器人</w:t>
                  </w:r>
                </w:p>
              </w:tc>
              <w:tc>
                <w:tcPr>
                  <w:tcW w:w="823" w:type="pct"/>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2</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cs="Times New Roman"/>
                      <w:bCs/>
                      <w:color w:val="auto"/>
                      <w:sz w:val="21"/>
                      <w:szCs w:val="21"/>
                      <w:lang w:val="en-US" w:eastAsia="zh-CN"/>
                    </w:rPr>
                  </w:pPr>
                  <w:r>
                    <w:rPr>
                      <w:rFonts w:hint="eastAsia" w:cs="Times New Roman"/>
                      <w:bCs/>
                      <w:color w:val="auto"/>
                      <w:sz w:val="21"/>
                      <w:szCs w:val="21"/>
                      <w:lang w:val="en-US" w:eastAsia="zh-CN"/>
                    </w:rPr>
                    <w:t>2</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0</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开槽机</w:t>
                  </w:r>
                </w:p>
              </w:tc>
              <w:tc>
                <w:tcPr>
                  <w:tcW w:w="823" w:type="pct"/>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51" w:type="pct"/>
                  <w:tcBorders>
                    <w:right w:val="single" w:color="auto" w:sz="4" w:space="0"/>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auto"/>
                    <w:outlineLvl w:val="9"/>
                    <w:rPr>
                      <w:rFonts w:hint="default" w:ascii="Times New Roman" w:hAnsi="Times New Roman" w:eastAsia="宋体" w:cs="Times New Roman"/>
                      <w:bCs/>
                      <w:color w:val="auto"/>
                      <w:sz w:val="21"/>
                      <w:szCs w:val="21"/>
                      <w:lang w:val="en-US" w:eastAsia="zh-CN"/>
                    </w:rPr>
                  </w:pPr>
                  <w:r>
                    <w:rPr>
                      <w:rFonts w:hint="eastAsia" w:ascii="宋体" w:hAnsi="宋体" w:eastAsia="宋体" w:cs="宋体"/>
                      <w:color w:val="auto"/>
                      <w:spacing w:val="-17"/>
                      <w:sz w:val="24"/>
                      <w:szCs w:val="24"/>
                      <w:vertAlign w:val="baseline"/>
                      <w:lang w:val="en-US" w:eastAsia="zh-CN"/>
                    </w:rPr>
                    <w:t>1</w:t>
                  </w:r>
                </w:p>
              </w:tc>
              <w:tc>
                <w:tcPr>
                  <w:tcW w:w="651" w:type="pct"/>
                  <w:tcBorders>
                    <w:left w:val="single" w:color="auto" w:sz="4" w:space="0"/>
                    <w:right w:val="single" w:color="auto" w:sz="4" w:space="0"/>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auto"/>
                    <w:outlineLvl w:val="9"/>
                    <w:rPr>
                      <w:rFonts w:hint="default" w:ascii="Times New Roman" w:hAnsi="Times New Roman" w:cs="Times New Roman"/>
                      <w:bCs/>
                      <w:color w:val="auto"/>
                      <w:sz w:val="21"/>
                      <w:szCs w:val="21"/>
                    </w:rPr>
                  </w:pPr>
                  <w:r>
                    <w:rPr>
                      <w:rFonts w:hint="eastAsia" w:ascii="宋体" w:hAnsi="宋体" w:eastAsia="宋体" w:cs="宋体"/>
                      <w:color w:val="auto"/>
                      <w:spacing w:val="-17"/>
                      <w:sz w:val="24"/>
                      <w:szCs w:val="24"/>
                      <w:vertAlign w:val="baseline"/>
                      <w:lang w:val="en-US" w:eastAsia="zh-CN"/>
                    </w:rPr>
                    <w:t>1</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0</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液压四柱平面下料机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XCLP</w:t>
                  </w:r>
                </w:p>
              </w:tc>
              <w:tc>
                <w:tcPr>
                  <w:tcW w:w="651" w:type="pct"/>
                  <w:tcBorders>
                    <w:right w:val="single" w:color="auto" w:sz="4" w:space="0"/>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auto"/>
                    <w:outlineLvl w:val="9"/>
                    <w:rPr>
                      <w:rFonts w:hint="default" w:ascii="Times New Roman" w:hAnsi="Times New Roman" w:cs="Times New Roman"/>
                      <w:bCs/>
                      <w:color w:val="auto"/>
                      <w:sz w:val="21"/>
                      <w:szCs w:val="21"/>
                      <w:lang w:val="en-US" w:eastAsia="zh-CN"/>
                    </w:rPr>
                  </w:pPr>
                  <w:r>
                    <w:rPr>
                      <w:rFonts w:hint="eastAsia" w:ascii="宋体" w:hAnsi="宋体" w:eastAsia="宋体" w:cs="宋体"/>
                      <w:color w:val="auto"/>
                      <w:spacing w:val="-17"/>
                      <w:sz w:val="24"/>
                      <w:szCs w:val="24"/>
                      <w:vertAlign w:val="baseline"/>
                      <w:lang w:val="en-US" w:eastAsia="zh-CN"/>
                    </w:rPr>
                    <w:t>1</w:t>
                  </w:r>
                </w:p>
              </w:tc>
              <w:tc>
                <w:tcPr>
                  <w:tcW w:w="651" w:type="pct"/>
                  <w:tcBorders>
                    <w:left w:val="single" w:color="auto" w:sz="4" w:space="0"/>
                    <w:right w:val="single" w:color="auto" w:sz="4" w:space="0"/>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auto"/>
                    <w:outlineLvl w:val="9"/>
                    <w:rPr>
                      <w:rFonts w:hint="default" w:ascii="Times New Roman" w:hAnsi="Times New Roman" w:cs="Times New Roman"/>
                      <w:bCs/>
                      <w:color w:val="auto"/>
                      <w:sz w:val="21"/>
                      <w:szCs w:val="21"/>
                      <w:lang w:val="en-US" w:eastAsia="zh-CN"/>
                    </w:rPr>
                  </w:pPr>
                  <w:r>
                    <w:rPr>
                      <w:rFonts w:hint="eastAsia" w:ascii="宋体" w:hAnsi="宋体" w:eastAsia="宋体" w:cs="宋体"/>
                      <w:color w:val="auto"/>
                      <w:spacing w:val="-17"/>
                      <w:sz w:val="24"/>
                      <w:szCs w:val="24"/>
                      <w:vertAlign w:val="baseline"/>
                      <w:lang w:val="en-US" w:eastAsia="zh-CN"/>
                    </w:rPr>
                    <w:t>1</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0</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精密四柱液压裁断机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XCLP</w:t>
                  </w:r>
                </w:p>
              </w:tc>
              <w:tc>
                <w:tcPr>
                  <w:tcW w:w="651" w:type="pct"/>
                  <w:tcBorders>
                    <w:right w:val="single" w:color="auto" w:sz="4" w:space="0"/>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auto"/>
                    <w:outlineLvl w:val="9"/>
                    <w:rPr>
                      <w:rFonts w:hint="default" w:ascii="Times New Roman" w:hAnsi="Times New Roman" w:eastAsia="宋体" w:cs="Times New Roman"/>
                      <w:bCs/>
                      <w:color w:val="auto"/>
                      <w:sz w:val="21"/>
                      <w:szCs w:val="21"/>
                      <w:lang w:val="en-US" w:eastAsia="zh-CN"/>
                    </w:rPr>
                  </w:pPr>
                  <w:r>
                    <w:rPr>
                      <w:rFonts w:hint="eastAsia" w:ascii="宋体" w:hAnsi="宋体" w:eastAsia="宋体" w:cs="宋体"/>
                      <w:color w:val="auto"/>
                      <w:spacing w:val="-17"/>
                      <w:sz w:val="24"/>
                      <w:szCs w:val="24"/>
                      <w:vertAlign w:val="baseline"/>
                      <w:lang w:val="en-US" w:eastAsia="zh-CN"/>
                    </w:rPr>
                    <w:t>1</w:t>
                  </w:r>
                </w:p>
              </w:tc>
              <w:tc>
                <w:tcPr>
                  <w:tcW w:w="651" w:type="pct"/>
                  <w:tcBorders>
                    <w:left w:val="single" w:color="auto" w:sz="4" w:space="0"/>
                    <w:right w:val="single" w:color="auto" w:sz="4" w:space="0"/>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auto"/>
                    <w:outlineLvl w:val="9"/>
                    <w:rPr>
                      <w:rFonts w:hint="default" w:ascii="Times New Roman" w:hAnsi="Times New Roman" w:cs="Times New Roman"/>
                      <w:bCs/>
                      <w:color w:val="auto"/>
                      <w:sz w:val="21"/>
                      <w:szCs w:val="21"/>
                    </w:rPr>
                  </w:pPr>
                  <w:r>
                    <w:rPr>
                      <w:rFonts w:hint="eastAsia" w:ascii="宋体" w:hAnsi="宋体" w:eastAsia="宋体" w:cs="宋体"/>
                      <w:color w:val="auto"/>
                      <w:spacing w:val="-17"/>
                      <w:sz w:val="24"/>
                      <w:szCs w:val="24"/>
                      <w:vertAlign w:val="baseline"/>
                      <w:lang w:val="en-US" w:eastAsia="zh-CN"/>
                    </w:rPr>
                    <w:t>1</w:t>
                  </w:r>
                </w:p>
              </w:tc>
              <w:tc>
                <w:tcPr>
                  <w:tcW w:w="515"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0</w:t>
                  </w:r>
                </w:p>
              </w:tc>
              <w:tc>
                <w:tcPr>
                  <w:tcW w:w="377" w:type="pc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21"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液压机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YMFB-400T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651" w:type="pct"/>
                  <w:tcBorders>
                    <w:left w:val="single" w:color="auto" w:sz="4" w:space="0"/>
                    <w:right w:val="single" w:color="auto" w:sz="4" w:space="0"/>
                  </w:tcBorders>
                  <w:vAlign w:val="center"/>
                </w:tcPr>
                <w:p>
                  <w:pPr>
                    <w:keepNext w:val="0"/>
                    <w:keepLines w:val="0"/>
                    <w:pageBreakBefore w:val="0"/>
                    <w:wordWrap/>
                    <w:overflowPunct/>
                    <w:topLinePunct w:val="0"/>
                    <w:bidi w:val="0"/>
                    <w:adjustRightInd w:val="0"/>
                    <w:snapToGrid w:val="0"/>
                    <w:spacing w:line="240" w:lineRule="auto"/>
                    <w:ind w:right="0"/>
                    <w:jc w:val="center"/>
                    <w:rPr>
                      <w:rFonts w:hint="default" w:ascii="Times New Roman" w:hAnsi="Times New Roman" w:cs="Times New Roman"/>
                      <w:bCs/>
                      <w:color w:val="auto"/>
                      <w:sz w:val="21"/>
                      <w:szCs w:val="21"/>
                    </w:rPr>
                  </w:pPr>
                  <w:r>
                    <w:rPr>
                      <w:rFonts w:hint="eastAsia" w:eastAsia="仿宋" w:cs="Times New Roman"/>
                      <w:color w:val="auto"/>
                      <w:sz w:val="21"/>
                      <w:szCs w:val="21"/>
                      <w:lang w:val="en-US" w:eastAsia="zh-CN"/>
                    </w:rPr>
                    <w:t>2</w:t>
                  </w:r>
                </w:p>
              </w:tc>
              <w:tc>
                <w:tcPr>
                  <w:tcW w:w="515" w:type="pct"/>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+2</w:t>
                  </w:r>
                </w:p>
              </w:tc>
              <w:tc>
                <w:tcPr>
                  <w:tcW w:w="377" w:type="pct"/>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eastAsia" w:cs="Times New Roman"/>
                      <w:bCs/>
                      <w:color w:val="auto"/>
                      <w:sz w:val="21"/>
                      <w:szCs w:val="21"/>
                      <w:lang w:val="en-US" w:eastAsia="zh-CN"/>
                    </w:rPr>
                  </w:pPr>
                  <w:r>
                    <w:rPr>
                      <w:rFonts w:hint="eastAsia" w:cs="Times New Roman"/>
                      <w:bCs/>
                      <w:color w:val="auto"/>
                      <w:sz w:val="21"/>
                      <w:szCs w:val="21"/>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高压发泡机</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CH-H50/20S</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0</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cs="Times New Roman"/>
                      <w:bCs/>
                      <w:color w:val="auto"/>
                      <w:sz w:val="21"/>
                      <w:szCs w:val="21"/>
                    </w:rPr>
                  </w:pPr>
                  <w:r>
                    <w:rPr>
                      <w:rFonts w:hint="eastAsia" w:ascii="Times New Roman" w:hAnsi="Times New Roman" w:eastAsia="宋体" w:cs="Times New Roman"/>
                      <w:sz w:val="21"/>
                      <w:szCs w:val="21"/>
                      <w:lang w:val="en-US" w:eastAsia="zh-CN"/>
                    </w:rPr>
                    <w:t xml:space="preserve">1 </w:t>
                  </w:r>
                </w:p>
              </w:tc>
              <w:tc>
                <w:tcPr>
                  <w:tcW w:w="515" w:type="pct"/>
                  <w:tcBorders>
                    <w:lef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w:t>
                  </w:r>
                  <w:r>
                    <w:rPr>
                      <w:rFonts w:hint="eastAsia" w:ascii="Times New Roman" w:hAnsi="Times New Roman" w:eastAsia="宋体" w:cs="Times New Roman"/>
                      <w:sz w:val="21"/>
                      <w:szCs w:val="21"/>
                      <w:lang w:val="en-US" w:eastAsia="zh-CN"/>
                    </w:rPr>
                    <w:t xml:space="preserve">1 </w:t>
                  </w:r>
                </w:p>
              </w:tc>
              <w:tc>
                <w:tcPr>
                  <w:tcW w:w="377" w:type="pct"/>
                  <w:tcBorders>
                    <w:lef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cs="Times New Roman"/>
                      <w:bCs/>
                      <w:color w:val="auto"/>
                      <w:sz w:val="21"/>
                      <w:szCs w:val="21"/>
                      <w:lang w:val="en-US" w:eastAsia="zh-CN"/>
                    </w:rPr>
                  </w:pPr>
                  <w:r>
                    <w:rPr>
                      <w:rFonts w:hint="eastAsia" w:cs="Times New Roman"/>
                      <w:bCs/>
                      <w:color w:val="auto"/>
                      <w:sz w:val="21"/>
                      <w:szCs w:val="21"/>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sz w:val="21"/>
                      <w:szCs w:val="21"/>
                      <w:lang w:val="en-US" w:eastAsia="zh-CN"/>
                    </w:rPr>
                    <w:t>发泡模具</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0</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sz w:val="21"/>
                      <w:szCs w:val="21"/>
                      <w:lang w:val="en-US" w:eastAsia="zh-CN"/>
                    </w:rPr>
                    <w:t>2</w:t>
                  </w:r>
                </w:p>
              </w:tc>
              <w:tc>
                <w:tcPr>
                  <w:tcW w:w="515" w:type="pct"/>
                  <w:tcBorders>
                    <w:lef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w:t>
                  </w:r>
                  <w:r>
                    <w:rPr>
                      <w:rFonts w:hint="eastAsia" w:ascii="Times New Roman" w:hAnsi="Times New Roman" w:eastAsia="宋体" w:cs="Times New Roman"/>
                      <w:sz w:val="21"/>
                      <w:szCs w:val="21"/>
                      <w:lang w:val="en-US" w:eastAsia="zh-CN"/>
                    </w:rPr>
                    <w:t>2</w:t>
                  </w:r>
                </w:p>
              </w:tc>
              <w:tc>
                <w:tcPr>
                  <w:tcW w:w="377" w:type="pct"/>
                  <w:tcBorders>
                    <w:lef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cs="Times New Roman"/>
                      <w:bCs/>
                      <w:color w:val="auto"/>
                      <w:sz w:val="21"/>
                      <w:szCs w:val="21"/>
                      <w:lang w:val="en-US" w:eastAsia="zh-CN"/>
                    </w:rPr>
                  </w:pPr>
                  <w:r>
                    <w:rPr>
                      <w:rFonts w:hint="eastAsia" w:cs="Times New Roman"/>
                      <w:bCs/>
                      <w:color w:val="auto"/>
                      <w:sz w:val="21"/>
                      <w:szCs w:val="21"/>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sz w:val="21"/>
                      <w:szCs w:val="21"/>
                      <w:lang w:val="en-US" w:eastAsia="zh-CN"/>
                    </w:rPr>
                    <w:t>发泡工装</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0</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sz w:val="21"/>
                      <w:szCs w:val="21"/>
                      <w:lang w:val="en-US" w:eastAsia="zh-CN"/>
                    </w:rPr>
                    <w:t>1</w:t>
                  </w:r>
                </w:p>
              </w:tc>
              <w:tc>
                <w:tcPr>
                  <w:tcW w:w="515" w:type="pct"/>
                  <w:tcBorders>
                    <w:lef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w:t>
                  </w:r>
                  <w:r>
                    <w:rPr>
                      <w:rFonts w:hint="eastAsia" w:ascii="Times New Roman" w:hAnsi="Times New Roman" w:eastAsia="宋体" w:cs="Times New Roman"/>
                      <w:sz w:val="21"/>
                      <w:szCs w:val="21"/>
                      <w:lang w:val="en-US" w:eastAsia="zh-CN"/>
                    </w:rPr>
                    <w:t>1</w:t>
                  </w:r>
                </w:p>
              </w:tc>
              <w:tc>
                <w:tcPr>
                  <w:tcW w:w="377" w:type="pct"/>
                  <w:tcBorders>
                    <w:lef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cs="Times New Roman"/>
                      <w:bCs/>
                      <w:color w:val="auto"/>
                      <w:sz w:val="21"/>
                      <w:szCs w:val="21"/>
                      <w:lang w:val="en-US" w:eastAsia="zh-CN"/>
                    </w:rPr>
                  </w:pPr>
                  <w:r>
                    <w:rPr>
                      <w:rFonts w:hint="eastAsia" w:cs="Times New Roman"/>
                      <w:bCs/>
                      <w:color w:val="auto"/>
                      <w:sz w:val="21"/>
                      <w:szCs w:val="21"/>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rPr>
                  </w:pPr>
                </w:p>
              </w:tc>
              <w:tc>
                <w:tcPr>
                  <w:tcW w:w="1331"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sz w:val="21"/>
                      <w:szCs w:val="21"/>
                      <w:lang w:val="en-US" w:eastAsia="zh-CN"/>
                    </w:rPr>
                    <w:t>机器人切割流水线</w:t>
                  </w:r>
                </w:p>
              </w:tc>
              <w:tc>
                <w:tcPr>
                  <w:tcW w:w="823" w:type="pct"/>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sz w:val="21"/>
                      <w:szCs w:val="21"/>
                      <w:lang w:val="en-US" w:eastAsia="zh-CN"/>
                    </w:rPr>
                    <w:t xml:space="preserve">ABB </w:t>
                  </w:r>
                </w:p>
              </w:tc>
              <w:tc>
                <w:tcPr>
                  <w:tcW w:w="651" w:type="pct"/>
                  <w:tcBorders>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0</w:t>
                  </w:r>
                </w:p>
              </w:tc>
              <w:tc>
                <w:tcPr>
                  <w:tcW w:w="651" w:type="pct"/>
                  <w:tcBorders>
                    <w:left w:val="single" w:color="auto" w:sz="4" w:space="0"/>
                    <w:righ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sz w:val="21"/>
                      <w:szCs w:val="21"/>
                      <w:lang w:val="en-US" w:eastAsia="zh-CN"/>
                    </w:rPr>
                    <w:t>1</w:t>
                  </w:r>
                </w:p>
              </w:tc>
              <w:tc>
                <w:tcPr>
                  <w:tcW w:w="515" w:type="pct"/>
                  <w:tcBorders>
                    <w:lef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w:t>
                  </w:r>
                  <w:r>
                    <w:rPr>
                      <w:rFonts w:hint="eastAsia" w:ascii="Times New Roman" w:hAnsi="Times New Roman" w:eastAsia="宋体" w:cs="Times New Roman"/>
                      <w:sz w:val="21"/>
                      <w:szCs w:val="21"/>
                      <w:lang w:val="en-US" w:eastAsia="zh-CN"/>
                    </w:rPr>
                    <w:t>1</w:t>
                  </w:r>
                </w:p>
              </w:tc>
              <w:tc>
                <w:tcPr>
                  <w:tcW w:w="377" w:type="pct"/>
                  <w:tcBorders>
                    <w:left w:val="single" w:color="auto" w:sz="4" w:space="0"/>
                  </w:tcBorders>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cs="Times New Roman"/>
                      <w:bCs/>
                      <w:color w:val="auto"/>
                      <w:sz w:val="21"/>
                      <w:szCs w:val="21"/>
                      <w:lang w:val="en-US" w:eastAsia="zh-CN"/>
                    </w:rPr>
                  </w:pPr>
                  <w:r>
                    <w:rPr>
                      <w:rFonts w:hint="eastAsia" w:cs="Times New Roman"/>
                      <w:bCs/>
                      <w:color w:val="auto"/>
                      <w:sz w:val="21"/>
                      <w:szCs w:val="21"/>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79" w:type="dxa"/>
                  <w:bottom w:w="0" w:type="dxa"/>
                  <w:right w:w="79" w:type="dxa"/>
                </w:tblCellMar>
              </w:tblPrEx>
              <w:trPr>
                <w:trHeight w:val="340" w:hRule="atLeast"/>
                <w:jc w:val="center"/>
              </w:trPr>
              <w:tc>
                <w:tcPr>
                  <w:tcW w:w="649" w:type="pct"/>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公辅设备</w:t>
                  </w:r>
                </w:p>
              </w:tc>
              <w:tc>
                <w:tcPr>
                  <w:tcW w:w="1331" w:type="pct"/>
                  <w:tcBorders>
                    <w:bottom w:val="single" w:color="auto" w:sz="4" w:space="0"/>
                  </w:tcBorders>
                  <w:vAlign w:val="center"/>
                </w:tcPr>
                <w:p>
                  <w:pPr>
                    <w:keepNext w:val="0"/>
                    <w:keepLines w:val="0"/>
                    <w:pageBreakBefore w:val="0"/>
                    <w:wordWrap/>
                    <w:overflowPunct/>
                    <w:topLinePunct w:val="0"/>
                    <w:bidi w:val="0"/>
                    <w:adjustRightInd w:val="0"/>
                    <w:snapToGrid w:val="0"/>
                    <w:spacing w:line="240" w:lineRule="auto"/>
                    <w:ind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空压机</w:t>
                  </w:r>
                </w:p>
              </w:tc>
              <w:tc>
                <w:tcPr>
                  <w:tcW w:w="823" w:type="pct"/>
                  <w:tcBorders>
                    <w:bottom w:val="single" w:color="auto" w:sz="4" w:space="0"/>
                  </w:tcBorders>
                  <w:vAlign w:val="center"/>
                </w:tcPr>
                <w:p>
                  <w:pPr>
                    <w:keepNext w:val="0"/>
                    <w:keepLines w:val="0"/>
                    <w:pageBreakBefore w:val="0"/>
                    <w:wordWrap/>
                    <w:overflowPunct/>
                    <w:topLinePunct w:val="0"/>
                    <w:bidi w:val="0"/>
                    <w:spacing w:line="240" w:lineRule="auto"/>
                    <w:ind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仿宋" w:cs="Times New Roman"/>
                      <w:color w:val="auto"/>
                      <w:sz w:val="21"/>
                      <w:szCs w:val="21"/>
                      <w:lang w:val="en-US" w:eastAsia="zh-CN"/>
                    </w:rPr>
                    <w:t>/</w:t>
                  </w:r>
                </w:p>
              </w:tc>
              <w:tc>
                <w:tcPr>
                  <w:tcW w:w="651" w:type="pct"/>
                  <w:tcBorders>
                    <w:bottom w:val="single" w:color="auto" w:sz="4" w:space="0"/>
                    <w:right w:val="single" w:color="auto" w:sz="4" w:space="0"/>
                  </w:tcBorders>
                  <w:vAlign w:val="center"/>
                </w:tcPr>
                <w:p>
                  <w:pPr>
                    <w:keepNext w:val="0"/>
                    <w:keepLines w:val="0"/>
                    <w:pageBreakBefore w:val="0"/>
                    <w:wordWrap/>
                    <w:overflowPunct/>
                    <w:topLinePunct w:val="0"/>
                    <w:bidi w:val="0"/>
                    <w:spacing w:line="240" w:lineRule="auto"/>
                    <w:ind w:right="0"/>
                    <w:jc w:val="center"/>
                    <w:rPr>
                      <w:rFonts w:hint="default" w:ascii="Times New Roman" w:hAnsi="Times New Roman" w:eastAsia="宋体" w:cs="Times New Roman"/>
                      <w:bCs/>
                      <w:color w:val="auto"/>
                      <w:kern w:val="2"/>
                      <w:sz w:val="21"/>
                      <w:szCs w:val="21"/>
                      <w:lang w:val="en-US" w:eastAsia="zh-CN" w:bidi="ar-SA"/>
                    </w:rPr>
                  </w:pPr>
                  <w:r>
                    <w:rPr>
                      <w:rFonts w:hint="eastAsia" w:eastAsia="仿宋" w:cs="Times New Roman"/>
                      <w:color w:val="auto"/>
                      <w:sz w:val="21"/>
                      <w:szCs w:val="21"/>
                      <w:lang w:val="en-US" w:eastAsia="zh-CN"/>
                    </w:rPr>
                    <w:t>3</w:t>
                  </w:r>
                </w:p>
              </w:tc>
              <w:tc>
                <w:tcPr>
                  <w:tcW w:w="651" w:type="pct"/>
                  <w:tcBorders>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line="240" w:lineRule="auto"/>
                    <w:ind w:right="0"/>
                    <w:jc w:val="center"/>
                    <w:rPr>
                      <w:rFonts w:hint="default" w:ascii="Times New Roman" w:hAnsi="Times New Roman" w:eastAsia="宋体" w:cs="Times New Roman"/>
                      <w:bCs/>
                      <w:color w:val="auto"/>
                      <w:sz w:val="21"/>
                      <w:szCs w:val="21"/>
                      <w:lang w:val="en-US" w:eastAsia="zh-CN"/>
                    </w:rPr>
                  </w:pPr>
                  <w:r>
                    <w:rPr>
                      <w:rFonts w:hint="eastAsia" w:eastAsia="仿宋" w:cs="Times New Roman"/>
                      <w:color w:val="auto"/>
                      <w:sz w:val="21"/>
                      <w:szCs w:val="21"/>
                      <w:lang w:val="en-US" w:eastAsia="zh-CN"/>
                    </w:rPr>
                    <w:t>3</w:t>
                  </w:r>
                </w:p>
              </w:tc>
              <w:tc>
                <w:tcPr>
                  <w:tcW w:w="515" w:type="pct"/>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0</w:t>
                  </w:r>
                </w:p>
              </w:tc>
              <w:tc>
                <w:tcPr>
                  <w:tcW w:w="377" w:type="pct"/>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5</w:t>
            </w:r>
            <w:r>
              <w:rPr>
                <w:rFonts w:hint="default" w:ascii="Times New Roman" w:hAnsi="Times New Roman" w:cs="Times New Roman"/>
                <w:b/>
                <w:color w:val="auto"/>
                <w:sz w:val="24"/>
              </w:rPr>
              <w:t>、主体、公用、辅助、储运、环保及依托工程</w:t>
            </w:r>
          </w:p>
          <w:p>
            <w:pPr>
              <w:adjustRightInd w:val="0"/>
              <w:snapToGrid w:val="0"/>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eastAsia" w:cs="Times New Roman"/>
                <w:color w:val="auto"/>
                <w:sz w:val="24"/>
                <w:highlight w:val="none"/>
                <w:lang w:eastAsia="zh-CN"/>
              </w:rPr>
              <w:t>建成后全厂主体、</w:t>
            </w:r>
            <w:r>
              <w:rPr>
                <w:rFonts w:hint="default" w:ascii="Times New Roman" w:hAnsi="Times New Roman" w:cs="Times New Roman"/>
                <w:color w:val="auto"/>
                <w:sz w:val="24"/>
                <w:highlight w:val="none"/>
              </w:rPr>
              <w:t>公用、辅助、储运</w:t>
            </w:r>
            <w:r>
              <w:rPr>
                <w:rFonts w:hint="default" w:ascii="Times New Roman" w:hAnsi="Times New Roman" w:cs="Times New Roman"/>
                <w:color w:val="auto"/>
                <w:sz w:val="24"/>
                <w:highlight w:val="none"/>
                <w:lang w:val="en-US" w:eastAsia="zh-CN"/>
              </w:rPr>
              <w:t>及</w:t>
            </w:r>
            <w:r>
              <w:rPr>
                <w:rFonts w:hint="default" w:ascii="Times New Roman" w:hAnsi="Times New Roman" w:cs="Times New Roman"/>
                <w:color w:val="auto"/>
                <w:sz w:val="24"/>
                <w:highlight w:val="none"/>
              </w:rPr>
              <w:t>环保工程见</w:t>
            </w:r>
            <w:r>
              <w:rPr>
                <w:rFonts w:hint="eastAsia" w:cs="Times New Roman"/>
                <w:color w:val="auto"/>
                <w:sz w:val="24"/>
                <w:highlight w:val="none"/>
                <w:lang w:eastAsia="zh-CN"/>
              </w:rPr>
              <w:t>下</w:t>
            </w:r>
            <w:r>
              <w:rPr>
                <w:rFonts w:hint="default" w:ascii="Times New Roman" w:hAnsi="Times New Roman" w:cs="Times New Roman"/>
                <w:color w:val="auto"/>
                <w:sz w:val="24"/>
                <w:highlight w:val="none"/>
              </w:rPr>
              <w:t>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表2-</w:t>
            </w:r>
            <w:r>
              <w:rPr>
                <w:rFonts w:hint="eastAsia" w:cs="Times New Roman"/>
                <w:b/>
                <w:bCs/>
                <w:color w:val="auto"/>
                <w:sz w:val="21"/>
                <w:szCs w:val="21"/>
                <w:highlight w:val="none"/>
                <w:lang w:val="en-US" w:eastAsia="zh-CN"/>
              </w:rPr>
              <w:t>6</w:t>
            </w:r>
            <w:r>
              <w:rPr>
                <w:rFonts w:hint="default" w:ascii="Times New Roman" w:hAnsi="Times New Roman" w:cs="Times New Roman"/>
                <w:b/>
                <w:bCs/>
                <w:color w:val="auto"/>
                <w:sz w:val="21"/>
                <w:szCs w:val="21"/>
                <w:highlight w:val="none"/>
              </w:rPr>
              <w:t xml:space="preserve"> </w:t>
            </w:r>
            <w:r>
              <w:rPr>
                <w:rFonts w:hint="eastAsia" w:ascii="Times New Roman" w:hAnsi="Times New Roman"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rPr>
              <w:t>本项目</w:t>
            </w:r>
            <w:r>
              <w:rPr>
                <w:rFonts w:hint="eastAsia" w:cs="Times New Roman"/>
                <w:b/>
                <w:bCs/>
                <w:color w:val="auto"/>
                <w:sz w:val="21"/>
                <w:szCs w:val="21"/>
                <w:highlight w:val="none"/>
                <w:lang w:eastAsia="zh-CN"/>
              </w:rPr>
              <w:t>建成后全厂主体、</w:t>
            </w:r>
            <w:r>
              <w:rPr>
                <w:rFonts w:hint="default" w:ascii="Times New Roman" w:hAnsi="Times New Roman" w:cs="Times New Roman"/>
                <w:b/>
                <w:bCs/>
                <w:color w:val="auto"/>
                <w:sz w:val="21"/>
                <w:szCs w:val="21"/>
                <w:highlight w:val="none"/>
              </w:rPr>
              <w:t>公用、辅助、储运及环保工程一览表</w:t>
            </w:r>
          </w:p>
          <w:tbl>
            <w:tblPr>
              <w:tblStyle w:val="27"/>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17"/>
              <w:gridCol w:w="1824"/>
              <w:gridCol w:w="1979"/>
              <w:gridCol w:w="31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pPr>
                    <w:adjustRightInd w:val="0"/>
                    <w:snapToGrid w:val="0"/>
                    <w:spacing w:line="30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类别</w:t>
                  </w:r>
                </w:p>
              </w:tc>
              <w:tc>
                <w:tcPr>
                  <w:tcW w:w="1571" w:type="pct"/>
                  <w:gridSpan w:val="2"/>
                  <w:noWrap w:val="0"/>
                  <w:vAlign w:val="center"/>
                </w:tcPr>
                <w:p>
                  <w:pPr>
                    <w:adjustRightInd w:val="0"/>
                    <w:snapToGrid w:val="0"/>
                    <w:spacing w:line="30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工程名称</w:t>
                  </w:r>
                </w:p>
              </w:tc>
              <w:tc>
                <w:tcPr>
                  <w:tcW w:w="1177" w:type="pct"/>
                  <w:noWrap w:val="0"/>
                  <w:vAlign w:val="center"/>
                </w:tcPr>
                <w:p>
                  <w:pPr>
                    <w:snapToGrid w:val="0"/>
                    <w:jc w:val="center"/>
                    <w:rPr>
                      <w:rFonts w:hint="default" w:ascii="Times New Roman" w:hAnsi="Times New Roman" w:eastAsia="宋体" w:cs="Times New Roman"/>
                      <w:b/>
                      <w:bCs/>
                      <w:color w:val="auto"/>
                      <w:sz w:val="21"/>
                      <w:szCs w:val="21"/>
                    </w:rPr>
                  </w:pPr>
                  <w:r>
                    <w:rPr>
                      <w:rFonts w:hint="eastAsia" w:cs="Times New Roman"/>
                      <w:b/>
                      <w:bCs/>
                      <w:color w:val="auto"/>
                      <w:sz w:val="21"/>
                      <w:szCs w:val="21"/>
                      <w:lang w:val="en-US" w:eastAsia="zh-CN"/>
                    </w:rPr>
                    <w:t>设计</w:t>
                  </w:r>
                  <w:r>
                    <w:rPr>
                      <w:rFonts w:hint="default" w:ascii="Times New Roman" w:hAnsi="Times New Roman" w:eastAsia="宋体" w:cs="Times New Roman"/>
                      <w:b/>
                      <w:bCs/>
                      <w:color w:val="auto"/>
                      <w:sz w:val="21"/>
                      <w:szCs w:val="21"/>
                    </w:rPr>
                    <w:t>能力</w:t>
                  </w:r>
                  <w:r>
                    <w:rPr>
                      <w:rFonts w:hint="eastAsia"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扩建</w:t>
                  </w:r>
                  <w:r>
                    <w:rPr>
                      <w:rFonts w:hint="default" w:ascii="Times New Roman" w:hAnsi="Times New Roman" w:eastAsia="宋体" w:cs="Times New Roman"/>
                      <w:b/>
                      <w:bCs/>
                      <w:color w:val="auto"/>
                      <w:sz w:val="21"/>
                      <w:szCs w:val="21"/>
                    </w:rPr>
                    <w:t>后全厂</w:t>
                  </w:r>
                  <w:r>
                    <w:rPr>
                      <w:rFonts w:hint="eastAsia" w:cs="Times New Roman"/>
                      <w:b/>
                      <w:bCs/>
                      <w:color w:val="auto"/>
                      <w:sz w:val="21"/>
                      <w:szCs w:val="21"/>
                      <w:lang w:val="en-US" w:eastAsia="zh-CN"/>
                    </w:rPr>
                    <w:t>)</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restar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1571" w:type="pct"/>
                  <w:gridSpan w:val="2"/>
                  <w:noWrap w:val="0"/>
                  <w:vAlign w:val="center"/>
                </w:tcPr>
                <w:p>
                  <w:pPr>
                    <w:pStyle w:val="7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车间一</w:t>
                  </w:r>
                </w:p>
              </w:tc>
              <w:tc>
                <w:tcPr>
                  <w:tcW w:w="1177" w:type="pct"/>
                  <w:noWrap w:val="0"/>
                  <w:vAlign w:val="center"/>
                </w:tcPr>
                <w:p>
                  <w:pPr>
                    <w:spacing w:line="300" w:lineRule="exact"/>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Cs w:val="21"/>
                      <w:lang w:val="en-US" w:eastAsia="zh-CN"/>
                    </w:rPr>
                    <w:t>占地面积</w:t>
                  </w:r>
                  <w:r>
                    <w:rPr>
                      <w:rFonts w:hint="eastAsia" w:cs="Times New Roman"/>
                      <w:color w:val="auto"/>
                      <w:kern w:val="0"/>
                      <w:lang w:val="en-US" w:eastAsia="zh-CN"/>
                    </w:rPr>
                    <w:t>1267.7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lang w:val="en-US" w:eastAsia="zh-CN"/>
                    </w:rPr>
                    <w:t>建筑面积</w:t>
                  </w:r>
                  <w:r>
                    <w:rPr>
                      <w:rFonts w:hint="eastAsia" w:cs="Times New Roman"/>
                      <w:color w:val="auto"/>
                      <w:lang w:val="en-US" w:eastAsia="zh-CN"/>
                    </w:rPr>
                    <w:t>3803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1872" w:type="pct"/>
                  <w:noWrap w:val="0"/>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已建</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布设现有</w:t>
                  </w:r>
                  <w:r>
                    <w:rPr>
                      <w:rFonts w:hint="eastAsia" w:cs="Times New Roman"/>
                      <w:color w:val="auto"/>
                      <w:sz w:val="21"/>
                      <w:szCs w:val="21"/>
                      <w:lang w:val="en-US" w:eastAsia="zh-CN"/>
                    </w:rPr>
                    <w:t>的</w:t>
                  </w:r>
                  <w:r>
                    <w:rPr>
                      <w:rFonts w:hint="eastAsia" w:ascii="Times New Roman" w:hAnsi="Times New Roman" w:eastAsia="宋体" w:cs="Times New Roman"/>
                      <w:sz w:val="21"/>
                      <w:szCs w:val="21"/>
                      <w:lang w:val="en-US" w:eastAsia="zh-CN"/>
                    </w:rPr>
                    <w:t>打孔机、泡棉直切机、切割机器人、开槽机等</w:t>
                  </w:r>
                  <w:r>
                    <w:rPr>
                      <w:rFonts w:hint="default" w:ascii="Times New Roman" w:hAnsi="Times New Roman" w:eastAsia="宋体" w:cs="Times New Roman"/>
                      <w:color w:val="auto"/>
                      <w:sz w:val="21"/>
                      <w:szCs w:val="21"/>
                      <w:lang w:val="en-US" w:eastAsia="zh-CN"/>
                    </w:rPr>
                    <w:t>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1571" w:type="pct"/>
                  <w:gridSpan w:val="2"/>
                  <w:noWrap w:val="0"/>
                  <w:vAlign w:val="center"/>
                </w:tcPr>
                <w:p>
                  <w:pPr>
                    <w:pStyle w:val="7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车间二</w:t>
                  </w:r>
                </w:p>
              </w:tc>
              <w:tc>
                <w:tcPr>
                  <w:tcW w:w="1177" w:type="pct"/>
                  <w:noWrap w:val="0"/>
                  <w:vAlign w:val="center"/>
                </w:tcPr>
                <w:p>
                  <w:pPr>
                    <w:spacing w:line="300" w:lineRule="exact"/>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Cs w:val="21"/>
                      <w:lang w:val="en-US" w:eastAsia="zh-CN"/>
                    </w:rPr>
                    <w:t>占地面积</w:t>
                  </w:r>
                  <w:r>
                    <w:rPr>
                      <w:rFonts w:hint="eastAsia" w:cs="Times New Roman"/>
                      <w:color w:val="auto"/>
                      <w:kern w:val="0"/>
                      <w:lang w:val="en-US" w:eastAsia="zh-CN"/>
                    </w:rPr>
                    <w:t>1488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lang w:val="en-US" w:eastAsia="zh-CN"/>
                    </w:rPr>
                    <w:t>建筑面积</w:t>
                  </w:r>
                  <w:r>
                    <w:rPr>
                      <w:rFonts w:hint="eastAsia" w:cs="Times New Roman"/>
                      <w:color w:val="auto"/>
                      <w:kern w:val="0"/>
                      <w:lang w:val="en-US" w:eastAsia="zh-CN"/>
                    </w:rPr>
                    <w:t>1488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1872" w:type="pct"/>
                  <w:noWrap w:val="0"/>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已建</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东侧布设现有的液压机、烘箱等设备，西侧</w:t>
                  </w:r>
                  <w:r>
                    <w:rPr>
                      <w:rFonts w:hint="default" w:ascii="Times New Roman" w:hAnsi="Times New Roman" w:eastAsia="宋体" w:cs="Times New Roman"/>
                      <w:color w:val="auto"/>
                      <w:sz w:val="21"/>
                      <w:szCs w:val="21"/>
                      <w:lang w:val="en-US" w:eastAsia="zh-CN"/>
                    </w:rPr>
                    <w:t>布设本次新增的</w:t>
                  </w:r>
                  <w:r>
                    <w:rPr>
                      <w:rFonts w:hint="eastAsia" w:cs="Times New Roman"/>
                      <w:color w:val="auto"/>
                      <w:sz w:val="21"/>
                      <w:szCs w:val="21"/>
                      <w:lang w:val="en-US" w:eastAsia="zh-CN"/>
                    </w:rPr>
                    <w:t>发泡流水线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restar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公用工程</w:t>
                  </w:r>
                </w:p>
              </w:tc>
              <w:tc>
                <w:tcPr>
                  <w:tcW w:w="1571" w:type="pct"/>
                  <w:gridSpan w:val="2"/>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给水工程</w:t>
                  </w:r>
                </w:p>
              </w:tc>
              <w:tc>
                <w:tcPr>
                  <w:tcW w:w="1177" w:type="pc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1500</w:t>
                  </w:r>
                  <w:r>
                    <w:rPr>
                      <w:rFonts w:hint="default" w:ascii="Times New Roman" w:hAnsi="Times New Roman" w:eastAsia="宋体" w:cs="Times New Roman"/>
                      <w:color w:val="auto"/>
                      <w:sz w:val="21"/>
                      <w:szCs w:val="21"/>
                    </w:rPr>
                    <w:t>t/a</w:t>
                  </w:r>
                </w:p>
              </w:tc>
              <w:tc>
                <w:tcPr>
                  <w:tcW w:w="1872" w:type="pct"/>
                  <w:noWrap w:val="0"/>
                  <w:vAlign w:val="center"/>
                </w:tcPr>
                <w:p>
                  <w:pPr>
                    <w:keepNext w:val="0"/>
                    <w:keepLines w:val="0"/>
                    <w:pageBreakBefore w:val="0"/>
                    <w:kinsoku/>
                    <w:wordWrap/>
                    <w:overflowPunct/>
                    <w:topLinePunct w:val="0"/>
                    <w:bidi w:val="0"/>
                    <w:adjustRightInd w:val="0"/>
                    <w:snapToGrid w:val="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rPr>
                    <w:t>区域自来水管网提供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1571" w:type="pct"/>
                  <w:gridSpan w:val="2"/>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排水工程</w:t>
                  </w:r>
                </w:p>
              </w:tc>
              <w:tc>
                <w:tcPr>
                  <w:tcW w:w="1177" w:type="pc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720</w:t>
                  </w:r>
                  <w:r>
                    <w:rPr>
                      <w:rFonts w:hint="default" w:ascii="Times New Roman" w:hAnsi="Times New Roman" w:eastAsia="宋体" w:cs="Times New Roman"/>
                      <w:color w:val="auto"/>
                      <w:sz w:val="21"/>
                      <w:szCs w:val="21"/>
                    </w:rPr>
                    <w:t>t/a</w:t>
                  </w:r>
                </w:p>
              </w:tc>
              <w:tc>
                <w:tcPr>
                  <w:tcW w:w="1872" w:type="pct"/>
                  <w:noWrap w:val="0"/>
                  <w:vAlign w:val="center"/>
                </w:tcPr>
                <w:p>
                  <w:pPr>
                    <w:keepNext w:val="0"/>
                    <w:keepLines w:val="0"/>
                    <w:pageBreakBefore w:val="0"/>
                    <w:kinsoku/>
                    <w:wordWrap/>
                    <w:overflowPunct/>
                    <w:topLinePunct w:val="0"/>
                    <w:bidi w:val="0"/>
                    <w:adjustRightInd w:val="0"/>
                    <w:snapToGrid w:val="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val="en-US" w:eastAsia="zh-CN"/>
                    </w:rPr>
                    <w:t>生活污水</w:t>
                  </w:r>
                  <w:r>
                    <w:rPr>
                      <w:rFonts w:hint="default" w:ascii="Times New Roman" w:hAnsi="Times New Roman" w:cs="Times New Roman"/>
                      <w:color w:val="auto"/>
                      <w:szCs w:val="21"/>
                    </w:rPr>
                    <w:t>排入</w:t>
                  </w:r>
                  <w:r>
                    <w:rPr>
                      <w:rFonts w:hint="default" w:ascii="Times New Roman" w:hAnsi="Times New Roman" w:cs="Times New Roman"/>
                      <w:color w:val="auto"/>
                      <w:szCs w:val="21"/>
                      <w:lang w:eastAsia="zh-CN"/>
                    </w:rPr>
                    <w:t>常州金坛区第二污水处理有限公司</w:t>
                  </w:r>
                  <w:r>
                    <w:rPr>
                      <w:rFonts w:hint="default" w:ascii="Times New Roman" w:hAnsi="Times New Roman" w:cs="Times New Roman"/>
                      <w:color w:val="auto"/>
                      <w:szCs w:val="21"/>
                    </w:rPr>
                    <w:t>集中处理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1571" w:type="pct"/>
                  <w:gridSpan w:val="2"/>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供电</w:t>
                  </w:r>
                </w:p>
              </w:tc>
              <w:tc>
                <w:tcPr>
                  <w:tcW w:w="1177" w:type="pct"/>
                  <w:noWrap w:val="0"/>
                  <w:vAlign w:val="center"/>
                </w:tcPr>
                <w:p>
                  <w:pPr>
                    <w:adjustRightInd w:val="0"/>
                    <w:snapToGrid w:val="0"/>
                    <w:spacing w:line="300" w:lineRule="exact"/>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35</w:t>
                  </w:r>
                  <w:r>
                    <w:rPr>
                      <w:rFonts w:hint="default" w:ascii="Times New Roman" w:hAnsi="Times New Roman" w:eastAsia="宋体" w:cs="Times New Roman"/>
                      <w:color w:val="000000" w:themeColor="text1"/>
                      <w:sz w:val="21"/>
                      <w:szCs w:val="21"/>
                      <w14:textFill>
                        <w14:solidFill>
                          <w14:schemeClr w14:val="tx1"/>
                        </w14:solidFill>
                      </w14:textFill>
                    </w:rPr>
                    <w:t>万度</w:t>
                  </w:r>
                  <w:r>
                    <w:rPr>
                      <w:rFonts w:hint="eastAsia" w:cs="Times New Roman"/>
                      <w:color w:val="000000" w:themeColor="text1"/>
                      <w:sz w:val="21"/>
                      <w:szCs w:val="21"/>
                      <w:lang w:eastAsia="zh-CN"/>
                      <w14:textFill>
                        <w14:solidFill>
                          <w14:schemeClr w14:val="tx1"/>
                        </w14:solidFill>
                      </w14:textFill>
                    </w:rPr>
                    <w:t>/a</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依托现有供电设施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1571" w:type="pct"/>
                  <w:gridSpan w:val="2"/>
                  <w:noWrap w:val="0"/>
                  <w:vAlign w:val="center"/>
                </w:tcPr>
                <w:p>
                  <w:pPr>
                    <w:adjustRightInd w:val="0"/>
                    <w:snapToGrid w:val="0"/>
                    <w:spacing w:line="300" w:lineRule="exact"/>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冷却系统</w:t>
                  </w:r>
                </w:p>
              </w:tc>
              <w:tc>
                <w:tcPr>
                  <w:tcW w:w="1177" w:type="pct"/>
                  <w:noWrap w:val="0"/>
                  <w:vAlign w:val="center"/>
                </w:tcPr>
                <w:p>
                  <w:pPr>
                    <w:adjustRightInd w:val="0"/>
                    <w:snapToGrid w:val="0"/>
                    <w:spacing w:line="300" w:lineRule="exact"/>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冷却水塔5t/h</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78" w:type="pct"/>
                  <w:vMerge w:val="restar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贮运工程</w:t>
                  </w:r>
                </w:p>
              </w:tc>
              <w:tc>
                <w:tcPr>
                  <w:tcW w:w="1571" w:type="pct"/>
                  <w:gridSpan w:val="2"/>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原料库</w:t>
                  </w:r>
                </w:p>
              </w:tc>
              <w:tc>
                <w:tcPr>
                  <w:tcW w:w="1177" w:type="pc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w:t>
                  </w: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1571" w:type="pct"/>
                  <w:gridSpan w:val="2"/>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成品</w:t>
                  </w:r>
                  <w:r>
                    <w:rPr>
                      <w:rFonts w:hint="default" w:ascii="Times New Roman" w:hAnsi="Times New Roman" w:eastAsia="宋体" w:cs="Times New Roman"/>
                      <w:color w:val="auto"/>
                      <w:sz w:val="21"/>
                      <w:szCs w:val="21"/>
                    </w:rPr>
                    <w:t>库</w:t>
                  </w:r>
                </w:p>
              </w:tc>
              <w:tc>
                <w:tcPr>
                  <w:tcW w:w="1177" w:type="pc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w:t>
                  </w:r>
                  <w:r>
                    <w:rPr>
                      <w:rFonts w:hint="eastAsia" w:cs="Times New Roman"/>
                      <w:color w:val="auto"/>
                      <w:sz w:val="21"/>
                      <w:szCs w:val="21"/>
                      <w:lang w:val="en-US" w:eastAsia="zh-CN"/>
                    </w:rPr>
                    <w:t>60</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1571" w:type="pct"/>
                  <w:gridSpan w:val="2"/>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化学品暂存区</w:t>
                  </w:r>
                </w:p>
              </w:tc>
              <w:tc>
                <w:tcPr>
                  <w:tcW w:w="1177" w:type="pc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新建，位于</w:t>
                  </w:r>
                  <w:r>
                    <w:rPr>
                      <w:rFonts w:hint="eastAsia" w:cs="Times New Roman"/>
                      <w:color w:val="000000" w:themeColor="text1"/>
                      <w:sz w:val="21"/>
                      <w:szCs w:val="21"/>
                      <w:lang w:eastAsia="zh-CN"/>
                      <w14:textFill>
                        <w14:solidFill>
                          <w14:schemeClr w14:val="tx1"/>
                        </w14:solidFill>
                      </w14:textFill>
                    </w:rPr>
                    <w:t>仓库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1571" w:type="pct"/>
                  <w:gridSpan w:val="2"/>
                  <w:noWrap w:val="0"/>
                  <w:vAlign w:val="center"/>
                </w:tcPr>
                <w:p>
                  <w:pPr>
                    <w:adjustRightInd w:val="0"/>
                    <w:snapToGrid w:val="0"/>
                    <w:spacing w:line="300" w:lineRule="exact"/>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运输工程</w:t>
                  </w:r>
                </w:p>
              </w:tc>
              <w:tc>
                <w:tcPr>
                  <w:tcW w:w="1177" w:type="pc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车运</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依托社会车辆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restar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486" w:type="pct"/>
                  <w:noWrap w:val="0"/>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085" w:type="pct"/>
                  <w:noWrap w:val="0"/>
                  <w:vAlign w:val="center"/>
                </w:tcPr>
                <w:p>
                  <w:pPr>
                    <w:spacing w:line="300" w:lineRule="exact"/>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热压、</w:t>
                  </w:r>
                  <w:r>
                    <w:rPr>
                      <w:rFonts w:hint="eastAsia" w:cs="Times New Roman"/>
                      <w:color w:val="auto"/>
                      <w:sz w:val="21"/>
                      <w:szCs w:val="21"/>
                      <w:lang w:val="en-US" w:eastAsia="zh-CN"/>
                    </w:rPr>
                    <w:t>混合、发泡</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开模</w:t>
                  </w:r>
                </w:p>
              </w:tc>
              <w:tc>
                <w:tcPr>
                  <w:tcW w:w="1177" w:type="pct"/>
                  <w:noWrap w:val="0"/>
                  <w:vAlign w:val="center"/>
                </w:tcPr>
                <w:p>
                  <w:pPr>
                    <w:spacing w:line="300" w:lineRule="exact"/>
                    <w:jc w:val="center"/>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val="en-US" w:eastAsia="zh-CN"/>
                    </w:rPr>
                    <w:t>二级</w:t>
                  </w:r>
                  <w:r>
                    <w:rPr>
                      <w:rFonts w:hint="default" w:ascii="Times New Roman" w:hAnsi="Times New Roman" w:eastAsia="宋体" w:cs="Times New Roman"/>
                      <w:bCs/>
                      <w:color w:val="auto"/>
                      <w:sz w:val="21"/>
                      <w:szCs w:val="21"/>
                    </w:rPr>
                    <w:t>活性炭吸附+15m高排气筒</w:t>
                  </w:r>
                  <w:r>
                    <w:rPr>
                      <w:rFonts w:hint="eastAsia" w:ascii="Times New Roman" w:hAnsi="Times New Roman" w:eastAsia="宋体" w:cs="Times New Roman"/>
                      <w:bCs/>
                      <w:color w:val="auto"/>
                      <w:sz w:val="21"/>
                      <w:szCs w:val="21"/>
                      <w:lang w:eastAsia="zh-CN"/>
                    </w:rPr>
                    <w:t>，</w:t>
                  </w:r>
                  <w:r>
                    <w:rPr>
                      <w:rFonts w:hint="default" w:ascii="Times New Roman" w:hAnsi="Times New Roman" w:eastAsia="宋体" w:cs="Times New Roman"/>
                      <w:color w:val="auto"/>
                    </w:rPr>
                    <w:t>风量为</w:t>
                  </w:r>
                  <w:r>
                    <w:rPr>
                      <w:rFonts w:hint="eastAsia" w:ascii="Times New Roman" w:hAnsi="Times New Roman" w:cs="Times New Roman"/>
                      <w:color w:val="auto"/>
                      <w:lang w:val="en-US" w:eastAsia="zh-CN"/>
                    </w:rPr>
                    <w:t>14</w:t>
                  </w:r>
                  <w:r>
                    <w:rPr>
                      <w:rFonts w:hint="default" w:ascii="Times New Roman" w:hAnsi="Times New Roman" w:cs="Times New Roman"/>
                      <w:color w:val="auto"/>
                      <w:lang w:val="en-US" w:eastAsia="zh-CN"/>
                    </w:rPr>
                    <w:t>0</w:t>
                  </w:r>
                  <w:r>
                    <w:rPr>
                      <w:rFonts w:hint="default" w:ascii="Times New Roman" w:hAnsi="Times New Roman" w:eastAsia="宋体" w:cs="Times New Roman"/>
                      <w:color w:val="auto"/>
                    </w:rPr>
                    <w:t>00</w:t>
                  </w:r>
                  <w:r>
                    <w:rPr>
                      <w:rFonts w:hint="default" w:ascii="Times New Roman" w:hAnsi="Times New Roman" w:eastAsia="宋体" w:cs="Times New Roman"/>
                      <w:color w:val="auto"/>
                      <w:kern w:val="0"/>
                      <w:lang w:bidi="ar"/>
                    </w:rPr>
                    <w:t>m</w:t>
                  </w:r>
                  <w:r>
                    <w:rPr>
                      <w:rFonts w:hint="default" w:ascii="Times New Roman" w:hAnsi="Times New Roman" w:eastAsia="宋体" w:cs="Times New Roman"/>
                      <w:color w:val="auto"/>
                      <w:kern w:val="0"/>
                      <w:vertAlign w:val="superscript"/>
                      <w:lang w:bidi="ar"/>
                    </w:rPr>
                    <w:t>3</w:t>
                  </w:r>
                  <w:r>
                    <w:rPr>
                      <w:rFonts w:hint="default" w:ascii="Times New Roman" w:hAnsi="Times New Roman" w:eastAsia="宋体" w:cs="Times New Roman"/>
                      <w:color w:val="auto"/>
                      <w:kern w:val="0"/>
                      <w:lang w:bidi="ar"/>
                    </w:rPr>
                    <w:t>/h</w:t>
                  </w:r>
                </w:p>
              </w:tc>
              <w:tc>
                <w:tcPr>
                  <w:tcW w:w="1872" w:type="pct"/>
                  <w:noWrap w:val="0"/>
                  <w:vAlign w:val="center"/>
                </w:tcPr>
                <w:p>
                  <w:pPr>
                    <w:spacing w:line="300" w:lineRule="exact"/>
                    <w:jc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eastAsia="zh-CN"/>
                      <w14:textFill>
                        <w14:solidFill>
                          <w14:schemeClr w14:val="tx1"/>
                        </w14:solidFill>
                      </w14:textFill>
                    </w:rPr>
                    <w:t>依托现有项目废气设施处理（风机风量和活性炭箱装填量均调整）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486" w:type="pct"/>
                  <w:noWrap w:val="0"/>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085" w:type="pct"/>
                  <w:noWrap w:val="0"/>
                  <w:vAlign w:val="center"/>
                </w:tcPr>
                <w:p>
                  <w:pPr>
                    <w:spacing w:line="300" w:lineRule="exact"/>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生活污水</w:t>
                  </w:r>
                </w:p>
              </w:tc>
              <w:tc>
                <w:tcPr>
                  <w:tcW w:w="1177" w:type="pc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化粪池</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项目不新增废水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486" w:type="pct"/>
                  <w:vMerge w:val="restart"/>
                  <w:noWrap w:val="0"/>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1085" w:type="pct"/>
                  <w:noWrap w:val="0"/>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危废暂存间</w:t>
                  </w:r>
                </w:p>
              </w:tc>
              <w:tc>
                <w:tcPr>
                  <w:tcW w:w="1177" w:type="pct"/>
                  <w:noWrap w:val="0"/>
                  <w:vAlign w:val="center"/>
                </w:tcPr>
                <w:p>
                  <w:pPr>
                    <w:adjustRightInd w:val="0"/>
                    <w:snapToGrid w:val="0"/>
                    <w:spacing w:line="300" w:lineRule="exact"/>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在原有基础上扩容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rPr>
                  </w:pPr>
                </w:p>
              </w:tc>
              <w:tc>
                <w:tcPr>
                  <w:tcW w:w="486" w:type="pct"/>
                  <w:vMerge w:val="continue"/>
                  <w:noWrap w:val="0"/>
                  <w:vAlign w:val="center"/>
                </w:tcPr>
                <w:p>
                  <w:pPr>
                    <w:spacing w:line="300" w:lineRule="exact"/>
                    <w:jc w:val="center"/>
                    <w:rPr>
                      <w:rFonts w:hint="default" w:ascii="Times New Roman" w:hAnsi="Times New Roman" w:eastAsia="宋体" w:cs="Times New Roman"/>
                      <w:color w:val="auto"/>
                      <w:sz w:val="21"/>
                      <w:szCs w:val="21"/>
                    </w:rPr>
                  </w:pPr>
                </w:p>
              </w:tc>
              <w:tc>
                <w:tcPr>
                  <w:tcW w:w="1085" w:type="pct"/>
                  <w:noWrap w:val="0"/>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一般固废暂存间</w:t>
                  </w:r>
                </w:p>
              </w:tc>
              <w:tc>
                <w:tcPr>
                  <w:tcW w:w="1177" w:type="pct"/>
                  <w:noWrap w:val="0"/>
                  <w:vAlign w:val="center"/>
                </w:tcPr>
                <w:p>
                  <w:pPr>
                    <w:adjustRightInd w:val="0"/>
                    <w:snapToGrid w:val="0"/>
                    <w:spacing w:line="30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40</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1872" w:type="pct"/>
                  <w:noWrap w:val="0"/>
                  <w:vAlign w:val="center"/>
                </w:tcPr>
                <w:p>
                  <w:pPr>
                    <w:adjustRightInd w:val="0"/>
                    <w:snapToGrid w:val="0"/>
                    <w:spacing w:line="3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在原有基础上扩容</w:t>
                  </w:r>
                </w:p>
              </w:tc>
            </w:tr>
          </w:tbl>
          <w:p>
            <w:pPr>
              <w:adjustRightInd w:val="0"/>
              <w:snapToGrid w:val="0"/>
              <w:spacing w:line="500" w:lineRule="exact"/>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表2-</w:t>
            </w: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 xml:space="preserve">  本项目主体、储运及环保工程依托可行性一览表</w:t>
            </w:r>
          </w:p>
          <w:tbl>
            <w:tblPr>
              <w:tblStyle w:val="28"/>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703"/>
              <w:gridCol w:w="1520"/>
              <w:gridCol w:w="1456"/>
              <w:gridCol w:w="1446"/>
              <w:gridCol w:w="1453"/>
              <w:gridCol w:w="18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highlight w:val="none"/>
                    </w:rPr>
                    <w:t>类别</w:t>
                  </w:r>
                </w:p>
              </w:tc>
              <w:tc>
                <w:tcPr>
                  <w:tcW w:w="90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highlight w:val="none"/>
                    </w:rPr>
                    <w:t>建设名称</w:t>
                  </w:r>
                </w:p>
              </w:tc>
              <w:tc>
                <w:tcPr>
                  <w:tcW w:w="8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设计能力</w:t>
                  </w:r>
                </w:p>
              </w:tc>
              <w:tc>
                <w:tcPr>
                  <w:tcW w:w="86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已占用</w:t>
                  </w:r>
                </w:p>
              </w:tc>
              <w:tc>
                <w:tcPr>
                  <w:tcW w:w="8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剩余能力</w:t>
                  </w:r>
                </w:p>
              </w:tc>
              <w:tc>
                <w:tcPr>
                  <w:tcW w:w="108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本项目拟占用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主体工程</w:t>
                  </w:r>
                </w:p>
              </w:tc>
              <w:tc>
                <w:tcPr>
                  <w:tcW w:w="904" w:type="pct"/>
                  <w:tcBorders>
                    <w:tl2br w:val="nil"/>
                    <w:tr2bl w:val="nil"/>
                  </w:tcBorders>
                  <w:noWrap w:val="0"/>
                  <w:vAlign w:val="center"/>
                </w:tcPr>
                <w:p>
                  <w:pPr>
                    <w:jc w:val="center"/>
                    <w:rPr>
                      <w:rFonts w:hint="default" w:ascii="Times New Roman" w:hAnsi="Times New Roman" w:eastAsia="宋体" w:cs="Times New Roman"/>
                      <w:color w:val="auto"/>
                      <w:szCs w:val="21"/>
                      <w:lang w:eastAsia="zh-CN"/>
                    </w:rPr>
                  </w:pPr>
                  <w:r>
                    <w:rPr>
                      <w:rFonts w:hint="eastAsia" w:cs="Times New Roman"/>
                      <w:color w:val="auto"/>
                      <w:lang w:eastAsia="zh-CN"/>
                    </w:rPr>
                    <w:t>车间二</w:t>
                  </w:r>
                </w:p>
              </w:tc>
              <w:tc>
                <w:tcPr>
                  <w:tcW w:w="86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kern w:val="0"/>
                      <w:lang w:val="en-US" w:eastAsia="zh-CN"/>
                    </w:rPr>
                    <w:t>1488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86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800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864"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688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108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0</w:t>
                  </w:r>
                  <w:r>
                    <w:rPr>
                      <w:rFonts w:hint="default" w:ascii="Times New Roman" w:hAnsi="Times New Roman" w:eastAsia="宋体" w:cs="Times New Roman"/>
                      <w:color w:val="auto"/>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1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储运</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工程</w:t>
                  </w:r>
                </w:p>
              </w:tc>
              <w:tc>
                <w:tcPr>
                  <w:tcW w:w="904"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after="0"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成品</w:t>
                  </w:r>
                  <w:r>
                    <w:rPr>
                      <w:rFonts w:hint="default" w:ascii="Times New Roman" w:hAnsi="Times New Roman" w:eastAsia="宋体" w:cs="Times New Roman"/>
                      <w:color w:val="auto"/>
                      <w:sz w:val="21"/>
                      <w:szCs w:val="21"/>
                      <w:highlight w:val="none"/>
                      <w:lang w:val="en-US" w:eastAsia="zh-CN"/>
                    </w:rPr>
                    <w:t>仓库</w:t>
                  </w:r>
                </w:p>
              </w:tc>
              <w:tc>
                <w:tcPr>
                  <w:tcW w:w="866"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after="0"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860"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after="0"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864"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after="0"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108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20</w:t>
                  </w:r>
                  <w:r>
                    <w:rPr>
                      <w:rFonts w:hint="default" w:ascii="Times New Roman" w:hAnsi="Times New Roman" w:eastAsia="宋体" w:cs="Times New Roman"/>
                      <w:color w:val="auto"/>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1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rPr>
                  </w:pPr>
                </w:p>
              </w:tc>
              <w:tc>
                <w:tcPr>
                  <w:tcW w:w="904"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after="0"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原料仓库</w:t>
                  </w:r>
                </w:p>
              </w:tc>
              <w:tc>
                <w:tcPr>
                  <w:tcW w:w="866"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after="0"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kern w:val="0"/>
                      <w:lang w:val="en-US" w:eastAsia="zh-CN"/>
                    </w:rPr>
                    <w:t>4</w:t>
                  </w:r>
                  <w:r>
                    <w:rPr>
                      <w:rFonts w:hint="default" w:ascii="Times New Roman" w:hAnsi="Times New Roman" w:eastAsia="宋体" w:cs="Times New Roman"/>
                      <w:color w:val="auto"/>
                      <w:kern w:val="0"/>
                    </w:rPr>
                    <w:t>00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860"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after="0" w:line="240" w:lineRule="auto"/>
                    <w:jc w:val="center"/>
                    <w:textAlignment w:val="auto"/>
                    <w:rPr>
                      <w:rFonts w:hint="default" w:ascii="Times New Roman" w:hAnsi="Times New Roman" w:cs="Times New Roman"/>
                      <w:color w:val="auto"/>
                      <w:highlight w:val="none"/>
                      <w:lang w:val="en-US" w:eastAsia="zh-CN"/>
                    </w:rPr>
                  </w:pPr>
                  <w:r>
                    <w:rPr>
                      <w:rFonts w:hint="eastAsia" w:cs="Times New Roman"/>
                      <w:color w:val="auto"/>
                      <w:kern w:val="0"/>
                      <w:lang w:val="en-US" w:eastAsia="zh-CN"/>
                    </w:rPr>
                    <w:t>2</w:t>
                  </w:r>
                  <w:r>
                    <w:rPr>
                      <w:rFonts w:hint="default" w:ascii="Times New Roman" w:hAnsi="Times New Roman" w:eastAsia="宋体" w:cs="Times New Roman"/>
                      <w:color w:val="auto"/>
                      <w:kern w:val="0"/>
                    </w:rPr>
                    <w:t>00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864"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after="0"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kern w:val="0"/>
                      <w:lang w:val="en-US" w:eastAsia="zh-CN"/>
                    </w:rPr>
                    <w:t>2</w:t>
                  </w:r>
                  <w:r>
                    <w:rPr>
                      <w:rFonts w:hint="default" w:ascii="Times New Roman" w:hAnsi="Times New Roman" w:eastAsia="宋体" w:cs="Times New Roman"/>
                      <w:color w:val="auto"/>
                      <w:kern w:val="0"/>
                    </w:rPr>
                    <w:t>00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108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200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r>
          </w:tbl>
          <w:p>
            <w:pPr>
              <w:keepNext w:val="0"/>
              <w:keepLines w:val="0"/>
              <w:pageBreakBefore w:val="0"/>
              <w:kinsoku/>
              <w:wordWrap/>
              <w:overflowPunct/>
              <w:topLinePunct w:val="0"/>
              <w:bidi w:val="0"/>
              <w:adjustRightInd w:val="0"/>
              <w:snapToGrid w:val="0"/>
              <w:spacing w:line="500" w:lineRule="exact"/>
              <w:ind w:left="0" w:right="0"/>
              <w:rPr>
                <w:rFonts w:hint="default" w:ascii="Times New Roman" w:hAnsi="Times New Roman" w:cs="Times New Roman"/>
                <w:b/>
                <w:bCs/>
                <w:color w:val="auto"/>
                <w:sz w:val="24"/>
              </w:rPr>
            </w:pPr>
            <w:r>
              <w:rPr>
                <w:rFonts w:hint="default" w:ascii="Times New Roman" w:hAnsi="Times New Roman" w:cs="Times New Roman"/>
                <w:b/>
                <w:color w:val="auto"/>
                <w:sz w:val="24"/>
                <w:lang w:val="en-US" w:eastAsia="zh-CN"/>
              </w:rPr>
              <w:t>6</w:t>
            </w:r>
            <w:r>
              <w:rPr>
                <w:rFonts w:hint="default" w:ascii="Times New Roman" w:hAnsi="Times New Roman" w:cs="Times New Roman"/>
                <w:b/>
                <w:color w:val="auto"/>
                <w:sz w:val="24"/>
              </w:rPr>
              <w:t>、</w:t>
            </w:r>
            <w:r>
              <w:rPr>
                <w:rFonts w:hint="eastAsia" w:cs="Times New Roman"/>
                <w:b/>
                <w:color w:val="auto"/>
                <w:sz w:val="24"/>
                <w:lang w:eastAsia="zh-CN"/>
              </w:rPr>
              <w:t>物料平衡及</w:t>
            </w:r>
            <w:r>
              <w:rPr>
                <w:rFonts w:hint="default" w:ascii="Times New Roman" w:hAnsi="Times New Roman" w:cs="Times New Roman"/>
                <w:b/>
                <w:bCs/>
                <w:color w:val="auto"/>
                <w:sz w:val="24"/>
              </w:rPr>
              <w:t>水平衡</w:t>
            </w:r>
          </w:p>
          <w:p>
            <w:pPr>
              <w:keepNext w:val="0"/>
              <w:keepLines w:val="0"/>
              <w:pageBreakBefore w:val="0"/>
              <w:kinsoku/>
              <w:wordWrap/>
              <w:overflowPunct/>
              <w:topLinePunct w:val="0"/>
              <w:bidi w:val="0"/>
              <w:adjustRightInd w:val="0"/>
              <w:snapToGrid w:val="0"/>
              <w:spacing w:line="500" w:lineRule="exact"/>
              <w:ind w:left="0" w:right="0" w:firstLine="480" w:firstLineChars="200"/>
              <w:rPr>
                <w:rFonts w:hint="eastAsia" w:cs="Times New Roman"/>
                <w:color w:val="auto"/>
                <w:sz w:val="24"/>
                <w:lang w:val="en-US" w:eastAsia="zh-CN"/>
              </w:rPr>
            </w:pPr>
            <w:r>
              <w:rPr>
                <w:rFonts w:hint="eastAsia" w:cs="Times New Roman"/>
                <w:color w:val="auto"/>
                <w:sz w:val="24"/>
                <w:lang w:val="en-US" w:eastAsia="zh-CN"/>
              </w:rPr>
              <w:t>（1）VOCs平衡</w:t>
            </w:r>
          </w:p>
          <w:p>
            <w:pPr>
              <w:tabs>
                <w:tab w:val="center" w:pos="4156"/>
                <w:tab w:val="left" w:pos="6375"/>
              </w:tabs>
              <w:spacing w:line="480" w:lineRule="exact"/>
              <w:jc w:val="center"/>
              <w:rPr>
                <w:b/>
                <w:bCs/>
                <w:color w:val="000000" w:themeColor="text1"/>
                <w:sz w:val="21"/>
                <w:szCs w:val="21"/>
                <w14:textFill>
                  <w14:solidFill>
                    <w14:schemeClr w14:val="tx1"/>
                  </w14:solidFill>
                </w14:textFill>
              </w:rPr>
            </w:pPr>
          </w:p>
          <w:p>
            <w:pPr>
              <w:tabs>
                <w:tab w:val="center" w:pos="4156"/>
                <w:tab w:val="left" w:pos="6375"/>
              </w:tabs>
              <w:spacing w:line="480" w:lineRule="exact"/>
              <w:jc w:val="both"/>
              <w:rPr>
                <w:b/>
                <w:bCs/>
                <w:color w:val="000000" w:themeColor="text1"/>
                <w:sz w:val="21"/>
                <w:szCs w:val="21"/>
                <w14:textFill>
                  <w14:solidFill>
                    <w14:schemeClr w14:val="tx1"/>
                  </w14:solidFill>
                </w14:textFill>
              </w:rPr>
            </w:pPr>
          </w:p>
          <w:p>
            <w:pPr>
              <w:tabs>
                <w:tab w:val="center" w:pos="4156"/>
                <w:tab w:val="left" w:pos="6375"/>
              </w:tabs>
              <w:spacing w:line="480" w:lineRule="exact"/>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14:textFill>
                  <w14:solidFill>
                    <w14:schemeClr w14:val="tx1"/>
                  </w14:solidFill>
                </w14:textFill>
              </w:rPr>
              <w:t>2-</w:t>
            </w:r>
            <w:r>
              <w:rPr>
                <w:rFonts w:hint="eastAsia"/>
                <w:b/>
                <w:bCs/>
                <w:color w:val="000000" w:themeColor="text1"/>
                <w:sz w:val="21"/>
                <w:szCs w:val="21"/>
                <w:lang w:val="en-US" w:eastAsia="zh-CN"/>
                <w14:textFill>
                  <w14:solidFill>
                    <w14:schemeClr w14:val="tx1"/>
                  </w14:solidFill>
                </w14:textFill>
              </w:rPr>
              <w:t>8</w:t>
            </w:r>
            <w:r>
              <w:rPr>
                <w:b/>
                <w:bCs/>
                <w:color w:val="000000" w:themeColor="text1"/>
                <w:sz w:val="21"/>
                <w:szCs w:val="21"/>
                <w14:textFill>
                  <w14:solidFill>
                    <w14:schemeClr w14:val="tx1"/>
                  </w14:solidFill>
                </w14:textFill>
              </w:rPr>
              <w:t xml:space="preserve"> </w:t>
            </w:r>
            <w:r>
              <w:rPr>
                <w:rFonts w:hint="eastAsia"/>
                <w:b/>
                <w:bCs/>
                <w:color w:val="000000" w:themeColor="text1"/>
                <w:sz w:val="21"/>
                <w:szCs w:val="21"/>
                <w:lang w:val="en-US" w:eastAsia="zh-CN"/>
                <w14:textFill>
                  <w14:solidFill>
                    <w14:schemeClr w14:val="tx1"/>
                  </w14:solidFill>
                </w14:textFill>
              </w:rPr>
              <w:t xml:space="preserve"> 全厂VOCs</w:t>
            </w:r>
            <w:r>
              <w:rPr>
                <w:rFonts w:hint="eastAsia"/>
                <w:b/>
                <w:bCs/>
                <w:color w:val="000000" w:themeColor="text1"/>
                <w:sz w:val="21"/>
                <w:szCs w:val="21"/>
                <w14:textFill>
                  <w14:solidFill>
                    <w14:schemeClr w14:val="tx1"/>
                  </w14:solidFill>
                </w14:textFill>
              </w:rPr>
              <w:t>物料</w:t>
            </w:r>
            <w:r>
              <w:rPr>
                <w:b/>
                <w:bCs/>
                <w:color w:val="000000" w:themeColor="text1"/>
                <w:sz w:val="21"/>
                <w:szCs w:val="21"/>
                <w14:textFill>
                  <w14:solidFill>
                    <w14:schemeClr w14:val="tx1"/>
                  </w14:solidFill>
                </w14:textFill>
              </w:rPr>
              <w:t>平衡表  单位：t/a</w:t>
            </w:r>
          </w:p>
          <w:tbl>
            <w:tblPr>
              <w:tblStyle w:val="27"/>
              <w:tblW w:w="4998" w:type="pct"/>
              <w:tblInd w:w="0" w:type="dxa"/>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2715"/>
              <w:gridCol w:w="916"/>
              <w:gridCol w:w="1207"/>
              <w:gridCol w:w="2880"/>
              <w:gridCol w:w="686"/>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60" w:type="pct"/>
                  <w:gridSpan w:val="2"/>
                  <w:noWrap w:val="0"/>
                  <w:vAlign w:val="center"/>
                </w:tcPr>
                <w:p>
                  <w:pPr>
                    <w:snapToGrid w:val="0"/>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投入</w:t>
                  </w:r>
                </w:p>
              </w:tc>
              <w:tc>
                <w:tcPr>
                  <w:tcW w:w="2839" w:type="pct"/>
                  <w:gridSpan w:val="3"/>
                  <w:noWrap w:val="0"/>
                  <w:vAlign w:val="center"/>
                </w:tcPr>
                <w:p>
                  <w:pPr>
                    <w:snapToGrid w:val="0"/>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产出</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15" w:type="pct"/>
                  <w:noWrap w:val="0"/>
                  <w:vAlign w:val="center"/>
                </w:tcPr>
                <w:p>
                  <w:pPr>
                    <w:snapToGrid w:val="0"/>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原辅料</w:t>
                  </w:r>
                </w:p>
              </w:tc>
              <w:tc>
                <w:tcPr>
                  <w:tcW w:w="544" w:type="pct"/>
                  <w:noWrap w:val="0"/>
                  <w:vAlign w:val="center"/>
                </w:tcPr>
                <w:p>
                  <w:pPr>
                    <w:snapToGrid w:val="0"/>
                    <w:jc w:val="center"/>
                    <w:rPr>
                      <w:b/>
                      <w:color w:val="000000" w:themeColor="text1"/>
                      <w:kern w:val="0"/>
                      <w:sz w:val="21"/>
                      <w:szCs w:val="21"/>
                      <w14:textFill>
                        <w14:solidFill>
                          <w14:schemeClr w14:val="tx1"/>
                        </w14:solidFill>
                      </w14:textFill>
                    </w:rPr>
                  </w:pPr>
                  <w:r>
                    <w:rPr>
                      <w:rFonts w:hint="eastAsia"/>
                      <w:b/>
                      <w:color w:val="000000" w:themeColor="text1"/>
                      <w:kern w:val="0"/>
                      <w:sz w:val="21"/>
                      <w:szCs w:val="21"/>
                      <w14:textFill>
                        <w14:solidFill>
                          <w14:schemeClr w14:val="tx1"/>
                        </w14:solidFill>
                      </w14:textFill>
                    </w:rPr>
                    <w:t>消耗</w:t>
                  </w:r>
                  <w:r>
                    <w:rPr>
                      <w:b/>
                      <w:color w:val="000000" w:themeColor="text1"/>
                      <w:kern w:val="0"/>
                      <w:sz w:val="21"/>
                      <w:szCs w:val="21"/>
                      <w14:textFill>
                        <w14:solidFill>
                          <w14:schemeClr w14:val="tx1"/>
                        </w14:solidFill>
                      </w14:textFill>
                    </w:rPr>
                    <w:t>量</w:t>
                  </w:r>
                </w:p>
              </w:tc>
              <w:tc>
                <w:tcPr>
                  <w:tcW w:w="718" w:type="pct"/>
                  <w:noWrap w:val="0"/>
                  <w:vAlign w:val="center"/>
                </w:tcPr>
                <w:p>
                  <w:pPr>
                    <w:snapToGrid w:val="0"/>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去向</w:t>
                  </w:r>
                </w:p>
              </w:tc>
              <w:tc>
                <w:tcPr>
                  <w:tcW w:w="2120" w:type="pct"/>
                  <w:gridSpan w:val="2"/>
                  <w:noWrap w:val="0"/>
                  <w:vAlign w:val="center"/>
                </w:tcPr>
                <w:p>
                  <w:pPr>
                    <w:snapToGrid w:val="0"/>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含量</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15" w:type="pct"/>
                  <w:noWrap w:val="0"/>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热压废气</w:t>
                  </w:r>
                </w:p>
              </w:tc>
              <w:tc>
                <w:tcPr>
                  <w:tcW w:w="544" w:type="pct"/>
                  <w:noWrap w:val="0"/>
                  <w:vAlign w:val="center"/>
                </w:tcPr>
                <w:p>
                  <w:pPr>
                    <w:snapToGrid w:val="0"/>
                    <w:jc w:val="center"/>
                    <w:rPr>
                      <w:rFonts w:hint="default"/>
                      <w:color w:val="000000" w:themeColor="text1"/>
                      <w:kern w:val="0"/>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0.472</w:t>
                  </w:r>
                </w:p>
              </w:tc>
              <w:tc>
                <w:tcPr>
                  <w:tcW w:w="718" w:type="pct"/>
                  <w:noWrap w:val="0"/>
                  <w:vAlign w:val="center"/>
                </w:tcPr>
                <w:p>
                  <w:pPr>
                    <w:snapToGri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废气</w:t>
                  </w:r>
                </w:p>
              </w:tc>
              <w:tc>
                <w:tcPr>
                  <w:tcW w:w="1713" w:type="pct"/>
                  <w:noWrap w:val="0"/>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w:t>
                  </w:r>
                  <w:r>
                    <w:rPr>
                      <w:color w:val="000000" w:themeColor="text1"/>
                      <w:sz w:val="21"/>
                      <w:szCs w:val="21"/>
                      <w14:textFill>
                        <w14:solidFill>
                          <w14:schemeClr w14:val="tx1"/>
                        </w14:solidFill>
                      </w14:textFill>
                    </w:rPr>
                    <w:t>组织排放</w:t>
                  </w:r>
                </w:p>
              </w:tc>
              <w:tc>
                <w:tcPr>
                  <w:tcW w:w="407" w:type="pct"/>
                  <w:noWrap w:val="0"/>
                  <w:vAlign w:val="center"/>
                </w:tcPr>
                <w:p>
                  <w:pPr>
                    <w:snapToGrid w:val="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14:textFill>
                        <w14:solidFill>
                          <w14:schemeClr w14:val="tx1"/>
                        </w14:solidFill>
                      </w14:textFill>
                    </w:rPr>
                    <w:t>0.</w:t>
                  </w:r>
                  <w:r>
                    <w:rPr>
                      <w:rFonts w:hint="eastAsia"/>
                      <w:color w:val="000000" w:themeColor="text1"/>
                      <w:kern w:val="0"/>
                      <w:sz w:val="21"/>
                      <w:szCs w:val="21"/>
                      <w:lang w:val="en-US" w:eastAsia="zh-CN"/>
                      <w14:textFill>
                        <w14:solidFill>
                          <w14:schemeClr w14:val="tx1"/>
                        </w14:solidFill>
                      </w14:textFill>
                    </w:rPr>
                    <w:t>123</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15" w:type="pct"/>
                  <w:vMerge w:val="restart"/>
                  <w:noWrap w:val="0"/>
                  <w:vAlign w:val="center"/>
                </w:tcPr>
                <w:p>
                  <w:pPr>
                    <w:snapToGrid w:val="0"/>
                    <w:jc w:val="center"/>
                    <w:rPr>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混合、发泡</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开模</w:t>
                  </w:r>
                  <w:r>
                    <w:rPr>
                      <w:rFonts w:hint="eastAsia"/>
                      <w:color w:val="000000" w:themeColor="text1"/>
                      <w:sz w:val="21"/>
                      <w:szCs w:val="21"/>
                      <w:lang w:eastAsia="zh-CN"/>
                      <w14:textFill>
                        <w14:solidFill>
                          <w14:schemeClr w14:val="tx1"/>
                        </w14:solidFill>
                      </w14:textFill>
                    </w:rPr>
                    <w:t>废气</w:t>
                  </w:r>
                </w:p>
              </w:tc>
              <w:tc>
                <w:tcPr>
                  <w:tcW w:w="544" w:type="pct"/>
                  <w:vMerge w:val="restart"/>
                  <w:noWrap w:val="0"/>
                  <w:vAlign w:val="center"/>
                </w:tcPr>
                <w:p>
                  <w:pPr>
                    <w:snapToGrid w:val="0"/>
                    <w:jc w:val="center"/>
                    <w:rPr>
                      <w:rFonts w:hint="default"/>
                      <w:color w:val="000000" w:themeColor="text1"/>
                      <w:kern w:val="0"/>
                      <w:sz w:val="21"/>
                      <w:szCs w:val="21"/>
                      <w:lang w:val="en-US"/>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0.9</w:t>
                  </w:r>
                </w:p>
              </w:tc>
              <w:tc>
                <w:tcPr>
                  <w:tcW w:w="718" w:type="pct"/>
                  <w:noWrap w:val="0"/>
                  <w:vAlign w:val="center"/>
                </w:tcPr>
                <w:p>
                  <w:pPr>
                    <w:snapToGrid w:val="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废气</w:t>
                  </w:r>
                </w:p>
              </w:tc>
              <w:tc>
                <w:tcPr>
                  <w:tcW w:w="1713" w:type="pct"/>
                  <w:noWrap w:val="0"/>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w:t>
                  </w:r>
                  <w:r>
                    <w:rPr>
                      <w:color w:val="000000" w:themeColor="text1"/>
                      <w:sz w:val="21"/>
                      <w:szCs w:val="21"/>
                      <w14:textFill>
                        <w14:solidFill>
                          <w14:schemeClr w14:val="tx1"/>
                        </w14:solidFill>
                      </w14:textFill>
                    </w:rPr>
                    <w:t>组织排放</w:t>
                  </w:r>
                </w:p>
              </w:tc>
              <w:tc>
                <w:tcPr>
                  <w:tcW w:w="407" w:type="pct"/>
                  <w:noWrap w:val="0"/>
                  <w:vAlign w:val="center"/>
                </w:tcPr>
                <w:p>
                  <w:pPr>
                    <w:snapToGrid w:val="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137</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15" w:type="pct"/>
                  <w:vMerge w:val="continue"/>
                  <w:noWrap w:val="0"/>
                  <w:vAlign w:val="center"/>
                </w:tcPr>
                <w:p>
                  <w:pPr>
                    <w:snapToGrid w:val="0"/>
                    <w:jc w:val="center"/>
                    <w:rPr>
                      <w:color w:val="000000" w:themeColor="text1"/>
                      <w:sz w:val="21"/>
                      <w:szCs w:val="21"/>
                      <w14:textFill>
                        <w14:solidFill>
                          <w14:schemeClr w14:val="tx1"/>
                        </w14:solidFill>
                      </w14:textFill>
                    </w:rPr>
                  </w:pPr>
                </w:p>
              </w:tc>
              <w:tc>
                <w:tcPr>
                  <w:tcW w:w="544" w:type="pct"/>
                  <w:vMerge w:val="continue"/>
                  <w:noWrap w:val="0"/>
                  <w:vAlign w:val="center"/>
                </w:tcPr>
                <w:p>
                  <w:pPr>
                    <w:snapToGrid w:val="0"/>
                    <w:jc w:val="center"/>
                    <w:rPr>
                      <w:color w:val="000000" w:themeColor="text1"/>
                      <w:kern w:val="0"/>
                      <w:sz w:val="21"/>
                      <w:szCs w:val="21"/>
                      <w14:textFill>
                        <w14:solidFill>
                          <w14:schemeClr w14:val="tx1"/>
                        </w14:solidFill>
                      </w14:textFill>
                    </w:rPr>
                  </w:pPr>
                </w:p>
              </w:tc>
              <w:tc>
                <w:tcPr>
                  <w:tcW w:w="718" w:type="pct"/>
                  <w:noWrap w:val="0"/>
                  <w:vAlign w:val="center"/>
                </w:tcPr>
                <w:p>
                  <w:pPr>
                    <w:snapToGrid w:val="0"/>
                    <w:jc w:val="center"/>
                    <w:rPr>
                      <w:rFonts w:hint="eastAsia" w:eastAsia="宋体"/>
                      <w:color w:val="000000" w:themeColor="text1"/>
                      <w:kern w:val="0"/>
                      <w:sz w:val="21"/>
                      <w:szCs w:val="21"/>
                      <w:lang w:eastAsia="zh-CN"/>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固废</w:t>
                  </w:r>
                </w:p>
              </w:tc>
              <w:tc>
                <w:tcPr>
                  <w:tcW w:w="1713" w:type="pct"/>
                  <w:noWrap w:val="0"/>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进入废</w:t>
                  </w:r>
                  <w:r>
                    <w:rPr>
                      <w:rFonts w:hint="eastAsia"/>
                      <w:color w:val="000000" w:themeColor="text1"/>
                      <w:sz w:val="21"/>
                      <w:szCs w:val="21"/>
                      <w14:textFill>
                        <w14:solidFill>
                          <w14:schemeClr w14:val="tx1"/>
                        </w14:solidFill>
                      </w14:textFill>
                    </w:rPr>
                    <w:t>活性炭</w:t>
                  </w:r>
                </w:p>
              </w:tc>
              <w:tc>
                <w:tcPr>
                  <w:tcW w:w="407" w:type="pct"/>
                  <w:noWrap w:val="0"/>
                  <w:vAlign w:val="center"/>
                </w:tcPr>
                <w:p>
                  <w:pPr>
                    <w:snapToGrid w:val="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1.112</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15" w:type="pct"/>
                  <w:noWrap w:val="0"/>
                  <w:vAlign w:val="center"/>
                </w:tcPr>
                <w:p>
                  <w:pPr>
                    <w:snapToGri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合计</w:t>
                  </w:r>
                </w:p>
              </w:tc>
              <w:tc>
                <w:tcPr>
                  <w:tcW w:w="544" w:type="pct"/>
                  <w:noWrap w:val="0"/>
                  <w:vAlign w:val="center"/>
                </w:tcPr>
                <w:p>
                  <w:pPr>
                    <w:snapToGrid w:val="0"/>
                    <w:jc w:val="center"/>
                    <w:rPr>
                      <w:rFonts w:hint="default" w:eastAsia="仿宋"/>
                      <w:color w:val="000000" w:themeColor="text1"/>
                      <w:kern w:val="0"/>
                      <w:sz w:val="21"/>
                      <w:szCs w:val="21"/>
                      <w:lang w:val="en-US" w:eastAsia="zh-CN"/>
                      <w14:textFill>
                        <w14:solidFill>
                          <w14:schemeClr w14:val="tx1"/>
                        </w14:solidFill>
                      </w14:textFill>
                    </w:rPr>
                  </w:pPr>
                  <w:r>
                    <w:rPr>
                      <w:rFonts w:hint="eastAsia" w:eastAsia="仿宋"/>
                      <w:color w:val="000000" w:themeColor="text1"/>
                      <w:kern w:val="0"/>
                      <w:sz w:val="21"/>
                      <w:szCs w:val="21"/>
                      <w:lang w:val="en-US" w:eastAsia="zh-CN"/>
                      <w14:textFill>
                        <w14:solidFill>
                          <w14:schemeClr w14:val="tx1"/>
                        </w14:solidFill>
                      </w14:textFill>
                    </w:rPr>
                    <w:t>1.372</w:t>
                  </w:r>
                </w:p>
              </w:tc>
              <w:tc>
                <w:tcPr>
                  <w:tcW w:w="718" w:type="pct"/>
                  <w:noWrap w:val="0"/>
                  <w:vAlign w:val="center"/>
                </w:tcPr>
                <w:p>
                  <w:pPr>
                    <w:snapToGri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合计</w:t>
                  </w:r>
                </w:p>
              </w:tc>
              <w:tc>
                <w:tcPr>
                  <w:tcW w:w="2120" w:type="pct"/>
                  <w:gridSpan w:val="2"/>
                  <w:noWrap w:val="0"/>
                  <w:vAlign w:val="center"/>
                </w:tcPr>
                <w:p>
                  <w:pPr>
                    <w:snapToGrid w:val="0"/>
                    <w:jc w:val="center"/>
                    <w:rPr>
                      <w:rFonts w:hint="default" w:eastAsia="宋体"/>
                      <w:color w:val="000000" w:themeColor="text1"/>
                      <w:kern w:val="0"/>
                      <w:sz w:val="21"/>
                      <w:szCs w:val="21"/>
                      <w:lang w:val="en-US" w:eastAsia="zh-CN"/>
                      <w14:textFill>
                        <w14:solidFill>
                          <w14:schemeClr w14:val="tx1"/>
                        </w14:solidFill>
                      </w14:textFill>
                    </w:rPr>
                  </w:pPr>
                  <w:r>
                    <w:rPr>
                      <w:rFonts w:hint="eastAsia" w:eastAsia="仿宋"/>
                      <w:color w:val="000000" w:themeColor="text1"/>
                      <w:kern w:val="0"/>
                      <w:sz w:val="21"/>
                      <w:szCs w:val="21"/>
                      <w:lang w:val="en-US" w:eastAsia="zh-CN"/>
                      <w14:textFill>
                        <w14:solidFill>
                          <w14:schemeClr w14:val="tx1"/>
                        </w14:solidFill>
                      </w14:textFill>
                    </w:rPr>
                    <w:t>1.372</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default" w:cs="Times New Roman"/>
                <w:color w:val="auto"/>
                <w:sz w:val="21"/>
                <w:szCs w:val="21"/>
                <w:lang w:val="en-US" w:eastAsia="zh-CN"/>
              </w:rPr>
            </w:pPr>
            <w:r>
              <w:rPr>
                <w:rFonts w:hint="eastAsia" w:cs="Times New Roman"/>
                <w:color w:val="auto"/>
                <w:sz w:val="21"/>
                <w:szCs w:val="21"/>
                <w:lang w:eastAsia="zh-CN"/>
              </w:rPr>
              <w:t>注：项目使用的水性脱模剂</w:t>
            </w:r>
            <w:r>
              <w:rPr>
                <w:rFonts w:hint="eastAsia" w:cs="Times New Roman"/>
                <w:color w:val="auto"/>
                <w:sz w:val="21"/>
                <w:szCs w:val="21"/>
                <w:lang w:val="en-US" w:eastAsia="zh-CN"/>
              </w:rPr>
              <w:t>VOCs含量极低，本次不做定量分析，故不纳入物料平衡表。</w:t>
            </w:r>
          </w:p>
          <w:p>
            <w:pPr>
              <w:keepNext w:val="0"/>
              <w:keepLines w:val="0"/>
              <w:pageBreakBefore w:val="0"/>
              <w:kinsoku/>
              <w:wordWrap/>
              <w:overflowPunct/>
              <w:topLinePunct w:val="0"/>
              <w:bidi w:val="0"/>
              <w:adjustRightInd w:val="0"/>
              <w:snapToGrid w:val="0"/>
              <w:spacing w:line="500" w:lineRule="exact"/>
              <w:ind w:left="0" w:right="0" w:firstLine="480" w:firstLineChars="200"/>
              <w:rPr>
                <w:rFonts w:hint="default" w:ascii="Times New Roman" w:hAnsi="Times New Roman" w:cs="Times New Roman"/>
                <w:b/>
                <w:bCs/>
                <w:color w:val="auto"/>
                <w:sz w:val="24"/>
              </w:rPr>
            </w:pPr>
            <w:r>
              <w:rPr>
                <w:rFonts w:hint="eastAsia" w:cs="Times New Roman"/>
                <w:color w:val="auto"/>
                <w:sz w:val="24"/>
                <w:lang w:eastAsia="zh-CN"/>
              </w:rPr>
              <w:t>（</w:t>
            </w:r>
            <w:r>
              <w:rPr>
                <w:rFonts w:hint="eastAsia" w:cs="Times New Roman"/>
                <w:color w:val="auto"/>
                <w:sz w:val="24"/>
                <w:lang w:val="en-US" w:eastAsia="zh-CN"/>
              </w:rPr>
              <w:t>2</w:t>
            </w:r>
            <w:r>
              <w:rPr>
                <w:rFonts w:hint="eastAsia" w:cs="Times New Roman"/>
                <w:color w:val="auto"/>
                <w:sz w:val="24"/>
                <w:lang w:eastAsia="zh-CN"/>
              </w:rPr>
              <w:t>）水平衡</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全厂水平衡图见图2-</w:t>
            </w:r>
            <w:r>
              <w:rPr>
                <w:rFonts w:hint="eastAsia" w:cs="Times New Roman"/>
                <w:color w:val="auto"/>
                <w:sz w:val="24"/>
                <w:lang w:val="en-US" w:eastAsia="zh-CN"/>
              </w:rPr>
              <w:t>1</w:t>
            </w:r>
            <w:r>
              <w:rPr>
                <w:rFonts w:hint="default" w:ascii="Times New Roman" w:hAnsi="Times New Roman" w:cs="Times New Roman"/>
                <w:color w:val="auto"/>
                <w:sz w:val="24"/>
              </w:rPr>
              <w:t>：</w:t>
            </w:r>
          </w:p>
          <w:p>
            <w:pPr>
              <w:pStyle w:val="13"/>
              <w:keepNext w:val="0"/>
              <w:keepLines w:val="0"/>
              <w:pageBreakBefore w:val="0"/>
              <w:widowControl w:val="0"/>
              <w:kinsoku/>
              <w:wordWrap/>
              <w:overflowPunct/>
              <w:topLinePunct w:val="0"/>
              <w:autoSpaceDE/>
              <w:autoSpaceDN/>
              <w:bidi w:val="0"/>
              <w:snapToGrid w:val="0"/>
              <w:spacing w:after="0" w:line="240" w:lineRule="auto"/>
              <w:ind w:left="0" w:leftChars="0" w:right="0" w:rightChars="0"/>
              <w:jc w:val="center"/>
              <w:textAlignment w:val="auto"/>
              <w:rPr>
                <w:rFonts w:hint="default" w:ascii="Times New Roman" w:hAnsi="Times New Roman" w:cs="Times New Roman"/>
                <w:color w:val="auto"/>
                <w:sz w:val="24"/>
              </w:rPr>
            </w:pPr>
            <w:r>
              <w:drawing>
                <wp:inline distT="0" distB="0" distL="114300" distR="114300">
                  <wp:extent cx="4427220" cy="153924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427220" cy="15392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图</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w:t>
            </w:r>
            <w:r>
              <w:rPr>
                <w:rFonts w:hint="eastAsia" w:cs="Times New Roman"/>
                <w:b/>
                <w:color w:val="auto"/>
                <w:sz w:val="21"/>
                <w:szCs w:val="21"/>
                <w:highlight w:val="none"/>
                <w:lang w:val="en-US" w:eastAsia="zh-CN"/>
              </w:rPr>
              <w:t>1</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rPr>
              <w:t>全厂水平衡图（单位：t/a）</w:t>
            </w:r>
          </w:p>
          <w:p>
            <w:pPr>
              <w:adjustRightInd w:val="0"/>
              <w:snapToGrid w:val="0"/>
              <w:spacing w:line="500" w:lineRule="exact"/>
              <w:rPr>
                <w:rFonts w:hint="default" w:ascii="Times New Roman" w:hAnsi="Times New Roman" w:cs="Times New Roman"/>
                <w:b/>
                <w:color w:val="auto"/>
                <w:sz w:val="24"/>
              </w:rPr>
            </w:pPr>
            <w:r>
              <w:rPr>
                <w:rFonts w:hint="default" w:ascii="Times New Roman" w:hAnsi="Times New Roman" w:cs="Times New Roman"/>
                <w:b/>
                <w:bCs/>
                <w:color w:val="auto"/>
                <w:kern w:val="0"/>
                <w:sz w:val="24"/>
                <w:lang w:val="en-US" w:eastAsia="zh-CN"/>
              </w:rPr>
              <w:t>7</w:t>
            </w:r>
            <w:r>
              <w:rPr>
                <w:rFonts w:hint="default" w:ascii="Times New Roman" w:hAnsi="Times New Roman" w:cs="Times New Roman"/>
                <w:b/>
                <w:bCs/>
                <w:color w:val="auto"/>
                <w:kern w:val="0"/>
                <w:sz w:val="24"/>
              </w:rPr>
              <w:t>、劳动定员及工作制度</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厂区总员工数为</w:t>
            </w:r>
            <w:r>
              <w:rPr>
                <w:rFonts w:hint="eastAsia" w:cs="Times New Roman"/>
                <w:color w:val="auto"/>
                <w:sz w:val="24"/>
                <w:lang w:val="en-US" w:eastAsia="zh-CN"/>
              </w:rPr>
              <w:t>25</w:t>
            </w:r>
            <w:r>
              <w:rPr>
                <w:rFonts w:hint="default" w:ascii="Times New Roman" w:hAnsi="Times New Roman" w:cs="Times New Roman"/>
                <w:color w:val="auto"/>
                <w:sz w:val="24"/>
              </w:rPr>
              <w:t>人，本项目增加员工</w:t>
            </w:r>
            <w:r>
              <w:rPr>
                <w:rFonts w:hint="eastAsia" w:cs="Times New Roman"/>
                <w:color w:val="auto"/>
                <w:sz w:val="24"/>
                <w:lang w:val="en-US" w:eastAsia="zh-CN"/>
              </w:rPr>
              <w:t>5人</w:t>
            </w:r>
            <w:r>
              <w:rPr>
                <w:rFonts w:hint="default" w:ascii="Times New Roman" w:hAnsi="Times New Roman" w:cs="Times New Roman"/>
                <w:color w:val="auto"/>
                <w:sz w:val="24"/>
              </w:rPr>
              <w:t>，</w:t>
            </w:r>
            <w:r>
              <w:rPr>
                <w:rFonts w:hint="eastAsia" w:cs="Times New Roman"/>
                <w:color w:val="auto"/>
                <w:sz w:val="24"/>
                <w:lang w:eastAsia="zh-CN"/>
              </w:rPr>
              <w:t>全厂劳动定员</w:t>
            </w:r>
            <w:r>
              <w:rPr>
                <w:rFonts w:hint="eastAsia" w:cs="Times New Roman"/>
                <w:color w:val="auto"/>
                <w:sz w:val="24"/>
                <w:lang w:val="en-US" w:eastAsia="zh-CN"/>
              </w:rPr>
              <w:t>30人。</w:t>
            </w:r>
            <w:r>
              <w:rPr>
                <w:rFonts w:hint="eastAsia" w:cs="Times New Roman"/>
                <w:color w:val="auto"/>
                <w:sz w:val="24"/>
                <w:lang w:eastAsia="zh-CN"/>
              </w:rPr>
              <w:t>项目采取</w:t>
            </w:r>
            <w:r>
              <w:rPr>
                <w:rFonts w:hint="eastAsia" w:cs="Times New Roman"/>
                <w:color w:val="auto"/>
                <w:sz w:val="24"/>
                <w:lang w:val="en-US" w:eastAsia="zh-CN"/>
              </w:rPr>
              <w:t>一</w:t>
            </w:r>
            <w:r>
              <w:rPr>
                <w:rFonts w:hint="default" w:ascii="Times New Roman" w:hAnsi="Times New Roman" w:cs="Times New Roman"/>
                <w:color w:val="auto"/>
                <w:sz w:val="24"/>
              </w:rPr>
              <w:t>班制生产，8h/班，年工作日约300天，年工作</w:t>
            </w:r>
            <w:r>
              <w:rPr>
                <w:rFonts w:hint="eastAsia" w:cs="Times New Roman"/>
                <w:color w:val="auto"/>
                <w:sz w:val="24"/>
                <w:lang w:val="en-US" w:eastAsia="zh-CN"/>
              </w:rPr>
              <w:t>24</w:t>
            </w:r>
            <w:r>
              <w:rPr>
                <w:rFonts w:hint="default" w:ascii="Times New Roman" w:hAnsi="Times New Roman" w:cs="Times New Roman"/>
                <w:color w:val="auto"/>
                <w:sz w:val="24"/>
              </w:rPr>
              <w:t>00小时，厂内</w:t>
            </w:r>
            <w:r>
              <w:rPr>
                <w:rFonts w:hint="eastAsia" w:cs="Times New Roman"/>
                <w:color w:val="auto"/>
                <w:sz w:val="24"/>
                <w:lang w:eastAsia="zh-CN"/>
              </w:rPr>
              <w:t>不</w:t>
            </w:r>
            <w:r>
              <w:rPr>
                <w:rFonts w:hint="default" w:ascii="Times New Roman" w:hAnsi="Times New Roman" w:cs="Times New Roman"/>
                <w:color w:val="auto"/>
                <w:sz w:val="24"/>
              </w:rPr>
              <w:t>设</w:t>
            </w:r>
            <w:r>
              <w:rPr>
                <w:rFonts w:hint="eastAsia" w:cs="Times New Roman"/>
                <w:color w:val="auto"/>
                <w:sz w:val="24"/>
                <w:lang w:eastAsia="zh-CN"/>
              </w:rPr>
              <w:t>食堂、</w:t>
            </w:r>
            <w:r>
              <w:rPr>
                <w:rFonts w:hint="default" w:ascii="Times New Roman" w:hAnsi="Times New Roman" w:cs="Times New Roman"/>
                <w:color w:val="auto"/>
                <w:sz w:val="24"/>
                <w:lang w:val="en-US" w:eastAsia="zh-CN"/>
              </w:rPr>
              <w:t>浴室及宿舍</w:t>
            </w:r>
            <w:r>
              <w:rPr>
                <w:rFonts w:hint="default" w:ascii="Times New Roman" w:hAnsi="Times New Roman" w:cs="Times New Roman"/>
                <w:color w:val="auto"/>
                <w:sz w:val="24"/>
              </w:rPr>
              <w:t>。</w:t>
            </w:r>
          </w:p>
          <w:p>
            <w:pPr>
              <w:adjustRightInd w:val="0"/>
              <w:snapToGrid w:val="0"/>
              <w:spacing w:line="500" w:lineRule="exact"/>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8</w:t>
            </w:r>
            <w:r>
              <w:rPr>
                <w:rFonts w:hint="default" w:ascii="Times New Roman" w:hAnsi="Times New Roman" w:cs="Times New Roman"/>
                <w:b/>
                <w:color w:val="auto"/>
                <w:sz w:val="24"/>
              </w:rPr>
              <w:t>、厂区平面布置</w:t>
            </w:r>
          </w:p>
          <w:p>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厂区</w:t>
            </w:r>
            <w:r>
              <w:rPr>
                <w:rFonts w:hint="eastAsia" w:cs="Times New Roman"/>
                <w:color w:val="auto"/>
                <w:sz w:val="24"/>
                <w:lang w:val="en-US" w:eastAsia="zh-CN"/>
              </w:rPr>
              <w:t>位于</w:t>
            </w:r>
            <w:r>
              <w:rPr>
                <w:rFonts w:hint="eastAsia" w:cs="Times New Roman"/>
                <w:color w:val="auto"/>
                <w:sz w:val="24"/>
                <w:lang w:eastAsia="zh-CN"/>
              </w:rPr>
              <w:t>常州市金坛区金城镇红山路33号</w:t>
            </w:r>
            <w:r>
              <w:rPr>
                <w:rFonts w:hint="default" w:ascii="Times New Roman" w:hAnsi="Times New Roman" w:cs="Times New Roman"/>
                <w:color w:val="auto"/>
                <w:sz w:val="24"/>
                <w:lang w:val="en-US" w:eastAsia="zh-CN"/>
              </w:rPr>
              <w:t>，</w:t>
            </w:r>
            <w:r>
              <w:rPr>
                <w:rFonts w:hint="eastAsia" w:cs="Times New Roman"/>
                <w:color w:val="auto"/>
                <w:sz w:val="24"/>
                <w:lang w:val="en-US" w:eastAsia="zh-CN"/>
              </w:rPr>
              <w:t>车间一位于</w:t>
            </w:r>
            <w:r>
              <w:rPr>
                <w:rFonts w:hint="default" w:ascii="Times New Roman" w:hAnsi="Times New Roman" w:cs="Times New Roman"/>
                <w:color w:val="auto"/>
                <w:sz w:val="24"/>
                <w:lang w:val="en-US" w:eastAsia="zh-CN"/>
              </w:rPr>
              <w:t>厂区</w:t>
            </w:r>
            <w:r>
              <w:rPr>
                <w:rFonts w:hint="eastAsia" w:cs="Times New Roman"/>
                <w:color w:val="auto"/>
                <w:sz w:val="24"/>
                <w:lang w:val="en-US" w:eastAsia="zh-CN"/>
              </w:rPr>
              <w:t>南侧</w:t>
            </w:r>
            <w:r>
              <w:rPr>
                <w:rFonts w:hint="default" w:ascii="Times New Roman" w:hAnsi="Times New Roman" w:cs="Times New Roman"/>
                <w:color w:val="auto"/>
                <w:sz w:val="24"/>
                <w:lang w:val="en-US" w:eastAsia="zh-CN"/>
              </w:rPr>
              <w:t>，</w:t>
            </w:r>
            <w:r>
              <w:rPr>
                <w:rFonts w:hint="eastAsia" w:cs="Times New Roman"/>
                <w:color w:val="auto"/>
                <w:sz w:val="24"/>
                <w:lang w:val="en-US" w:eastAsia="zh-CN"/>
              </w:rPr>
              <w:t>车间二</w:t>
            </w:r>
            <w:r>
              <w:rPr>
                <w:rFonts w:hint="default" w:ascii="Times New Roman" w:hAnsi="Times New Roman" w:cs="Times New Roman"/>
                <w:color w:val="auto"/>
                <w:sz w:val="24"/>
                <w:lang w:val="en-US" w:eastAsia="zh-CN"/>
              </w:rPr>
              <w:t>位于厂区</w:t>
            </w:r>
            <w:r>
              <w:rPr>
                <w:rFonts w:hint="eastAsia" w:cs="Times New Roman"/>
                <w:color w:val="auto"/>
                <w:sz w:val="24"/>
                <w:lang w:val="en-US" w:eastAsia="zh-CN"/>
              </w:rPr>
              <w:t>北侧</w:t>
            </w:r>
            <w:r>
              <w:rPr>
                <w:rFonts w:hint="default" w:ascii="Times New Roman" w:hAnsi="Times New Roman" w:cs="Times New Roman"/>
                <w:color w:val="auto"/>
                <w:sz w:val="24"/>
                <w:lang w:val="en-US" w:eastAsia="zh-CN"/>
              </w:rPr>
              <w:t>，本项目</w:t>
            </w:r>
            <w:r>
              <w:rPr>
                <w:rFonts w:hint="eastAsia" w:cs="Times New Roman"/>
                <w:color w:val="auto"/>
                <w:sz w:val="24"/>
                <w:lang w:val="en-US" w:eastAsia="zh-CN"/>
              </w:rPr>
              <w:t>新增设备均</w:t>
            </w:r>
            <w:r>
              <w:rPr>
                <w:rFonts w:hint="default" w:ascii="Times New Roman" w:hAnsi="Times New Roman" w:cs="Times New Roman"/>
                <w:color w:val="auto"/>
                <w:sz w:val="24"/>
                <w:lang w:val="en-US" w:eastAsia="zh-CN"/>
              </w:rPr>
              <w:t>位于</w:t>
            </w:r>
            <w:r>
              <w:rPr>
                <w:rFonts w:hint="eastAsia" w:cs="Times New Roman"/>
                <w:color w:val="auto"/>
                <w:sz w:val="24"/>
                <w:lang w:val="en-US" w:eastAsia="zh-CN"/>
              </w:rPr>
              <w:t>车间二</w:t>
            </w:r>
            <w:r>
              <w:rPr>
                <w:rFonts w:hint="default" w:ascii="Times New Roman" w:hAnsi="Times New Roman" w:cs="Times New Roman"/>
                <w:color w:val="auto"/>
                <w:sz w:val="24"/>
                <w:lang w:val="en-US" w:eastAsia="zh-CN"/>
              </w:rPr>
              <w:t>。项目</w:t>
            </w:r>
            <w:r>
              <w:rPr>
                <w:rFonts w:hint="eastAsia" w:cs="Times New Roman"/>
                <w:color w:val="auto"/>
                <w:sz w:val="24"/>
                <w:lang w:val="en-US" w:eastAsia="zh-CN"/>
              </w:rPr>
              <w:t>厂区</w:t>
            </w:r>
            <w:r>
              <w:rPr>
                <w:rFonts w:hint="default" w:ascii="Times New Roman" w:hAnsi="Times New Roman" w:cs="Times New Roman"/>
                <w:color w:val="auto"/>
                <w:sz w:val="24"/>
                <w:lang w:val="en-US" w:eastAsia="zh-CN"/>
              </w:rPr>
              <w:t>平面布置图详见</w:t>
            </w:r>
            <w:r>
              <w:rPr>
                <w:rFonts w:hint="default" w:ascii="Times New Roman" w:hAnsi="Times New Roman" w:cs="Times New Roman"/>
                <w:color w:val="auto"/>
                <w:sz w:val="24"/>
                <w:highlight w:val="none"/>
                <w:lang w:val="en-US" w:eastAsia="zh-CN"/>
              </w:rPr>
              <w:t>附图3。</w:t>
            </w:r>
          </w:p>
          <w:p>
            <w:pPr>
              <w:adjustRightInd w:val="0"/>
              <w:snapToGrid w:val="0"/>
              <w:spacing w:line="500" w:lineRule="exact"/>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9、厂区周围概况</w:t>
            </w:r>
          </w:p>
          <w:p>
            <w:pPr>
              <w:spacing w:line="500" w:lineRule="exact"/>
              <w:ind w:firstLine="480" w:firstLineChars="200"/>
              <w:rPr>
                <w:rFonts w:hint="default" w:ascii="Times New Roman" w:hAnsi="Times New Roman" w:eastAsia="宋体" w:cs="Times New Roman"/>
                <w:color w:val="auto"/>
                <w:sz w:val="24"/>
                <w:szCs w:val="22"/>
                <w:lang w:val="en-US" w:eastAsia="zh-CN"/>
              </w:rPr>
            </w:pPr>
            <w:r>
              <w:rPr>
                <w:rFonts w:hint="eastAsia" w:cs="Times New Roman"/>
                <w:color w:val="auto"/>
                <w:sz w:val="24"/>
                <w:szCs w:val="22"/>
                <w:lang w:val="en-US" w:eastAsia="zh-CN"/>
              </w:rPr>
              <w:t>本</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eastAsia="zh-CN"/>
              </w:rPr>
              <w:t>位</w:t>
            </w:r>
            <w:r>
              <w:rPr>
                <w:rFonts w:hint="default" w:ascii="Times New Roman" w:hAnsi="Times New Roman" w:eastAsia="宋体" w:cs="Times New Roman"/>
                <w:color w:val="auto"/>
                <w:sz w:val="24"/>
                <w:szCs w:val="24"/>
              </w:rPr>
              <w:t>于</w:t>
            </w:r>
            <w:r>
              <w:rPr>
                <w:rFonts w:hint="eastAsia" w:cs="Times New Roman"/>
                <w:color w:val="auto"/>
                <w:sz w:val="24"/>
                <w:szCs w:val="24"/>
                <w:lang w:eastAsia="zh-CN"/>
              </w:rPr>
              <w:t>常州市金坛区金城镇红山路33号</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厂区</w:t>
            </w:r>
            <w:r>
              <w:rPr>
                <w:rFonts w:hint="eastAsia" w:ascii="宋体" w:hAnsi="宋体" w:cs="宋体"/>
                <w:color w:val="auto"/>
                <w:sz w:val="24"/>
                <w:szCs w:val="24"/>
                <w:lang w:eastAsia="zh-CN"/>
              </w:rPr>
              <w:t>东侧为协成(江苏)安全护栏有限公司，南侧为</w:t>
            </w:r>
            <w:r>
              <w:rPr>
                <w:rFonts w:hint="eastAsia" w:cs="Times New Roman"/>
                <w:color w:val="auto"/>
                <w:sz w:val="24"/>
                <w:szCs w:val="24"/>
                <w:lang w:eastAsia="zh-CN"/>
              </w:rPr>
              <w:t>红山路</w:t>
            </w:r>
            <w:r>
              <w:rPr>
                <w:rFonts w:hint="eastAsia" w:ascii="宋体" w:hAnsi="宋体" w:cs="宋体"/>
                <w:color w:val="auto"/>
                <w:sz w:val="24"/>
                <w:szCs w:val="24"/>
                <w:lang w:eastAsia="zh-CN"/>
              </w:rPr>
              <w:t>，西侧为</w:t>
            </w:r>
            <w:r>
              <w:rPr>
                <w:rFonts w:hint="eastAsia" w:ascii="宋体" w:hAnsi="宋体" w:cs="宋体"/>
                <w:color w:val="auto"/>
                <w:sz w:val="24"/>
                <w:szCs w:val="24"/>
                <w:lang w:val="en-US" w:eastAsia="zh-CN"/>
              </w:rPr>
              <w:t>元巷</w:t>
            </w:r>
            <w:r>
              <w:rPr>
                <w:rFonts w:hint="eastAsia" w:ascii="宋体" w:hAnsi="宋体" w:cs="宋体"/>
                <w:color w:val="auto"/>
                <w:sz w:val="24"/>
                <w:szCs w:val="24"/>
                <w:lang w:eastAsia="zh-CN"/>
              </w:rPr>
              <w:t>公交站，北侧为易成电力器材有限公司</w:t>
            </w:r>
            <w:r>
              <w:rPr>
                <w:rFonts w:hint="eastAsia" w:ascii="Times New Roman" w:hAnsi="Times New Roman" w:eastAsia="宋体" w:cs="Times New Roman"/>
                <w:color w:val="auto"/>
                <w:sz w:val="24"/>
                <w:szCs w:val="24"/>
                <w:lang w:val="en-US" w:eastAsia="zh-CN"/>
              </w:rPr>
              <w:t>。本项目周边</w:t>
            </w:r>
            <w:r>
              <w:rPr>
                <w:rFonts w:hint="default" w:ascii="Times New Roman" w:hAnsi="Times New Roman" w:eastAsia="宋体" w:cs="Times New Roman"/>
                <w:color w:val="auto"/>
                <w:sz w:val="24"/>
                <w:szCs w:val="24"/>
                <w:lang w:val="en-US" w:eastAsia="zh-CN"/>
              </w:rPr>
              <w:t>500</w:t>
            </w:r>
            <w:r>
              <w:rPr>
                <w:rFonts w:hint="eastAsia" w:ascii="Times New Roman" w:hAnsi="Times New Roman" w:eastAsia="宋体" w:cs="Times New Roman"/>
                <w:color w:val="auto"/>
                <w:sz w:val="24"/>
                <w:szCs w:val="24"/>
                <w:lang w:val="en-US" w:eastAsia="zh-CN"/>
              </w:rPr>
              <w:t>米范围土地利用现状见附图</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4" w:hRule="atLeast"/>
        </w:trPr>
        <w:tc>
          <w:tcPr>
            <w:tcW w:w="777" w:type="dxa"/>
            <w:vAlign w:val="center"/>
          </w:tcPr>
          <w:p>
            <w:pPr>
              <w:pStyle w:val="25"/>
              <w:adjustRightInd w:val="0"/>
              <w:snapToGrid w:val="0"/>
              <w:spacing w:before="0" w:beforeAutospacing="0" w:after="0" w:afterAutospacing="0"/>
              <w:jc w:val="center"/>
              <w:rPr>
                <w:rFonts w:hint="default" w:ascii="Times New Roman" w:hAnsi="Times New Roman" w:cs="Times New Roman"/>
                <w:color w:val="auto"/>
                <w:szCs w:val="24"/>
              </w:rPr>
            </w:pPr>
            <w:r>
              <w:rPr>
                <w:rFonts w:hint="default" w:ascii="Times New Roman" w:hAnsi="Times New Roman" w:cs="Times New Roman"/>
                <w:color w:val="auto"/>
                <w:szCs w:val="24"/>
              </w:rPr>
              <w:t>工艺流程和产排污环节</w:t>
            </w:r>
          </w:p>
        </w:tc>
        <w:tc>
          <w:tcPr>
            <w:tcW w:w="8283" w:type="dxa"/>
          </w:tcPr>
          <w:p>
            <w:pPr>
              <w:adjustRightInd w:val="0"/>
              <w:snapToGrid w:val="0"/>
              <w:spacing w:line="500" w:lineRule="exact"/>
              <w:ind w:firstLine="480" w:firstLineChars="200"/>
              <w:rPr>
                <w:rFonts w:hint="eastAsia" w:cs="Times New Roman"/>
                <w:b w:val="0"/>
                <w:bCs w:val="0"/>
                <w:color w:val="auto"/>
                <w:sz w:val="24"/>
                <w:lang w:eastAsia="zh-CN"/>
              </w:rPr>
            </w:pPr>
            <w:r>
              <w:rPr>
                <w:rFonts w:hint="eastAsia" w:cs="Times New Roman"/>
                <w:b w:val="0"/>
                <w:bCs w:val="0"/>
                <w:color w:val="auto"/>
                <w:sz w:val="24"/>
                <w:lang w:eastAsia="zh-CN"/>
              </w:rPr>
              <w:t>本项目建成后全厂产品主要为地毯和</w:t>
            </w:r>
            <w:r>
              <w:rPr>
                <w:rFonts w:hint="eastAsia" w:ascii="Times New Roman" w:hAnsi="Times New Roman" w:eastAsia="宋体" w:cs="Times New Roman"/>
                <w:color w:val="auto"/>
                <w:sz w:val="24"/>
                <w:szCs w:val="24"/>
                <w:highlight w:val="none"/>
                <w:lang w:val="en-US" w:eastAsia="zh-CN"/>
              </w:rPr>
              <w:t>备胎盖</w:t>
            </w:r>
            <w:r>
              <w:rPr>
                <w:rFonts w:hint="eastAsia" w:cs="Times New Roman"/>
                <w:b w:val="0"/>
                <w:bCs w:val="0"/>
                <w:color w:val="auto"/>
                <w:sz w:val="24"/>
                <w:lang w:eastAsia="zh-CN"/>
              </w:rPr>
              <w:t>。</w:t>
            </w:r>
          </w:p>
          <w:p>
            <w:pPr>
              <w:adjustRightInd w:val="0"/>
              <w:snapToGrid w:val="0"/>
              <w:spacing w:line="500" w:lineRule="exact"/>
              <w:ind w:firstLine="482" w:firstLineChars="200"/>
              <w:rPr>
                <w:rFonts w:hint="eastAsia" w:eastAsia="宋体" w:cs="Times New Roman"/>
                <w:b/>
                <w:bCs/>
                <w:color w:val="auto"/>
                <w:sz w:val="24"/>
                <w:lang w:val="en-US" w:eastAsia="zh-CN"/>
              </w:rPr>
            </w:pPr>
            <w:r>
              <w:rPr>
                <w:rFonts w:hint="eastAsia" w:cs="Times New Roman"/>
                <w:b/>
                <w:bCs/>
                <w:color w:val="auto"/>
                <w:sz w:val="24"/>
                <w:lang w:val="en-US" w:eastAsia="zh-CN"/>
              </w:rPr>
              <w:t>1、地毯生产</w:t>
            </w:r>
          </w:p>
          <w:p>
            <w:pPr>
              <w:adjustRightInd w:val="0"/>
              <w:snapToGrid w:val="0"/>
              <w:spacing w:line="500" w:lineRule="exact"/>
              <w:ind w:firstLine="480" w:firstLineChars="200"/>
              <w:rPr>
                <w:rFonts w:hint="eastAsia" w:ascii="Times New Roman" w:hAnsi="Times New Roman" w:eastAsia="宋体" w:cs="Times New Roman"/>
                <w:b w:val="0"/>
                <w:bCs w:val="0"/>
                <w:color w:val="auto"/>
                <w:sz w:val="24"/>
                <w:lang w:eastAsia="zh-CN"/>
              </w:rPr>
            </w:pPr>
            <w:r>
              <w:rPr>
                <w:rFonts w:hint="eastAsia" w:cs="Times New Roman"/>
                <w:b w:val="0"/>
                <w:bCs w:val="0"/>
                <w:color w:val="auto"/>
                <w:sz w:val="24"/>
                <w:lang w:eastAsia="zh-CN"/>
              </w:rPr>
              <w:t>本次对地毯生产进行技术改造，增加发泡工段，同时新增地毯产能。</w:t>
            </w:r>
          </w:p>
          <w:p>
            <w:pPr>
              <w:pStyle w:val="12"/>
              <w:numPr>
                <w:ilvl w:val="0"/>
                <w:numId w:val="0"/>
              </w:numPr>
              <w:ind w:right="113" w:rightChars="0"/>
              <w:jc w:val="center"/>
              <w:rPr>
                <w:rFonts w:hint="default" w:eastAsia="宋体"/>
                <w:lang w:val="en-US" w:eastAsia="zh-CN"/>
              </w:rPr>
            </w:pPr>
            <w:r>
              <w:drawing>
                <wp:inline distT="0" distB="0" distL="114300" distR="114300">
                  <wp:extent cx="3246120" cy="3665220"/>
                  <wp:effectExtent l="0" t="0" r="0"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3246120" cy="3665220"/>
                          </a:xfrm>
                          <a:prstGeom prst="rect">
                            <a:avLst/>
                          </a:prstGeom>
                          <a:noFill/>
                          <a:ln>
                            <a:noFill/>
                          </a:ln>
                        </pic:spPr>
                      </pic:pic>
                    </a:graphicData>
                  </a:graphic>
                </wp:inline>
              </w:drawing>
            </w:r>
          </w:p>
          <w:p>
            <w:pPr>
              <w:pStyle w:val="13"/>
              <w:keepNext w:val="0"/>
              <w:keepLines w:val="0"/>
              <w:pageBreakBefore w:val="0"/>
              <w:widowControl w:val="0"/>
              <w:kinsoku/>
              <w:wordWrap/>
              <w:overflowPunct/>
              <w:topLinePunct w:val="0"/>
              <w:autoSpaceDE/>
              <w:autoSpaceDN/>
              <w:bidi w:val="0"/>
              <w:adjustRightInd w:val="0"/>
              <w:snapToGrid w:val="0"/>
              <w:spacing w:before="120" w:after="0" w:line="240" w:lineRule="auto"/>
              <w:ind w:left="0" w:leftChars="0" w:right="0" w:rightChars="0"/>
              <w:jc w:val="center"/>
              <w:textAlignment w:val="auto"/>
              <w:rPr>
                <w:rFonts w:hint="default" w:ascii="Times New Roman" w:hAnsi="Times New Roman" w:eastAsia="宋体" w:cs="Times New Roman"/>
                <w:b/>
                <w:color w:val="auto"/>
                <w:sz w:val="21"/>
                <w:szCs w:val="21"/>
                <w:highlight w:val="none"/>
                <w:lang w:val="en-US" w:eastAsia="zh-CN"/>
              </w:rPr>
            </w:pPr>
            <w:r>
              <w:drawing>
                <wp:inline distT="0" distB="0" distL="114300" distR="114300">
                  <wp:extent cx="0" cy="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6"/>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7"/>
                          <a:stretch>
                            <a:fillRect/>
                          </a:stretch>
                        </pic:blipFill>
                        <pic:spPr>
                          <a:xfrm>
                            <a:off x="0" y="0"/>
                            <a:ext cx="0" cy="0"/>
                          </a:xfrm>
                          <a:prstGeom prst="rect">
                            <a:avLst/>
                          </a:prstGeom>
                          <a:noFill/>
                          <a:ln>
                            <a:noFill/>
                          </a:ln>
                        </pic:spPr>
                      </pic:pic>
                    </a:graphicData>
                  </a:graphic>
                </wp:inline>
              </w:drawing>
            </w:r>
            <w:r>
              <w:rPr>
                <w:rFonts w:hint="default" w:ascii="Times New Roman" w:hAnsi="Times New Roman" w:eastAsia="宋体" w:cs="Times New Roman"/>
                <w:b/>
                <w:color w:val="auto"/>
                <w:sz w:val="21"/>
                <w:szCs w:val="21"/>
                <w:highlight w:val="none"/>
                <w:lang w:val="en-US" w:eastAsia="zh-CN"/>
              </w:rPr>
              <w:t>图</w:t>
            </w:r>
            <w:r>
              <w:rPr>
                <w:rFonts w:hint="eastAsia"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lang w:val="en-US" w:eastAsia="zh-CN"/>
              </w:rPr>
              <w:t xml:space="preserve">  </w:t>
            </w:r>
            <w:r>
              <w:rPr>
                <w:rFonts w:hint="eastAsia" w:cs="Times New Roman"/>
                <w:b/>
                <w:color w:val="auto"/>
                <w:sz w:val="21"/>
                <w:szCs w:val="21"/>
                <w:highlight w:val="none"/>
                <w:lang w:val="en-US" w:eastAsia="zh-CN"/>
              </w:rPr>
              <w:t>项目</w:t>
            </w:r>
            <w:r>
              <w:rPr>
                <w:rFonts w:hint="eastAsia" w:ascii="Times New Roman" w:hAnsi="Times New Roman" w:eastAsia="宋体" w:cs="Times New Roman"/>
                <w:b/>
                <w:color w:val="auto"/>
                <w:sz w:val="21"/>
                <w:szCs w:val="21"/>
                <w:highlight w:val="none"/>
                <w:lang w:val="en-US" w:eastAsia="zh-CN"/>
              </w:rPr>
              <w:t>地毯</w:t>
            </w:r>
            <w:r>
              <w:rPr>
                <w:rFonts w:hint="default" w:ascii="Times New Roman" w:hAnsi="Times New Roman" w:eastAsia="宋体" w:cs="Times New Roman"/>
                <w:b/>
                <w:color w:val="auto"/>
                <w:sz w:val="21"/>
                <w:szCs w:val="21"/>
                <w:highlight w:val="none"/>
                <w:lang w:val="en-US" w:eastAsia="zh-CN"/>
              </w:rPr>
              <w:t>生产工艺流程及产污环节图</w:t>
            </w:r>
          </w:p>
          <w:p>
            <w:pPr>
              <w:pStyle w:val="13"/>
              <w:adjustRightInd w:val="0"/>
              <w:snapToGrid w:val="0"/>
              <w:spacing w:after="0" w:line="500" w:lineRule="exact"/>
              <w:ind w:left="0" w:leftChars="0" w:right="0" w:rightChars="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工艺流程说明：</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default"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（1）预烘：将外购的针刺面料放入烘箱（电加热）预烘1分钟，去除原料中的水分，加热温度约80℃。预烘过程主要产生少量水蒸气。</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热压:将预烘后的若干层针刺面料放入液压机模具中热压成型。PET面料在高频电场的作用下，其分子结构产生极化现象而产生热量，在压力作用下达到软化目的，软化后的针刺面料叠加粘合于一体。通常时间一般控制在60s，温度控制为180℃左右。热压过程产生少量有机废气（</w:t>
            </w:r>
            <w:r>
              <w:rPr>
                <w:rFonts w:hint="default" w:ascii="Times New Roman" w:hAnsi="Times New Roman" w:eastAsia="宋体" w:cs="Times New Roman"/>
                <w:sz w:val="24"/>
                <w:szCs w:val="24"/>
                <w:highlight w:val="none"/>
                <w:lang w:val="en-US" w:eastAsia="zh-CN"/>
              </w:rPr>
              <w:t>G1</w:t>
            </w:r>
            <w:r>
              <w:rPr>
                <w:rFonts w:hint="eastAsia" w:cs="Times New Roman"/>
                <w:sz w:val="24"/>
                <w:szCs w:val="24"/>
                <w:highlight w:val="none"/>
                <w:lang w:val="en-US" w:eastAsia="zh-CN"/>
              </w:rPr>
              <w:t>-1</w:t>
            </w:r>
            <w:r>
              <w:rPr>
                <w:rFonts w:hint="eastAsia" w:cs="Times New Roman"/>
                <w:b w:val="0"/>
                <w:bCs w:val="0"/>
                <w:color w:val="auto"/>
                <w:kern w:val="2"/>
                <w:sz w:val="24"/>
                <w:szCs w:val="24"/>
                <w:lang w:val="en-US" w:eastAsia="zh-CN" w:bidi="ar-SA"/>
              </w:rPr>
              <w:t>）。</w:t>
            </w:r>
          </w:p>
          <w:p>
            <w:pPr>
              <w:keepNext w:val="0"/>
              <w:keepLines w:val="0"/>
              <w:pageBreakBefore w:val="0"/>
              <w:widowControl w:val="0"/>
              <w:tabs>
                <w:tab w:val="left" w:pos="2846"/>
                <w:tab w:val="left" w:pos="4382"/>
                <w:tab w:val="left" w:pos="4451"/>
                <w:tab w:val="left" w:pos="6056"/>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混合：生产开始后，</w:t>
            </w:r>
            <w:r>
              <w:rPr>
                <w:rFonts w:hint="eastAsia" w:ascii="Times New Roman" w:hAnsi="Times New Roman" w:eastAsia="宋体" w:cs="Times New Roman"/>
                <w:kern w:val="2"/>
                <w:sz w:val="24"/>
                <w:szCs w:val="24"/>
                <w:lang w:val="en-US" w:eastAsia="zh-CN" w:bidi="ar-SA"/>
              </w:rPr>
              <w:t>发泡A料（聚醚多元醇、聚合物多元醇</w:t>
            </w:r>
            <w:r>
              <w:rPr>
                <w:rFonts w:hint="eastAsia" w:cs="Times New Roman"/>
                <w:kern w:val="2"/>
                <w:sz w:val="24"/>
                <w:szCs w:val="24"/>
                <w:lang w:val="en-US" w:eastAsia="zh-CN" w:bidi="ar-SA"/>
              </w:rPr>
              <w:t>、水</w:t>
            </w:r>
            <w:r>
              <w:rPr>
                <w:rFonts w:hint="eastAsia" w:ascii="Times New Roman" w:hAnsi="Times New Roman" w:eastAsia="宋体" w:cs="Times New Roman"/>
                <w:kern w:val="2"/>
                <w:sz w:val="24"/>
                <w:szCs w:val="24"/>
                <w:lang w:val="en-US" w:eastAsia="zh-CN" w:bidi="ar-SA"/>
              </w:rPr>
              <w:t>）、发泡B料（改性MDI）</w:t>
            </w:r>
            <w:r>
              <w:rPr>
                <w:rFonts w:hint="default" w:ascii="Times New Roman" w:hAnsi="Times New Roman" w:eastAsia="宋体" w:cs="Times New Roman"/>
                <w:sz w:val="24"/>
                <w:szCs w:val="24"/>
                <w:highlight w:val="none"/>
                <w:lang w:val="en-US" w:eastAsia="zh-CN"/>
              </w:rPr>
              <w:t>经密封管道输送至发泡机的混合头高速旋流混合。在常温常压下，高速搅拌约10s，混合头内的物料迅速混合均匀。混合过程产生少量废气（G</w:t>
            </w:r>
            <w:r>
              <w:rPr>
                <w:rFonts w:hint="eastAsia"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），高速混匀全程密闭，所产生的废气无法排出，将在后续</w:t>
            </w:r>
            <w:r>
              <w:rPr>
                <w:rFonts w:hint="eastAsia" w:ascii="Times New Roman" w:hAnsi="Times New Roman" w:eastAsia="宋体" w:cs="Times New Roman"/>
                <w:sz w:val="24"/>
                <w:szCs w:val="24"/>
                <w:highlight w:val="none"/>
                <w:lang w:val="en-US" w:eastAsia="zh-CN"/>
              </w:rPr>
              <w:t>发泡</w:t>
            </w:r>
            <w:r>
              <w:rPr>
                <w:rFonts w:hint="default" w:ascii="Times New Roman" w:hAnsi="Times New Roman" w:eastAsia="宋体" w:cs="Times New Roman"/>
                <w:sz w:val="24"/>
                <w:szCs w:val="24"/>
                <w:highlight w:val="none"/>
                <w:lang w:val="en-US" w:eastAsia="zh-CN"/>
              </w:rPr>
              <w:t xml:space="preserve">过程排放。 </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z w:val="24"/>
                <w:szCs w:val="24"/>
                <w:highlight w:val="none"/>
                <w:lang w:val="en-US"/>
              </w:rPr>
            </w:pPr>
            <w:r>
              <w:rPr>
                <w:rFonts w:hint="eastAsia" w:cs="Times New Roman"/>
                <w:sz w:val="24"/>
                <w:szCs w:val="24"/>
                <w:highlight w:val="none"/>
                <w:lang w:val="en-US" w:eastAsia="zh-CN"/>
              </w:rPr>
              <w:t>（4）</w:t>
            </w:r>
            <w:r>
              <w:rPr>
                <w:rFonts w:hint="eastAsia" w:ascii="Times New Roman" w:hAnsi="Times New Roman" w:eastAsia="宋体" w:cs="Times New Roman"/>
                <w:sz w:val="24"/>
                <w:szCs w:val="24"/>
                <w:highlight w:val="none"/>
                <w:lang w:val="en-US" w:eastAsia="zh-CN"/>
              </w:rPr>
              <w:t>发泡</w:t>
            </w:r>
            <w:r>
              <w:rPr>
                <w:rFonts w:hint="default" w:ascii="Times New Roman" w:hAnsi="Times New Roman" w:eastAsia="宋体" w:cs="Times New Roman"/>
                <w:sz w:val="24"/>
                <w:szCs w:val="24"/>
                <w:highlight w:val="none"/>
                <w:lang w:val="en-US" w:eastAsia="zh-CN"/>
              </w:rPr>
              <w:t>：</w:t>
            </w:r>
            <w:r>
              <w:rPr>
                <w:rFonts w:hint="eastAsia" w:cs="Times New Roman"/>
                <w:b w:val="0"/>
                <w:bCs w:val="0"/>
                <w:color w:val="auto"/>
                <w:kern w:val="2"/>
                <w:sz w:val="24"/>
                <w:szCs w:val="24"/>
                <w:lang w:val="en-US" w:eastAsia="zh-CN" w:bidi="ar-SA"/>
              </w:rPr>
              <w:t>将成型的</w:t>
            </w:r>
            <w:r>
              <w:rPr>
                <w:rFonts w:hint="eastAsia" w:ascii="Times New Roman" w:hAnsi="Times New Roman" w:eastAsia="宋体" w:cs="Times New Roman"/>
                <w:kern w:val="2"/>
                <w:sz w:val="24"/>
                <w:szCs w:val="24"/>
                <w:lang w:val="en-US" w:eastAsia="zh-CN" w:bidi="ar-SA"/>
              </w:rPr>
              <w:t>针刺面料放入发泡模具中，并将脱模剂均匀</w:t>
            </w:r>
            <w:r>
              <w:rPr>
                <w:rFonts w:hint="eastAsia" w:cs="Times New Roman"/>
                <w:kern w:val="2"/>
                <w:sz w:val="24"/>
                <w:szCs w:val="24"/>
                <w:lang w:val="en-US" w:eastAsia="zh-CN" w:bidi="ar-SA"/>
              </w:rPr>
              <w:t>喷涂</w:t>
            </w:r>
            <w:r>
              <w:rPr>
                <w:rFonts w:hint="eastAsia" w:ascii="Times New Roman" w:hAnsi="Times New Roman" w:eastAsia="宋体" w:cs="Times New Roman"/>
                <w:kern w:val="2"/>
                <w:sz w:val="24"/>
                <w:szCs w:val="24"/>
                <w:lang w:val="en-US" w:eastAsia="zh-CN" w:bidi="ar-SA"/>
              </w:rPr>
              <w:t>在模具四周，关闭模具，</w:t>
            </w:r>
            <w:r>
              <w:rPr>
                <w:rFonts w:hint="eastAsia" w:cs="Times New Roman"/>
                <w:kern w:val="2"/>
                <w:sz w:val="24"/>
                <w:szCs w:val="24"/>
                <w:lang w:val="en-US" w:eastAsia="zh-CN" w:bidi="ar-SA"/>
              </w:rPr>
              <w:t>喷</w:t>
            </w:r>
            <w:r>
              <w:rPr>
                <w:rFonts w:hint="eastAsia" w:ascii="Times New Roman" w:hAnsi="Times New Roman" w:eastAsia="宋体" w:cs="Times New Roman"/>
                <w:kern w:val="2"/>
                <w:sz w:val="24"/>
                <w:szCs w:val="24"/>
                <w:lang w:val="en-US" w:eastAsia="zh-CN" w:bidi="ar-SA"/>
              </w:rPr>
              <w:t>脱模剂过程产生少量废气</w:t>
            </w:r>
            <w:r>
              <w:rPr>
                <w:rFonts w:hint="default" w:ascii="Times New Roman" w:hAnsi="Times New Roman" w:eastAsia="宋体" w:cs="Times New Roman"/>
                <w:sz w:val="24"/>
                <w:szCs w:val="24"/>
                <w:highlight w:val="none"/>
                <w:lang w:val="en-US" w:eastAsia="zh-CN"/>
              </w:rPr>
              <w:t>（G</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3）</w:t>
            </w:r>
            <w:r>
              <w:rPr>
                <w:rFonts w:hint="eastAsia" w:ascii="Times New Roman" w:hAnsi="Times New Roman" w:eastAsia="宋体" w:cs="Times New Roman"/>
                <w:kern w:val="2"/>
                <w:sz w:val="24"/>
                <w:szCs w:val="24"/>
                <w:lang w:val="en-US" w:eastAsia="zh-CN" w:bidi="ar-SA"/>
              </w:rPr>
              <w:t>。将</w:t>
            </w:r>
            <w:r>
              <w:rPr>
                <w:rFonts w:hint="default" w:ascii="Times New Roman" w:hAnsi="Times New Roman" w:eastAsia="宋体" w:cs="Times New Roman"/>
                <w:sz w:val="24"/>
                <w:szCs w:val="24"/>
                <w:highlight w:val="none"/>
                <w:lang w:val="en-US" w:eastAsia="zh-CN"/>
              </w:rPr>
              <w:t>混合均匀的A料和B料通过</w:t>
            </w:r>
            <w:r>
              <w:rPr>
                <w:rFonts w:hint="eastAsia" w:cs="Times New Roman"/>
                <w:sz w:val="24"/>
                <w:szCs w:val="24"/>
                <w:highlight w:val="none"/>
                <w:lang w:val="en-US" w:eastAsia="zh-CN"/>
              </w:rPr>
              <w:t>喷头</w:t>
            </w:r>
            <w:r>
              <w:rPr>
                <w:rFonts w:hint="default" w:ascii="Times New Roman" w:hAnsi="Times New Roman" w:eastAsia="宋体" w:cs="Times New Roman"/>
                <w:sz w:val="24"/>
                <w:szCs w:val="24"/>
                <w:highlight w:val="none"/>
                <w:lang w:val="en-US" w:eastAsia="zh-CN"/>
              </w:rPr>
              <w:t>注入</w:t>
            </w:r>
            <w:r>
              <w:rPr>
                <w:rFonts w:hint="eastAsia" w:ascii="Times New Roman" w:hAnsi="Times New Roman" w:eastAsia="宋体" w:cs="Times New Roman"/>
                <w:sz w:val="24"/>
                <w:szCs w:val="24"/>
                <w:highlight w:val="none"/>
                <w:lang w:val="en-US" w:eastAsia="zh-CN"/>
              </w:rPr>
              <w:t>模具中发泡</w:t>
            </w:r>
            <w:r>
              <w:rPr>
                <w:rFonts w:hint="default" w:ascii="Times New Roman" w:hAnsi="Times New Roman" w:eastAsia="宋体" w:cs="Times New Roman"/>
                <w:sz w:val="24"/>
                <w:szCs w:val="24"/>
                <w:highlight w:val="none"/>
                <w:lang w:val="en-US" w:eastAsia="zh-CN"/>
              </w:rPr>
              <w:t>。模具通过电加热模温机控制恒温在</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0°C左右，</w:t>
            </w:r>
            <w:r>
              <w:rPr>
                <w:rFonts w:hint="eastAsia" w:cs="Times New Roman"/>
                <w:b w:val="0"/>
                <w:bCs w:val="0"/>
                <w:color w:val="auto"/>
                <w:kern w:val="2"/>
                <w:sz w:val="24"/>
                <w:szCs w:val="24"/>
                <w:lang w:val="en-US" w:eastAsia="zh-CN" w:bidi="ar-SA"/>
              </w:rPr>
              <w:t>时间一般控制在2分钟。</w:t>
            </w:r>
            <w:r>
              <w:rPr>
                <w:rFonts w:hint="default" w:ascii="Times New Roman" w:hAnsi="Times New Roman" w:eastAsia="宋体" w:cs="Times New Roman"/>
                <w:sz w:val="24"/>
                <w:szCs w:val="24"/>
                <w:highlight w:val="none"/>
                <w:lang w:val="en-US" w:eastAsia="zh-CN"/>
              </w:rPr>
              <w:t>聚醚和异氰酸酯在组合后发生放热反应，生成聚氨酯和CO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，CO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从聚氨酯内部逸出形成鼓泡，聚氨酯泡沫形成，</w:t>
            </w:r>
            <w:r>
              <w:rPr>
                <w:rFonts w:hint="eastAsia" w:ascii="Times New Roman" w:hAnsi="Times New Roman" w:eastAsia="宋体" w:cs="Times New Roman"/>
                <w:sz w:val="24"/>
                <w:szCs w:val="24"/>
                <w:highlight w:val="none"/>
                <w:lang w:val="en-US" w:eastAsia="zh-CN"/>
              </w:rPr>
              <w:t>发泡</w:t>
            </w:r>
            <w:r>
              <w:rPr>
                <w:rFonts w:hint="default" w:ascii="Times New Roman" w:hAnsi="Times New Roman" w:eastAsia="宋体" w:cs="Times New Roman"/>
                <w:sz w:val="24"/>
                <w:szCs w:val="24"/>
                <w:highlight w:val="none"/>
                <w:lang w:val="en-US" w:eastAsia="zh-CN"/>
              </w:rPr>
              <w:t>过程产生大量废气（G</w:t>
            </w:r>
            <w:r>
              <w:rPr>
                <w:rFonts w:hint="eastAsia"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）。由于</w:t>
            </w:r>
            <w:r>
              <w:rPr>
                <w:rFonts w:hint="eastAsia" w:ascii="Times New Roman" w:hAnsi="Times New Roman" w:eastAsia="宋体" w:cs="Times New Roman"/>
                <w:sz w:val="24"/>
                <w:szCs w:val="24"/>
                <w:highlight w:val="none"/>
                <w:lang w:val="en-US" w:eastAsia="zh-CN"/>
              </w:rPr>
              <w:t>发泡</w:t>
            </w:r>
            <w:r>
              <w:rPr>
                <w:rFonts w:hint="default" w:ascii="Times New Roman" w:hAnsi="Times New Roman" w:eastAsia="宋体" w:cs="Times New Roman"/>
                <w:sz w:val="24"/>
                <w:szCs w:val="24"/>
                <w:highlight w:val="none"/>
                <w:lang w:val="en-US" w:eastAsia="zh-CN"/>
              </w:rPr>
              <w:t>过程在密闭的模具中进行，所产生的废气无法排出，将在后续脱模过程排放。</w:t>
            </w:r>
            <w:r>
              <w:rPr>
                <w:rFonts w:hint="eastAsia" w:cs="Times New Roman"/>
                <w:sz w:val="24"/>
                <w:szCs w:val="24"/>
                <w:highlight w:val="none"/>
                <w:lang w:val="en-US" w:eastAsia="zh-CN"/>
              </w:rPr>
              <w:t>喷头定期使用脱模剂清洗，清洗过程产生少量有机废气（G1-5）和少量清洗废液（S1-1）</w:t>
            </w:r>
            <w:r>
              <w:rPr>
                <w:rFonts w:hint="eastAsia" w:ascii="Times New Roman" w:hAnsi="Times New Roman" w:eastAsia="宋体" w:cs="Times New Roman"/>
                <w:kern w:val="2"/>
                <w:sz w:val="24"/>
                <w:szCs w:val="24"/>
                <w:lang w:val="en-US" w:eastAsia="zh-CN" w:bidi="ar-SA"/>
              </w:rPr>
              <w:t>。</w:t>
            </w:r>
          </w:p>
          <w:p>
            <w:pPr>
              <w:keepNext w:val="0"/>
              <w:keepLines w:val="0"/>
              <w:pageBreakBefore w:val="0"/>
              <w:widowControl w:val="0"/>
              <w:numPr>
                <w:ilvl w:val="0"/>
                <w:numId w:val="0"/>
              </w:numPr>
              <w:tabs>
                <w:tab w:val="left" w:pos="2846"/>
                <w:tab w:val="left" w:pos="4382"/>
                <w:tab w:val="left" w:pos="4451"/>
                <w:tab w:val="left" w:pos="6056"/>
              </w:tabs>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发泡</w:t>
            </w:r>
            <w:r>
              <w:rPr>
                <w:rFonts w:hint="eastAsia" w:ascii="Times New Roman" w:hAnsi="Times New Roman" w:cs="Times New Roman"/>
                <w:b/>
                <w:bCs/>
                <w:sz w:val="24"/>
                <w:szCs w:val="24"/>
                <w:highlight w:val="none"/>
                <w:lang w:val="en-US" w:eastAsia="zh-CN"/>
              </w:rPr>
              <w:t>原理</w:t>
            </w:r>
            <w:r>
              <w:rPr>
                <w:rFonts w:hint="default" w:ascii="Times New Roman" w:hAnsi="Times New Roman" w:eastAsia="宋体" w:cs="Times New Roman"/>
                <w:b/>
                <w:bCs/>
                <w:sz w:val="24"/>
                <w:szCs w:val="24"/>
                <w:highlight w:val="none"/>
                <w:lang w:val="en-US" w:eastAsia="zh-CN"/>
              </w:rPr>
              <w:t>简介</w:t>
            </w:r>
            <w:r>
              <w:rPr>
                <w:rFonts w:hint="default" w:ascii="Times New Roman" w:hAnsi="Times New Roman" w:eastAsia="宋体" w:cs="Times New Roman"/>
                <w:sz w:val="24"/>
                <w:szCs w:val="24"/>
                <w:highlight w:val="none"/>
                <w:lang w:val="en-US" w:eastAsia="zh-CN"/>
              </w:rPr>
              <w:t>:本项目发泡基本原理系异氰酸酯和多元醇混合物在催化剂作用下接触反应，生成CO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作用下发生放热反应，生成氨基甲酸酯链的高聚物，同时，A料中含有的水与异腈酸酯反应生成CO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，CO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从聚氨酯内部逸出形成鼓泡。随后发泡体冷却，压力下降，进入熟化阶段，经</w:t>
            </w: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分钟熟化后即可脱模制得发泡产品。</w:t>
            </w:r>
          </w:p>
          <w:p>
            <w:pPr>
              <w:spacing w:line="500" w:lineRule="exact"/>
              <w:ind w:firstLine="480" w:firstLineChars="200"/>
              <w:rPr>
                <w:rFonts w:hint="default" w:ascii="Times New Roman" w:hAnsi="Times New Roman" w:cs="Times New Roman"/>
              </w:rPr>
            </w:pPr>
            <w:r>
              <w:rPr>
                <w:rFonts w:hint="default" w:ascii="Times New Roman" w:hAnsi="Times New Roman" w:eastAsia="宋体" w:cs="Times New Roman"/>
                <w:sz w:val="24"/>
                <w:szCs w:val="24"/>
                <w:highlight w:val="none"/>
                <w:lang w:val="en-US" w:eastAsia="zh-CN"/>
              </w:rPr>
              <w:t>发泡反应的工艺原理如下:</w:t>
            </w:r>
          </w:p>
          <w:p>
            <w:pPr>
              <w:spacing w:line="50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R-(NCO)</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异氰酸酯</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+R</w:t>
            </w:r>
            <w:r>
              <w:rPr>
                <w:rFonts w:hint="default" w:ascii="Times New Roman" w:hAnsi="Times New Roman" w:eastAsia="宋体" w:cs="Times New Roman"/>
                <w:bCs/>
                <w:sz w:val="24"/>
                <w:szCs w:val="24"/>
                <w:vertAlign w:val="superscript"/>
              </w:rPr>
              <w:t>1</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OH</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多元醇</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→R- NH</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vertAlign w:val="baseline"/>
                <w:lang w:val="en-US" w:eastAsia="zh-CN"/>
              </w:rPr>
              <w:t>COO</w:t>
            </w:r>
            <w:r>
              <w:rPr>
                <w:rFonts w:hint="default" w:ascii="Times New Roman" w:hAnsi="Times New Roman" w:eastAsia="宋体" w:cs="Times New Roman"/>
                <w:bCs/>
                <w:sz w:val="24"/>
                <w:szCs w:val="24"/>
              </w:rPr>
              <w:t>R</w:t>
            </w:r>
            <w:r>
              <w:rPr>
                <w:rFonts w:hint="default" w:ascii="Times New Roman" w:hAnsi="Times New Roman" w:eastAsia="宋体" w:cs="Times New Roman"/>
                <w:bCs/>
                <w:sz w:val="24"/>
                <w:szCs w:val="24"/>
                <w:vertAlign w:val="superscript"/>
              </w:rPr>
              <w:t>1</w:t>
            </w:r>
            <w:r>
              <w:rPr>
                <w:rFonts w:hint="default" w:ascii="Times New Roman" w:hAnsi="Times New Roman" w:eastAsia="宋体" w:cs="Times New Roman"/>
                <w:bCs/>
                <w:sz w:val="24"/>
                <w:szCs w:val="24"/>
                <w:vertAlign w:val="baseline"/>
                <w:lang w:val="en-US" w:eastAsia="zh-CN"/>
              </w:rPr>
              <w:t>（氨基甲酸酯链的高聚物）</w:t>
            </w:r>
          </w:p>
          <w:p>
            <w:pPr>
              <w:spacing w:line="50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R-(NCO)</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异氰酸酯</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+H</w:t>
            </w:r>
            <w:r>
              <w:rPr>
                <w:rFonts w:hint="default" w:ascii="Times New Roman" w:hAnsi="Times New Roman" w:eastAsia="宋体" w:cs="Times New Roman"/>
                <w:bCs/>
                <w:sz w:val="24"/>
                <w:szCs w:val="24"/>
                <w:vertAlign w:val="subscript"/>
              </w:rPr>
              <w:t>2</w:t>
            </w:r>
            <w:r>
              <w:rPr>
                <w:rFonts w:hint="default" w:ascii="Times New Roman" w:hAnsi="Times New Roman" w:eastAsia="宋体" w:cs="Times New Roman"/>
                <w:bCs/>
                <w:sz w:val="24"/>
                <w:szCs w:val="24"/>
              </w:rPr>
              <w:t>O</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发泡剂</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→R</w:t>
            </w:r>
            <w:r>
              <w:rPr>
                <w:rFonts w:hint="default" w:ascii="Times New Roman" w:hAnsi="Times New Roman" w:eastAsia="宋体" w:cs="Times New Roman"/>
                <w:bCs/>
                <w:sz w:val="24"/>
                <w:szCs w:val="24"/>
                <w:vertAlign w:val="superscript"/>
              </w:rPr>
              <w:t>1</w:t>
            </w:r>
            <w:r>
              <w:rPr>
                <w:rFonts w:hint="default" w:ascii="Times New Roman" w:hAnsi="Times New Roman" w:eastAsia="宋体" w:cs="Times New Roman"/>
                <w:bCs/>
                <w:sz w:val="24"/>
                <w:szCs w:val="24"/>
              </w:rPr>
              <w:t>- (NH</w:t>
            </w:r>
            <w:r>
              <w:rPr>
                <w:rFonts w:hint="default" w:ascii="Times New Roman" w:hAnsi="Times New Roman" w:eastAsia="宋体" w:cs="Times New Roman"/>
                <w:bCs/>
                <w:sz w:val="24"/>
                <w:szCs w:val="24"/>
                <w:vertAlign w:val="subscript"/>
              </w:rPr>
              <w:t>2</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vertAlign w:val="subscript"/>
              </w:rPr>
              <w:t>2</w:t>
            </w:r>
            <w:r>
              <w:rPr>
                <w:rFonts w:hint="default" w:ascii="Times New Roman" w:hAnsi="Times New Roman" w:eastAsia="宋体" w:cs="Times New Roman"/>
                <w:bCs/>
                <w:sz w:val="24"/>
                <w:szCs w:val="24"/>
                <w:vertAlign w:val="baseline"/>
                <w:lang w:val="en-US" w:eastAsia="zh-CN"/>
              </w:rPr>
              <w:t>CO（尿素）</w:t>
            </w:r>
            <w:r>
              <w:rPr>
                <w:rFonts w:hint="default" w:ascii="Times New Roman" w:hAnsi="Times New Roman" w:eastAsia="宋体" w:cs="Times New Roman"/>
                <w:bCs/>
                <w:sz w:val="24"/>
                <w:szCs w:val="24"/>
              </w:rPr>
              <w:t>+CO</w:t>
            </w:r>
            <w:r>
              <w:rPr>
                <w:rFonts w:hint="default" w:ascii="Times New Roman" w:hAnsi="Times New Roman" w:eastAsia="宋体" w:cs="Times New Roman"/>
                <w:bCs/>
                <w:sz w:val="24"/>
                <w:szCs w:val="24"/>
                <w:vertAlign w:val="subscript"/>
              </w:rPr>
              <w:t>2</w:t>
            </w:r>
            <w:r>
              <w:rPr>
                <w:rFonts w:hint="default" w:ascii="Times New Roman" w:hAnsi="Times New Roman" w:eastAsia="宋体" w:cs="Times New Roman"/>
                <w:bCs/>
                <w:sz w:val="24"/>
                <w:szCs w:val="24"/>
              </w:rPr>
              <w:t>↑</w:t>
            </w:r>
          </w:p>
          <w:p>
            <w:pPr>
              <w:keepNext w:val="0"/>
              <w:keepLines w:val="0"/>
              <w:pageBreakBefore w:val="0"/>
              <w:widowControl w:val="0"/>
              <w:tabs>
                <w:tab w:val="left" w:pos="2846"/>
                <w:tab w:val="left" w:pos="4382"/>
                <w:tab w:val="left" w:pos="4451"/>
                <w:tab w:val="left" w:pos="6056"/>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开模：打开模具，将发泡产品从模具上取出。开模过程会有挥发废气（G</w:t>
            </w:r>
            <w:r>
              <w:rPr>
                <w:rFonts w:hint="eastAsia" w:cs="Times New Roman"/>
                <w:sz w:val="24"/>
                <w:szCs w:val="24"/>
                <w:highlight w:val="none"/>
                <w:lang w:val="en-US" w:eastAsia="zh-CN"/>
              </w:rPr>
              <w:t>1-6</w:t>
            </w:r>
            <w:r>
              <w:rPr>
                <w:rFonts w:hint="default" w:ascii="Times New Roman" w:hAnsi="Times New Roman" w:eastAsia="宋体" w:cs="Times New Roman"/>
                <w:sz w:val="24"/>
                <w:szCs w:val="24"/>
                <w:highlight w:val="none"/>
                <w:lang w:val="en-US" w:eastAsia="zh-CN"/>
              </w:rPr>
              <w:t xml:space="preserve">）产生。 </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（6）裁切:利用</w:t>
            </w:r>
            <w:r>
              <w:rPr>
                <w:rFonts w:hint="eastAsia" w:ascii="Times New Roman" w:hAnsi="Times New Roman" w:eastAsia="宋体" w:cs="Times New Roman"/>
                <w:sz w:val="24"/>
                <w:szCs w:val="24"/>
                <w:lang w:val="en-US" w:eastAsia="zh-CN"/>
              </w:rPr>
              <w:t>切割流水线</w:t>
            </w:r>
            <w:r>
              <w:rPr>
                <w:rFonts w:hint="eastAsia" w:cs="Times New Roman"/>
                <w:b w:val="0"/>
                <w:bCs w:val="0"/>
                <w:color w:val="auto"/>
                <w:kern w:val="2"/>
                <w:sz w:val="24"/>
                <w:szCs w:val="24"/>
                <w:lang w:val="en-US" w:eastAsia="zh-CN" w:bidi="ar-SA"/>
              </w:rPr>
              <w:t>对发泡后的材料进行裁切，该过程中会产生边角料（S1-2）。</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（7）检验:对加工后的产品进行检验，主要是对其外观进行检验，此过程中会产生少量次品（S1-3）。</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（8）包装入库:将检验合格的最终产品包装入库，发送客户。</w:t>
            </w:r>
          </w:p>
          <w:p>
            <w:pPr>
              <w:adjustRightInd w:val="0"/>
              <w:snapToGrid w:val="0"/>
              <w:spacing w:line="500" w:lineRule="exact"/>
              <w:ind w:firstLine="482" w:firstLineChars="200"/>
              <w:rPr>
                <w:rFonts w:hint="eastAsia" w:eastAsia="宋体" w:cs="Times New Roman"/>
                <w:b/>
                <w:bCs/>
                <w:color w:val="auto"/>
                <w:sz w:val="24"/>
                <w:lang w:val="en-US" w:eastAsia="zh-CN"/>
              </w:rPr>
            </w:pPr>
            <w:r>
              <w:rPr>
                <w:rFonts w:hint="eastAsia" w:cs="Times New Roman"/>
                <w:b/>
                <w:bCs/>
                <w:color w:val="auto"/>
                <w:sz w:val="24"/>
                <w:lang w:val="en-US" w:eastAsia="zh-CN"/>
              </w:rPr>
              <w:t>2、备胎盖生产</w:t>
            </w:r>
          </w:p>
          <w:p>
            <w:pPr>
              <w:pStyle w:val="12"/>
              <w:numPr>
                <w:ilvl w:val="0"/>
                <w:numId w:val="0"/>
              </w:numPr>
              <w:ind w:right="113" w:rightChars="0"/>
              <w:jc w:val="center"/>
              <w:rPr>
                <w:rFonts w:hint="default" w:eastAsia="宋体"/>
                <w:lang w:val="en-US" w:eastAsia="zh-CN"/>
              </w:rPr>
            </w:pPr>
            <w:r>
              <w:drawing>
                <wp:inline distT="0" distB="0" distL="114300" distR="114300">
                  <wp:extent cx="0" cy="0"/>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8"/>
                          <a:stretch>
                            <a:fillRect/>
                          </a:stretch>
                        </pic:blipFill>
                        <pic:spPr>
                          <a:xfrm>
                            <a:off x="0" y="0"/>
                            <a:ext cx="0" cy="0"/>
                          </a:xfrm>
                          <a:prstGeom prst="rect">
                            <a:avLst/>
                          </a:prstGeom>
                          <a:noFill/>
                          <a:ln>
                            <a:noFill/>
                          </a:ln>
                        </pic:spPr>
                      </pic:pic>
                    </a:graphicData>
                  </a:graphic>
                </wp:inline>
              </w:drawing>
            </w:r>
            <w:r>
              <w:drawing>
                <wp:inline distT="0" distB="0" distL="114300" distR="114300">
                  <wp:extent cx="2484120" cy="2644140"/>
                  <wp:effectExtent l="0" t="0" r="0" b="762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8"/>
                          <a:stretch>
                            <a:fillRect/>
                          </a:stretch>
                        </pic:blipFill>
                        <pic:spPr>
                          <a:xfrm>
                            <a:off x="0" y="0"/>
                            <a:ext cx="2484120" cy="2644140"/>
                          </a:xfrm>
                          <a:prstGeom prst="rect">
                            <a:avLst/>
                          </a:prstGeom>
                          <a:noFill/>
                          <a:ln>
                            <a:noFill/>
                          </a:ln>
                        </pic:spPr>
                      </pic:pic>
                    </a:graphicData>
                  </a:graphic>
                </wp:inline>
              </w:drawing>
            </w:r>
          </w:p>
          <w:p>
            <w:pPr>
              <w:pStyle w:val="13"/>
              <w:keepNext w:val="0"/>
              <w:keepLines w:val="0"/>
              <w:pageBreakBefore w:val="0"/>
              <w:widowControl w:val="0"/>
              <w:kinsoku/>
              <w:wordWrap/>
              <w:overflowPunct/>
              <w:topLinePunct w:val="0"/>
              <w:autoSpaceDE/>
              <w:autoSpaceDN/>
              <w:bidi w:val="0"/>
              <w:adjustRightInd w:val="0"/>
              <w:snapToGrid w:val="0"/>
              <w:spacing w:before="120" w:after="0" w:line="240" w:lineRule="auto"/>
              <w:ind w:left="0" w:leftChars="0" w:right="0" w:rightChars="0"/>
              <w:jc w:val="center"/>
              <w:textAlignment w:val="auto"/>
              <w:rPr>
                <w:rFonts w:hint="default" w:ascii="Times New Roman" w:hAnsi="Times New Roman" w:eastAsia="宋体" w:cs="Times New Roman"/>
                <w:b/>
                <w:color w:val="auto"/>
                <w:sz w:val="21"/>
                <w:szCs w:val="21"/>
                <w:highlight w:val="none"/>
                <w:lang w:val="en-US" w:eastAsia="zh-CN"/>
              </w:rPr>
            </w:pPr>
            <w:r>
              <w:drawing>
                <wp:inline distT="0" distB="0" distL="114300" distR="114300">
                  <wp:extent cx="0" cy="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6"/>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7"/>
                          <a:stretch>
                            <a:fillRect/>
                          </a:stretch>
                        </pic:blipFill>
                        <pic:spPr>
                          <a:xfrm>
                            <a:off x="0" y="0"/>
                            <a:ext cx="0" cy="0"/>
                          </a:xfrm>
                          <a:prstGeom prst="rect">
                            <a:avLst/>
                          </a:prstGeom>
                          <a:noFill/>
                          <a:ln>
                            <a:noFill/>
                          </a:ln>
                        </pic:spPr>
                      </pic:pic>
                    </a:graphicData>
                  </a:graphic>
                </wp:inline>
              </w:drawing>
            </w:r>
            <w:r>
              <w:rPr>
                <w:rFonts w:hint="default" w:ascii="Times New Roman" w:hAnsi="Times New Roman" w:eastAsia="宋体" w:cs="Times New Roman"/>
                <w:b/>
                <w:color w:val="auto"/>
                <w:sz w:val="21"/>
                <w:szCs w:val="21"/>
                <w:highlight w:val="none"/>
                <w:lang w:val="en-US" w:eastAsia="zh-CN"/>
              </w:rPr>
              <w:t>图</w:t>
            </w:r>
            <w:r>
              <w:rPr>
                <w:rFonts w:hint="eastAsia"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3</w:t>
            </w:r>
            <w:r>
              <w:rPr>
                <w:rFonts w:hint="default" w:ascii="Times New Roman" w:hAnsi="Times New Roman" w:eastAsia="宋体" w:cs="Times New Roman"/>
                <w:b/>
                <w:color w:val="auto"/>
                <w:sz w:val="21"/>
                <w:szCs w:val="21"/>
                <w:highlight w:val="none"/>
                <w:lang w:val="en-US" w:eastAsia="zh-CN"/>
              </w:rPr>
              <w:t xml:space="preserve">  </w:t>
            </w:r>
            <w:r>
              <w:rPr>
                <w:rFonts w:hint="eastAsia" w:cs="Times New Roman"/>
                <w:b/>
                <w:color w:val="auto"/>
                <w:sz w:val="21"/>
                <w:szCs w:val="21"/>
                <w:highlight w:val="none"/>
                <w:lang w:val="en-US" w:eastAsia="zh-CN"/>
              </w:rPr>
              <w:t>项目</w:t>
            </w:r>
            <w:r>
              <w:rPr>
                <w:rFonts w:hint="eastAsia" w:ascii="Times New Roman" w:hAnsi="Times New Roman" w:eastAsia="宋体" w:cs="Times New Roman"/>
                <w:b/>
                <w:color w:val="auto"/>
                <w:sz w:val="21"/>
                <w:szCs w:val="21"/>
                <w:highlight w:val="none"/>
                <w:lang w:val="en-US" w:eastAsia="zh-CN"/>
              </w:rPr>
              <w:t>备胎盖</w:t>
            </w:r>
            <w:r>
              <w:rPr>
                <w:rFonts w:hint="default" w:ascii="Times New Roman" w:hAnsi="Times New Roman" w:eastAsia="宋体" w:cs="Times New Roman"/>
                <w:b/>
                <w:color w:val="auto"/>
                <w:sz w:val="21"/>
                <w:szCs w:val="21"/>
                <w:highlight w:val="none"/>
                <w:lang w:val="en-US" w:eastAsia="zh-CN"/>
              </w:rPr>
              <w:t>生产工艺流程及产污环节图</w:t>
            </w:r>
          </w:p>
          <w:p>
            <w:pPr>
              <w:pStyle w:val="13"/>
              <w:adjustRightInd w:val="0"/>
              <w:snapToGrid w:val="0"/>
              <w:spacing w:after="0" w:line="500" w:lineRule="exact"/>
              <w:ind w:left="0" w:leftChars="0" w:right="0" w:rightChars="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工艺流程说明：</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default"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1）热压:将2块无纺布和1块中密度板按顺序（无纺布-中密度板-无纺布）放入液压机模具中热压成型。PET无纺布在高频电场的作用下，其分子结构产生极化现象而产生热量，在压力作用下达到软化目的，软化后的PET无纺布与中密度板叠加粘合于一体。通常时间一般控制在60s，温度控制为60℃左右。热压过程产生少量有机废气（</w:t>
            </w:r>
            <w:r>
              <w:rPr>
                <w:rFonts w:hint="default" w:ascii="Times New Roman" w:hAnsi="Times New Roman" w:eastAsia="宋体" w:cs="Times New Roman"/>
                <w:sz w:val="24"/>
                <w:szCs w:val="24"/>
                <w:highlight w:val="none"/>
                <w:lang w:val="en-US" w:eastAsia="zh-CN"/>
              </w:rPr>
              <w:t>G</w:t>
            </w:r>
            <w:r>
              <w:rPr>
                <w:rFonts w:hint="eastAsia" w:ascii="Times New Roman" w:hAnsi="Times New Roman" w:eastAsia="宋体" w:cs="Times New Roman"/>
                <w:sz w:val="24"/>
                <w:szCs w:val="24"/>
                <w:highlight w:val="none"/>
                <w:lang w:val="en-US" w:eastAsia="zh-CN"/>
              </w:rPr>
              <w:t>2</w:t>
            </w:r>
            <w:r>
              <w:rPr>
                <w:rFonts w:hint="eastAsia" w:cs="Times New Roman"/>
                <w:sz w:val="24"/>
                <w:szCs w:val="24"/>
                <w:highlight w:val="none"/>
                <w:lang w:val="en-US" w:eastAsia="zh-CN"/>
              </w:rPr>
              <w:t>-1</w:t>
            </w:r>
            <w:r>
              <w:rPr>
                <w:rFonts w:hint="eastAsia" w:cs="Times New Roman"/>
                <w:b w:val="0"/>
                <w:bCs w:val="0"/>
                <w:color w:val="auto"/>
                <w:kern w:val="2"/>
                <w:sz w:val="24"/>
                <w:szCs w:val="24"/>
                <w:lang w:val="en-US" w:eastAsia="zh-CN" w:bidi="ar-SA"/>
              </w:rPr>
              <w:t>）。</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（2）裁切:利用</w:t>
            </w:r>
            <w:r>
              <w:rPr>
                <w:rFonts w:hint="eastAsia" w:ascii="Times New Roman" w:hAnsi="Times New Roman" w:eastAsia="宋体" w:cs="Times New Roman"/>
                <w:sz w:val="24"/>
                <w:szCs w:val="24"/>
                <w:lang w:val="en-US" w:eastAsia="zh-CN"/>
              </w:rPr>
              <w:t>泡棉直切机、切割机器人、下料机等设备</w:t>
            </w:r>
            <w:r>
              <w:rPr>
                <w:rFonts w:hint="eastAsia" w:cs="Times New Roman"/>
                <w:b w:val="0"/>
                <w:bCs w:val="0"/>
                <w:color w:val="auto"/>
                <w:kern w:val="2"/>
                <w:sz w:val="24"/>
                <w:szCs w:val="24"/>
                <w:lang w:val="en-US" w:eastAsia="zh-CN" w:bidi="ar-SA"/>
              </w:rPr>
              <w:t>对热压后的材料进行裁切，该过程中会产生边角料（S2-1）。</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（3）检验:对加工后的产品进行检验，主要是对其外观进行检验，此过程中会产生少量次品（S2-2）。</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（4）包装入库:将检验合格的最终产品包装入库，发送客户。</w:t>
            </w:r>
            <w:r>
              <w:rPr>
                <w:rFonts w:hint="eastAsia" w:cs="Times New Roman"/>
                <w:b w:val="0"/>
                <w:bCs w:val="0"/>
                <w:color w:val="auto"/>
                <w:kern w:val="2"/>
                <w:sz w:val="24"/>
                <w:szCs w:val="24"/>
                <w:lang w:val="en-US" w:eastAsia="zh-CN" w:bidi="ar-SA"/>
              </w:rPr>
              <w:br w:type="textWrapping"/>
            </w:r>
            <w:r>
              <w:rPr>
                <w:rFonts w:hint="eastAsia" w:cs="Times New Roman"/>
                <w:b/>
                <w:bCs/>
                <w:color w:val="auto"/>
                <w:kern w:val="2"/>
                <w:sz w:val="24"/>
                <w:szCs w:val="24"/>
                <w:lang w:val="en-US" w:eastAsia="zh-CN" w:bidi="ar-SA"/>
              </w:rPr>
              <w:t>3、其他产污工序</w:t>
            </w:r>
            <w:r>
              <w:rPr>
                <w:rFonts w:hint="eastAsia" w:cs="Times New Roman"/>
                <w:b w:val="0"/>
                <w:bCs w:val="0"/>
                <w:color w:val="auto"/>
                <w:kern w:val="2"/>
                <w:sz w:val="24"/>
                <w:szCs w:val="24"/>
                <w:lang w:val="en-US" w:eastAsia="zh-CN" w:bidi="ar-SA"/>
              </w:rPr>
              <w:br w:type="textWrapping"/>
            </w:r>
            <w:r>
              <w:rPr>
                <w:rFonts w:hint="eastAsia" w:cs="Times New Roman"/>
                <w:b w:val="0"/>
                <w:bCs w:val="0"/>
                <w:color w:val="auto"/>
                <w:kern w:val="2"/>
                <w:sz w:val="24"/>
                <w:szCs w:val="24"/>
                <w:lang w:val="en-US" w:eastAsia="zh-CN" w:bidi="ar-SA"/>
              </w:rPr>
              <w:t xml:space="preserve">    （1）项目面料采用塑料袋包装，使用过程产生少量废包装材料。</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firstLine="480" w:firstLineChars="200"/>
              <w:textAlignment w:val="auto"/>
              <w:rPr>
                <w:rFonts w:hint="default"/>
                <w:lang w:val="en-US"/>
              </w:rPr>
            </w:pPr>
            <w:r>
              <w:rPr>
                <w:rFonts w:hint="eastAsia" w:cs="Times New Roman"/>
                <w:b w:val="0"/>
                <w:bCs w:val="0"/>
                <w:color w:val="auto"/>
                <w:kern w:val="2"/>
                <w:sz w:val="24"/>
                <w:szCs w:val="24"/>
                <w:lang w:val="en-US" w:eastAsia="zh-CN" w:bidi="ar-SA"/>
              </w:rPr>
              <w:t>（2）项目有机废气采用活性炭吸附装置处理，活性炭吸附箱需定期更换产生废活性炭。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0" w:hRule="atLeast"/>
        </w:trPr>
        <w:tc>
          <w:tcPr>
            <w:tcW w:w="777" w:type="dxa"/>
            <w:vAlign w:val="center"/>
          </w:tcPr>
          <w:p>
            <w:pPr>
              <w:pStyle w:val="25"/>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bCs/>
                <w:color w:val="auto"/>
                <w:kern w:val="2"/>
                <w:szCs w:val="24"/>
              </w:rPr>
              <w:t>与项目有关的原有环境污染问题</w:t>
            </w:r>
          </w:p>
        </w:tc>
        <w:tc>
          <w:tcPr>
            <w:tcW w:w="8283" w:type="dxa"/>
          </w:tcPr>
          <w:p>
            <w:pPr>
              <w:adjustRightInd w:val="0"/>
              <w:snapToGrid w:val="0"/>
              <w:spacing w:line="500" w:lineRule="exact"/>
              <w:jc w:val="left"/>
              <w:rPr>
                <w:rFonts w:hint="default" w:ascii="Times New Roman" w:hAnsi="Times New Roman" w:cs="Times New Roman"/>
                <w:b/>
                <w:color w:val="auto"/>
                <w:sz w:val="24"/>
              </w:rPr>
            </w:pPr>
            <w:r>
              <w:rPr>
                <w:rFonts w:hint="default" w:ascii="Times New Roman" w:hAnsi="Times New Roman" w:cs="Times New Roman"/>
                <w:b/>
                <w:color w:val="auto"/>
                <w:sz w:val="24"/>
              </w:rPr>
              <w:t>一、原有项目</w:t>
            </w:r>
            <w:r>
              <w:rPr>
                <w:rFonts w:hint="default" w:ascii="Times New Roman" w:hAnsi="Times New Roman" w:cs="Times New Roman"/>
                <w:b/>
                <w:bCs/>
                <w:color w:val="auto"/>
                <w:kern w:val="0"/>
                <w:sz w:val="24"/>
              </w:rPr>
              <w:t>环保手续履行情况</w:t>
            </w:r>
          </w:p>
          <w:p>
            <w:pPr>
              <w:adjustRightInd w:val="0"/>
              <w:snapToGrid w:val="0"/>
              <w:spacing w:line="500" w:lineRule="exact"/>
              <w:jc w:val="left"/>
              <w:rPr>
                <w:rFonts w:hint="default" w:ascii="Times New Roman" w:hAnsi="Times New Roman" w:cs="Times New Roman"/>
                <w:b/>
                <w:bCs/>
                <w:color w:val="auto"/>
                <w:szCs w:val="21"/>
              </w:rPr>
            </w:pPr>
            <w:r>
              <w:rPr>
                <w:rFonts w:hint="default" w:ascii="Times New Roman" w:hAnsi="Times New Roman" w:cs="Times New Roman"/>
                <w:color w:val="auto"/>
                <w:sz w:val="24"/>
              </w:rPr>
              <w:t>1、公司原有环保手续情况</w:t>
            </w:r>
          </w:p>
          <w:p>
            <w:pPr>
              <w:adjustRightInd w:val="0"/>
              <w:snapToGrid w:val="0"/>
              <w:spacing w:line="50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表2-</w:t>
            </w:r>
            <w:r>
              <w:rPr>
                <w:rFonts w:hint="eastAsia" w:cs="Times New Roman"/>
                <w:b/>
                <w:bCs/>
                <w:color w:val="auto"/>
                <w:szCs w:val="21"/>
                <w:lang w:val="en-US" w:eastAsia="zh-CN"/>
              </w:rPr>
              <w:t>9</w:t>
            </w:r>
            <w:r>
              <w:rPr>
                <w:rFonts w:hint="eastAsia" w:ascii="Times New Roman" w:hAnsi="Times New Roman" w:cs="Times New Roman"/>
                <w:b/>
                <w:bCs/>
                <w:color w:val="auto"/>
                <w:szCs w:val="21"/>
                <w:lang w:val="en-US" w:eastAsia="zh-CN"/>
              </w:rPr>
              <w:t xml:space="preserve">  </w:t>
            </w:r>
            <w:r>
              <w:rPr>
                <w:rFonts w:hint="default" w:ascii="Times New Roman" w:hAnsi="Times New Roman" w:cs="Times New Roman"/>
                <w:b/>
                <w:bCs/>
                <w:color w:val="auto"/>
                <w:szCs w:val="21"/>
              </w:rPr>
              <w:t>原有项</w:t>
            </w:r>
            <w:r>
              <w:rPr>
                <w:rFonts w:hint="default" w:ascii="Times New Roman" w:hAnsi="Times New Roman" w:eastAsia="宋体" w:cs="Times New Roman"/>
                <w:b/>
                <w:bCs/>
                <w:color w:val="auto"/>
                <w:szCs w:val="21"/>
              </w:rPr>
              <w:t>目</w:t>
            </w:r>
            <w:r>
              <w:rPr>
                <w:rFonts w:hint="eastAsia" w:ascii="Times New Roman" w:hAnsi="Times New Roman" w:eastAsia="宋体" w:cs="Times New Roman"/>
                <w:b/>
                <w:bCs/>
                <w:color w:val="auto"/>
                <w:szCs w:val="21"/>
                <w:lang w:val="en-US" w:eastAsia="zh-CN"/>
              </w:rPr>
              <w:t>环保</w:t>
            </w:r>
            <w:r>
              <w:rPr>
                <w:rFonts w:hint="default" w:ascii="Times New Roman" w:hAnsi="Times New Roman" w:eastAsia="宋体" w:cs="Times New Roman"/>
                <w:b/>
                <w:bCs/>
                <w:color w:val="auto"/>
                <w:szCs w:val="21"/>
              </w:rPr>
              <w:t>手续</w:t>
            </w:r>
            <w:r>
              <w:rPr>
                <w:rFonts w:hint="default" w:ascii="Times New Roman" w:hAnsi="Times New Roman" w:cs="Times New Roman"/>
                <w:b/>
                <w:bCs/>
                <w:color w:val="auto"/>
                <w:szCs w:val="21"/>
              </w:rPr>
              <w:t>履行情况</w:t>
            </w:r>
          </w:p>
          <w:tbl>
            <w:tblPr>
              <w:tblStyle w:val="27"/>
              <w:tblW w:w="494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46"/>
              <w:gridCol w:w="2625"/>
              <w:gridCol w:w="3427"/>
              <w:gridCol w:w="17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8" w:type="pct"/>
                  <w:vAlign w:val="center"/>
                </w:tcPr>
                <w:p>
                  <w:pPr>
                    <w:widowControl/>
                    <w:adjustRightInd w:val="0"/>
                    <w:snapToGrid w:val="0"/>
                    <w:contextualSpacing/>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578" w:type="pct"/>
                  <w:vAlign w:val="center"/>
                </w:tcPr>
                <w:p>
                  <w:pPr>
                    <w:adjustRightInd w:val="0"/>
                    <w:snapToGrid w:val="0"/>
                    <w:contextualSpacing/>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项目名称</w:t>
                  </w:r>
                </w:p>
              </w:tc>
              <w:tc>
                <w:tcPr>
                  <w:tcW w:w="2060" w:type="pct"/>
                  <w:vAlign w:val="center"/>
                </w:tcPr>
                <w:p>
                  <w:pPr>
                    <w:widowControl/>
                    <w:adjustRightInd w:val="0"/>
                    <w:snapToGrid w:val="0"/>
                    <w:contextualSpacing/>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审批部门、文号及时间</w:t>
                  </w:r>
                </w:p>
              </w:tc>
              <w:tc>
                <w:tcPr>
                  <w:tcW w:w="1032" w:type="pct"/>
                  <w:vAlign w:val="center"/>
                </w:tcPr>
                <w:p>
                  <w:pPr>
                    <w:widowControl/>
                    <w:adjustRightInd w:val="0"/>
                    <w:snapToGrid w:val="0"/>
                    <w:contextualSpacing/>
                    <w:jc w:val="center"/>
                    <w:rPr>
                      <w:rFonts w:hint="default" w:ascii="Times New Roman" w:hAnsi="Times New Roman" w:eastAsia="宋体" w:cs="Times New Roman"/>
                      <w:b/>
                      <w:bCs/>
                      <w:color w:val="auto"/>
                      <w:kern w:val="0"/>
                      <w:sz w:val="21"/>
                      <w:szCs w:val="21"/>
                      <w:lang w:val="en-US" w:eastAsia="zh-CN"/>
                    </w:rPr>
                  </w:pPr>
                  <w:r>
                    <w:rPr>
                      <w:rFonts w:eastAsia="宋体"/>
                      <w:color w:val="auto"/>
                      <w:sz w:val="21"/>
                      <w:szCs w:val="21"/>
                    </w:rPr>
                    <w:t>验收情况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74" w:hRule="atLeast"/>
                <w:jc w:val="center"/>
              </w:trPr>
              <w:tc>
                <w:tcPr>
                  <w:tcW w:w="328" w:type="pct"/>
                  <w:vAlign w:val="center"/>
                </w:tcPr>
                <w:p>
                  <w:pPr>
                    <w:widowControl/>
                    <w:adjustRightInd w:val="0"/>
                    <w:snapToGrid w:val="0"/>
                    <w:contextualSpacing/>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w:t>
                  </w:r>
                </w:p>
              </w:tc>
              <w:tc>
                <w:tcPr>
                  <w:tcW w:w="1578" w:type="pct"/>
                  <w:vAlign w:val="center"/>
                </w:tcPr>
                <w:p>
                  <w:pPr>
                    <w:adjustRightInd w:val="0"/>
                    <w:snapToGrid w:val="0"/>
                    <w:contextualSpacing/>
                    <w:jc w:val="center"/>
                    <w:rPr>
                      <w:rFonts w:hint="eastAsia" w:eastAsia="宋体" w:cs="Times New Roman"/>
                      <w:color w:val="auto"/>
                      <w:sz w:val="21"/>
                      <w:szCs w:val="21"/>
                      <w:lang w:eastAsia="zh-CN"/>
                    </w:rPr>
                  </w:pPr>
                  <w:r>
                    <w:rPr>
                      <w:rFonts w:hint="eastAsia" w:ascii="Times New Roman" w:hAnsi="Times New Roman" w:eastAsia="宋体" w:cs="Times New Roman"/>
                      <w:bCs/>
                      <w:color w:val="auto"/>
                      <w:sz w:val="21"/>
                      <w:szCs w:val="21"/>
                      <w:lang w:eastAsia="zh-CN"/>
                    </w:rPr>
                    <w:t>年产汽车内饰件</w:t>
                  </w:r>
                  <w:r>
                    <w:rPr>
                      <w:rFonts w:hint="eastAsia" w:ascii="Times New Roman" w:hAnsi="Times New Roman" w:eastAsia="宋体" w:cs="Times New Roman"/>
                      <w:bCs/>
                      <w:color w:val="auto"/>
                      <w:sz w:val="21"/>
                      <w:szCs w:val="21"/>
                      <w:lang w:val="en-US" w:eastAsia="zh-CN"/>
                    </w:rPr>
                    <w:t>20万套项目</w:t>
                  </w:r>
                  <w:r>
                    <w:rPr>
                      <w:rFonts w:hint="eastAsia" w:cs="Times New Roman"/>
                      <w:color w:val="auto"/>
                      <w:sz w:val="21"/>
                      <w:szCs w:val="21"/>
                      <w:lang w:eastAsia="zh-CN"/>
                    </w:rPr>
                    <w:t>环境影响报告表</w:t>
                  </w:r>
                </w:p>
              </w:tc>
              <w:tc>
                <w:tcPr>
                  <w:tcW w:w="2060" w:type="pct"/>
                  <w:vAlign w:val="center"/>
                </w:tcPr>
                <w:p>
                  <w:pPr>
                    <w:pStyle w:val="12"/>
                    <w:adjustRightInd w:val="0"/>
                    <w:spacing w:before="0" w:after="0" w:line="240" w:lineRule="auto"/>
                    <w:ind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常州市</w:t>
                  </w:r>
                  <w:r>
                    <w:rPr>
                      <w:rFonts w:hint="eastAsia" w:ascii="Times New Roman" w:hAnsi="Times New Roman" w:eastAsia="宋体" w:cs="Times New Roman"/>
                      <w:bCs/>
                      <w:color w:val="auto"/>
                      <w:kern w:val="2"/>
                      <w:sz w:val="21"/>
                      <w:szCs w:val="21"/>
                      <w:lang w:val="en-US" w:eastAsia="zh-CN" w:bidi="ar-SA"/>
                    </w:rPr>
                    <w:t>金坛区</w:t>
                  </w:r>
                  <w:r>
                    <w:rPr>
                      <w:rFonts w:hint="default" w:ascii="Times New Roman" w:hAnsi="Times New Roman" w:eastAsia="宋体" w:cs="Times New Roman"/>
                      <w:bCs/>
                      <w:color w:val="auto"/>
                      <w:kern w:val="2"/>
                      <w:sz w:val="21"/>
                      <w:szCs w:val="21"/>
                      <w:lang w:val="en-US" w:eastAsia="zh-CN" w:bidi="ar-SA"/>
                    </w:rPr>
                    <w:t>环境保护局</w:t>
                  </w:r>
                </w:p>
                <w:p>
                  <w:pPr>
                    <w:pStyle w:val="12"/>
                    <w:adjustRightInd w:val="0"/>
                    <w:spacing w:before="0" w:after="0" w:line="240" w:lineRule="auto"/>
                    <w:ind w:right="0"/>
                    <w:jc w:val="center"/>
                    <w:rPr>
                      <w:rFonts w:hint="eastAsia" w:cs="Times New Roman"/>
                      <w:color w:val="auto"/>
                      <w:sz w:val="21"/>
                      <w:szCs w:val="21"/>
                      <w:lang w:val="en-US" w:eastAsia="zh-CN"/>
                    </w:rPr>
                  </w:pPr>
                  <w:r>
                    <w:rPr>
                      <w:rFonts w:hint="eastAsia" w:cs="Times New Roman"/>
                      <w:color w:val="auto"/>
                      <w:sz w:val="21"/>
                      <w:szCs w:val="21"/>
                      <w:lang w:val="en-US" w:eastAsia="zh-CN"/>
                    </w:rPr>
                    <w:t>坛环审[2016]23号</w:t>
                  </w:r>
                </w:p>
                <w:p>
                  <w:pPr>
                    <w:pStyle w:val="12"/>
                    <w:adjustRightInd w:val="0"/>
                    <w:spacing w:before="0" w:after="0" w:line="240" w:lineRule="auto"/>
                    <w:ind w:right="0"/>
                    <w:jc w:val="center"/>
                    <w:rPr>
                      <w:rFonts w:hint="default" w:ascii="Times New Roman" w:hAnsi="Times New Roman" w:eastAsia="宋体" w:cs="Times New Roman"/>
                      <w:bCs/>
                      <w:color w:val="auto"/>
                      <w:kern w:val="2"/>
                      <w:sz w:val="21"/>
                      <w:szCs w:val="21"/>
                      <w:lang w:val="en-US" w:eastAsia="zh-CN" w:bidi="ar-SA"/>
                    </w:rPr>
                  </w:pPr>
                  <w:r>
                    <w:rPr>
                      <w:rFonts w:hint="eastAsia" w:cs="Times New Roman"/>
                      <w:color w:val="auto"/>
                      <w:sz w:val="21"/>
                      <w:szCs w:val="21"/>
                      <w:lang w:val="en-US" w:eastAsia="zh-CN"/>
                    </w:rPr>
                    <w:t>2016年3月7日</w:t>
                  </w:r>
                </w:p>
              </w:tc>
              <w:tc>
                <w:tcPr>
                  <w:tcW w:w="1032" w:type="pct"/>
                  <w:vAlign w:val="center"/>
                </w:tcPr>
                <w:p>
                  <w:pPr>
                    <w:widowControl/>
                    <w:adjustRightInd w:val="0"/>
                    <w:snapToGrid w:val="0"/>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8" w:type="pct"/>
                  <w:vAlign w:val="center"/>
                </w:tcPr>
                <w:p>
                  <w:pPr>
                    <w:widowControl/>
                    <w:adjustRightInd w:val="0"/>
                    <w:snapToGrid w:val="0"/>
                    <w:contextualSpacing/>
                    <w:jc w:val="center"/>
                    <w:rPr>
                      <w:rFonts w:hint="eastAsia" w:ascii="Times New Roman" w:hAnsi="Times New Roman" w:eastAsia="宋体" w:cs="Times New Roman"/>
                      <w:color w:val="auto"/>
                      <w:kern w:val="0"/>
                      <w:sz w:val="21"/>
                      <w:szCs w:val="21"/>
                      <w:lang w:eastAsia="zh-CN"/>
                    </w:rPr>
                  </w:pPr>
                  <w:r>
                    <w:rPr>
                      <w:rFonts w:hint="eastAsia" w:cs="Times New Roman"/>
                      <w:bCs/>
                      <w:color w:val="auto"/>
                      <w:sz w:val="21"/>
                      <w:szCs w:val="21"/>
                      <w:lang w:val="en-US" w:eastAsia="zh-CN"/>
                    </w:rPr>
                    <w:t>2</w:t>
                  </w:r>
                </w:p>
              </w:tc>
              <w:tc>
                <w:tcPr>
                  <w:tcW w:w="1578" w:type="pct"/>
                  <w:vAlign w:val="center"/>
                </w:tcPr>
                <w:p>
                  <w:pPr>
                    <w:adjustRightInd w:val="0"/>
                    <w:snapToGrid w:val="0"/>
                    <w:contextualSpacing/>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sz w:val="21"/>
                      <w:szCs w:val="21"/>
                      <w:lang w:eastAsia="zh-CN"/>
                    </w:rPr>
                    <w:t>年产汽车内饰件</w:t>
                  </w:r>
                  <w:r>
                    <w:rPr>
                      <w:rFonts w:hint="eastAsia" w:ascii="Times New Roman" w:hAnsi="Times New Roman" w:eastAsia="宋体" w:cs="Times New Roman"/>
                      <w:bCs/>
                      <w:color w:val="auto"/>
                      <w:sz w:val="21"/>
                      <w:szCs w:val="21"/>
                      <w:lang w:val="en-US" w:eastAsia="zh-CN"/>
                    </w:rPr>
                    <w:t>20万套项目自查评估报告</w:t>
                  </w:r>
                </w:p>
              </w:tc>
              <w:tc>
                <w:tcPr>
                  <w:tcW w:w="2060" w:type="pct"/>
                  <w:vAlign w:val="center"/>
                </w:tcPr>
                <w:p>
                  <w:pPr>
                    <w:pStyle w:val="12"/>
                    <w:adjustRightInd w:val="0"/>
                    <w:spacing w:before="0" w:after="0" w:line="240" w:lineRule="auto"/>
                    <w:ind w:right="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金坛区政府</w:t>
                  </w:r>
                </w:p>
                <w:p>
                  <w:pPr>
                    <w:pStyle w:val="12"/>
                    <w:adjustRightInd w:val="0"/>
                    <w:spacing w:before="0" w:after="0" w:line="240" w:lineRule="auto"/>
                    <w:ind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2017年2月20日</w:t>
                  </w:r>
                </w:p>
              </w:tc>
              <w:tc>
                <w:tcPr>
                  <w:tcW w:w="1032" w:type="pct"/>
                  <w:vAlign w:val="center"/>
                </w:tcPr>
                <w:p>
                  <w:pPr>
                    <w:widowControl/>
                    <w:adjustRightInd w:val="0"/>
                    <w:snapToGrid w:val="0"/>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8" w:type="pct"/>
                  <w:vAlign w:val="center"/>
                </w:tcPr>
                <w:p>
                  <w:pPr>
                    <w:widowControl/>
                    <w:adjustRightInd w:val="0"/>
                    <w:snapToGrid w:val="0"/>
                    <w:contextualSpacing/>
                    <w:jc w:val="center"/>
                    <w:rPr>
                      <w:rFonts w:hint="default" w:cs="Times New Roman"/>
                      <w:bCs/>
                      <w:color w:val="auto"/>
                      <w:sz w:val="21"/>
                      <w:szCs w:val="21"/>
                      <w:lang w:val="en-US" w:eastAsia="zh-CN"/>
                    </w:rPr>
                  </w:pPr>
                  <w:r>
                    <w:rPr>
                      <w:rFonts w:hint="eastAsia" w:cs="Times New Roman"/>
                      <w:bCs/>
                      <w:color w:val="auto"/>
                      <w:sz w:val="21"/>
                      <w:szCs w:val="21"/>
                      <w:lang w:val="en-US" w:eastAsia="zh-CN"/>
                    </w:rPr>
                    <w:t>3</w:t>
                  </w:r>
                </w:p>
              </w:tc>
              <w:tc>
                <w:tcPr>
                  <w:tcW w:w="1578" w:type="pct"/>
                  <w:vAlign w:val="center"/>
                </w:tcPr>
                <w:p>
                  <w:pPr>
                    <w:adjustRightInd w:val="0"/>
                    <w:snapToGrid w:val="0"/>
                    <w:contextualSpacing/>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有机废气整治项目环境影响登记表</w:t>
                  </w:r>
                </w:p>
              </w:tc>
              <w:tc>
                <w:tcPr>
                  <w:tcW w:w="2060" w:type="pct"/>
                  <w:vAlign w:val="center"/>
                </w:tcPr>
                <w:p>
                  <w:pPr>
                    <w:widowControl/>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常州市生态环境局</w:t>
                  </w:r>
                  <w:r>
                    <w:rPr>
                      <w:rFonts w:hint="eastAsia" w:ascii="Times New Roman" w:hAnsi="Times New Roman" w:eastAsia="宋体" w:cs="Times New Roman"/>
                      <w:bCs/>
                      <w:color w:val="auto"/>
                      <w:kern w:val="2"/>
                      <w:sz w:val="21"/>
                      <w:szCs w:val="21"/>
                      <w:lang w:val="en-US" w:eastAsia="zh-CN" w:bidi="ar-SA"/>
                    </w:rPr>
                    <w:br w:type="textWrapping"/>
                  </w:r>
                  <w:r>
                    <w:rPr>
                      <w:rFonts w:hint="default" w:ascii="Times New Roman" w:hAnsi="Times New Roman" w:eastAsia="宋体" w:cs="Times New Roman"/>
                      <w:bCs/>
                      <w:color w:val="auto"/>
                      <w:kern w:val="2"/>
                      <w:sz w:val="21"/>
                      <w:szCs w:val="21"/>
                      <w:lang w:val="en-US" w:eastAsia="zh-CN" w:bidi="ar-SA"/>
                    </w:rPr>
                    <w:t>202</w:t>
                  </w:r>
                  <w:r>
                    <w:rPr>
                      <w:rFonts w:hint="eastAsia" w:cs="Times New Roman"/>
                      <w:bCs/>
                      <w:color w:val="auto"/>
                      <w:kern w:val="2"/>
                      <w:sz w:val="21"/>
                      <w:szCs w:val="21"/>
                      <w:lang w:val="en-US" w:eastAsia="zh-CN" w:bidi="ar-SA"/>
                    </w:rPr>
                    <w:t>3</w:t>
                  </w:r>
                  <w:r>
                    <w:rPr>
                      <w:rFonts w:hint="default" w:ascii="Times New Roman" w:hAnsi="Times New Roman" w:eastAsia="宋体" w:cs="Times New Roman"/>
                      <w:bCs/>
                      <w:color w:val="auto"/>
                      <w:kern w:val="2"/>
                      <w:sz w:val="21"/>
                      <w:szCs w:val="21"/>
                      <w:lang w:val="en-US" w:eastAsia="zh-CN" w:bidi="ar-SA"/>
                    </w:rPr>
                    <w:t>年</w:t>
                  </w:r>
                  <w:r>
                    <w:rPr>
                      <w:rFonts w:hint="eastAsia" w:ascii="Times New Roman" w:hAnsi="Times New Roman" w:eastAsia="宋体" w:cs="Times New Roman"/>
                      <w:bCs/>
                      <w:color w:val="auto"/>
                      <w:kern w:val="2"/>
                      <w:sz w:val="21"/>
                      <w:szCs w:val="21"/>
                      <w:lang w:val="en-US" w:eastAsia="zh-CN" w:bidi="ar-SA"/>
                    </w:rPr>
                    <w:t>10</w:t>
                  </w:r>
                  <w:r>
                    <w:rPr>
                      <w:rFonts w:hint="default" w:ascii="Times New Roman" w:hAnsi="Times New Roman" w:eastAsia="宋体" w:cs="Times New Roman"/>
                      <w:bCs/>
                      <w:color w:val="auto"/>
                      <w:kern w:val="2"/>
                      <w:sz w:val="21"/>
                      <w:szCs w:val="21"/>
                      <w:lang w:val="en-US" w:eastAsia="zh-CN" w:bidi="ar-SA"/>
                    </w:rPr>
                    <w:t>月</w:t>
                  </w:r>
                  <w:r>
                    <w:rPr>
                      <w:rFonts w:hint="eastAsia" w:cs="Times New Roman"/>
                      <w:bCs/>
                      <w:color w:val="auto"/>
                      <w:kern w:val="2"/>
                      <w:sz w:val="21"/>
                      <w:szCs w:val="21"/>
                      <w:lang w:val="en-US" w:eastAsia="zh-CN" w:bidi="ar-SA"/>
                    </w:rPr>
                    <w:t>16</w:t>
                  </w:r>
                  <w:r>
                    <w:rPr>
                      <w:rFonts w:hint="default" w:ascii="Times New Roman" w:hAnsi="Times New Roman" w:eastAsia="宋体" w:cs="Times New Roman"/>
                      <w:bCs/>
                      <w:color w:val="auto"/>
                      <w:kern w:val="2"/>
                      <w:sz w:val="21"/>
                      <w:szCs w:val="21"/>
                      <w:lang w:val="en-US" w:eastAsia="zh-CN" w:bidi="ar-SA"/>
                    </w:rPr>
                    <w:t>日</w:t>
                  </w:r>
                  <w:r>
                    <w:rPr>
                      <w:rFonts w:hint="default" w:ascii="Times New Roman" w:hAnsi="Times New Roman" w:eastAsia="宋体" w:cs="Times New Roman"/>
                      <w:bCs/>
                      <w:color w:val="auto"/>
                      <w:kern w:val="2"/>
                      <w:sz w:val="21"/>
                      <w:szCs w:val="21"/>
                      <w:lang w:val="en-US" w:eastAsia="zh-CN" w:bidi="ar-SA"/>
                    </w:rPr>
                    <w:br w:type="textWrapping"/>
                  </w:r>
                  <w:r>
                    <w:rPr>
                      <w:rFonts w:hint="eastAsia" w:ascii="Times New Roman" w:hAnsi="Times New Roman" w:eastAsia="宋体" w:cs="Times New Roman"/>
                      <w:bCs/>
                      <w:color w:val="auto"/>
                      <w:kern w:val="2"/>
                      <w:sz w:val="21"/>
                      <w:szCs w:val="21"/>
                      <w:lang w:val="en-US" w:eastAsia="zh-CN" w:bidi="ar-SA"/>
                    </w:rPr>
                    <w:t>备案号：</w:t>
                  </w:r>
                  <w:r>
                    <w:rPr>
                      <w:rFonts w:hint="eastAsia" w:cs="Times New Roman"/>
                      <w:color w:val="auto"/>
                      <w:sz w:val="21"/>
                      <w:szCs w:val="21"/>
                      <w:lang w:val="en-US" w:eastAsia="zh-CN"/>
                    </w:rPr>
                    <w:t>202332041300000634</w:t>
                  </w:r>
                </w:p>
              </w:tc>
              <w:tc>
                <w:tcPr>
                  <w:tcW w:w="1032" w:type="pct"/>
                  <w:vAlign w:val="center"/>
                </w:tcPr>
                <w:p>
                  <w:pPr>
                    <w:widowControl/>
                    <w:adjustRightInd w:val="0"/>
                    <w:snapToGrid w:val="0"/>
                    <w:contextualSpacing/>
                    <w:jc w:val="center"/>
                    <w:rPr>
                      <w:rFonts w:hint="eastAsia" w:eastAsia="宋体"/>
                      <w:color w:val="auto"/>
                      <w:sz w:val="21"/>
                      <w:szCs w:val="21"/>
                    </w:rPr>
                  </w:pPr>
                  <w:r>
                    <w:rPr>
                      <w:rFonts w:hint="eastAsia" w:ascii="Times New Roman" w:hAnsi="Times New Roman" w:eastAsia="宋体" w:cs="Times New Roman"/>
                      <w:bCs/>
                      <w:color w:val="auto"/>
                      <w:kern w:val="2"/>
                      <w:sz w:val="21"/>
                      <w:szCs w:val="21"/>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8" w:type="pct"/>
                  <w:vAlign w:val="center"/>
                </w:tcPr>
                <w:p>
                  <w:pPr>
                    <w:widowControl/>
                    <w:adjustRightInd w:val="0"/>
                    <w:snapToGrid w:val="0"/>
                    <w:contextualSpacing/>
                    <w:jc w:val="center"/>
                    <w:rPr>
                      <w:rFonts w:hint="default" w:ascii="Times New Roman" w:hAnsi="Times New Roman" w:eastAsia="宋体" w:cs="Times New Roman"/>
                      <w:bCs/>
                      <w:color w:val="auto"/>
                      <w:sz w:val="21"/>
                      <w:szCs w:val="21"/>
                      <w:lang w:eastAsia="zh-CN"/>
                    </w:rPr>
                  </w:pPr>
                  <w:r>
                    <w:rPr>
                      <w:rFonts w:hint="eastAsia" w:cs="Times New Roman"/>
                      <w:bCs/>
                      <w:color w:val="auto"/>
                      <w:sz w:val="21"/>
                      <w:szCs w:val="21"/>
                      <w:lang w:val="en-US" w:eastAsia="zh-CN"/>
                    </w:rPr>
                    <w:t>4</w:t>
                  </w:r>
                </w:p>
              </w:tc>
              <w:tc>
                <w:tcPr>
                  <w:tcW w:w="1578" w:type="pct"/>
                  <w:vAlign w:val="center"/>
                </w:tcPr>
                <w:p>
                  <w:pPr>
                    <w:adjustRightInd w:val="0"/>
                    <w:snapToGrid w:val="0"/>
                    <w:contextualSpacing/>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排污</w:t>
                  </w:r>
                  <w:r>
                    <w:rPr>
                      <w:rFonts w:hint="eastAsia" w:cs="Times New Roman"/>
                      <w:bCs/>
                      <w:color w:val="auto"/>
                      <w:sz w:val="21"/>
                      <w:szCs w:val="21"/>
                      <w:lang w:eastAsia="zh-CN"/>
                    </w:rPr>
                    <w:t>登记</w:t>
                  </w:r>
                </w:p>
              </w:tc>
              <w:tc>
                <w:tcPr>
                  <w:tcW w:w="3092" w:type="pct"/>
                  <w:gridSpan w:val="2"/>
                  <w:vAlign w:val="center"/>
                </w:tcPr>
                <w:p>
                  <w:pPr>
                    <w:adjustRightInd w:val="0"/>
                    <w:snapToGrid w:val="0"/>
                    <w:contextualSpacing/>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常州市生态环境局</w:t>
                  </w:r>
                </w:p>
                <w:p>
                  <w:pPr>
                    <w:adjustRightInd w:val="0"/>
                    <w:snapToGrid w:val="0"/>
                    <w:contextualSpacing/>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证书编号：</w:t>
                  </w:r>
                  <w:r>
                    <w:rPr>
                      <w:rFonts w:hint="eastAsia" w:ascii="Times New Roman" w:hAnsi="Times New Roman" w:eastAsia="宋体" w:cs="Times New Roman"/>
                      <w:color w:val="auto"/>
                      <w:sz w:val="21"/>
                      <w:szCs w:val="21"/>
                      <w:highlight w:val="none"/>
                      <w:lang w:eastAsia="zh-CN"/>
                    </w:rPr>
                    <w:t>913204136993973038002Z</w:t>
                  </w:r>
                </w:p>
                <w:p>
                  <w:pPr>
                    <w:adjustRightInd w:val="0"/>
                    <w:snapToGrid w:val="0"/>
                    <w:contextualSpacing/>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有效期限：20</w:t>
                  </w:r>
                  <w:r>
                    <w:rPr>
                      <w:rFonts w:hint="eastAsia" w:cs="Times New Roman"/>
                      <w:bCs/>
                      <w:color w:val="auto"/>
                      <w:kern w:val="2"/>
                      <w:sz w:val="21"/>
                      <w:szCs w:val="21"/>
                      <w:lang w:val="en-US" w:eastAsia="zh-CN" w:bidi="ar-SA"/>
                    </w:rPr>
                    <w:t>21</w:t>
                  </w:r>
                  <w:r>
                    <w:rPr>
                      <w:rFonts w:hint="default" w:ascii="Times New Roman" w:hAnsi="Times New Roman" w:eastAsia="宋体" w:cs="Times New Roman"/>
                      <w:bCs/>
                      <w:color w:val="auto"/>
                      <w:kern w:val="2"/>
                      <w:sz w:val="21"/>
                      <w:szCs w:val="21"/>
                      <w:lang w:val="en-US" w:eastAsia="zh-CN" w:bidi="ar-SA"/>
                    </w:rPr>
                    <w:t>年</w:t>
                  </w:r>
                  <w:r>
                    <w:rPr>
                      <w:rFonts w:hint="eastAsia" w:cs="Times New Roman"/>
                      <w:bCs/>
                      <w:color w:val="auto"/>
                      <w:kern w:val="2"/>
                      <w:sz w:val="21"/>
                      <w:szCs w:val="21"/>
                      <w:lang w:val="en-US" w:eastAsia="zh-CN" w:bidi="ar-SA"/>
                    </w:rPr>
                    <w:t>2</w:t>
                  </w:r>
                  <w:r>
                    <w:rPr>
                      <w:rFonts w:hint="default" w:ascii="Times New Roman" w:hAnsi="Times New Roman" w:eastAsia="宋体" w:cs="Times New Roman"/>
                      <w:bCs/>
                      <w:color w:val="auto"/>
                      <w:kern w:val="2"/>
                      <w:sz w:val="21"/>
                      <w:szCs w:val="21"/>
                      <w:lang w:val="en-US" w:eastAsia="zh-CN" w:bidi="ar-SA"/>
                    </w:rPr>
                    <w:t>月</w:t>
                  </w:r>
                  <w:r>
                    <w:rPr>
                      <w:rFonts w:hint="eastAsia" w:cs="Times New Roman"/>
                      <w:bCs/>
                      <w:color w:val="auto"/>
                      <w:kern w:val="2"/>
                      <w:sz w:val="21"/>
                      <w:szCs w:val="21"/>
                      <w:lang w:val="en-US" w:eastAsia="zh-CN" w:bidi="ar-SA"/>
                    </w:rPr>
                    <w:t>24</w:t>
                  </w:r>
                  <w:r>
                    <w:rPr>
                      <w:rFonts w:hint="default" w:ascii="Times New Roman" w:hAnsi="Times New Roman" w:eastAsia="宋体" w:cs="Times New Roman"/>
                      <w:bCs/>
                      <w:color w:val="auto"/>
                      <w:kern w:val="2"/>
                      <w:sz w:val="21"/>
                      <w:szCs w:val="21"/>
                      <w:lang w:val="en-US" w:eastAsia="zh-CN" w:bidi="ar-SA"/>
                    </w:rPr>
                    <w:t>日至202</w:t>
                  </w:r>
                  <w:r>
                    <w:rPr>
                      <w:rFonts w:hint="eastAsia" w:cs="Times New Roman"/>
                      <w:bCs/>
                      <w:color w:val="auto"/>
                      <w:kern w:val="2"/>
                      <w:sz w:val="21"/>
                      <w:szCs w:val="21"/>
                      <w:lang w:val="en-US" w:eastAsia="zh-CN" w:bidi="ar-SA"/>
                    </w:rPr>
                    <w:t>6</w:t>
                  </w:r>
                  <w:r>
                    <w:rPr>
                      <w:rFonts w:hint="default" w:ascii="Times New Roman" w:hAnsi="Times New Roman" w:eastAsia="宋体" w:cs="Times New Roman"/>
                      <w:bCs/>
                      <w:color w:val="auto"/>
                      <w:kern w:val="2"/>
                      <w:sz w:val="21"/>
                      <w:szCs w:val="21"/>
                      <w:lang w:val="en-US" w:eastAsia="zh-CN" w:bidi="ar-SA"/>
                    </w:rPr>
                    <w:t>年</w:t>
                  </w:r>
                  <w:r>
                    <w:rPr>
                      <w:rFonts w:hint="eastAsia" w:cs="Times New Roman"/>
                      <w:bCs/>
                      <w:color w:val="auto"/>
                      <w:kern w:val="2"/>
                      <w:sz w:val="21"/>
                      <w:szCs w:val="21"/>
                      <w:lang w:val="en-US" w:eastAsia="zh-CN" w:bidi="ar-SA"/>
                    </w:rPr>
                    <w:t>2</w:t>
                  </w:r>
                  <w:r>
                    <w:rPr>
                      <w:rFonts w:hint="default" w:ascii="Times New Roman" w:hAnsi="Times New Roman" w:eastAsia="宋体" w:cs="Times New Roman"/>
                      <w:bCs/>
                      <w:color w:val="auto"/>
                      <w:kern w:val="2"/>
                      <w:sz w:val="21"/>
                      <w:szCs w:val="21"/>
                      <w:lang w:val="en-US" w:eastAsia="zh-CN" w:bidi="ar-SA"/>
                    </w:rPr>
                    <w:t>月</w:t>
                  </w:r>
                  <w:r>
                    <w:rPr>
                      <w:rFonts w:hint="eastAsia" w:cs="Times New Roman"/>
                      <w:bCs/>
                      <w:color w:val="auto"/>
                      <w:kern w:val="2"/>
                      <w:sz w:val="21"/>
                      <w:szCs w:val="21"/>
                      <w:lang w:val="en-US" w:eastAsia="zh-CN" w:bidi="ar-SA"/>
                    </w:rPr>
                    <w:t>23</w:t>
                  </w:r>
                  <w:r>
                    <w:rPr>
                      <w:rFonts w:hint="default" w:ascii="Times New Roman" w:hAnsi="Times New Roman" w:eastAsia="宋体" w:cs="Times New Roman"/>
                      <w:bCs/>
                      <w:color w:val="auto"/>
                      <w:kern w:val="2"/>
                      <w:sz w:val="21"/>
                      <w:szCs w:val="21"/>
                      <w:lang w:val="en-US" w:eastAsia="zh-CN" w:bidi="ar-SA"/>
                    </w:rPr>
                    <w:t>日止</w:t>
                  </w:r>
                </w:p>
              </w:tc>
            </w:tr>
          </w:tbl>
          <w:p>
            <w:pPr>
              <w:adjustRightInd w:val="0"/>
              <w:snapToGrid w:val="0"/>
              <w:spacing w:line="500" w:lineRule="exact"/>
              <w:rPr>
                <w:rFonts w:hint="default" w:ascii="Times New Roman" w:hAnsi="Times New Roman" w:cs="Times New Roman"/>
                <w:b/>
                <w:color w:val="auto"/>
                <w:sz w:val="24"/>
                <w:lang w:val="en-US" w:eastAsia="zh-CN"/>
              </w:rPr>
            </w:pPr>
            <w:r>
              <w:rPr>
                <w:rFonts w:hint="eastAsia" w:cs="Times New Roman"/>
                <w:b/>
                <w:color w:val="auto"/>
                <w:sz w:val="24"/>
                <w:lang w:val="en-US" w:eastAsia="zh-CN"/>
              </w:rPr>
              <w:t>2</w:t>
            </w:r>
            <w:r>
              <w:rPr>
                <w:rFonts w:hint="default" w:ascii="Times New Roman" w:hAnsi="Times New Roman" w:cs="Times New Roman"/>
                <w:b/>
                <w:color w:val="auto"/>
                <w:sz w:val="24"/>
                <w:lang w:val="en-US" w:eastAsia="zh-CN"/>
              </w:rPr>
              <w:t>、现有项目产品方案</w:t>
            </w:r>
          </w:p>
          <w:p>
            <w:pPr>
              <w:autoSpaceDE w:val="0"/>
              <w:autoSpaceDN w:val="0"/>
              <w:adjustRightInd w:val="0"/>
              <w:snapToGrid w:val="0"/>
              <w:spacing w:line="500" w:lineRule="exact"/>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val="en-US" w:eastAsia="zh-CN"/>
              </w:rPr>
              <w:t>现有</w:t>
            </w:r>
            <w:r>
              <w:rPr>
                <w:rFonts w:hint="default" w:ascii="Times New Roman" w:hAnsi="Times New Roman" w:cs="Times New Roman"/>
                <w:color w:val="auto"/>
                <w:kern w:val="0"/>
                <w:sz w:val="24"/>
                <w:highlight w:val="none"/>
              </w:rPr>
              <w:t>项目产品方案见</w:t>
            </w:r>
            <w:r>
              <w:rPr>
                <w:rFonts w:hint="default" w:ascii="Times New Roman" w:hAnsi="Times New Roman" w:cs="Times New Roman"/>
                <w:color w:val="auto"/>
                <w:kern w:val="0"/>
                <w:sz w:val="24"/>
                <w:highlight w:val="none"/>
                <w:lang w:val="en-US" w:eastAsia="zh-CN"/>
              </w:rPr>
              <w:t>下</w:t>
            </w:r>
            <w:r>
              <w:rPr>
                <w:rFonts w:hint="default" w:ascii="Times New Roman" w:hAnsi="Times New Roman" w:cs="Times New Roman"/>
                <w:color w:val="auto"/>
                <w:kern w:val="0"/>
                <w:sz w:val="24"/>
                <w:highlight w:val="none"/>
              </w:rPr>
              <w:t>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表2-1</w:t>
            </w:r>
            <w:r>
              <w:rPr>
                <w:rFonts w:hint="eastAsia" w:cs="Times New Roman"/>
                <w:b/>
                <w:bCs/>
                <w:color w:val="auto"/>
                <w:sz w:val="21"/>
                <w:szCs w:val="21"/>
                <w:highlight w:val="none"/>
                <w:lang w:val="en-US" w:eastAsia="zh-CN"/>
              </w:rPr>
              <w:t>0</w:t>
            </w:r>
            <w:r>
              <w:rPr>
                <w:rFonts w:hint="eastAsia" w:ascii="Times New Roman" w:hAnsi="Times New Roman"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lang w:val="en-US" w:eastAsia="zh-CN"/>
              </w:rPr>
              <w:t>现有</w:t>
            </w:r>
            <w:r>
              <w:rPr>
                <w:rFonts w:hint="default" w:ascii="Times New Roman" w:hAnsi="Times New Roman" w:cs="Times New Roman"/>
                <w:b/>
                <w:bCs/>
                <w:color w:val="auto"/>
                <w:sz w:val="21"/>
                <w:szCs w:val="21"/>
                <w:highlight w:val="none"/>
              </w:rPr>
              <w:t>项目产品方案一览表</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8"/>
              <w:gridCol w:w="1938"/>
              <w:gridCol w:w="1938"/>
              <w:gridCol w:w="19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6" w:type="pct"/>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306" w:type="pct"/>
                  <w:gridSpan w:val="2"/>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产品名称</w:t>
                  </w:r>
                </w:p>
              </w:tc>
              <w:tc>
                <w:tcPr>
                  <w:tcW w:w="1153" w:type="pct"/>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生产能力</w:t>
                  </w:r>
                </w:p>
              </w:tc>
              <w:tc>
                <w:tcPr>
                  <w:tcW w:w="1154" w:type="pct"/>
                  <w:vAlign w:val="center"/>
                </w:tcPr>
                <w:p>
                  <w:pPr>
                    <w:pStyle w:val="53"/>
                    <w:adjustRightInd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年运行时数h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6" w:type="pct"/>
                  <w:vAlign w:val="center"/>
                </w:tcPr>
                <w:p>
                  <w:pPr>
                    <w:pStyle w:val="53"/>
                    <w:adjustRightInd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153" w:type="pct"/>
                  <w:vMerge w:val="restart"/>
                  <w:vAlign w:val="center"/>
                </w:tcPr>
                <w:p>
                  <w:pPr>
                    <w:adjustRightInd w:val="0"/>
                    <w:snapToGrid w:val="0"/>
                    <w:jc w:val="center"/>
                    <w:rPr>
                      <w:rFonts w:hint="eastAsia" w:ascii="Times New Roman" w:hAnsi="Times New Roman" w:eastAsia="宋体" w:cs="Times New Roman"/>
                      <w:bCs/>
                      <w:color w:val="auto"/>
                      <w:sz w:val="21"/>
                      <w:lang w:val="en-US" w:eastAsia="zh-CN"/>
                    </w:rPr>
                  </w:pPr>
                  <w:r>
                    <w:rPr>
                      <w:rFonts w:hint="eastAsia" w:cs="Times New Roman"/>
                      <w:bCs/>
                      <w:color w:val="auto"/>
                      <w:sz w:val="21"/>
                      <w:lang w:val="en-US" w:eastAsia="zh-CN"/>
                    </w:rPr>
                    <w:t>汽车内饰件</w:t>
                  </w:r>
                </w:p>
              </w:tc>
              <w:tc>
                <w:tcPr>
                  <w:tcW w:w="1153" w:type="pct"/>
                  <w:vAlign w:val="center"/>
                </w:tcPr>
                <w:p>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bCs/>
                      <w:color w:val="auto"/>
                      <w:sz w:val="21"/>
                      <w:lang w:val="en-US" w:eastAsia="zh-CN"/>
                    </w:rPr>
                    <w:t>地毯</w:t>
                  </w:r>
                </w:p>
              </w:tc>
              <w:tc>
                <w:tcPr>
                  <w:tcW w:w="1153" w:type="pct"/>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eastAsia" w:ascii="Times New Roman" w:hAnsi="Times New Roman" w:eastAsia="宋体" w:cs="Times New Roman"/>
                      <w:bCs/>
                      <w:color w:val="auto"/>
                      <w:sz w:val="21"/>
                      <w:lang w:val="en-US" w:eastAsia="zh-CN"/>
                    </w:rPr>
                    <w:t>7万套</w:t>
                  </w:r>
                  <w:r>
                    <w:rPr>
                      <w:rFonts w:hint="default" w:ascii="Times New Roman" w:hAnsi="Times New Roman" w:eastAsia="宋体" w:cs="Times New Roman"/>
                      <w:bCs/>
                      <w:color w:val="auto"/>
                      <w:sz w:val="21"/>
                      <w:lang w:val="en-US" w:eastAsia="zh-CN"/>
                    </w:rPr>
                    <w:t>/a</w:t>
                  </w:r>
                </w:p>
              </w:tc>
              <w:tc>
                <w:tcPr>
                  <w:tcW w:w="1154" w:type="pct"/>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24</w:t>
                  </w:r>
                  <w:r>
                    <w:rPr>
                      <w:rFonts w:hint="default" w:ascii="Times New Roman" w:hAnsi="Times New Roman" w:cs="Times New Roman"/>
                      <w:color w:val="auto"/>
                      <w:szCs w:val="21"/>
                      <w:highlight w:val="none"/>
                      <w:lang w:val="en-US" w:eastAsia="zh-CN"/>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6" w:type="pct"/>
                  <w:vAlign w:val="center"/>
                </w:tcPr>
                <w:p>
                  <w:pPr>
                    <w:pStyle w:val="53"/>
                    <w:adjustRightInd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53" w:type="pct"/>
                  <w:vMerge w:val="continue"/>
                  <w:vAlign w:val="center"/>
                </w:tcPr>
                <w:p>
                  <w:pPr>
                    <w:adjustRightInd w:val="0"/>
                    <w:snapToGrid w:val="0"/>
                    <w:jc w:val="center"/>
                    <w:rPr>
                      <w:rFonts w:hint="eastAsia" w:ascii="Times New Roman" w:hAnsi="Times New Roman" w:eastAsia="宋体" w:cs="Times New Roman"/>
                      <w:bCs/>
                      <w:color w:val="auto"/>
                      <w:sz w:val="21"/>
                      <w:lang w:val="en-US" w:eastAsia="zh-CN"/>
                    </w:rPr>
                  </w:pPr>
                </w:p>
              </w:tc>
              <w:tc>
                <w:tcPr>
                  <w:tcW w:w="1153" w:type="pct"/>
                  <w:vAlign w:val="center"/>
                </w:tcPr>
                <w:p>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bCs/>
                      <w:color w:val="auto"/>
                      <w:sz w:val="21"/>
                      <w:lang w:val="en-US" w:eastAsia="zh-CN"/>
                    </w:rPr>
                    <w:t>车门内饰板</w:t>
                  </w:r>
                </w:p>
              </w:tc>
              <w:tc>
                <w:tcPr>
                  <w:tcW w:w="1153" w:type="pct"/>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eastAsia" w:ascii="Times New Roman" w:hAnsi="Times New Roman" w:eastAsia="宋体" w:cs="Times New Roman"/>
                      <w:bCs/>
                      <w:color w:val="auto"/>
                      <w:sz w:val="21"/>
                      <w:lang w:val="en-US" w:eastAsia="zh-CN"/>
                    </w:rPr>
                    <w:t>8万套</w:t>
                  </w:r>
                  <w:r>
                    <w:rPr>
                      <w:rFonts w:hint="default" w:ascii="Times New Roman" w:hAnsi="Times New Roman" w:eastAsia="宋体" w:cs="Times New Roman"/>
                      <w:bCs/>
                      <w:color w:val="auto"/>
                      <w:sz w:val="21"/>
                      <w:lang w:val="en-US" w:eastAsia="zh-CN"/>
                    </w:rPr>
                    <w:t>/a</w:t>
                  </w:r>
                </w:p>
              </w:tc>
              <w:tc>
                <w:tcPr>
                  <w:tcW w:w="1154" w:type="pct"/>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24</w:t>
                  </w:r>
                  <w:r>
                    <w:rPr>
                      <w:rFonts w:hint="default" w:ascii="Times New Roman" w:hAnsi="Times New Roman" w:cs="Times New Roman"/>
                      <w:color w:val="auto"/>
                      <w:szCs w:val="21"/>
                      <w:highlight w:val="none"/>
                      <w:lang w:val="en-US" w:eastAsia="zh-CN"/>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6" w:type="pct"/>
                  <w:vAlign w:val="center"/>
                </w:tcPr>
                <w:p>
                  <w:pPr>
                    <w:pStyle w:val="53"/>
                    <w:adjustRightInd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153" w:type="pct"/>
                  <w:vMerge w:val="continue"/>
                  <w:vAlign w:val="center"/>
                </w:tcPr>
                <w:p>
                  <w:pPr>
                    <w:adjustRightInd w:val="0"/>
                    <w:snapToGrid w:val="0"/>
                    <w:jc w:val="center"/>
                    <w:rPr>
                      <w:rFonts w:hint="eastAsia" w:ascii="Times New Roman" w:hAnsi="Times New Roman" w:eastAsia="宋体" w:cs="Times New Roman"/>
                      <w:bCs/>
                      <w:color w:val="auto"/>
                      <w:sz w:val="21"/>
                      <w:lang w:val="en-US" w:eastAsia="zh-CN"/>
                    </w:rPr>
                  </w:pPr>
                </w:p>
              </w:tc>
              <w:tc>
                <w:tcPr>
                  <w:tcW w:w="1153" w:type="pct"/>
                  <w:vAlign w:val="center"/>
                </w:tcPr>
                <w:p>
                  <w:pPr>
                    <w:adjustRightInd w:val="0"/>
                    <w:snapToGrid w:val="0"/>
                    <w:jc w:val="center"/>
                    <w:rPr>
                      <w:rFonts w:hint="eastAsia" w:eastAsia="宋体" w:cs="Times New Roman"/>
                      <w:color w:val="auto"/>
                      <w:szCs w:val="21"/>
                      <w:highlight w:val="none"/>
                      <w:lang w:val="en-US" w:eastAsia="zh-CN"/>
                    </w:rPr>
                  </w:pPr>
                  <w:r>
                    <w:rPr>
                      <w:rFonts w:hint="eastAsia" w:ascii="Times New Roman" w:hAnsi="Times New Roman" w:eastAsia="宋体" w:cs="Times New Roman"/>
                      <w:bCs/>
                      <w:color w:val="auto"/>
                      <w:sz w:val="21"/>
                      <w:lang w:val="en-US" w:eastAsia="zh-CN"/>
                    </w:rPr>
                    <w:t>备胎盖</w:t>
                  </w:r>
                </w:p>
              </w:tc>
              <w:tc>
                <w:tcPr>
                  <w:tcW w:w="1153" w:type="pct"/>
                  <w:vAlign w:val="center"/>
                </w:tcPr>
                <w:p>
                  <w:pPr>
                    <w:adjustRightInd w:val="0"/>
                    <w:snapToGrid w:val="0"/>
                    <w:jc w:val="center"/>
                    <w:rPr>
                      <w:rFonts w:hint="eastAsia" w:ascii="Times New Roman" w:hAnsi="Times New Roman" w:eastAsia="宋体" w:cs="Times New Roman"/>
                      <w:bCs/>
                      <w:color w:val="auto"/>
                      <w:sz w:val="21"/>
                      <w:lang w:val="en-US" w:eastAsia="zh-CN"/>
                    </w:rPr>
                  </w:pPr>
                  <w:r>
                    <w:rPr>
                      <w:rFonts w:hint="eastAsia" w:ascii="Times New Roman" w:hAnsi="Times New Roman" w:eastAsia="宋体" w:cs="Times New Roman"/>
                      <w:bCs/>
                      <w:color w:val="auto"/>
                      <w:sz w:val="21"/>
                      <w:lang w:val="en-US" w:eastAsia="zh-CN"/>
                    </w:rPr>
                    <w:t>5万套</w:t>
                  </w:r>
                  <w:r>
                    <w:rPr>
                      <w:rFonts w:hint="default" w:ascii="Times New Roman" w:hAnsi="Times New Roman" w:eastAsia="宋体" w:cs="Times New Roman"/>
                      <w:bCs/>
                      <w:color w:val="auto"/>
                      <w:sz w:val="21"/>
                      <w:lang w:val="en-US" w:eastAsia="zh-CN"/>
                    </w:rPr>
                    <w:t>/a</w:t>
                  </w:r>
                </w:p>
              </w:tc>
              <w:tc>
                <w:tcPr>
                  <w:tcW w:w="1154" w:type="pct"/>
                  <w:vAlign w:val="center"/>
                </w:tcPr>
                <w:p>
                  <w:pPr>
                    <w:adjustRightInd w:val="0"/>
                    <w:snapToGrid w:val="0"/>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24</w:t>
                  </w:r>
                  <w:r>
                    <w:rPr>
                      <w:rFonts w:hint="default" w:ascii="Times New Roman" w:hAnsi="Times New Roman" w:cs="Times New Roman"/>
                      <w:color w:val="auto"/>
                      <w:szCs w:val="21"/>
                      <w:highlight w:val="none"/>
                      <w:lang w:val="en-US" w:eastAsia="zh-CN"/>
                    </w:rPr>
                    <w:t>00</w:t>
                  </w:r>
                </w:p>
              </w:tc>
            </w:tr>
          </w:tbl>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color w:val="auto"/>
                <w:sz w:val="24"/>
                <w:lang w:eastAsia="zh-CN"/>
              </w:rPr>
            </w:pPr>
            <w:r>
              <w:rPr>
                <w:rFonts w:hint="eastAsia" w:cs="Times New Roman"/>
                <w:b/>
                <w:color w:val="auto"/>
                <w:sz w:val="24"/>
                <w:lang w:val="en-US" w:eastAsia="zh-CN"/>
              </w:rPr>
              <w:t>3</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现有</w:t>
            </w:r>
            <w:r>
              <w:rPr>
                <w:rFonts w:hint="default" w:ascii="Times New Roman" w:hAnsi="Times New Roman" w:cs="Times New Roman"/>
                <w:b/>
                <w:color w:val="auto"/>
                <w:sz w:val="24"/>
              </w:rPr>
              <w:t>项目污染物</w:t>
            </w:r>
            <w:r>
              <w:rPr>
                <w:rFonts w:hint="default" w:ascii="Times New Roman" w:hAnsi="Times New Roman" w:cs="Times New Roman"/>
                <w:b/>
                <w:color w:val="auto"/>
                <w:sz w:val="24"/>
                <w:lang w:val="en-US" w:eastAsia="zh-CN"/>
              </w:rPr>
              <w:t>实际排放总量</w:t>
            </w:r>
          </w:p>
          <w:p>
            <w:pPr>
              <w:pStyle w:val="90"/>
              <w:keepNext w:val="0"/>
              <w:keepLines w:val="0"/>
              <w:pageBreakBefore w:val="0"/>
              <w:widowControl w:val="0"/>
              <w:kinsoku/>
              <w:wordWrap/>
              <w:overflowPunct/>
              <w:topLinePunct w:val="0"/>
              <w:autoSpaceDE/>
              <w:autoSpaceDN/>
              <w:bidi w:val="0"/>
              <w:adjustRightInd w:val="0"/>
              <w:snapToGrid w:val="0"/>
              <w:spacing w:line="500" w:lineRule="exact"/>
              <w:ind w:firstLine="420"/>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现有项目申领了排污登记，无需填写执行报告，所以本次根据</w:t>
            </w:r>
            <w:r>
              <w:rPr>
                <w:rFonts w:hint="eastAsia" w:eastAsia="宋体" w:cs="Times New Roman"/>
                <w:color w:val="auto"/>
                <w:kern w:val="0"/>
                <w:sz w:val="24"/>
                <w:szCs w:val="24"/>
                <w:highlight w:val="none"/>
                <w:lang w:val="en-US" w:eastAsia="zh-CN" w:bidi="ar-SA"/>
              </w:rPr>
              <w:t>现有项目环评</w:t>
            </w:r>
            <w:r>
              <w:rPr>
                <w:rFonts w:hint="eastAsia" w:ascii="Times New Roman" w:hAnsi="Times New Roman" w:eastAsia="宋体" w:cs="Times New Roman"/>
                <w:color w:val="auto"/>
                <w:kern w:val="0"/>
                <w:sz w:val="24"/>
                <w:szCs w:val="24"/>
                <w:highlight w:val="none"/>
                <w:lang w:val="en-US" w:eastAsia="zh-CN" w:bidi="ar-SA"/>
              </w:rPr>
              <w:t>报告及例行监测报告进行回顾分析。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b w:val="0"/>
                <w:bCs w:val="0"/>
                <w:color w:val="auto"/>
                <w:sz w:val="24"/>
              </w:rPr>
            </w:pPr>
            <w:r>
              <w:rPr>
                <w:rFonts w:hint="eastAsia" w:cs="Times New Roman"/>
                <w:b/>
                <w:bCs/>
                <w:color w:val="auto"/>
                <w:kern w:val="0"/>
                <w:sz w:val="24"/>
                <w:szCs w:val="24"/>
                <w:highlight w:val="none"/>
                <w:lang w:val="en-US" w:eastAsia="zh-CN" w:bidi="ar-SA"/>
              </w:rPr>
              <w:t>（1）</w:t>
            </w:r>
            <w:r>
              <w:rPr>
                <w:rFonts w:hint="default" w:ascii="Times New Roman" w:hAnsi="Times New Roman" w:cs="Times New Roman"/>
                <w:b w:val="0"/>
                <w:bCs w:val="0"/>
                <w:color w:val="auto"/>
                <w:sz w:val="24"/>
              </w:rPr>
              <w:t>废水</w:t>
            </w:r>
          </w:p>
          <w:p>
            <w:pPr>
              <w:pStyle w:val="13"/>
              <w:adjustRightInd w:val="0"/>
              <w:snapToGrid w:val="0"/>
              <w:spacing w:after="0" w:line="500" w:lineRule="exact"/>
              <w:ind w:left="0" w:leftChars="0" w:right="0" w:rightChars="0" w:firstLine="480" w:firstLineChars="200"/>
              <w:rPr>
                <w:rFonts w:hint="default" w:ascii="Times New Roman" w:hAnsi="Times New Roman" w:cs="Times New Roman"/>
                <w:color w:val="auto"/>
                <w:sz w:val="24"/>
                <w:szCs w:val="24"/>
              </w:rPr>
            </w:pPr>
            <w:r>
              <w:rPr>
                <w:rFonts w:hint="eastAsia" w:cs="Times New Roman"/>
                <w:color w:val="auto"/>
                <w:sz w:val="24"/>
                <w:szCs w:val="24"/>
                <w:highlight w:val="none"/>
                <w:lang w:val="en-US" w:eastAsia="zh-CN"/>
              </w:rPr>
              <w:t>现有</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废水主要为生活污水</w:t>
            </w:r>
            <w:r>
              <w:rPr>
                <w:rFonts w:hint="default" w:ascii="Times New Roman" w:hAnsi="Times New Roman" w:cs="Times New Roman"/>
                <w:color w:val="auto"/>
                <w:sz w:val="24"/>
                <w:szCs w:val="24"/>
              </w:rPr>
              <w:t>。</w:t>
            </w:r>
          </w:p>
          <w:p>
            <w:pPr>
              <w:adjustRightInd w:val="0"/>
              <w:snapToGrid w:val="0"/>
              <w:spacing w:line="500" w:lineRule="exact"/>
              <w:ind w:firstLine="480" w:firstLineChars="200"/>
              <w:rPr>
                <w:rFonts w:hint="default" w:ascii="Times New Roman" w:hAnsi="Times New Roman" w:eastAsia="宋体" w:cs="Times New Roman"/>
                <w:color w:val="auto"/>
                <w:sz w:val="24"/>
                <w:lang w:val="en-US"/>
              </w:rPr>
            </w:pPr>
            <w:r>
              <w:rPr>
                <w:rFonts w:hint="default" w:ascii="Times New Roman" w:hAnsi="Times New Roman" w:cs="Times New Roman"/>
                <w:color w:val="auto"/>
                <w:sz w:val="24"/>
                <w:lang w:val="en-US" w:eastAsia="zh-CN"/>
              </w:rPr>
              <w:t>生活污水经化粪池收集后</w:t>
            </w:r>
            <w:r>
              <w:rPr>
                <w:rFonts w:hint="default" w:ascii="Times New Roman" w:hAnsi="Times New Roman" w:cs="Times New Roman"/>
                <w:color w:val="auto"/>
                <w:sz w:val="24"/>
              </w:rPr>
              <w:t>排入市政污水管网</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接管至</w:t>
            </w:r>
            <w:r>
              <w:rPr>
                <w:rFonts w:hint="default" w:ascii="Times New Roman" w:hAnsi="Times New Roman" w:cs="Times New Roman"/>
                <w:color w:val="auto"/>
                <w:sz w:val="24"/>
                <w:lang w:eastAsia="zh-CN"/>
              </w:rPr>
              <w:t>常州金坛区第二污水处理有限公司</w:t>
            </w:r>
            <w:r>
              <w:rPr>
                <w:rFonts w:hint="default" w:ascii="Times New Roman" w:hAnsi="Times New Roman" w:cs="Times New Roman"/>
                <w:color w:val="auto"/>
                <w:sz w:val="24"/>
              </w:rPr>
              <w:t>集中处理，达标尾水排入</w:t>
            </w:r>
            <w:r>
              <w:rPr>
                <w:rFonts w:hint="default" w:ascii="Times New Roman" w:hAnsi="Times New Roman" w:cs="Times New Roman"/>
                <w:color w:val="auto"/>
                <w:sz w:val="24"/>
                <w:lang w:eastAsia="zh-CN"/>
              </w:rPr>
              <w:t>尧塘河</w:t>
            </w:r>
            <w:r>
              <w:rPr>
                <w:rFonts w:hint="default" w:ascii="Times New Roman" w:hAnsi="Times New Roman" w:cs="Times New Roman"/>
                <w:color w:val="auto"/>
                <w:sz w:val="24"/>
              </w:rPr>
              <w:t>。</w:t>
            </w:r>
          </w:p>
          <w:p>
            <w:pPr>
              <w:pStyle w:val="13"/>
              <w:spacing w:after="0" w:line="500" w:lineRule="exact"/>
              <w:ind w:left="0" w:leftChars="0" w:right="0" w:rightChars="0"/>
              <w:jc w:val="center"/>
              <w:rPr>
                <w:rFonts w:hint="default" w:ascii="Times New Roman" w:hAnsi="Times New Roman" w:cs="Times New Roman"/>
                <w:b/>
                <w:color w:val="auto"/>
                <w:szCs w:val="21"/>
                <w:lang w:val="en-US"/>
              </w:rPr>
            </w:pPr>
            <w:r>
              <w:rPr>
                <w:rFonts w:hint="default" w:ascii="Times New Roman" w:hAnsi="Times New Roman" w:cs="Times New Roman"/>
                <w:b/>
                <w:color w:val="auto"/>
                <w:szCs w:val="21"/>
              </w:rPr>
              <w:t>表2-1</w:t>
            </w:r>
            <w:r>
              <w:rPr>
                <w:rFonts w:hint="eastAsia" w:ascii="Times New Roman" w:hAnsi="Times New Roman" w:cs="Times New Roman"/>
                <w:b/>
                <w:color w:val="auto"/>
                <w:szCs w:val="21"/>
                <w:lang w:val="en-US" w:eastAsia="zh-CN"/>
              </w:rPr>
              <w:t xml:space="preserve">1 </w:t>
            </w:r>
            <w:r>
              <w:rPr>
                <w:rFonts w:hint="default" w:ascii="Times New Roman" w:hAnsi="Times New Roman" w:cs="Times New Roman"/>
                <w:b/>
                <w:color w:val="auto"/>
                <w:szCs w:val="21"/>
              </w:rPr>
              <w:t xml:space="preserve"> </w:t>
            </w:r>
            <w:r>
              <w:rPr>
                <w:rFonts w:hint="default" w:ascii="Times New Roman" w:hAnsi="Times New Roman" w:cs="Times New Roman"/>
                <w:b/>
                <w:color w:val="auto"/>
                <w:szCs w:val="21"/>
                <w:lang w:val="en-US" w:eastAsia="zh-CN"/>
              </w:rPr>
              <w:t>现有</w:t>
            </w:r>
            <w:r>
              <w:rPr>
                <w:rFonts w:hint="default" w:ascii="Times New Roman" w:hAnsi="Times New Roman" w:cs="Times New Roman"/>
                <w:b/>
                <w:color w:val="auto"/>
                <w:szCs w:val="21"/>
              </w:rPr>
              <w:t>项目废水排放</w:t>
            </w:r>
            <w:r>
              <w:rPr>
                <w:rFonts w:hint="default" w:ascii="Times New Roman" w:hAnsi="Times New Roman" w:cs="Times New Roman"/>
                <w:b/>
                <w:color w:val="auto"/>
                <w:szCs w:val="21"/>
                <w:lang w:val="en-US" w:eastAsia="zh-CN"/>
              </w:rPr>
              <w:t>监测结果  （mg/L）</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169"/>
              <w:gridCol w:w="2033"/>
              <w:gridCol w:w="1996"/>
              <w:gridCol w:w="16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pct"/>
                  <w:vAlign w:val="center"/>
                </w:tcPr>
                <w:p>
                  <w:pPr>
                    <w:adjustRightInd w:val="0"/>
                    <w:snapToGrid w:val="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检测日期</w:t>
                  </w:r>
                </w:p>
              </w:tc>
              <w:tc>
                <w:tcPr>
                  <w:tcW w:w="695" w:type="pct"/>
                  <w:vAlign w:val="center"/>
                </w:tcPr>
                <w:p>
                  <w:pPr>
                    <w:adjustRightInd w:val="0"/>
                    <w:snapToGrid w:val="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污染源</w:t>
                  </w:r>
                </w:p>
              </w:tc>
              <w:tc>
                <w:tcPr>
                  <w:tcW w:w="1209" w:type="pct"/>
                  <w:vAlign w:val="center"/>
                </w:tcPr>
                <w:p>
                  <w:pPr>
                    <w:adjustRightInd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Cs w:val="21"/>
                      <w:lang w:val="en-US" w:eastAsia="zh-CN"/>
                    </w:rPr>
                    <w:t>污染物名称</w:t>
                  </w:r>
                </w:p>
              </w:tc>
              <w:tc>
                <w:tcPr>
                  <w:tcW w:w="1187" w:type="pct"/>
                  <w:vAlign w:val="center"/>
                </w:tcPr>
                <w:p>
                  <w:pPr>
                    <w:adjustRightInd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Cs w:val="21"/>
                      <w:lang w:val="en-US" w:eastAsia="zh-CN"/>
                    </w:rPr>
                    <w:t>监测结果</w:t>
                  </w:r>
                </w:p>
              </w:tc>
              <w:tc>
                <w:tcPr>
                  <w:tcW w:w="953" w:type="pct"/>
                  <w:vAlign w:val="center"/>
                </w:tcPr>
                <w:p>
                  <w:pPr>
                    <w:adjustRightInd w:val="0"/>
                    <w:snapToGrid w:val="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pct"/>
                  <w:vMerge w:val="restar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202</w:t>
                  </w:r>
                  <w:r>
                    <w:rPr>
                      <w:rFonts w:hint="eastAsia" w:cs="Times New Roman"/>
                      <w:color w:val="auto"/>
                      <w:szCs w:val="21"/>
                      <w:lang w:val="en-US" w:eastAsia="zh-CN"/>
                    </w:rPr>
                    <w:t>3.5.10</w:t>
                  </w:r>
                </w:p>
              </w:tc>
              <w:tc>
                <w:tcPr>
                  <w:tcW w:w="695" w:type="pct"/>
                  <w:vMerge w:val="restart"/>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厂区总排口</w:t>
                  </w:r>
                </w:p>
              </w:tc>
              <w:tc>
                <w:tcPr>
                  <w:tcW w:w="1209" w:type="pct"/>
                  <w:vAlign w:val="center"/>
                </w:tcPr>
                <w:p>
                  <w:pPr>
                    <w:adjustRightInd w:val="0"/>
                    <w:snapToGrid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pH（无量纲）</w:t>
                  </w:r>
                </w:p>
              </w:tc>
              <w:tc>
                <w:tcPr>
                  <w:tcW w:w="1187"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7.5</w:t>
                  </w:r>
                </w:p>
              </w:tc>
              <w:tc>
                <w:tcPr>
                  <w:tcW w:w="953" w:type="pct"/>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6</w:t>
                  </w:r>
                  <w:r>
                    <w:rPr>
                      <w:rFonts w:hint="default" w:ascii="Times New Roman" w:hAnsi="Times New Roman" w:eastAsia="微软雅黑" w:cs="Times New Roman"/>
                      <w:color w:val="auto"/>
                      <w:szCs w:val="21"/>
                      <w:lang w:val="en-US" w:eastAsia="zh-CN"/>
                    </w:rPr>
                    <w:t>~</w:t>
                  </w:r>
                  <w:r>
                    <w:rPr>
                      <w:rFonts w:hint="default" w:ascii="Times New Roman" w:hAnsi="Times New Roman" w:cs="Times New Roman"/>
                      <w:color w:val="auto"/>
                      <w:kern w:val="2"/>
                      <w:sz w:val="21"/>
                      <w:szCs w:val="21"/>
                      <w:lang w:val="en-US" w:eastAsia="zh-CN" w:bidi="ar-SA"/>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pct"/>
                  <w:vMerge w:val="continue"/>
                  <w:vAlign w:val="center"/>
                </w:tcPr>
                <w:p>
                  <w:pPr>
                    <w:adjustRightInd w:val="0"/>
                    <w:snapToGrid w:val="0"/>
                    <w:jc w:val="center"/>
                    <w:rPr>
                      <w:rFonts w:hint="default" w:ascii="Times New Roman" w:hAnsi="Times New Roman" w:cs="Times New Roman"/>
                      <w:color w:val="auto"/>
                      <w:szCs w:val="21"/>
                      <w:lang w:val="en-US" w:eastAsia="zh-CN"/>
                    </w:rPr>
                  </w:pPr>
                </w:p>
              </w:tc>
              <w:tc>
                <w:tcPr>
                  <w:tcW w:w="695" w:type="pct"/>
                  <w:vMerge w:val="continue"/>
                  <w:vAlign w:val="center"/>
                </w:tcPr>
                <w:p>
                  <w:pPr>
                    <w:adjustRightInd w:val="0"/>
                    <w:snapToGrid w:val="0"/>
                    <w:jc w:val="center"/>
                    <w:rPr>
                      <w:rFonts w:hint="default" w:ascii="Times New Roman" w:hAnsi="Times New Roman" w:cs="Times New Roman"/>
                      <w:color w:val="auto"/>
                      <w:szCs w:val="21"/>
                      <w:lang w:val="en-US" w:eastAsia="zh-CN"/>
                    </w:rPr>
                  </w:pPr>
                </w:p>
              </w:tc>
              <w:tc>
                <w:tcPr>
                  <w:tcW w:w="1209" w:type="pct"/>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COD</w:t>
                  </w:r>
                </w:p>
              </w:tc>
              <w:tc>
                <w:tcPr>
                  <w:tcW w:w="1187"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22</w:t>
                  </w:r>
                </w:p>
              </w:tc>
              <w:tc>
                <w:tcPr>
                  <w:tcW w:w="953" w:type="pct"/>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pct"/>
                  <w:vMerge w:val="continue"/>
                  <w:vAlign w:val="center"/>
                </w:tcPr>
                <w:p>
                  <w:pPr>
                    <w:adjustRightInd w:val="0"/>
                    <w:snapToGrid w:val="0"/>
                    <w:jc w:val="center"/>
                    <w:rPr>
                      <w:rFonts w:hint="default" w:ascii="Times New Roman" w:hAnsi="Times New Roman" w:cs="Times New Roman"/>
                      <w:color w:val="auto"/>
                      <w:szCs w:val="21"/>
                      <w:lang w:val="en-US" w:eastAsia="zh-CN"/>
                    </w:rPr>
                  </w:pPr>
                </w:p>
              </w:tc>
              <w:tc>
                <w:tcPr>
                  <w:tcW w:w="695" w:type="pct"/>
                  <w:vMerge w:val="continue"/>
                  <w:vAlign w:val="center"/>
                </w:tcPr>
                <w:p>
                  <w:pPr>
                    <w:adjustRightInd w:val="0"/>
                    <w:snapToGrid w:val="0"/>
                    <w:jc w:val="center"/>
                    <w:rPr>
                      <w:rFonts w:hint="default" w:ascii="Times New Roman" w:hAnsi="Times New Roman" w:cs="Times New Roman"/>
                      <w:color w:val="auto"/>
                      <w:szCs w:val="21"/>
                      <w:lang w:val="en-US" w:eastAsia="zh-CN"/>
                    </w:rPr>
                  </w:pPr>
                </w:p>
              </w:tc>
              <w:tc>
                <w:tcPr>
                  <w:tcW w:w="1209" w:type="pct"/>
                  <w:vAlign w:val="center"/>
                </w:tcPr>
                <w:p>
                  <w:pPr>
                    <w:adjustRightInd w:val="0"/>
                    <w:snapToGrid w:val="0"/>
                    <w:jc w:val="center"/>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SS</w:t>
                  </w:r>
                </w:p>
              </w:tc>
              <w:tc>
                <w:tcPr>
                  <w:tcW w:w="1187" w:type="pct"/>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26</w:t>
                  </w:r>
                </w:p>
              </w:tc>
              <w:tc>
                <w:tcPr>
                  <w:tcW w:w="953" w:type="pct"/>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pct"/>
                  <w:vMerge w:val="continue"/>
                  <w:vAlign w:val="center"/>
                </w:tcPr>
                <w:p>
                  <w:pPr>
                    <w:adjustRightInd w:val="0"/>
                    <w:snapToGrid w:val="0"/>
                    <w:jc w:val="center"/>
                    <w:rPr>
                      <w:rFonts w:hint="default" w:ascii="Times New Roman" w:hAnsi="Times New Roman" w:cs="Times New Roman"/>
                      <w:color w:val="auto"/>
                      <w:szCs w:val="21"/>
                    </w:rPr>
                  </w:pPr>
                </w:p>
              </w:tc>
              <w:tc>
                <w:tcPr>
                  <w:tcW w:w="695" w:type="pct"/>
                  <w:vMerge w:val="continue"/>
                  <w:vAlign w:val="center"/>
                </w:tcPr>
                <w:p>
                  <w:pPr>
                    <w:adjustRightInd w:val="0"/>
                    <w:snapToGrid w:val="0"/>
                    <w:jc w:val="center"/>
                    <w:rPr>
                      <w:rFonts w:hint="default" w:ascii="Times New Roman" w:hAnsi="Times New Roman" w:cs="Times New Roman"/>
                      <w:color w:val="auto"/>
                      <w:szCs w:val="21"/>
                    </w:rPr>
                  </w:pPr>
                </w:p>
              </w:tc>
              <w:tc>
                <w:tcPr>
                  <w:tcW w:w="1209" w:type="pct"/>
                  <w:vAlign w:val="center"/>
                </w:tcPr>
                <w:p>
                  <w:pPr>
                    <w:adjustRightInd w:val="0"/>
                    <w:snapToGrid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Cs w:val="21"/>
                    </w:rPr>
                    <w:t>NH</w:t>
                  </w:r>
                  <w:r>
                    <w:rPr>
                      <w:rFonts w:hint="default" w:ascii="Times New Roman" w:hAnsi="Times New Roman" w:cs="Times New Roman"/>
                      <w:b w:val="0"/>
                      <w:bCs w:val="0"/>
                      <w:color w:val="auto"/>
                      <w:szCs w:val="21"/>
                      <w:vertAlign w:val="subscript"/>
                    </w:rPr>
                    <w:t>3</w:t>
                  </w:r>
                  <w:r>
                    <w:rPr>
                      <w:rFonts w:hint="default" w:ascii="Times New Roman" w:hAnsi="Times New Roman" w:cs="Times New Roman"/>
                      <w:b w:val="0"/>
                      <w:bCs w:val="0"/>
                      <w:color w:val="auto"/>
                      <w:szCs w:val="21"/>
                    </w:rPr>
                    <w:t>-N</w:t>
                  </w:r>
                </w:p>
              </w:tc>
              <w:tc>
                <w:tcPr>
                  <w:tcW w:w="1187"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4.44</w:t>
                  </w:r>
                </w:p>
              </w:tc>
              <w:tc>
                <w:tcPr>
                  <w:tcW w:w="953" w:type="pct"/>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pct"/>
                  <w:vMerge w:val="continue"/>
                  <w:vAlign w:val="center"/>
                </w:tcPr>
                <w:p>
                  <w:pPr>
                    <w:adjustRightInd w:val="0"/>
                    <w:snapToGrid w:val="0"/>
                    <w:jc w:val="center"/>
                    <w:rPr>
                      <w:rFonts w:hint="default" w:ascii="Times New Roman" w:hAnsi="Times New Roman" w:cs="Times New Roman"/>
                      <w:color w:val="auto"/>
                      <w:szCs w:val="21"/>
                    </w:rPr>
                  </w:pPr>
                </w:p>
              </w:tc>
              <w:tc>
                <w:tcPr>
                  <w:tcW w:w="695" w:type="pct"/>
                  <w:vMerge w:val="continue"/>
                  <w:vAlign w:val="center"/>
                </w:tcPr>
                <w:p>
                  <w:pPr>
                    <w:adjustRightInd w:val="0"/>
                    <w:snapToGrid w:val="0"/>
                    <w:jc w:val="center"/>
                    <w:rPr>
                      <w:rFonts w:hint="default" w:ascii="Times New Roman" w:hAnsi="Times New Roman" w:cs="Times New Roman"/>
                      <w:color w:val="auto"/>
                      <w:szCs w:val="21"/>
                    </w:rPr>
                  </w:pPr>
                </w:p>
              </w:tc>
              <w:tc>
                <w:tcPr>
                  <w:tcW w:w="1209" w:type="pct"/>
                  <w:vAlign w:val="center"/>
                </w:tcPr>
                <w:p>
                  <w:pPr>
                    <w:adjustRightInd w:val="0"/>
                    <w:snapToGrid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Cs w:val="21"/>
                    </w:rPr>
                    <w:t>TP</w:t>
                  </w:r>
                </w:p>
              </w:tc>
              <w:tc>
                <w:tcPr>
                  <w:tcW w:w="1187"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0.26</w:t>
                  </w:r>
                </w:p>
              </w:tc>
              <w:tc>
                <w:tcPr>
                  <w:tcW w:w="953" w:type="pct"/>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pct"/>
                  <w:vMerge w:val="continue"/>
                  <w:vAlign w:val="center"/>
                </w:tcPr>
                <w:p>
                  <w:pPr>
                    <w:adjustRightInd w:val="0"/>
                    <w:snapToGrid w:val="0"/>
                    <w:jc w:val="center"/>
                    <w:rPr>
                      <w:rFonts w:hint="default" w:ascii="Times New Roman" w:hAnsi="Times New Roman" w:cs="Times New Roman"/>
                      <w:color w:val="auto"/>
                      <w:szCs w:val="21"/>
                    </w:rPr>
                  </w:pPr>
                </w:p>
              </w:tc>
              <w:tc>
                <w:tcPr>
                  <w:tcW w:w="695" w:type="pct"/>
                  <w:vMerge w:val="continue"/>
                  <w:vAlign w:val="center"/>
                </w:tcPr>
                <w:p>
                  <w:pPr>
                    <w:adjustRightInd w:val="0"/>
                    <w:snapToGrid w:val="0"/>
                    <w:jc w:val="center"/>
                    <w:rPr>
                      <w:rFonts w:hint="default" w:ascii="Times New Roman" w:hAnsi="Times New Roman" w:cs="Times New Roman"/>
                      <w:color w:val="auto"/>
                      <w:szCs w:val="21"/>
                    </w:rPr>
                  </w:pPr>
                </w:p>
              </w:tc>
              <w:tc>
                <w:tcPr>
                  <w:tcW w:w="1209" w:type="pct"/>
                  <w:vAlign w:val="center"/>
                </w:tcPr>
                <w:p>
                  <w:pPr>
                    <w:adjustRightInd w:val="0"/>
                    <w:snapToGrid w:val="0"/>
                    <w:jc w:val="center"/>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TN</w:t>
                  </w:r>
                </w:p>
              </w:tc>
              <w:tc>
                <w:tcPr>
                  <w:tcW w:w="1187" w:type="pct"/>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eastAsia="微软雅黑" w:cs="Times New Roman"/>
                      <w:color w:val="auto"/>
                      <w:szCs w:val="21"/>
                      <w:lang w:val="en-US" w:eastAsia="zh-CN"/>
                    </w:rPr>
                    <w:t>8.99</w:t>
                  </w:r>
                </w:p>
              </w:tc>
              <w:tc>
                <w:tcPr>
                  <w:tcW w:w="953" w:type="pct"/>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50</w:t>
                  </w:r>
                </w:p>
              </w:tc>
            </w:tr>
          </w:tbl>
          <w:p>
            <w:pPr>
              <w:adjustRightInd w:val="0"/>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lang w:val="en-US" w:eastAsia="zh-CN"/>
              </w:rPr>
              <w:t>根据无锡中证检测技术（集团）有限公司出具的验收检测报告（</w:t>
            </w:r>
            <w:r>
              <w:rPr>
                <w:rFonts w:hint="eastAsia" w:cs="Times New Roman"/>
                <w:color w:val="auto"/>
                <w:sz w:val="24"/>
                <w:lang w:val="en-US" w:eastAsia="zh-CN"/>
              </w:rPr>
              <w:t>报告编号:WXEPD230414188028CS</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highlight w:val="none"/>
              </w:rPr>
              <w:t>企业</w:t>
            </w:r>
            <w:r>
              <w:rPr>
                <w:rFonts w:hint="default" w:ascii="Times New Roman" w:hAnsi="Times New Roman" w:cs="Times New Roman"/>
                <w:color w:val="auto"/>
                <w:sz w:val="24"/>
                <w:highlight w:val="none"/>
                <w:lang w:val="en-US" w:eastAsia="zh-CN"/>
              </w:rPr>
              <w:t>总</w:t>
            </w:r>
            <w:r>
              <w:rPr>
                <w:rFonts w:hint="default" w:ascii="Times New Roman" w:hAnsi="Times New Roman" w:cs="Times New Roman"/>
                <w:color w:val="auto"/>
                <w:sz w:val="24"/>
                <w:highlight w:val="none"/>
              </w:rPr>
              <w:t>排放口排放污水</w:t>
            </w:r>
            <w:r>
              <w:rPr>
                <w:rFonts w:hint="default" w:ascii="Times New Roman" w:hAnsi="Times New Roman" w:cs="Times New Roman"/>
                <w:color w:val="auto"/>
                <w:sz w:val="24"/>
                <w:highlight w:val="none"/>
                <w:lang w:val="en-US" w:eastAsia="zh-CN"/>
              </w:rPr>
              <w:t>水质</w:t>
            </w:r>
            <w:r>
              <w:rPr>
                <w:rFonts w:hint="default" w:ascii="Times New Roman" w:hAnsi="Times New Roman" w:cs="Times New Roman"/>
                <w:color w:val="auto"/>
                <w:sz w:val="24"/>
                <w:highlight w:val="none"/>
              </w:rPr>
              <w:t>符合</w:t>
            </w:r>
            <w:r>
              <w:rPr>
                <w:rFonts w:hint="default" w:ascii="Times New Roman" w:hAnsi="Times New Roman" w:eastAsia="宋体" w:cs="Times New Roman"/>
                <w:color w:val="auto"/>
                <w:sz w:val="24"/>
                <w:highlight w:val="none"/>
              </w:rPr>
              <w:t>《常州金坛区第二污水处理有限公司污水接管要求》。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b/>
                <w:color w:val="auto"/>
                <w:sz w:val="24"/>
              </w:rPr>
            </w:pPr>
            <w:r>
              <w:rPr>
                <w:rFonts w:hint="eastAsia" w:cs="Times New Roman"/>
                <w:b/>
                <w:color w:val="auto"/>
                <w:sz w:val="24"/>
                <w:lang w:eastAsia="zh-CN"/>
              </w:rPr>
              <w:t>（</w:t>
            </w:r>
            <w:r>
              <w:rPr>
                <w:rFonts w:hint="eastAsia" w:cs="Times New Roman"/>
                <w:b/>
                <w:color w:val="auto"/>
                <w:sz w:val="24"/>
                <w:lang w:val="en-US" w:eastAsia="zh-CN"/>
              </w:rPr>
              <w:t>2</w:t>
            </w:r>
            <w:r>
              <w:rPr>
                <w:rFonts w:hint="eastAsia" w:cs="Times New Roman"/>
                <w:b/>
                <w:color w:val="auto"/>
                <w:sz w:val="24"/>
                <w:lang w:eastAsia="zh-CN"/>
              </w:rPr>
              <w:t>）</w:t>
            </w:r>
            <w:r>
              <w:rPr>
                <w:rFonts w:hint="default" w:ascii="Times New Roman" w:hAnsi="Times New Roman" w:cs="Times New Roman"/>
                <w:b/>
                <w:color w:val="auto"/>
                <w:sz w:val="24"/>
              </w:rPr>
              <w:t>废气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bCs/>
                <w:color w:val="auto"/>
                <w:sz w:val="24"/>
                <w:lang w:val="en-US" w:eastAsia="zh-CN"/>
              </w:rPr>
            </w:pPr>
            <w:r>
              <w:rPr>
                <w:rFonts w:hint="eastAsia" w:cs="Times New Roman"/>
                <w:color w:val="auto"/>
                <w:sz w:val="24"/>
                <w:szCs w:val="24"/>
                <w:highlight w:val="none"/>
                <w:lang w:val="en-US" w:eastAsia="zh-CN"/>
              </w:rPr>
              <w:t>现有项目</w:t>
            </w:r>
            <w:r>
              <w:rPr>
                <w:rFonts w:hint="default" w:ascii="Times New Roman" w:hAnsi="Times New Roman" w:cs="Times New Roman"/>
                <w:bCs/>
                <w:color w:val="auto"/>
                <w:sz w:val="24"/>
                <w:lang w:val="en-US" w:eastAsia="zh-CN"/>
              </w:rPr>
              <w:t>废气主要为</w:t>
            </w:r>
            <w:r>
              <w:rPr>
                <w:rFonts w:hint="eastAsia" w:cs="Times New Roman"/>
                <w:bCs/>
                <w:color w:val="auto"/>
                <w:sz w:val="24"/>
                <w:lang w:val="en-US" w:eastAsia="zh-CN"/>
              </w:rPr>
              <w:t>热压有机废气，</w:t>
            </w:r>
            <w:r>
              <w:rPr>
                <w:rFonts w:hint="default" w:ascii="Times New Roman" w:hAnsi="Times New Roman" w:cs="Times New Roman"/>
                <w:bCs/>
                <w:color w:val="auto"/>
                <w:sz w:val="24"/>
                <w:lang w:val="en-US" w:eastAsia="zh-CN"/>
              </w:rPr>
              <w:t>经</w:t>
            </w:r>
            <w:r>
              <w:rPr>
                <w:rFonts w:hint="eastAsia" w:cs="Times New Roman"/>
                <w:bCs/>
                <w:color w:val="auto"/>
                <w:sz w:val="24"/>
                <w:lang w:val="en-US" w:eastAsia="zh-CN"/>
              </w:rPr>
              <w:t>集气罩收集后进入</w:t>
            </w:r>
            <w:r>
              <w:rPr>
                <w:rFonts w:hint="default" w:ascii="Times New Roman" w:hAnsi="Times New Roman" w:eastAsia="宋体" w:cs="Times New Roman"/>
                <w:bCs/>
                <w:color w:val="auto"/>
                <w:sz w:val="24"/>
                <w:szCs w:val="24"/>
                <w:lang w:val="en-US" w:eastAsia="zh-CN"/>
              </w:rPr>
              <w:t>二级活性炭吸附</w:t>
            </w:r>
            <w:r>
              <w:rPr>
                <w:rFonts w:hint="eastAsia" w:ascii="Times New Roman" w:hAnsi="Times New Roman" w:eastAsia="宋体" w:cs="Times New Roman"/>
                <w:bCs/>
                <w:color w:val="auto"/>
                <w:sz w:val="24"/>
                <w:szCs w:val="24"/>
                <w:lang w:val="en-US" w:eastAsia="zh-CN"/>
              </w:rPr>
              <w:t>装置</w:t>
            </w:r>
            <w:r>
              <w:rPr>
                <w:rFonts w:hint="default" w:ascii="Times New Roman" w:hAnsi="Times New Roman" w:cs="Times New Roman"/>
                <w:bCs/>
                <w:color w:val="auto"/>
                <w:sz w:val="24"/>
                <w:szCs w:val="24"/>
                <w:lang w:val="en-US" w:eastAsia="zh-CN"/>
              </w:rPr>
              <w:t>处理</w:t>
            </w:r>
            <w:r>
              <w:rPr>
                <w:rFonts w:hint="eastAsia" w:cs="Times New Roman"/>
                <w:bCs/>
                <w:color w:val="auto"/>
                <w:sz w:val="24"/>
                <w:szCs w:val="24"/>
                <w:lang w:val="en-US" w:eastAsia="zh-CN"/>
              </w:rPr>
              <w:t>，尾气通过</w:t>
            </w:r>
            <w:r>
              <w:rPr>
                <w:rFonts w:hint="default" w:ascii="Times New Roman" w:hAnsi="Times New Roman" w:cs="Times New Roman"/>
                <w:bCs/>
                <w:color w:val="auto"/>
                <w:sz w:val="24"/>
                <w:szCs w:val="24"/>
                <w:lang w:val="en-US" w:eastAsia="zh-CN"/>
              </w:rPr>
              <w:t>1根15m高排气筒排放</w:t>
            </w:r>
            <w:r>
              <w:rPr>
                <w:rFonts w:hint="eastAsia" w:cs="Times New Roman"/>
                <w:bCs/>
                <w:color w:val="auto"/>
                <w:sz w:val="24"/>
                <w:szCs w:val="24"/>
                <w:lang w:val="en-US" w:eastAsia="zh-CN"/>
              </w:rPr>
              <w:t>，</w:t>
            </w:r>
            <w:r>
              <w:rPr>
                <w:rFonts w:hint="default" w:ascii="Times New Roman" w:hAnsi="Times New Roman" w:cs="Times New Roman"/>
                <w:bCs/>
                <w:color w:val="auto"/>
                <w:sz w:val="24"/>
                <w:szCs w:val="24"/>
                <w:lang w:val="en-US" w:eastAsia="zh-CN"/>
              </w:rPr>
              <w:t>未捕集的</w:t>
            </w:r>
            <w:r>
              <w:rPr>
                <w:rFonts w:hint="eastAsia" w:cs="Times New Roman"/>
                <w:bCs/>
                <w:color w:val="auto"/>
                <w:sz w:val="24"/>
                <w:lang w:val="en-US" w:eastAsia="zh-CN"/>
              </w:rPr>
              <w:t>热压废气在车间二</w:t>
            </w:r>
            <w:r>
              <w:rPr>
                <w:rFonts w:hint="default" w:ascii="Times New Roman" w:hAnsi="Times New Roman" w:cs="Times New Roman"/>
                <w:bCs/>
                <w:color w:val="auto"/>
                <w:sz w:val="24"/>
                <w:lang w:val="en-US" w:eastAsia="zh-CN"/>
              </w:rPr>
              <w:t>无组织排放。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bCs/>
                <w:color w:val="auto"/>
                <w:sz w:val="24"/>
                <w:lang w:val="en-US"/>
              </w:rPr>
            </w:pPr>
            <w:r>
              <w:rPr>
                <w:rFonts w:hint="default" w:ascii="Times New Roman" w:hAnsi="Times New Roman" w:cs="Times New Roman"/>
                <w:bCs/>
                <w:color w:val="auto"/>
                <w:sz w:val="24"/>
                <w:lang w:val="en-US" w:eastAsia="zh-CN"/>
              </w:rPr>
              <w:t>废气监测数据见下表：</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Cs w:val="21"/>
              </w:rPr>
              <w:t>表2-1</w:t>
            </w:r>
            <w:r>
              <w:rPr>
                <w:rFonts w:hint="eastAsia" w:cs="Times New Roman"/>
                <w:b/>
                <w:color w:val="auto"/>
                <w:szCs w:val="21"/>
                <w:lang w:val="en-US" w:eastAsia="zh-CN"/>
              </w:rPr>
              <w:t>2</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 </w:t>
            </w:r>
            <w:r>
              <w:rPr>
                <w:rFonts w:hint="default" w:ascii="Times New Roman" w:hAnsi="Times New Roman" w:cs="Times New Roman"/>
                <w:b/>
                <w:color w:val="auto"/>
                <w:szCs w:val="21"/>
                <w:lang w:val="en-US" w:eastAsia="zh-CN"/>
              </w:rPr>
              <w:t>现有</w:t>
            </w:r>
            <w:r>
              <w:rPr>
                <w:rFonts w:hint="default" w:ascii="Times New Roman" w:hAnsi="Times New Roman" w:cs="Times New Roman"/>
                <w:b/>
                <w:color w:val="auto"/>
                <w:szCs w:val="21"/>
              </w:rPr>
              <w:t>项目有组织废气排放情况</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896"/>
              <w:gridCol w:w="2510"/>
              <w:gridCol w:w="894"/>
              <w:gridCol w:w="870"/>
              <w:gridCol w:w="850"/>
              <w:gridCol w:w="850"/>
              <w:gridCol w:w="8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Merge w:val="restart"/>
                  <w:tcBorders>
                    <w:righ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监测点位</w:t>
                  </w:r>
                </w:p>
              </w:tc>
              <w:tc>
                <w:tcPr>
                  <w:tcW w:w="464" w:type="pct"/>
                  <w:vMerge w:val="restart"/>
                  <w:tcBorders>
                    <w:lef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监测日期</w:t>
                  </w:r>
                </w:p>
              </w:tc>
              <w:tc>
                <w:tcPr>
                  <w:tcW w:w="1507" w:type="pct"/>
                  <w:vMerge w:val="restart"/>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监测项目</w:t>
                  </w:r>
                </w:p>
              </w:tc>
              <w:tc>
                <w:tcPr>
                  <w:tcW w:w="2103" w:type="pct"/>
                  <w:gridSpan w:val="4"/>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监测结果</w:t>
                  </w:r>
                </w:p>
              </w:tc>
              <w:tc>
                <w:tcPr>
                  <w:tcW w:w="518" w:type="pct"/>
                  <w:vMerge w:val="restart"/>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Merge w:val="continue"/>
                  <w:tcBorders>
                    <w:righ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p>
              </w:tc>
              <w:tc>
                <w:tcPr>
                  <w:tcW w:w="464" w:type="pct"/>
                  <w:vMerge w:val="continue"/>
                  <w:tcBorders>
                    <w:lef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p>
              </w:tc>
              <w:tc>
                <w:tcPr>
                  <w:tcW w:w="1507" w:type="pct"/>
                  <w:vMerge w:val="continue"/>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p>
              </w:tc>
              <w:tc>
                <w:tcPr>
                  <w:tcW w:w="546" w:type="pct"/>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lang w:eastAsia="zh-CN"/>
                    </w:rPr>
                  </w:pPr>
                  <w:r>
                    <w:rPr>
                      <w:rFonts w:hint="default" w:ascii="Times New Roman" w:hAnsi="Times New Roman" w:eastAsia="宋体" w:cs="Times New Roman"/>
                      <w:b/>
                      <w:bCs/>
                      <w:color w:val="auto"/>
                      <w:szCs w:val="21"/>
                      <w:lang w:eastAsia="zh-CN"/>
                    </w:rPr>
                    <w:t>第一次</w:t>
                  </w:r>
                </w:p>
              </w:tc>
              <w:tc>
                <w:tcPr>
                  <w:tcW w:w="517" w:type="pct"/>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eastAsia="zh-CN"/>
                    </w:rPr>
                    <w:t>第二次</w:t>
                  </w:r>
                </w:p>
              </w:tc>
              <w:tc>
                <w:tcPr>
                  <w:tcW w:w="520" w:type="pct"/>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eastAsia="zh-CN"/>
                    </w:rPr>
                    <w:t>第三次</w:t>
                  </w:r>
                </w:p>
              </w:tc>
              <w:tc>
                <w:tcPr>
                  <w:tcW w:w="518" w:type="pct"/>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eastAsia="zh-CN"/>
                    </w:rPr>
                    <w:t>第</w:t>
                  </w:r>
                  <w:r>
                    <w:rPr>
                      <w:rFonts w:hint="eastAsia" w:eastAsia="宋体" w:cs="Times New Roman"/>
                      <w:b/>
                      <w:bCs/>
                      <w:color w:val="auto"/>
                      <w:szCs w:val="21"/>
                      <w:lang w:eastAsia="zh-CN"/>
                    </w:rPr>
                    <w:t>四</w:t>
                  </w:r>
                  <w:r>
                    <w:rPr>
                      <w:rFonts w:hint="default" w:ascii="Times New Roman" w:hAnsi="Times New Roman" w:eastAsia="宋体" w:cs="Times New Roman"/>
                      <w:b/>
                      <w:bCs/>
                      <w:color w:val="auto"/>
                      <w:szCs w:val="21"/>
                      <w:lang w:eastAsia="zh-CN"/>
                    </w:rPr>
                    <w:t>次</w:t>
                  </w:r>
                </w:p>
              </w:tc>
              <w:tc>
                <w:tcPr>
                  <w:tcW w:w="518" w:type="pct"/>
                  <w:vMerge w:val="continue"/>
                  <w:noWrap w:val="0"/>
                  <w:tcMar>
                    <w:left w:w="28" w:type="dxa"/>
                    <w:right w:w="28" w:type="dxa"/>
                  </w:tcMar>
                  <w:vAlign w:val="center"/>
                </w:tcPr>
                <w:p>
                  <w:pPr>
                    <w:adjustRightInd w:val="0"/>
                    <w:snapToGrid w:val="0"/>
                    <w:jc w:val="center"/>
                    <w:rPr>
                      <w:rFonts w:hint="default" w:ascii="Times New Roman" w:hAnsi="Times New Roman" w:eastAsia="宋体" w:cs="Times New Roman"/>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Merge w:val="restart"/>
                  <w:tcBorders>
                    <w:righ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排气筒（</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）出口</w:t>
                  </w:r>
                </w:p>
              </w:tc>
              <w:tc>
                <w:tcPr>
                  <w:tcW w:w="464" w:type="pct"/>
                  <w:vMerge w:val="restart"/>
                  <w:tcBorders>
                    <w:left w:val="single" w:color="000000" w:sz="4" w:space="0"/>
                  </w:tcBorders>
                  <w:noWrap w:val="0"/>
                  <w:tcMar>
                    <w:left w:w="28" w:type="dxa"/>
                    <w:right w:w="28" w:type="dxa"/>
                  </w:tcMar>
                  <w:vAlign w:val="center"/>
                </w:tcPr>
                <w:p>
                  <w:pPr>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szCs w:val="21"/>
                      <w:lang w:val="en-US" w:eastAsia="zh-CN"/>
                    </w:rPr>
                    <w:t>202</w:t>
                  </w:r>
                  <w:r>
                    <w:rPr>
                      <w:rFonts w:hint="eastAsia" w:ascii="Times New Roman" w:hAnsi="Times New Roman" w:cs="Times New Roman"/>
                      <w:color w:val="auto"/>
                      <w:szCs w:val="21"/>
                      <w:lang w:val="en-US" w:eastAsia="zh-CN"/>
                    </w:rPr>
                    <w:t>3.</w:t>
                  </w:r>
                  <w:r>
                    <w:rPr>
                      <w:rFonts w:hint="eastAsia" w:cs="Times New Roman"/>
                      <w:color w:val="auto"/>
                      <w:szCs w:val="21"/>
                      <w:lang w:val="en-US" w:eastAsia="zh-CN"/>
                    </w:rPr>
                    <w:t>5.10</w:t>
                  </w:r>
                </w:p>
              </w:tc>
              <w:tc>
                <w:tcPr>
                  <w:tcW w:w="1507" w:type="pct"/>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标态废气流量（m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/h）</w:t>
                  </w:r>
                </w:p>
              </w:tc>
              <w:tc>
                <w:tcPr>
                  <w:tcW w:w="546"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6433</w:t>
                  </w:r>
                </w:p>
              </w:tc>
              <w:tc>
                <w:tcPr>
                  <w:tcW w:w="517"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6704</w:t>
                  </w:r>
                </w:p>
              </w:tc>
              <w:tc>
                <w:tcPr>
                  <w:tcW w:w="520"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6505</w:t>
                  </w:r>
                </w:p>
              </w:tc>
              <w:tc>
                <w:tcPr>
                  <w:tcW w:w="518"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6504</w:t>
                  </w:r>
                </w:p>
              </w:tc>
              <w:tc>
                <w:tcPr>
                  <w:tcW w:w="518" w:type="pct"/>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Merge w:val="continue"/>
                  <w:tcBorders>
                    <w:righ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rPr>
                  </w:pPr>
                </w:p>
              </w:tc>
              <w:tc>
                <w:tcPr>
                  <w:tcW w:w="464" w:type="pct"/>
                  <w:vMerge w:val="continue"/>
                  <w:tcBorders>
                    <w:lef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rPr>
                  </w:pPr>
                </w:p>
              </w:tc>
              <w:tc>
                <w:tcPr>
                  <w:tcW w:w="1507" w:type="pct"/>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非甲烷总烃排放浓度（mg/m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w:t>
                  </w:r>
                </w:p>
              </w:tc>
              <w:tc>
                <w:tcPr>
                  <w:tcW w:w="546"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1.38</w:t>
                  </w:r>
                </w:p>
              </w:tc>
              <w:tc>
                <w:tcPr>
                  <w:tcW w:w="517"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1.46</w:t>
                  </w:r>
                </w:p>
              </w:tc>
              <w:tc>
                <w:tcPr>
                  <w:tcW w:w="520"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1.23</w:t>
                  </w:r>
                </w:p>
              </w:tc>
              <w:tc>
                <w:tcPr>
                  <w:tcW w:w="518" w:type="pct"/>
                  <w:noWrap w:val="0"/>
                  <w:tcMar>
                    <w:left w:w="28" w:type="dxa"/>
                    <w:right w:w="28" w:type="dxa"/>
                  </w:tcMar>
                  <w:vAlign w:val="center"/>
                </w:tcPr>
                <w:p>
                  <w:pPr>
                    <w:jc w:val="center"/>
                    <w:rPr>
                      <w:rFonts w:hint="default" w:eastAsia="宋体" w:cs="Times New Roman"/>
                      <w:color w:val="auto"/>
                      <w:szCs w:val="21"/>
                      <w:lang w:val="en-US" w:eastAsia="zh-CN"/>
                    </w:rPr>
                  </w:pPr>
                  <w:r>
                    <w:rPr>
                      <w:rFonts w:hint="eastAsia" w:eastAsia="宋体" w:cs="Times New Roman"/>
                      <w:color w:val="auto"/>
                      <w:szCs w:val="21"/>
                      <w:lang w:val="en-US" w:eastAsia="zh-CN"/>
                    </w:rPr>
                    <w:t>1.46</w:t>
                  </w:r>
                </w:p>
              </w:tc>
              <w:tc>
                <w:tcPr>
                  <w:tcW w:w="518" w:type="pct"/>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Merge w:val="continue"/>
                  <w:tcBorders>
                    <w:righ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rPr>
                  </w:pPr>
                </w:p>
              </w:tc>
              <w:tc>
                <w:tcPr>
                  <w:tcW w:w="464" w:type="pct"/>
                  <w:vMerge w:val="continue"/>
                  <w:tcBorders>
                    <w:lef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rPr>
                  </w:pPr>
                </w:p>
              </w:tc>
              <w:tc>
                <w:tcPr>
                  <w:tcW w:w="1507" w:type="pct"/>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非甲烷总烃排放速率（kg/h）</w:t>
                  </w:r>
                </w:p>
              </w:tc>
              <w:tc>
                <w:tcPr>
                  <w:tcW w:w="546"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8.88</w:t>
                  </w:r>
                  <w:r>
                    <w:rPr>
                      <w:rFonts w:hint="default" w:ascii="Arial" w:hAnsi="Arial" w:eastAsia="宋体" w:cs="Arial"/>
                      <w:color w:val="auto"/>
                      <w:szCs w:val="21"/>
                      <w:lang w:val="en-US" w:eastAsia="zh-CN"/>
                    </w:rPr>
                    <w:t>×</w:t>
                  </w:r>
                  <w:r>
                    <w:rPr>
                      <w:rFonts w:hint="eastAsia" w:eastAsia="宋体" w:cs="Times New Roman"/>
                      <w:color w:val="auto"/>
                      <w:szCs w:val="21"/>
                      <w:lang w:val="en-US" w:eastAsia="zh-CN"/>
                    </w:rPr>
                    <w:t>10</w:t>
                  </w:r>
                  <w:r>
                    <w:rPr>
                      <w:rFonts w:hint="eastAsia" w:eastAsia="宋体" w:cs="Times New Roman"/>
                      <w:color w:val="auto"/>
                      <w:szCs w:val="21"/>
                      <w:vertAlign w:val="superscript"/>
                      <w:lang w:val="en-US" w:eastAsia="zh-CN"/>
                    </w:rPr>
                    <w:t>-3</w:t>
                  </w:r>
                </w:p>
              </w:tc>
              <w:tc>
                <w:tcPr>
                  <w:tcW w:w="517"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9.79</w:t>
                  </w:r>
                  <w:r>
                    <w:rPr>
                      <w:rFonts w:hint="default" w:ascii="Arial" w:hAnsi="Arial" w:eastAsia="宋体" w:cs="Arial"/>
                      <w:color w:val="auto"/>
                      <w:szCs w:val="21"/>
                      <w:lang w:val="en-US" w:eastAsia="zh-CN"/>
                    </w:rPr>
                    <w:t>×</w:t>
                  </w:r>
                  <w:r>
                    <w:rPr>
                      <w:rFonts w:hint="eastAsia" w:eastAsia="宋体" w:cs="Times New Roman"/>
                      <w:color w:val="auto"/>
                      <w:szCs w:val="21"/>
                      <w:lang w:val="en-US" w:eastAsia="zh-CN"/>
                    </w:rPr>
                    <w:t>10</w:t>
                  </w:r>
                  <w:r>
                    <w:rPr>
                      <w:rFonts w:hint="eastAsia" w:eastAsia="宋体" w:cs="Times New Roman"/>
                      <w:color w:val="auto"/>
                      <w:szCs w:val="21"/>
                      <w:vertAlign w:val="superscript"/>
                      <w:lang w:val="en-US" w:eastAsia="zh-CN"/>
                    </w:rPr>
                    <w:t>-3</w:t>
                  </w:r>
                </w:p>
              </w:tc>
              <w:tc>
                <w:tcPr>
                  <w:tcW w:w="520" w:type="pct"/>
                  <w:noWrap w:val="0"/>
                  <w:tcMar>
                    <w:left w:w="28" w:type="dxa"/>
                    <w:right w:w="28" w:type="dxa"/>
                  </w:tcMar>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8.0</w:t>
                  </w:r>
                  <w:r>
                    <w:rPr>
                      <w:rFonts w:hint="default" w:ascii="Arial" w:hAnsi="Arial" w:eastAsia="宋体" w:cs="Arial"/>
                      <w:color w:val="auto"/>
                      <w:szCs w:val="21"/>
                      <w:lang w:val="en-US" w:eastAsia="zh-CN"/>
                    </w:rPr>
                    <w:t>×</w:t>
                  </w:r>
                  <w:r>
                    <w:rPr>
                      <w:rFonts w:hint="eastAsia" w:eastAsia="宋体" w:cs="Times New Roman"/>
                      <w:color w:val="auto"/>
                      <w:szCs w:val="21"/>
                      <w:lang w:val="en-US" w:eastAsia="zh-CN"/>
                    </w:rPr>
                    <w:t>10</w:t>
                  </w:r>
                  <w:r>
                    <w:rPr>
                      <w:rFonts w:hint="eastAsia" w:eastAsia="宋体" w:cs="Times New Roman"/>
                      <w:color w:val="auto"/>
                      <w:szCs w:val="21"/>
                      <w:vertAlign w:val="superscript"/>
                      <w:lang w:val="en-US" w:eastAsia="zh-CN"/>
                    </w:rPr>
                    <w:t>-3</w:t>
                  </w:r>
                </w:p>
              </w:tc>
              <w:tc>
                <w:tcPr>
                  <w:tcW w:w="518" w:type="pct"/>
                  <w:noWrap w:val="0"/>
                  <w:tcMar>
                    <w:left w:w="28" w:type="dxa"/>
                    <w:right w:w="28" w:type="dxa"/>
                  </w:tcMar>
                  <w:vAlign w:val="center"/>
                </w:tcPr>
                <w:p>
                  <w:pPr>
                    <w:jc w:val="center"/>
                    <w:rPr>
                      <w:rFonts w:hint="eastAsia" w:eastAsia="宋体" w:cs="Times New Roman"/>
                      <w:color w:val="auto"/>
                      <w:szCs w:val="21"/>
                      <w:lang w:val="en-US" w:eastAsia="zh-CN"/>
                    </w:rPr>
                  </w:pPr>
                  <w:r>
                    <w:rPr>
                      <w:rFonts w:hint="eastAsia" w:eastAsia="宋体" w:cs="Times New Roman"/>
                      <w:color w:val="auto"/>
                      <w:szCs w:val="21"/>
                      <w:lang w:val="en-US" w:eastAsia="zh-CN"/>
                    </w:rPr>
                    <w:t>9.5</w:t>
                  </w:r>
                  <w:r>
                    <w:rPr>
                      <w:rFonts w:hint="default" w:ascii="Arial" w:hAnsi="Arial" w:eastAsia="宋体" w:cs="Arial"/>
                      <w:color w:val="auto"/>
                      <w:szCs w:val="21"/>
                      <w:lang w:val="en-US" w:eastAsia="zh-CN"/>
                    </w:rPr>
                    <w:t>×</w:t>
                  </w:r>
                  <w:r>
                    <w:rPr>
                      <w:rFonts w:hint="eastAsia" w:eastAsia="宋体" w:cs="Times New Roman"/>
                      <w:color w:val="auto"/>
                      <w:szCs w:val="21"/>
                      <w:lang w:val="en-US" w:eastAsia="zh-CN"/>
                    </w:rPr>
                    <w:t>10</w:t>
                  </w:r>
                  <w:r>
                    <w:rPr>
                      <w:rFonts w:hint="eastAsia" w:eastAsia="宋体" w:cs="Times New Roman"/>
                      <w:color w:val="auto"/>
                      <w:szCs w:val="21"/>
                      <w:vertAlign w:val="superscript"/>
                      <w:lang w:val="en-US" w:eastAsia="zh-CN"/>
                    </w:rPr>
                    <w:t>-3</w:t>
                  </w:r>
                </w:p>
              </w:tc>
              <w:tc>
                <w:tcPr>
                  <w:tcW w:w="518" w:type="pct"/>
                  <w:noWrap w:val="0"/>
                  <w:tcMar>
                    <w:left w:w="28" w:type="dxa"/>
                    <w:right w:w="28" w:type="dxa"/>
                  </w:tcMar>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3</w:t>
                  </w:r>
                </w:p>
              </w:tc>
            </w:tr>
          </w:tbl>
          <w:p>
            <w:pPr>
              <w:spacing w:line="500" w:lineRule="exact"/>
              <w:jc w:val="center"/>
              <w:rPr>
                <w:rFonts w:hint="default" w:ascii="Times New Roman" w:hAnsi="Times New Roman" w:cs="Times New Roman"/>
                <w:b/>
                <w:color w:val="auto"/>
                <w:sz w:val="24"/>
              </w:rPr>
            </w:pPr>
            <w:r>
              <w:rPr>
                <w:rFonts w:hint="default" w:ascii="Times New Roman" w:hAnsi="Times New Roman" w:cs="Times New Roman"/>
                <w:b/>
                <w:color w:val="auto"/>
                <w:szCs w:val="21"/>
              </w:rPr>
              <w:t>表2-1</w:t>
            </w:r>
            <w:r>
              <w:rPr>
                <w:rFonts w:hint="eastAsia" w:cs="Times New Roman"/>
                <w:b/>
                <w:color w:val="auto"/>
                <w:szCs w:val="21"/>
                <w:lang w:val="en-US" w:eastAsia="zh-CN"/>
              </w:rPr>
              <w:t>3</w:t>
            </w:r>
            <w:r>
              <w:rPr>
                <w:rFonts w:hint="default" w:ascii="Times New Roman" w:hAnsi="Times New Roman" w:cs="Times New Roman"/>
                <w:b/>
                <w:color w:val="auto"/>
                <w:szCs w:val="21"/>
              </w:rPr>
              <w:t xml:space="preserve"> </w:t>
            </w:r>
            <w:r>
              <w:rPr>
                <w:rFonts w:hint="default" w:ascii="Times New Roman" w:hAnsi="Times New Roman" w:cs="Times New Roman"/>
                <w:b/>
                <w:color w:val="auto"/>
                <w:szCs w:val="21"/>
                <w:lang w:val="en-US" w:eastAsia="zh-CN"/>
              </w:rPr>
              <w:t>现有</w:t>
            </w:r>
            <w:r>
              <w:rPr>
                <w:rFonts w:hint="default" w:ascii="Times New Roman" w:hAnsi="Times New Roman" w:cs="Times New Roman"/>
                <w:b/>
                <w:color w:val="auto"/>
                <w:szCs w:val="21"/>
              </w:rPr>
              <w:t>项目</w:t>
            </w:r>
            <w:r>
              <w:rPr>
                <w:rFonts w:hint="default" w:ascii="Times New Roman" w:hAnsi="Times New Roman" w:cs="Times New Roman"/>
                <w:b/>
                <w:color w:val="auto"/>
                <w:szCs w:val="21"/>
                <w:lang w:val="en-US" w:eastAsia="zh-CN"/>
              </w:rPr>
              <w:t>无</w:t>
            </w:r>
            <w:r>
              <w:rPr>
                <w:rFonts w:hint="default" w:ascii="Times New Roman" w:hAnsi="Times New Roman" w:cs="Times New Roman"/>
                <w:b/>
                <w:color w:val="auto"/>
                <w:szCs w:val="21"/>
              </w:rPr>
              <w:t>组织废气排放情况</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833"/>
              <w:gridCol w:w="1612"/>
              <w:gridCol w:w="2048"/>
              <w:gridCol w:w="16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768"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lang w:val="en-US" w:eastAsia="zh-CN"/>
                    </w:rPr>
                    <w:t>检测日期</w:t>
                  </w:r>
                </w:p>
              </w:tc>
              <w:tc>
                <w:tcPr>
                  <w:tcW w:w="1090" w:type="pct"/>
                  <w:tcBorders>
                    <w:tl2br w:val="nil"/>
                    <w:tr2bl w:val="nil"/>
                  </w:tcBorders>
                  <w:vAlign w:val="center"/>
                </w:tcPr>
                <w:p>
                  <w:pPr>
                    <w:adjustRightInd w:val="0"/>
                    <w:snapToGrid w:val="0"/>
                    <w:jc w:val="center"/>
                    <w:rPr>
                      <w:rFonts w:hint="default" w:ascii="Times New Roman" w:hAnsi="Times New Roman" w:cs="Times New Roman"/>
                      <w:b/>
                      <w:bCs/>
                      <w:color w:val="auto"/>
                      <w:szCs w:val="21"/>
                      <w:lang w:val="en-US" w:eastAsia="zh-CN"/>
                    </w:rPr>
                  </w:pPr>
                  <w:r>
                    <w:rPr>
                      <w:rFonts w:hint="default" w:ascii="Times New Roman" w:hAnsi="Times New Roman" w:cs="Times New Roman"/>
                      <w:b/>
                      <w:bCs/>
                      <w:color w:val="auto"/>
                      <w:szCs w:val="21"/>
                      <w:lang w:val="en-US" w:eastAsia="zh-CN"/>
                    </w:rPr>
                    <w:t>检测点位</w:t>
                  </w:r>
                </w:p>
              </w:tc>
              <w:tc>
                <w:tcPr>
                  <w:tcW w:w="959" w:type="pct"/>
                  <w:tcBorders>
                    <w:tl2br w:val="nil"/>
                    <w:tr2bl w:val="nil"/>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污染物名称</w:t>
                  </w:r>
                </w:p>
              </w:tc>
              <w:tc>
                <w:tcPr>
                  <w:tcW w:w="1218"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szCs w:val="21"/>
                      <w:lang w:eastAsia="zh-CN"/>
                    </w:rPr>
                  </w:pPr>
                  <w:r>
                    <w:rPr>
                      <w:rFonts w:hint="default" w:ascii="Times New Roman" w:hAnsi="Times New Roman" w:cs="Times New Roman"/>
                      <w:b/>
                      <w:bCs/>
                      <w:color w:val="auto"/>
                      <w:szCs w:val="21"/>
                      <w:lang w:val="en-US" w:eastAsia="zh-CN"/>
                    </w:rPr>
                    <w:t>检测值</w:t>
                  </w:r>
                  <w:r>
                    <w:rPr>
                      <w:rFonts w:hint="default" w:ascii="Times New Roman" w:hAnsi="Times New Roman" w:cs="Times New Roman"/>
                      <w:b/>
                      <w:bCs/>
                      <w:color w:val="auto"/>
                      <w:szCs w:val="21"/>
                      <w:lang w:eastAsia="zh-CN"/>
                    </w:rPr>
                    <w:t>（</w:t>
                  </w:r>
                  <w:r>
                    <w:rPr>
                      <w:rFonts w:hint="default" w:ascii="Times New Roman" w:hAnsi="Times New Roman" w:cs="Times New Roman"/>
                      <w:b/>
                      <w:bCs/>
                      <w:color w:val="auto"/>
                      <w:szCs w:val="21"/>
                    </w:rPr>
                    <w:t>mg/m</w:t>
                  </w:r>
                  <w:r>
                    <w:rPr>
                      <w:rFonts w:hint="default" w:ascii="Times New Roman" w:hAnsi="Times New Roman" w:cs="Times New Roman"/>
                      <w:b/>
                      <w:bCs/>
                      <w:color w:val="auto"/>
                      <w:szCs w:val="21"/>
                      <w:vertAlign w:val="superscript"/>
                    </w:rPr>
                    <w:t>3</w:t>
                  </w:r>
                  <w:r>
                    <w:rPr>
                      <w:rFonts w:hint="default" w:ascii="Times New Roman" w:hAnsi="Times New Roman" w:cs="Times New Roman"/>
                      <w:b/>
                      <w:bCs/>
                      <w:color w:val="auto"/>
                      <w:szCs w:val="21"/>
                      <w:lang w:eastAsia="zh-CN"/>
                    </w:rPr>
                    <w:t>）</w:t>
                  </w:r>
                </w:p>
              </w:tc>
              <w:tc>
                <w:tcPr>
                  <w:tcW w:w="963"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szCs w:val="21"/>
                      <w:lang w:eastAsia="zh-CN"/>
                    </w:rPr>
                  </w:pPr>
                  <w:r>
                    <w:rPr>
                      <w:rFonts w:hint="default" w:ascii="Times New Roman" w:hAnsi="Times New Roman" w:cs="Times New Roman"/>
                      <w:b/>
                      <w:bCs/>
                      <w:color w:val="auto"/>
                      <w:kern w:val="0"/>
                      <w:szCs w:val="21"/>
                      <w:lang w:val="en-US" w:eastAsia="zh-CN"/>
                    </w:rPr>
                    <w:t>标准值</w:t>
                  </w:r>
                  <w:r>
                    <w:rPr>
                      <w:rFonts w:hint="default" w:ascii="Times New Roman" w:hAnsi="Times New Roman" w:cs="Times New Roman"/>
                      <w:b/>
                      <w:bCs/>
                      <w:color w:val="auto"/>
                      <w:szCs w:val="21"/>
                      <w:lang w:eastAsia="zh-CN"/>
                    </w:rPr>
                    <w:t>（</w:t>
                  </w:r>
                  <w:r>
                    <w:rPr>
                      <w:rFonts w:hint="default" w:ascii="Times New Roman" w:hAnsi="Times New Roman" w:cs="Times New Roman"/>
                      <w:b/>
                      <w:bCs/>
                      <w:color w:val="auto"/>
                      <w:szCs w:val="21"/>
                    </w:rPr>
                    <w:t>mg/m</w:t>
                  </w:r>
                  <w:r>
                    <w:rPr>
                      <w:rFonts w:hint="default" w:ascii="Times New Roman" w:hAnsi="Times New Roman" w:cs="Times New Roman"/>
                      <w:b/>
                      <w:bCs/>
                      <w:color w:val="auto"/>
                      <w:szCs w:val="21"/>
                      <w:vertAlign w:val="superscript"/>
                    </w:rPr>
                    <w:t>3</w:t>
                  </w:r>
                  <w:r>
                    <w:rPr>
                      <w:rFonts w:hint="default" w:ascii="Times New Roman" w:hAnsi="Times New Roman" w:cs="Times New Roman"/>
                      <w:b/>
                      <w:bCs/>
                      <w:color w:val="auto"/>
                      <w:szCs w:val="21"/>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restart"/>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202</w:t>
                  </w:r>
                  <w:r>
                    <w:rPr>
                      <w:rFonts w:hint="eastAsia" w:ascii="Times New Roman" w:hAnsi="Times New Roman" w:cs="Times New Roman"/>
                      <w:color w:val="auto"/>
                      <w:szCs w:val="21"/>
                      <w:lang w:val="en-US" w:eastAsia="zh-CN"/>
                    </w:rPr>
                    <w:t>3.10.23</w:t>
                  </w:r>
                </w:p>
              </w:tc>
              <w:tc>
                <w:tcPr>
                  <w:tcW w:w="1090" w:type="pct"/>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厂界上风向1#</w:t>
                  </w:r>
                </w:p>
              </w:tc>
              <w:tc>
                <w:tcPr>
                  <w:tcW w:w="959" w:type="pct"/>
                  <w:tcBorders>
                    <w:tl2br w:val="nil"/>
                    <w:tr2bl w:val="nil"/>
                  </w:tcBorders>
                  <w:vAlign w:val="center"/>
                </w:tcPr>
                <w:p>
                  <w:pPr>
                    <w:pStyle w:val="57"/>
                    <w:spacing w:line="240" w:lineRule="auto"/>
                    <w:rPr>
                      <w:rFonts w:hint="default" w:ascii="Times New Roman" w:hAnsi="Times New Roman" w:eastAsia="宋体" w:cs="Times New Roman"/>
                      <w:bCs w:val="0"/>
                      <w:color w:val="auto"/>
                      <w:szCs w:val="21"/>
                      <w:lang w:val="en-US" w:eastAsia="zh-CN"/>
                    </w:rPr>
                  </w:pPr>
                  <w:r>
                    <w:rPr>
                      <w:rFonts w:hint="default" w:ascii="Times New Roman" w:hAnsi="Times New Roman" w:cs="Times New Roman"/>
                      <w:bCs w:val="0"/>
                      <w:color w:val="auto"/>
                      <w:szCs w:val="21"/>
                    </w:rPr>
                    <w:t>非甲烷总烃</w:t>
                  </w:r>
                </w:p>
              </w:tc>
              <w:tc>
                <w:tcPr>
                  <w:tcW w:w="1218" w:type="pct"/>
                  <w:tcBorders>
                    <w:tl2br w:val="nil"/>
                    <w:tr2bl w:val="nil"/>
                  </w:tcBorders>
                  <w:vAlign w:val="center"/>
                </w:tcPr>
                <w:p>
                  <w:pPr>
                    <w:tabs>
                      <w:tab w:val="center" w:pos="4393"/>
                      <w:tab w:val="left" w:pos="7140"/>
                    </w:tabs>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0.57</w:t>
                  </w:r>
                </w:p>
              </w:tc>
              <w:tc>
                <w:tcPr>
                  <w:tcW w:w="963"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p>
              </w:tc>
              <w:tc>
                <w:tcPr>
                  <w:tcW w:w="1090" w:type="pct"/>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厂界下风向2#</w:t>
                  </w:r>
                </w:p>
              </w:tc>
              <w:tc>
                <w:tcPr>
                  <w:tcW w:w="959" w:type="pct"/>
                  <w:tcBorders>
                    <w:tl2br w:val="nil"/>
                    <w:tr2bl w:val="nil"/>
                  </w:tcBorders>
                  <w:vAlign w:val="center"/>
                </w:tcPr>
                <w:p>
                  <w:pPr>
                    <w:pStyle w:val="57"/>
                    <w:spacing w:line="240" w:lineRule="auto"/>
                    <w:rPr>
                      <w:rFonts w:hint="default" w:ascii="Times New Roman" w:hAnsi="Times New Roman" w:cs="Times New Roman"/>
                      <w:bCs w:val="0"/>
                      <w:color w:val="auto"/>
                      <w:szCs w:val="21"/>
                    </w:rPr>
                  </w:pPr>
                  <w:r>
                    <w:rPr>
                      <w:rFonts w:hint="default" w:ascii="Times New Roman" w:hAnsi="Times New Roman" w:cs="Times New Roman"/>
                      <w:bCs w:val="0"/>
                      <w:color w:val="auto"/>
                      <w:szCs w:val="21"/>
                    </w:rPr>
                    <w:t>非甲烷总烃</w:t>
                  </w:r>
                </w:p>
              </w:tc>
              <w:tc>
                <w:tcPr>
                  <w:tcW w:w="1218" w:type="pct"/>
                  <w:tcBorders>
                    <w:tl2br w:val="nil"/>
                    <w:tr2bl w:val="nil"/>
                  </w:tcBorders>
                  <w:vAlign w:val="center"/>
                </w:tcPr>
                <w:p>
                  <w:pPr>
                    <w:tabs>
                      <w:tab w:val="center" w:pos="4393"/>
                      <w:tab w:val="left" w:pos="7140"/>
                    </w:tabs>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1.03</w:t>
                  </w:r>
                </w:p>
              </w:tc>
              <w:tc>
                <w:tcPr>
                  <w:tcW w:w="963"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p>
              </w:tc>
              <w:tc>
                <w:tcPr>
                  <w:tcW w:w="1090" w:type="pct"/>
                  <w:tcBorders>
                    <w:tl2br w:val="nil"/>
                    <w:tr2bl w:val="nil"/>
                  </w:tcBorders>
                  <w:vAlign w:val="center"/>
                </w:tcPr>
                <w:p>
                  <w:pPr>
                    <w:pStyle w:val="6"/>
                    <w:adjustRightInd w:val="0"/>
                    <w:snapToGrid w:val="0"/>
                    <w:ind w:firstLine="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厂界下风向3#</w:t>
                  </w:r>
                </w:p>
              </w:tc>
              <w:tc>
                <w:tcPr>
                  <w:tcW w:w="959" w:type="pct"/>
                  <w:tcBorders>
                    <w:tl2br w:val="nil"/>
                    <w:tr2bl w:val="nil"/>
                  </w:tcBorders>
                  <w:vAlign w:val="center"/>
                </w:tcPr>
                <w:p>
                  <w:pPr>
                    <w:pStyle w:val="57"/>
                    <w:spacing w:line="240" w:lineRule="auto"/>
                    <w:rPr>
                      <w:rFonts w:hint="default" w:ascii="Times New Roman" w:hAnsi="Times New Roman" w:cs="Times New Roman"/>
                      <w:bCs w:val="0"/>
                      <w:color w:val="auto"/>
                      <w:szCs w:val="21"/>
                    </w:rPr>
                  </w:pPr>
                  <w:r>
                    <w:rPr>
                      <w:rFonts w:hint="default" w:ascii="Times New Roman" w:hAnsi="Times New Roman" w:cs="Times New Roman"/>
                      <w:bCs w:val="0"/>
                      <w:color w:val="auto"/>
                      <w:szCs w:val="21"/>
                    </w:rPr>
                    <w:t>非甲烷总烃</w:t>
                  </w:r>
                </w:p>
              </w:tc>
              <w:tc>
                <w:tcPr>
                  <w:tcW w:w="1218" w:type="pct"/>
                  <w:tcBorders>
                    <w:tl2br w:val="nil"/>
                    <w:tr2bl w:val="nil"/>
                  </w:tcBorders>
                  <w:vAlign w:val="center"/>
                </w:tcPr>
                <w:p>
                  <w:pPr>
                    <w:tabs>
                      <w:tab w:val="center" w:pos="4393"/>
                      <w:tab w:val="left" w:pos="7140"/>
                    </w:tabs>
                    <w:adjustRightInd w:val="0"/>
                    <w:snapToGrid w:val="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0.93</w:t>
                  </w:r>
                </w:p>
              </w:tc>
              <w:tc>
                <w:tcPr>
                  <w:tcW w:w="963" w:type="pct"/>
                  <w:tcBorders>
                    <w:tl2br w:val="nil"/>
                    <w:tr2bl w:val="nil"/>
                  </w:tcBorders>
                  <w:vAlign w:val="center"/>
                </w:tcPr>
                <w:p>
                  <w:pPr>
                    <w:widowControl/>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p>
              </w:tc>
              <w:tc>
                <w:tcPr>
                  <w:tcW w:w="1090" w:type="pct"/>
                  <w:tcBorders>
                    <w:tl2br w:val="nil"/>
                    <w:tr2bl w:val="nil"/>
                  </w:tcBorders>
                  <w:vAlign w:val="center"/>
                </w:tcPr>
                <w:p>
                  <w:pPr>
                    <w:pStyle w:val="6"/>
                    <w:adjustRightInd w:val="0"/>
                    <w:snapToGrid w:val="0"/>
                    <w:ind w:firstLine="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厂界下风向4#</w:t>
                  </w:r>
                </w:p>
              </w:tc>
              <w:tc>
                <w:tcPr>
                  <w:tcW w:w="959" w:type="pct"/>
                  <w:tcBorders>
                    <w:tl2br w:val="nil"/>
                    <w:tr2bl w:val="nil"/>
                  </w:tcBorders>
                  <w:vAlign w:val="center"/>
                </w:tcPr>
                <w:p>
                  <w:pPr>
                    <w:pStyle w:val="57"/>
                    <w:spacing w:line="240" w:lineRule="auto"/>
                    <w:rPr>
                      <w:rFonts w:hint="default" w:ascii="Times New Roman" w:hAnsi="Times New Roman" w:cs="Times New Roman"/>
                      <w:bCs w:val="0"/>
                      <w:color w:val="auto"/>
                      <w:szCs w:val="21"/>
                    </w:rPr>
                  </w:pPr>
                  <w:r>
                    <w:rPr>
                      <w:rFonts w:hint="default" w:ascii="Times New Roman" w:hAnsi="Times New Roman" w:cs="Times New Roman"/>
                      <w:bCs w:val="0"/>
                      <w:color w:val="auto"/>
                      <w:szCs w:val="21"/>
                    </w:rPr>
                    <w:t>非甲烷总烃</w:t>
                  </w:r>
                </w:p>
              </w:tc>
              <w:tc>
                <w:tcPr>
                  <w:tcW w:w="1218" w:type="pct"/>
                  <w:tcBorders>
                    <w:tl2br w:val="nil"/>
                    <w:tr2bl w:val="nil"/>
                  </w:tcBorders>
                  <w:vAlign w:val="center"/>
                </w:tcPr>
                <w:p>
                  <w:pPr>
                    <w:tabs>
                      <w:tab w:val="center" w:pos="4393"/>
                      <w:tab w:val="left" w:pos="7140"/>
                    </w:tabs>
                    <w:adjustRightInd w:val="0"/>
                    <w:snapToGrid w:val="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0.91</w:t>
                  </w:r>
                </w:p>
              </w:tc>
              <w:tc>
                <w:tcPr>
                  <w:tcW w:w="963" w:type="pct"/>
                  <w:tcBorders>
                    <w:tl2br w:val="nil"/>
                    <w:tr2bl w:val="nil"/>
                  </w:tcBorders>
                  <w:vAlign w:val="center"/>
                </w:tcPr>
                <w:p>
                  <w:pPr>
                    <w:widowControl/>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4.0</w:t>
                  </w:r>
                </w:p>
              </w:tc>
            </w:tr>
          </w:tbl>
          <w:p>
            <w:pPr>
              <w:spacing w:line="500" w:lineRule="exact"/>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w:t>
            </w:r>
            <w:r>
              <w:rPr>
                <w:rFonts w:hint="eastAsia" w:ascii="Times New Roman" w:hAnsi="Times New Roman" w:eastAsia="宋体" w:cs="Times New Roman"/>
                <w:sz w:val="24"/>
                <w:szCs w:val="24"/>
                <w:lang w:val="en-US" w:eastAsia="zh-CN"/>
              </w:rPr>
              <w:t>废气例行监测报告</w:t>
            </w:r>
            <w:r>
              <w:rPr>
                <w:rFonts w:hint="default" w:ascii="Times New Roman" w:hAnsi="Times New Roman" w:eastAsia="宋体" w:cs="Times New Roman"/>
                <w:sz w:val="24"/>
                <w:szCs w:val="24"/>
                <w:lang w:val="en-US" w:eastAsia="zh-CN"/>
              </w:rPr>
              <w:t>，企业</w:t>
            </w:r>
            <w:r>
              <w:rPr>
                <w:rFonts w:hint="eastAsia" w:ascii="Times New Roman" w:hAnsi="Times New Roman" w:eastAsia="宋体" w:cs="Times New Roman"/>
                <w:sz w:val="24"/>
                <w:szCs w:val="24"/>
                <w:lang w:val="en-US" w:eastAsia="zh-CN"/>
              </w:rPr>
              <w:t>非甲烷总烃废气</w:t>
            </w:r>
            <w:r>
              <w:rPr>
                <w:rFonts w:hint="default" w:ascii="Times New Roman" w:hAnsi="Times New Roman" w:eastAsia="宋体" w:cs="Times New Roman"/>
                <w:sz w:val="24"/>
                <w:szCs w:val="24"/>
                <w:lang w:val="en-US" w:eastAsia="zh-CN"/>
              </w:rPr>
              <w:t>有组织排放浓度</w:t>
            </w:r>
            <w:r>
              <w:rPr>
                <w:rFonts w:hint="eastAsia" w:ascii="Times New Roman" w:hAnsi="Times New Roman" w:eastAsia="宋体" w:cs="Times New Roman"/>
                <w:sz w:val="24"/>
                <w:szCs w:val="24"/>
                <w:lang w:val="en-US" w:eastAsia="zh-CN"/>
              </w:rPr>
              <w:t>及排放速率</w:t>
            </w:r>
            <w:r>
              <w:rPr>
                <w:rFonts w:hint="default" w:ascii="Times New Roman" w:hAnsi="Times New Roman" w:eastAsia="宋体" w:cs="Times New Roman"/>
                <w:sz w:val="24"/>
                <w:szCs w:val="24"/>
                <w:lang w:val="en-US" w:eastAsia="zh-CN"/>
              </w:rPr>
              <w:t>符合《大气污染物综合排放标准》（DB32/4041-2021）表</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标准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无组织排放浓度符合《大气污染物综合排放标准》（DB32/4041-2021）表3标准。</w:t>
            </w:r>
          </w:p>
          <w:p>
            <w:pPr>
              <w:adjustRightInd w:val="0"/>
              <w:snapToGrid w:val="0"/>
              <w:spacing w:line="460" w:lineRule="exact"/>
              <w:ind w:firstLine="482" w:firstLineChars="200"/>
              <w:rPr>
                <w:rFonts w:hint="default" w:ascii="Times New Roman" w:hAnsi="Times New Roman" w:cs="Times New Roman"/>
                <w:b/>
                <w:bCs/>
                <w:color w:val="auto"/>
                <w:sz w:val="24"/>
              </w:rPr>
            </w:pPr>
            <w:r>
              <w:rPr>
                <w:rFonts w:hint="eastAsia" w:cs="Times New Roman"/>
                <w:b/>
                <w:bCs/>
                <w:color w:val="auto"/>
                <w:sz w:val="24"/>
                <w:lang w:eastAsia="zh-CN"/>
              </w:rPr>
              <w:t>（</w:t>
            </w:r>
            <w:r>
              <w:rPr>
                <w:rFonts w:hint="eastAsia" w:cs="Times New Roman"/>
                <w:b/>
                <w:bCs/>
                <w:color w:val="auto"/>
                <w:sz w:val="24"/>
                <w:lang w:val="en-US" w:eastAsia="zh-CN"/>
              </w:rPr>
              <w:t>3</w:t>
            </w:r>
            <w:r>
              <w:rPr>
                <w:rFonts w:hint="eastAsia" w:cs="Times New Roman"/>
                <w:b/>
                <w:bCs/>
                <w:color w:val="auto"/>
                <w:sz w:val="24"/>
                <w:lang w:eastAsia="zh-CN"/>
              </w:rPr>
              <w:t>）</w:t>
            </w:r>
            <w:r>
              <w:rPr>
                <w:rFonts w:hint="default" w:ascii="Times New Roman" w:hAnsi="Times New Roman" w:cs="Times New Roman"/>
                <w:b/>
                <w:bCs/>
                <w:color w:val="auto"/>
                <w:sz w:val="24"/>
              </w:rPr>
              <w:t>噪声</w:t>
            </w:r>
          </w:p>
          <w:p>
            <w:pPr>
              <w:spacing w:line="5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项目噪声主要为</w:t>
            </w:r>
            <w:r>
              <w:rPr>
                <w:rFonts w:hint="eastAsia" w:ascii="Times New Roman" w:hAnsi="Times New Roman" w:eastAsia="宋体" w:cs="Times New Roman"/>
                <w:sz w:val="24"/>
                <w:szCs w:val="24"/>
                <w:lang w:val="en-US" w:eastAsia="zh-CN"/>
              </w:rPr>
              <w:t>液压机</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sz w:val="24"/>
                <w:szCs w:val="24"/>
                <w:lang w:val="en-US" w:eastAsia="zh-CN"/>
              </w:rPr>
              <w:t>泡棉直切机</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空压机等运行产生的噪声，通过选用低噪声设备、合理布局、安装减震垫、隔声罩墙体隔声等措施来控制。</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b/>
                <w:color w:val="auto"/>
                <w:szCs w:val="21"/>
              </w:rPr>
              <w:t>表2-1</w:t>
            </w:r>
            <w:r>
              <w:rPr>
                <w:rFonts w:hint="eastAsia" w:cs="Times New Roman"/>
                <w:b/>
                <w:color w:val="auto"/>
                <w:szCs w:val="21"/>
                <w:lang w:val="en-US" w:eastAsia="zh-CN"/>
              </w:rPr>
              <w:t>4</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 </w:t>
            </w:r>
            <w:r>
              <w:rPr>
                <w:rFonts w:hint="default" w:ascii="Times New Roman" w:hAnsi="Times New Roman" w:cs="Times New Roman"/>
                <w:b/>
                <w:color w:val="auto"/>
                <w:szCs w:val="21"/>
                <w:lang w:val="en-US" w:eastAsia="zh-CN"/>
              </w:rPr>
              <w:t>现有</w:t>
            </w:r>
            <w:r>
              <w:rPr>
                <w:rFonts w:hint="default" w:ascii="Times New Roman" w:hAnsi="Times New Roman" w:cs="Times New Roman"/>
                <w:b/>
                <w:color w:val="auto"/>
                <w:szCs w:val="21"/>
              </w:rPr>
              <w:t>项目</w:t>
            </w:r>
            <w:r>
              <w:rPr>
                <w:rFonts w:hint="default" w:ascii="Times New Roman" w:hAnsi="Times New Roman" w:cs="Times New Roman"/>
                <w:b/>
                <w:color w:val="auto"/>
                <w:szCs w:val="21"/>
                <w:lang w:val="en-US" w:eastAsia="zh-CN"/>
              </w:rPr>
              <w:t>噪声监测</w:t>
            </w:r>
            <w:r>
              <w:rPr>
                <w:rFonts w:hint="default" w:ascii="Times New Roman" w:hAnsi="Times New Roman" w:cs="Times New Roman"/>
                <w:b/>
                <w:color w:val="auto"/>
                <w:szCs w:val="21"/>
              </w:rPr>
              <w:t>情况</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099"/>
              <w:gridCol w:w="1253"/>
              <w:gridCol w:w="1255"/>
              <w:gridCol w:w="1253"/>
              <w:gridCol w:w="12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6" w:type="pct"/>
                  <w:vMerge w:val="restart"/>
                  <w:tcBorders>
                    <w:tl2br w:val="nil"/>
                    <w:tr2bl w:val="nil"/>
                  </w:tcBorders>
                  <w:vAlign w:val="center"/>
                </w:tcPr>
                <w:p>
                  <w:pPr>
                    <w:adjustRightInd w:val="0"/>
                    <w:snapToGrid w:val="0"/>
                    <w:jc w:val="center"/>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lang w:val="en-US" w:eastAsia="zh-CN"/>
                    </w:rPr>
                    <w:t>检测日期</w:t>
                  </w:r>
                </w:p>
              </w:tc>
              <w:tc>
                <w:tcPr>
                  <w:tcW w:w="1248" w:type="pct"/>
                  <w:vMerge w:val="restart"/>
                  <w:tcBorders>
                    <w:tl2br w:val="nil"/>
                    <w:tr2bl w:val="nil"/>
                  </w:tcBorders>
                  <w:vAlign w:val="center"/>
                </w:tcPr>
                <w:p>
                  <w:pPr>
                    <w:adjustRightInd w:val="0"/>
                    <w:snapToGrid w:val="0"/>
                    <w:jc w:val="center"/>
                    <w:rPr>
                      <w:rFonts w:hint="default" w:ascii="Times New Roman" w:hAnsi="Times New Roman" w:cs="Times New Roman"/>
                      <w:b/>
                      <w:bCs/>
                      <w:color w:val="auto"/>
                      <w:szCs w:val="21"/>
                      <w:lang w:val="en-US" w:eastAsia="zh-CN"/>
                    </w:rPr>
                  </w:pPr>
                  <w:r>
                    <w:rPr>
                      <w:rFonts w:hint="default" w:ascii="Times New Roman" w:hAnsi="Times New Roman" w:cs="Times New Roman"/>
                      <w:b/>
                      <w:bCs/>
                      <w:color w:val="auto"/>
                      <w:szCs w:val="21"/>
                      <w:lang w:val="en-US" w:eastAsia="zh-CN"/>
                    </w:rPr>
                    <w:t>检测点位</w:t>
                  </w:r>
                </w:p>
              </w:tc>
              <w:tc>
                <w:tcPr>
                  <w:tcW w:w="1491" w:type="pct"/>
                  <w:gridSpan w:val="2"/>
                  <w:tcBorders>
                    <w:tl2br w:val="nil"/>
                    <w:tr2bl w:val="nil"/>
                  </w:tcBorders>
                  <w:vAlign w:val="center"/>
                </w:tcPr>
                <w:p>
                  <w:pPr>
                    <w:adjustRightInd w:val="0"/>
                    <w:snapToGrid w:val="0"/>
                    <w:jc w:val="center"/>
                    <w:rPr>
                      <w:rFonts w:hint="default" w:ascii="Times New Roman" w:hAnsi="Times New Roman" w:eastAsia="宋体" w:cs="Times New Roman"/>
                      <w:b/>
                      <w:bCs/>
                      <w:color w:val="auto"/>
                      <w:szCs w:val="21"/>
                      <w:lang w:eastAsia="zh-CN"/>
                    </w:rPr>
                  </w:pPr>
                  <w:r>
                    <w:rPr>
                      <w:rFonts w:hint="default" w:ascii="Times New Roman" w:hAnsi="Times New Roman" w:cs="Times New Roman"/>
                      <w:b/>
                      <w:bCs/>
                      <w:color w:val="auto"/>
                      <w:szCs w:val="21"/>
                      <w:lang w:val="en-US" w:eastAsia="zh-CN"/>
                    </w:rPr>
                    <w:t>监测结果dB</w:t>
                  </w:r>
                  <w:r>
                    <w:rPr>
                      <w:rFonts w:hint="default" w:ascii="Times New Roman" w:hAnsi="Times New Roman" w:cs="Times New Roman"/>
                      <w:b/>
                      <w:bCs/>
                      <w:color w:val="auto"/>
                      <w:szCs w:val="21"/>
                      <w:lang w:eastAsia="zh-CN"/>
                    </w:rPr>
                    <w:t>（</w:t>
                  </w:r>
                  <w:r>
                    <w:rPr>
                      <w:rFonts w:hint="default" w:ascii="Times New Roman" w:hAnsi="Times New Roman" w:cs="Times New Roman"/>
                      <w:b/>
                      <w:bCs/>
                      <w:color w:val="auto"/>
                      <w:szCs w:val="21"/>
                      <w:lang w:val="en-US" w:eastAsia="zh-CN"/>
                    </w:rPr>
                    <w:t>A</w:t>
                  </w:r>
                  <w:r>
                    <w:rPr>
                      <w:rFonts w:hint="default" w:ascii="Times New Roman" w:hAnsi="Times New Roman" w:cs="Times New Roman"/>
                      <w:b/>
                      <w:bCs/>
                      <w:color w:val="auto"/>
                      <w:szCs w:val="21"/>
                      <w:lang w:eastAsia="zh-CN"/>
                    </w:rPr>
                    <w:t>）</w:t>
                  </w:r>
                </w:p>
              </w:tc>
              <w:tc>
                <w:tcPr>
                  <w:tcW w:w="1492" w:type="pct"/>
                  <w:gridSpan w:val="2"/>
                  <w:tcBorders>
                    <w:tl2br w:val="nil"/>
                    <w:tr2bl w:val="nil"/>
                  </w:tcBorders>
                  <w:vAlign w:val="center"/>
                </w:tcPr>
                <w:p>
                  <w:pPr>
                    <w:adjustRightInd w:val="0"/>
                    <w:snapToGrid w:val="0"/>
                    <w:jc w:val="center"/>
                    <w:rPr>
                      <w:rFonts w:hint="default" w:ascii="Times New Roman" w:hAnsi="Times New Roman" w:eastAsia="宋体" w:cs="Times New Roman"/>
                      <w:b/>
                      <w:bCs/>
                      <w:color w:val="auto"/>
                      <w:szCs w:val="21"/>
                      <w:lang w:eastAsia="zh-CN"/>
                    </w:rPr>
                  </w:pPr>
                  <w:r>
                    <w:rPr>
                      <w:rFonts w:hint="default" w:ascii="Times New Roman" w:hAnsi="Times New Roman" w:cs="Times New Roman"/>
                      <w:b/>
                      <w:bCs/>
                      <w:color w:val="auto"/>
                      <w:kern w:val="0"/>
                      <w:szCs w:val="21"/>
                      <w:lang w:val="en-US" w:eastAsia="zh-CN"/>
                    </w:rPr>
                    <w:t>标准值</w:t>
                  </w:r>
                  <w:r>
                    <w:rPr>
                      <w:rFonts w:hint="default" w:ascii="Times New Roman" w:hAnsi="Times New Roman" w:cs="Times New Roman"/>
                      <w:b/>
                      <w:bCs/>
                      <w:color w:val="auto"/>
                      <w:szCs w:val="21"/>
                      <w:lang w:val="en-US" w:eastAsia="zh-CN"/>
                    </w:rPr>
                    <w:t>dB</w:t>
                  </w:r>
                  <w:r>
                    <w:rPr>
                      <w:rFonts w:hint="default" w:ascii="Times New Roman" w:hAnsi="Times New Roman" w:cs="Times New Roman"/>
                      <w:b/>
                      <w:bCs/>
                      <w:color w:val="auto"/>
                      <w:szCs w:val="21"/>
                      <w:lang w:eastAsia="zh-CN"/>
                    </w:rPr>
                    <w:t>（</w:t>
                  </w:r>
                  <w:r>
                    <w:rPr>
                      <w:rFonts w:hint="default" w:ascii="Times New Roman" w:hAnsi="Times New Roman" w:cs="Times New Roman"/>
                      <w:b/>
                      <w:bCs/>
                      <w:color w:val="auto"/>
                      <w:szCs w:val="21"/>
                      <w:lang w:val="en-US" w:eastAsia="zh-CN"/>
                    </w:rPr>
                    <w:t>A</w:t>
                  </w:r>
                  <w:r>
                    <w:rPr>
                      <w:rFonts w:hint="default" w:ascii="Times New Roman" w:hAnsi="Times New Roman" w:cs="Times New Roman"/>
                      <w:b/>
                      <w:bCs/>
                      <w:color w:val="auto"/>
                      <w:szCs w:val="21"/>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66" w:type="pct"/>
                  <w:vMerge w:val="continue"/>
                  <w:tcBorders>
                    <w:tl2br w:val="nil"/>
                    <w:tr2bl w:val="nil"/>
                  </w:tcBorders>
                  <w:vAlign w:val="center"/>
                </w:tcPr>
                <w:p>
                  <w:pPr>
                    <w:adjustRightInd w:val="0"/>
                    <w:snapToGrid w:val="0"/>
                    <w:jc w:val="center"/>
                    <w:rPr>
                      <w:rFonts w:hint="default" w:ascii="Times New Roman" w:hAnsi="Times New Roman" w:cs="Times New Roman"/>
                      <w:b/>
                      <w:bCs/>
                      <w:color w:val="auto"/>
                      <w:szCs w:val="21"/>
                      <w:lang w:val="en-US" w:eastAsia="zh-CN"/>
                    </w:rPr>
                  </w:pPr>
                </w:p>
              </w:tc>
              <w:tc>
                <w:tcPr>
                  <w:tcW w:w="1248" w:type="pct"/>
                  <w:vMerge w:val="continue"/>
                  <w:tcBorders>
                    <w:tl2br w:val="nil"/>
                    <w:tr2bl w:val="nil"/>
                  </w:tcBorders>
                  <w:vAlign w:val="center"/>
                </w:tcPr>
                <w:p>
                  <w:pPr>
                    <w:adjustRightInd w:val="0"/>
                    <w:snapToGrid w:val="0"/>
                    <w:jc w:val="center"/>
                    <w:rPr>
                      <w:rFonts w:hint="default" w:ascii="Times New Roman" w:hAnsi="Times New Roman" w:cs="Times New Roman"/>
                      <w:b/>
                      <w:bCs/>
                      <w:color w:val="auto"/>
                      <w:szCs w:val="21"/>
                      <w:lang w:val="en-US" w:eastAsia="zh-CN"/>
                    </w:rPr>
                  </w:pPr>
                </w:p>
              </w:tc>
              <w:tc>
                <w:tcPr>
                  <w:tcW w:w="745"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lang w:val="en-US" w:eastAsia="zh-CN"/>
                    </w:rPr>
                    <w:t>昼间</w:t>
                  </w:r>
                </w:p>
              </w:tc>
              <w:tc>
                <w:tcPr>
                  <w:tcW w:w="746"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lang w:val="en-US" w:eastAsia="zh-CN"/>
                    </w:rPr>
                    <w:t>夜间</w:t>
                  </w:r>
                </w:p>
              </w:tc>
              <w:tc>
                <w:tcPr>
                  <w:tcW w:w="745" w:type="pct"/>
                  <w:tcBorders>
                    <w:tl2br w:val="nil"/>
                    <w:tr2bl w:val="nil"/>
                  </w:tcBorders>
                  <w:vAlign w:val="center"/>
                </w:tcPr>
                <w:p>
                  <w:pPr>
                    <w:adjustRightInd w:val="0"/>
                    <w:snapToGrid w:val="0"/>
                    <w:jc w:val="center"/>
                    <w:rPr>
                      <w:rFonts w:hint="default" w:ascii="Times New Roman" w:hAnsi="Times New Roman" w:cs="Times New Roman"/>
                      <w:b/>
                      <w:bCs/>
                      <w:color w:val="auto"/>
                      <w:kern w:val="0"/>
                      <w:szCs w:val="21"/>
                      <w:lang w:val="en-US" w:eastAsia="zh-CN"/>
                    </w:rPr>
                  </w:pPr>
                  <w:r>
                    <w:rPr>
                      <w:rFonts w:hint="default" w:ascii="Times New Roman" w:hAnsi="Times New Roman" w:cs="Times New Roman"/>
                      <w:b/>
                      <w:bCs/>
                      <w:color w:val="auto"/>
                      <w:kern w:val="0"/>
                      <w:szCs w:val="21"/>
                      <w:lang w:val="en-US" w:eastAsia="zh-CN"/>
                    </w:rPr>
                    <w:t>昼间</w:t>
                  </w:r>
                </w:p>
              </w:tc>
              <w:tc>
                <w:tcPr>
                  <w:tcW w:w="747" w:type="pct"/>
                  <w:tcBorders>
                    <w:tl2br w:val="nil"/>
                    <w:tr2bl w:val="nil"/>
                  </w:tcBorders>
                  <w:vAlign w:val="center"/>
                </w:tcPr>
                <w:p>
                  <w:pPr>
                    <w:adjustRightInd w:val="0"/>
                    <w:snapToGrid w:val="0"/>
                    <w:jc w:val="center"/>
                    <w:rPr>
                      <w:rFonts w:hint="default" w:ascii="Times New Roman" w:hAnsi="Times New Roman" w:cs="Times New Roman"/>
                      <w:b/>
                      <w:bCs/>
                      <w:color w:val="auto"/>
                      <w:kern w:val="0"/>
                      <w:szCs w:val="21"/>
                      <w:lang w:val="en-US" w:eastAsia="zh-CN"/>
                    </w:rPr>
                  </w:pPr>
                  <w:r>
                    <w:rPr>
                      <w:rFonts w:hint="default" w:ascii="Times New Roman" w:hAnsi="Times New Roman" w:cs="Times New Roman"/>
                      <w:b/>
                      <w:bCs/>
                      <w:color w:val="auto"/>
                      <w:kern w:val="0"/>
                      <w:szCs w:val="21"/>
                      <w:lang w:val="en-US" w:eastAsia="zh-CN"/>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pct"/>
                  <w:vMerge w:val="restart"/>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202</w:t>
                  </w:r>
                  <w:r>
                    <w:rPr>
                      <w:rFonts w:hint="eastAsia" w:ascii="Times New Roman" w:hAnsi="Times New Roman" w:cs="Times New Roman"/>
                      <w:color w:val="auto"/>
                      <w:szCs w:val="21"/>
                      <w:lang w:val="en-US" w:eastAsia="zh-CN"/>
                    </w:rPr>
                    <w:t>3.5.10</w:t>
                  </w:r>
                </w:p>
              </w:tc>
              <w:tc>
                <w:tcPr>
                  <w:tcW w:w="1248" w:type="pct"/>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东厂界外1m</w:t>
                  </w:r>
                </w:p>
              </w:tc>
              <w:tc>
                <w:tcPr>
                  <w:tcW w:w="745" w:type="pct"/>
                  <w:tcBorders>
                    <w:tl2br w:val="nil"/>
                    <w:tr2bl w:val="nil"/>
                  </w:tcBorders>
                  <w:vAlign w:val="center"/>
                </w:tcPr>
                <w:p>
                  <w:pPr>
                    <w:pStyle w:val="57"/>
                    <w:spacing w:line="240" w:lineRule="auto"/>
                    <w:rPr>
                      <w:rFonts w:hint="default" w:ascii="Times New Roman" w:hAnsi="Times New Roman" w:eastAsia="宋体" w:cs="Times New Roman"/>
                      <w:bCs w:val="0"/>
                      <w:color w:val="auto"/>
                      <w:szCs w:val="21"/>
                      <w:lang w:val="en-US" w:eastAsia="zh-CN"/>
                    </w:rPr>
                  </w:pPr>
                  <w:r>
                    <w:rPr>
                      <w:rFonts w:hint="eastAsia" w:ascii="Times New Roman" w:hAnsi="Times New Roman" w:cs="Times New Roman"/>
                      <w:bCs w:val="0"/>
                      <w:color w:val="auto"/>
                      <w:szCs w:val="21"/>
                      <w:lang w:val="en-US" w:eastAsia="zh-CN"/>
                    </w:rPr>
                    <w:t>58</w:t>
                  </w:r>
                </w:p>
              </w:tc>
              <w:tc>
                <w:tcPr>
                  <w:tcW w:w="746" w:type="pct"/>
                  <w:tcBorders>
                    <w:tl2br w:val="nil"/>
                    <w:tr2bl w:val="nil"/>
                  </w:tcBorders>
                  <w:vAlign w:val="center"/>
                </w:tcPr>
                <w:p>
                  <w:pPr>
                    <w:tabs>
                      <w:tab w:val="center" w:pos="4393"/>
                      <w:tab w:val="left" w:pos="7140"/>
                    </w:tabs>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745"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65</w:t>
                  </w:r>
                </w:p>
              </w:tc>
              <w:tc>
                <w:tcPr>
                  <w:tcW w:w="747" w:type="pct"/>
                  <w:tcBorders>
                    <w:tl2br w:val="nil"/>
                    <w:tr2bl w:val="nil"/>
                  </w:tcBorders>
                  <w:vAlign w:val="center"/>
                </w:tcPr>
                <w:p>
                  <w:pPr>
                    <w:widowControl/>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pct"/>
                  <w:vMerge w:val="continue"/>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p>
              </w:tc>
              <w:tc>
                <w:tcPr>
                  <w:tcW w:w="1248" w:type="pct"/>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南厂界外1m</w:t>
                  </w:r>
                </w:p>
              </w:tc>
              <w:tc>
                <w:tcPr>
                  <w:tcW w:w="745" w:type="pct"/>
                  <w:tcBorders>
                    <w:tl2br w:val="nil"/>
                    <w:tr2bl w:val="nil"/>
                  </w:tcBorders>
                  <w:vAlign w:val="center"/>
                </w:tcPr>
                <w:p>
                  <w:pPr>
                    <w:pStyle w:val="57"/>
                    <w:spacing w:line="240" w:lineRule="auto"/>
                    <w:rPr>
                      <w:rFonts w:hint="default" w:ascii="Times New Roman" w:hAnsi="Times New Roman" w:eastAsia="宋体" w:cs="Times New Roman"/>
                      <w:bCs w:val="0"/>
                      <w:color w:val="auto"/>
                      <w:szCs w:val="21"/>
                      <w:lang w:val="en-US" w:eastAsia="zh-CN"/>
                    </w:rPr>
                  </w:pPr>
                  <w:r>
                    <w:rPr>
                      <w:rFonts w:hint="eastAsia" w:ascii="Times New Roman" w:hAnsi="Times New Roman" w:cs="Times New Roman"/>
                      <w:bCs w:val="0"/>
                      <w:color w:val="auto"/>
                      <w:szCs w:val="21"/>
                      <w:lang w:val="en-US" w:eastAsia="zh-CN"/>
                    </w:rPr>
                    <w:t>57</w:t>
                  </w:r>
                </w:p>
              </w:tc>
              <w:tc>
                <w:tcPr>
                  <w:tcW w:w="746" w:type="pct"/>
                  <w:tcBorders>
                    <w:tl2br w:val="nil"/>
                    <w:tr2bl w:val="nil"/>
                  </w:tcBorders>
                  <w:vAlign w:val="center"/>
                </w:tcPr>
                <w:p>
                  <w:pPr>
                    <w:tabs>
                      <w:tab w:val="center" w:pos="4393"/>
                      <w:tab w:val="left" w:pos="7140"/>
                    </w:tabs>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745"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65</w:t>
                  </w:r>
                </w:p>
              </w:tc>
              <w:tc>
                <w:tcPr>
                  <w:tcW w:w="747" w:type="pct"/>
                  <w:tcBorders>
                    <w:tl2br w:val="nil"/>
                    <w:tr2bl w:val="nil"/>
                  </w:tcBorders>
                  <w:vAlign w:val="center"/>
                </w:tcPr>
                <w:p>
                  <w:pPr>
                    <w:widowControl/>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pct"/>
                  <w:vMerge w:val="continue"/>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p>
              </w:tc>
              <w:tc>
                <w:tcPr>
                  <w:tcW w:w="1248" w:type="pct"/>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西厂界外1m</w:t>
                  </w:r>
                </w:p>
              </w:tc>
              <w:tc>
                <w:tcPr>
                  <w:tcW w:w="745" w:type="pct"/>
                  <w:tcBorders>
                    <w:tl2br w:val="nil"/>
                    <w:tr2bl w:val="nil"/>
                  </w:tcBorders>
                  <w:vAlign w:val="center"/>
                </w:tcPr>
                <w:p>
                  <w:pPr>
                    <w:pStyle w:val="57"/>
                    <w:spacing w:line="240" w:lineRule="auto"/>
                    <w:rPr>
                      <w:rFonts w:hint="default" w:ascii="Times New Roman" w:hAnsi="Times New Roman" w:eastAsia="宋体" w:cs="Times New Roman"/>
                      <w:bCs w:val="0"/>
                      <w:color w:val="auto"/>
                      <w:szCs w:val="21"/>
                      <w:lang w:val="en-US" w:eastAsia="zh-CN"/>
                    </w:rPr>
                  </w:pPr>
                  <w:r>
                    <w:rPr>
                      <w:rFonts w:hint="eastAsia" w:ascii="Times New Roman" w:hAnsi="Times New Roman" w:cs="Times New Roman"/>
                      <w:bCs w:val="0"/>
                      <w:color w:val="auto"/>
                      <w:szCs w:val="21"/>
                      <w:lang w:val="en-US" w:eastAsia="zh-CN"/>
                    </w:rPr>
                    <w:t>57</w:t>
                  </w:r>
                </w:p>
              </w:tc>
              <w:tc>
                <w:tcPr>
                  <w:tcW w:w="746" w:type="pct"/>
                  <w:tcBorders>
                    <w:tl2br w:val="nil"/>
                    <w:tr2bl w:val="nil"/>
                  </w:tcBorders>
                  <w:vAlign w:val="center"/>
                </w:tcPr>
                <w:p>
                  <w:pPr>
                    <w:tabs>
                      <w:tab w:val="center" w:pos="4393"/>
                      <w:tab w:val="left" w:pos="7140"/>
                    </w:tabs>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745"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65</w:t>
                  </w:r>
                </w:p>
              </w:tc>
              <w:tc>
                <w:tcPr>
                  <w:tcW w:w="747" w:type="pct"/>
                  <w:tcBorders>
                    <w:tl2br w:val="nil"/>
                    <w:tr2bl w:val="nil"/>
                  </w:tcBorders>
                  <w:vAlign w:val="center"/>
                </w:tcPr>
                <w:p>
                  <w:pPr>
                    <w:widowControl/>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pct"/>
                  <w:vMerge w:val="continue"/>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p>
              </w:tc>
              <w:tc>
                <w:tcPr>
                  <w:tcW w:w="1248" w:type="pct"/>
                  <w:tcBorders>
                    <w:tl2br w:val="nil"/>
                    <w:tr2bl w:val="nil"/>
                  </w:tcBorders>
                  <w:vAlign w:val="center"/>
                </w:tcPr>
                <w:p>
                  <w:pPr>
                    <w:pStyle w:val="6"/>
                    <w:adjustRightInd w:val="0"/>
                    <w:snapToGrid w:val="0"/>
                    <w:ind w:firstLine="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北厂界外1m</w:t>
                  </w:r>
                </w:p>
              </w:tc>
              <w:tc>
                <w:tcPr>
                  <w:tcW w:w="745" w:type="pct"/>
                  <w:tcBorders>
                    <w:tl2br w:val="nil"/>
                    <w:tr2bl w:val="nil"/>
                  </w:tcBorders>
                  <w:vAlign w:val="center"/>
                </w:tcPr>
                <w:p>
                  <w:pPr>
                    <w:pStyle w:val="57"/>
                    <w:spacing w:line="240" w:lineRule="auto"/>
                    <w:rPr>
                      <w:rFonts w:hint="default" w:ascii="Times New Roman" w:hAnsi="Times New Roman" w:eastAsia="宋体" w:cs="Times New Roman"/>
                      <w:bCs w:val="0"/>
                      <w:color w:val="auto"/>
                      <w:szCs w:val="21"/>
                      <w:lang w:val="en-US" w:eastAsia="zh-CN"/>
                    </w:rPr>
                  </w:pPr>
                  <w:r>
                    <w:rPr>
                      <w:rFonts w:hint="eastAsia" w:ascii="Times New Roman" w:hAnsi="Times New Roman" w:cs="Times New Roman"/>
                      <w:bCs w:val="0"/>
                      <w:color w:val="auto"/>
                      <w:szCs w:val="21"/>
                      <w:lang w:val="en-US" w:eastAsia="zh-CN"/>
                    </w:rPr>
                    <w:t>58</w:t>
                  </w:r>
                </w:p>
              </w:tc>
              <w:tc>
                <w:tcPr>
                  <w:tcW w:w="746" w:type="pct"/>
                  <w:tcBorders>
                    <w:tl2br w:val="nil"/>
                    <w:tr2bl w:val="nil"/>
                  </w:tcBorders>
                  <w:vAlign w:val="center"/>
                </w:tcPr>
                <w:p>
                  <w:pPr>
                    <w:tabs>
                      <w:tab w:val="center" w:pos="4393"/>
                      <w:tab w:val="left" w:pos="7140"/>
                    </w:tabs>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745"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65</w:t>
                  </w:r>
                </w:p>
              </w:tc>
              <w:tc>
                <w:tcPr>
                  <w:tcW w:w="747" w:type="pct"/>
                  <w:tcBorders>
                    <w:tl2br w:val="nil"/>
                    <w:tr2bl w:val="nil"/>
                  </w:tcBorders>
                  <w:vAlign w:val="center"/>
                </w:tcPr>
                <w:p>
                  <w:pPr>
                    <w:widowControl/>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55</w:t>
                  </w:r>
                </w:p>
              </w:tc>
            </w:tr>
          </w:tbl>
          <w:p>
            <w:pPr>
              <w:spacing w:line="50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lang w:val="en-US" w:eastAsia="zh-CN"/>
              </w:rPr>
              <w:t>根据无锡中证检测技术（集团）有限公司出具的检测报告（</w:t>
            </w:r>
            <w:r>
              <w:rPr>
                <w:rFonts w:hint="eastAsia" w:cs="Times New Roman"/>
                <w:color w:val="auto"/>
                <w:sz w:val="24"/>
                <w:lang w:val="en-US" w:eastAsia="zh-CN"/>
              </w:rPr>
              <w:t>报告编号:WXEPD230414188028CS</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szCs w:val="24"/>
                <w:highlight w:val="none"/>
                <w:lang w:val="en-US" w:eastAsia="zh-CN"/>
              </w:rPr>
              <w:t>监测期间，本项目东、西、南、北侧厂界环境噪声昼间监测值均满足《工业企业厂界环境噪声排放标准》（GB12348-2008）表1中3类标准限值要求。</w:t>
            </w:r>
          </w:p>
          <w:p>
            <w:pPr>
              <w:adjustRightInd w:val="0"/>
              <w:snapToGrid w:val="0"/>
              <w:spacing w:line="460" w:lineRule="exact"/>
              <w:ind w:firstLine="482" w:firstLineChars="200"/>
              <w:rPr>
                <w:rFonts w:hint="default" w:ascii="Times New Roman" w:hAnsi="Times New Roman" w:cs="Times New Roman"/>
                <w:b/>
                <w:bCs/>
                <w:color w:val="auto"/>
                <w:sz w:val="24"/>
              </w:rPr>
            </w:pPr>
            <w:r>
              <w:rPr>
                <w:rFonts w:hint="eastAsia" w:cs="Times New Roman"/>
                <w:b/>
                <w:bCs/>
                <w:color w:val="auto"/>
                <w:sz w:val="24"/>
                <w:lang w:eastAsia="zh-CN"/>
              </w:rPr>
              <w:t>（</w:t>
            </w:r>
            <w:r>
              <w:rPr>
                <w:rFonts w:hint="eastAsia" w:cs="Times New Roman"/>
                <w:b/>
                <w:bCs/>
                <w:color w:val="auto"/>
                <w:sz w:val="24"/>
                <w:lang w:val="en-US" w:eastAsia="zh-CN"/>
              </w:rPr>
              <w:t>4</w:t>
            </w:r>
            <w:r>
              <w:rPr>
                <w:rFonts w:hint="eastAsia" w:cs="Times New Roman"/>
                <w:b/>
                <w:bCs/>
                <w:color w:val="auto"/>
                <w:sz w:val="24"/>
                <w:lang w:eastAsia="zh-CN"/>
              </w:rPr>
              <w:t>）</w:t>
            </w:r>
            <w:r>
              <w:rPr>
                <w:rFonts w:hint="default" w:ascii="Times New Roman" w:hAnsi="Times New Roman" w:cs="Times New Roman"/>
                <w:b/>
                <w:bCs/>
                <w:color w:val="auto"/>
                <w:sz w:val="24"/>
              </w:rPr>
              <w:t>固废</w:t>
            </w:r>
          </w:p>
          <w:p>
            <w:pPr>
              <w:adjustRightInd w:val="0"/>
              <w:snapToGrid w:val="0"/>
              <w:spacing w:line="46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lang w:val="en-US" w:eastAsia="zh-CN"/>
              </w:rPr>
              <w:t>设置1个危废堆场，已根据《危险废物贮存污染控制标准》（GB18597-20</w:t>
            </w:r>
            <w:r>
              <w:rPr>
                <w:rFonts w:hint="eastAsia" w:ascii="Times New Roman" w:hAnsi="Times New Roman" w:eastAsia="宋体" w:cs="Times New Roman"/>
                <w:color w:val="auto"/>
                <w:sz w:val="24"/>
                <w:lang w:val="en-US" w:eastAsia="zh-CN"/>
              </w:rPr>
              <w:t>23</w:t>
            </w:r>
            <w:r>
              <w:rPr>
                <w:rFonts w:hint="default" w:ascii="Times New Roman" w:hAnsi="Times New Roman" w:eastAsia="宋体" w:cs="Times New Roman"/>
                <w:color w:val="auto"/>
                <w:sz w:val="24"/>
                <w:lang w:val="en-US" w:eastAsia="zh-CN"/>
              </w:rPr>
              <w:t>）、《省生态环境厅关于印发江苏省危险废物贮存规范化管理专项整治行动方案的通知》（苏环办【2019】149号）及《省生态环境厅关于进一步加强危险废物污染防治工作的实施意见》（苏环办【2019】327）中要求进行设置。</w:t>
            </w:r>
          </w:p>
          <w:p>
            <w:pPr>
              <w:adjustRightInd w:val="0"/>
              <w:snapToGrid w:val="0"/>
              <w:spacing w:line="46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lang w:val="en-US" w:eastAsia="zh-CN"/>
              </w:rPr>
              <w:t>设置1个一般固废堆场，已按《一般工业固体废物贮存和填埋污染控制标准》（GB18599-2020）中要求设置</w:t>
            </w:r>
            <w:r>
              <w:rPr>
                <w:rFonts w:hint="eastAsia" w:ascii="Times New Roman" w:hAnsi="Times New Roman" w:eastAsia="宋体" w:cs="Times New Roman"/>
                <w:color w:val="auto"/>
                <w:sz w:val="24"/>
                <w:lang w:val="en-US" w:eastAsia="zh-CN"/>
              </w:rPr>
              <w:t>，满足防渗漏、防雨淋、防扬尘等要求</w:t>
            </w:r>
            <w:r>
              <w:rPr>
                <w:rFonts w:hint="default" w:ascii="Times New Roman" w:hAnsi="Times New Roman" w:eastAsia="宋体" w:cs="Times New Roman"/>
                <w:color w:val="auto"/>
                <w:sz w:val="24"/>
                <w:lang w:val="en-US" w:eastAsia="zh-CN"/>
              </w:rPr>
              <w:t>。</w:t>
            </w:r>
          </w:p>
          <w:p>
            <w:pPr>
              <w:adjustRightInd w:val="0"/>
              <w:snapToGrid w:val="0"/>
              <w:spacing w:line="46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lang w:val="en-US" w:eastAsia="zh-CN"/>
              </w:rPr>
              <w:t>一般固废（</w:t>
            </w:r>
            <w:r>
              <w:rPr>
                <w:rFonts w:hint="eastAsia" w:ascii="Times New Roman" w:hAnsi="Times New Roman" w:eastAsia="宋体" w:cs="Times New Roman"/>
                <w:color w:val="auto"/>
                <w:sz w:val="24"/>
                <w:lang w:val="en-US" w:eastAsia="zh-CN"/>
              </w:rPr>
              <w:t>边角料、次品</w:t>
            </w:r>
            <w:r>
              <w:rPr>
                <w:rFonts w:hint="eastAsia" w:cs="Times New Roman"/>
                <w:color w:val="auto"/>
                <w:sz w:val="24"/>
                <w:lang w:val="en-US" w:eastAsia="zh-CN"/>
              </w:rPr>
              <w:t>、废包装材料</w:t>
            </w:r>
            <w:r>
              <w:rPr>
                <w:rFonts w:hint="default" w:ascii="Times New Roman" w:hAnsi="Times New Roman" w:eastAsia="宋体" w:cs="Times New Roman"/>
                <w:color w:val="auto"/>
                <w:sz w:val="24"/>
                <w:lang w:val="en-US" w:eastAsia="zh-CN"/>
              </w:rPr>
              <w:t>）外售综合利用；生活垃圾由环卫部门定期清运；危险废物（</w:t>
            </w:r>
            <w:r>
              <w:rPr>
                <w:rFonts w:hint="eastAsia" w:cs="Times New Roman"/>
                <w:color w:val="auto"/>
                <w:sz w:val="24"/>
                <w:lang w:val="en-US" w:eastAsia="zh-CN"/>
              </w:rPr>
              <w:t>废活性炭</w:t>
            </w:r>
            <w:r>
              <w:rPr>
                <w:rFonts w:hint="default" w:ascii="Times New Roman" w:hAnsi="Times New Roman" w:eastAsia="宋体" w:cs="Times New Roman"/>
                <w:color w:val="auto"/>
                <w:sz w:val="24"/>
                <w:lang w:val="en-US" w:eastAsia="zh-CN"/>
              </w:rPr>
              <w:t>）委托资质单位处置。固废均得到合理处理、处置或综合利用，不直接排向外环境。</w:t>
            </w:r>
          </w:p>
          <w:p>
            <w:pPr>
              <w:adjustRightInd w:val="0"/>
              <w:snapToGrid w:val="0"/>
              <w:spacing w:line="500" w:lineRule="exact"/>
              <w:rPr>
                <w:rFonts w:hint="default" w:ascii="Times New Roman" w:hAnsi="Times New Roman" w:cs="Times New Roman"/>
                <w:b/>
                <w:bCs/>
                <w:color w:val="auto"/>
                <w:sz w:val="24"/>
              </w:rPr>
            </w:pPr>
            <w:r>
              <w:rPr>
                <w:rFonts w:hint="eastAsia" w:cs="Times New Roman"/>
                <w:b/>
                <w:bCs/>
                <w:color w:val="auto"/>
                <w:sz w:val="24"/>
                <w:lang w:val="en-US" w:eastAsia="zh-CN"/>
              </w:rPr>
              <w:t>4</w:t>
            </w:r>
            <w:r>
              <w:rPr>
                <w:rFonts w:hint="default" w:ascii="Times New Roman" w:hAnsi="Times New Roman" w:cs="Times New Roman"/>
                <w:b/>
                <w:bCs/>
                <w:color w:val="auto"/>
                <w:sz w:val="24"/>
                <w:lang w:val="en-US" w:eastAsia="zh-CN"/>
              </w:rPr>
              <w:t>、现有</w:t>
            </w:r>
            <w:r>
              <w:rPr>
                <w:rFonts w:hint="default" w:ascii="Times New Roman" w:hAnsi="Times New Roman" w:cs="Times New Roman"/>
                <w:b/>
                <w:bCs/>
                <w:color w:val="auto"/>
                <w:sz w:val="24"/>
              </w:rPr>
              <w:t>项目</w:t>
            </w:r>
            <w:r>
              <w:rPr>
                <w:rFonts w:hint="default" w:ascii="Times New Roman" w:hAnsi="Times New Roman" w:cs="Times New Roman"/>
                <w:b/>
                <w:bCs/>
                <w:color w:val="auto"/>
                <w:sz w:val="24"/>
                <w:lang w:val="en-US" w:eastAsia="zh-CN"/>
              </w:rPr>
              <w:t>污染物</w:t>
            </w:r>
            <w:r>
              <w:rPr>
                <w:rFonts w:hint="default" w:ascii="Times New Roman" w:hAnsi="Times New Roman" w:cs="Times New Roman"/>
                <w:b/>
                <w:bCs/>
                <w:color w:val="auto"/>
                <w:sz w:val="24"/>
              </w:rPr>
              <w:t>排放情况见下表。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表2-1</w:t>
            </w:r>
            <w:r>
              <w:rPr>
                <w:rFonts w:hint="eastAsia" w:cs="Times New Roman"/>
                <w:b/>
                <w:color w:val="auto"/>
                <w:szCs w:val="21"/>
                <w:lang w:val="en-US" w:eastAsia="zh-CN"/>
              </w:rPr>
              <w:t>5</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lang w:val="en-US" w:eastAsia="zh-CN"/>
              </w:rPr>
              <w:t xml:space="preserve"> 现有项目污染物排放情况一览表（t/a）</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49"/>
              <w:gridCol w:w="1130"/>
              <w:gridCol w:w="1182"/>
              <w:gridCol w:w="2288"/>
              <w:gridCol w:w="25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43" w:type="pct"/>
                  <w:noWrap w:val="0"/>
                  <w:vAlign w:val="center"/>
                </w:tcPr>
                <w:p>
                  <w:pPr>
                    <w:jc w:val="center"/>
                    <w:rPr>
                      <w:color w:val="auto"/>
                      <w:sz w:val="21"/>
                      <w:szCs w:val="21"/>
                    </w:rPr>
                  </w:pPr>
                  <w:r>
                    <w:rPr>
                      <w:color w:val="auto"/>
                      <w:sz w:val="21"/>
                      <w:szCs w:val="21"/>
                    </w:rPr>
                    <w:t>类别</w:t>
                  </w:r>
                </w:p>
              </w:tc>
              <w:tc>
                <w:tcPr>
                  <w:tcW w:w="1375" w:type="pct"/>
                  <w:gridSpan w:val="2"/>
                  <w:noWrap w:val="0"/>
                  <w:vAlign w:val="center"/>
                </w:tcPr>
                <w:p>
                  <w:pPr>
                    <w:jc w:val="center"/>
                    <w:rPr>
                      <w:color w:val="auto"/>
                      <w:sz w:val="21"/>
                      <w:szCs w:val="21"/>
                    </w:rPr>
                  </w:pPr>
                  <w:r>
                    <w:rPr>
                      <w:color w:val="auto"/>
                      <w:sz w:val="21"/>
                      <w:szCs w:val="21"/>
                    </w:rPr>
                    <w:t>污染物名称</w:t>
                  </w:r>
                </w:p>
              </w:tc>
              <w:tc>
                <w:tcPr>
                  <w:tcW w:w="1361" w:type="pct"/>
                  <w:noWrap w:val="0"/>
                  <w:vAlign w:val="center"/>
                </w:tcPr>
                <w:p>
                  <w:pPr>
                    <w:jc w:val="center"/>
                    <w:rPr>
                      <w:color w:val="auto"/>
                      <w:sz w:val="21"/>
                      <w:szCs w:val="21"/>
                    </w:rPr>
                  </w:pPr>
                  <w:r>
                    <w:rPr>
                      <w:color w:val="auto"/>
                      <w:sz w:val="21"/>
                      <w:szCs w:val="21"/>
                    </w:rPr>
                    <w:t>批复排放量</w:t>
                  </w:r>
                  <w:r>
                    <w:rPr>
                      <w:bCs/>
                      <w:color w:val="auto"/>
                      <w:sz w:val="21"/>
                      <w:szCs w:val="21"/>
                    </w:rPr>
                    <w:t>（t/a）</w:t>
                  </w:r>
                </w:p>
              </w:tc>
              <w:tc>
                <w:tcPr>
                  <w:tcW w:w="1519" w:type="pct"/>
                  <w:noWrap w:val="0"/>
                  <w:vAlign w:val="center"/>
                </w:tcPr>
                <w:p>
                  <w:pPr>
                    <w:jc w:val="center"/>
                    <w:rPr>
                      <w:color w:val="auto"/>
                      <w:sz w:val="21"/>
                      <w:szCs w:val="21"/>
                    </w:rPr>
                  </w:pPr>
                  <w:r>
                    <w:rPr>
                      <w:color w:val="auto"/>
                      <w:sz w:val="21"/>
                      <w:szCs w:val="21"/>
                    </w:rPr>
                    <w:t>实际排放(接管)量</w:t>
                  </w:r>
                  <w:r>
                    <w:rPr>
                      <w:bCs/>
                      <w:color w:val="auto"/>
                      <w:sz w:val="21"/>
                      <w:szCs w:val="21"/>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大气污染物</w:t>
                  </w:r>
                  <w:r>
                    <w:rPr>
                      <w:rFonts w:hint="default" w:ascii="Times New Roman" w:hAnsi="Times New Roman" w:eastAsia="微软雅黑" w:cs="Times New Roman"/>
                      <w:color w:val="auto"/>
                      <w:sz w:val="21"/>
                      <w:szCs w:val="21"/>
                      <w:vertAlign w:val="superscript"/>
                    </w:rPr>
                    <w:t>①</w:t>
                  </w:r>
                </w:p>
              </w:tc>
              <w:tc>
                <w:tcPr>
                  <w:tcW w:w="672"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w:t>
                  </w:r>
                </w:p>
              </w:tc>
              <w:tc>
                <w:tcPr>
                  <w:tcW w:w="703"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rPr>
                    <w:t>非甲烷总烃</w:t>
                  </w:r>
                </w:p>
              </w:tc>
              <w:tc>
                <w:tcPr>
                  <w:tcW w:w="1361" w:type="pct"/>
                  <w:noWrap w:val="0"/>
                  <w:vAlign w:val="center"/>
                </w:tcPr>
                <w:p>
                  <w:pPr>
                    <w:widowControl/>
                    <w:jc w:val="center"/>
                    <w:rPr>
                      <w:rFonts w:hint="eastAsia" w:eastAsia="宋体"/>
                      <w:color w:val="auto"/>
                      <w:sz w:val="21"/>
                      <w:szCs w:val="21"/>
                      <w:lang w:eastAsia="zh-CN"/>
                    </w:rPr>
                  </w:pPr>
                  <w:r>
                    <w:rPr>
                      <w:rFonts w:hint="eastAsia" w:cs="Times New Roman"/>
                      <w:color w:val="auto"/>
                      <w:sz w:val="21"/>
                      <w:szCs w:val="21"/>
                      <w:lang w:val="en-US" w:eastAsia="zh-CN"/>
                    </w:rPr>
                    <w:t>/</w:t>
                  </w:r>
                </w:p>
              </w:tc>
              <w:tc>
                <w:tcPr>
                  <w:tcW w:w="1519" w:type="pct"/>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0.013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Merge w:val="continue"/>
                  <w:noWrap w:val="0"/>
                  <w:vAlign w:val="center"/>
                </w:tcPr>
                <w:p>
                  <w:pPr>
                    <w:jc w:val="center"/>
                    <w:rPr>
                      <w:rFonts w:hint="default" w:ascii="Times New Roman" w:hAnsi="Times New Roman" w:cs="Times New Roman"/>
                      <w:color w:val="auto"/>
                      <w:sz w:val="21"/>
                      <w:szCs w:val="21"/>
                    </w:rPr>
                  </w:pPr>
                </w:p>
              </w:tc>
              <w:tc>
                <w:tcPr>
                  <w:tcW w:w="672"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无组织</w:t>
                  </w:r>
                </w:p>
              </w:tc>
              <w:tc>
                <w:tcPr>
                  <w:tcW w:w="703" w:type="pct"/>
                  <w:noWrap w:val="0"/>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非甲烷总烃</w:t>
                  </w:r>
                </w:p>
              </w:tc>
              <w:tc>
                <w:tcPr>
                  <w:tcW w:w="1361" w:type="pct"/>
                  <w:noWrap w:val="0"/>
                  <w:vAlign w:val="center"/>
                </w:tcPr>
                <w:p>
                  <w:pPr>
                    <w:jc w:val="center"/>
                    <w:rPr>
                      <w:rFonts w:hint="eastAsia" w:eastAsia="宋体"/>
                      <w:color w:val="auto"/>
                      <w:kern w:val="0"/>
                      <w:sz w:val="21"/>
                      <w:szCs w:val="21"/>
                      <w:lang w:eastAsia="zh-CN"/>
                    </w:rPr>
                  </w:pPr>
                  <w:r>
                    <w:rPr>
                      <w:rFonts w:hint="eastAsia" w:cs="Times New Roman"/>
                      <w:color w:val="auto"/>
                      <w:sz w:val="21"/>
                      <w:szCs w:val="21"/>
                      <w:lang w:val="en-US" w:eastAsia="zh-CN"/>
                    </w:rPr>
                    <w:t>/</w:t>
                  </w:r>
                </w:p>
              </w:tc>
              <w:tc>
                <w:tcPr>
                  <w:tcW w:w="1519" w:type="pct"/>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0.014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水污染物</w:t>
                  </w:r>
                </w:p>
              </w:tc>
              <w:tc>
                <w:tcPr>
                  <w:tcW w:w="1375" w:type="pct"/>
                  <w:gridSpan w:val="2"/>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水量</w:t>
                  </w:r>
                </w:p>
              </w:tc>
              <w:tc>
                <w:tcPr>
                  <w:tcW w:w="1361" w:type="pct"/>
                  <w:noWrap w:val="0"/>
                  <w:vAlign w:val="center"/>
                </w:tcPr>
                <w:p>
                  <w:pPr>
                    <w:jc w:val="center"/>
                    <w:rPr>
                      <w:rFonts w:hint="default" w:eastAsia="宋体"/>
                      <w:color w:val="auto"/>
                      <w:kern w:val="0"/>
                      <w:sz w:val="21"/>
                      <w:szCs w:val="21"/>
                      <w:lang w:val="en-US" w:eastAsia="zh-CN" w:bidi="ar"/>
                    </w:rPr>
                  </w:pPr>
                  <w:r>
                    <w:rPr>
                      <w:rFonts w:hint="eastAsia" w:cs="Times New Roman"/>
                      <w:color w:val="auto"/>
                      <w:lang w:val="en-US" w:eastAsia="zh-CN"/>
                    </w:rPr>
                    <w:t>368</w:t>
                  </w:r>
                </w:p>
              </w:tc>
              <w:tc>
                <w:tcPr>
                  <w:tcW w:w="2555" w:type="dxa"/>
                  <w:noWrap w:val="0"/>
                  <w:vAlign w:val="center"/>
                </w:tcPr>
                <w:p>
                  <w:pPr>
                    <w:jc w:val="center"/>
                    <w:rPr>
                      <w:rFonts w:hint="default" w:eastAsia="宋体"/>
                      <w:color w:val="auto"/>
                      <w:sz w:val="21"/>
                      <w:szCs w:val="21"/>
                      <w:lang w:val="en-US" w:eastAsia="zh-CN"/>
                    </w:rPr>
                  </w:pPr>
                  <w:r>
                    <w:rPr>
                      <w:rFonts w:hint="eastAsia" w:cs="Times New Roman"/>
                      <w:color w:val="auto"/>
                      <w:lang w:val="en-US" w:eastAsia="zh-CN"/>
                    </w:rPr>
                    <w:t>368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Merge w:val="continue"/>
                  <w:noWrap w:val="0"/>
                  <w:vAlign w:val="center"/>
                </w:tcPr>
                <w:p>
                  <w:pPr>
                    <w:jc w:val="center"/>
                    <w:rPr>
                      <w:rFonts w:hint="default" w:ascii="Times New Roman" w:hAnsi="Times New Roman" w:cs="Times New Roman"/>
                      <w:color w:val="auto"/>
                      <w:sz w:val="21"/>
                      <w:szCs w:val="21"/>
                    </w:rPr>
                  </w:pPr>
                </w:p>
              </w:tc>
              <w:tc>
                <w:tcPr>
                  <w:tcW w:w="1375" w:type="pct"/>
                  <w:gridSpan w:val="2"/>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bCs/>
                      <w:color w:val="auto"/>
                      <w:kern w:val="0"/>
                      <w:sz w:val="21"/>
                      <w:szCs w:val="21"/>
                    </w:rPr>
                    <w:t>COD</w:t>
                  </w:r>
                </w:p>
              </w:tc>
              <w:tc>
                <w:tcPr>
                  <w:tcW w:w="1361" w:type="pct"/>
                  <w:noWrap w:val="0"/>
                  <w:vAlign w:val="center"/>
                </w:tcPr>
                <w:p>
                  <w:pPr>
                    <w:jc w:val="center"/>
                    <w:rPr>
                      <w:rFonts w:hint="default" w:eastAsia="宋体"/>
                      <w:color w:val="auto"/>
                      <w:kern w:val="0"/>
                      <w:sz w:val="21"/>
                      <w:szCs w:val="21"/>
                      <w:lang w:val="en-US" w:eastAsia="zh-CN" w:bidi="ar"/>
                    </w:rPr>
                  </w:pPr>
                  <w:r>
                    <w:rPr>
                      <w:rFonts w:hint="eastAsia"/>
                      <w:color w:val="auto"/>
                      <w:kern w:val="0"/>
                      <w:sz w:val="21"/>
                      <w:szCs w:val="21"/>
                      <w:lang w:val="en-US" w:eastAsia="zh-CN" w:bidi="ar"/>
                    </w:rPr>
                    <w:t>0.147</w:t>
                  </w:r>
                </w:p>
              </w:tc>
              <w:tc>
                <w:tcPr>
                  <w:tcW w:w="2555" w:type="dxa"/>
                  <w:noWrap w:val="0"/>
                  <w:vAlign w:val="center"/>
                </w:tcPr>
                <w:p>
                  <w:pPr>
                    <w:jc w:val="center"/>
                    <w:rPr>
                      <w:rFonts w:hint="default" w:eastAsia="宋体"/>
                      <w:color w:val="auto"/>
                      <w:sz w:val="21"/>
                      <w:szCs w:val="21"/>
                      <w:lang w:val="en-US" w:eastAsia="zh-CN"/>
                    </w:rPr>
                  </w:pPr>
                  <w:r>
                    <w:rPr>
                      <w:rFonts w:hint="eastAsia"/>
                      <w:color w:val="auto"/>
                      <w:kern w:val="0"/>
                      <w:sz w:val="21"/>
                      <w:szCs w:val="21"/>
                      <w:lang w:val="en-US" w:eastAsia="zh-CN" w:bidi="ar"/>
                    </w:rPr>
                    <w:t>0.147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Merge w:val="continue"/>
                  <w:noWrap w:val="0"/>
                  <w:vAlign w:val="center"/>
                </w:tcPr>
                <w:p>
                  <w:pPr>
                    <w:jc w:val="center"/>
                    <w:rPr>
                      <w:rFonts w:hint="default" w:ascii="Times New Roman" w:hAnsi="Times New Roman" w:cs="Times New Roman"/>
                      <w:color w:val="auto"/>
                      <w:sz w:val="21"/>
                      <w:szCs w:val="21"/>
                    </w:rPr>
                  </w:pPr>
                </w:p>
              </w:tc>
              <w:tc>
                <w:tcPr>
                  <w:tcW w:w="1375" w:type="pct"/>
                  <w:gridSpan w:val="2"/>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SS</w:t>
                  </w:r>
                </w:p>
              </w:tc>
              <w:tc>
                <w:tcPr>
                  <w:tcW w:w="1361" w:type="pct"/>
                  <w:noWrap w:val="0"/>
                  <w:vAlign w:val="center"/>
                </w:tcPr>
                <w:p>
                  <w:pPr>
                    <w:jc w:val="center"/>
                    <w:rPr>
                      <w:rFonts w:hint="default" w:eastAsia="宋体"/>
                      <w:color w:val="auto"/>
                      <w:kern w:val="0"/>
                      <w:sz w:val="21"/>
                      <w:szCs w:val="21"/>
                      <w:lang w:val="en-US" w:eastAsia="zh-CN" w:bidi="ar"/>
                    </w:rPr>
                  </w:pPr>
                  <w:r>
                    <w:rPr>
                      <w:rFonts w:hint="eastAsia"/>
                      <w:color w:val="auto"/>
                      <w:kern w:val="0"/>
                      <w:sz w:val="21"/>
                      <w:szCs w:val="21"/>
                      <w:lang w:val="en-US" w:eastAsia="zh-CN" w:bidi="ar"/>
                    </w:rPr>
                    <w:t>0.092</w:t>
                  </w:r>
                </w:p>
              </w:tc>
              <w:tc>
                <w:tcPr>
                  <w:tcW w:w="2555" w:type="dxa"/>
                  <w:noWrap w:val="0"/>
                  <w:vAlign w:val="center"/>
                </w:tcPr>
                <w:p>
                  <w:pPr>
                    <w:jc w:val="center"/>
                    <w:rPr>
                      <w:rFonts w:hint="default" w:eastAsia="宋体"/>
                      <w:color w:val="auto"/>
                      <w:sz w:val="21"/>
                      <w:szCs w:val="21"/>
                      <w:lang w:val="en-US" w:eastAsia="zh-CN"/>
                    </w:rPr>
                  </w:pPr>
                  <w:r>
                    <w:rPr>
                      <w:rFonts w:hint="eastAsia"/>
                      <w:color w:val="auto"/>
                      <w:kern w:val="0"/>
                      <w:sz w:val="21"/>
                      <w:szCs w:val="21"/>
                      <w:lang w:val="en-US" w:eastAsia="zh-CN" w:bidi="ar"/>
                    </w:rPr>
                    <w:t>0.092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Merge w:val="continue"/>
                  <w:noWrap w:val="0"/>
                  <w:vAlign w:val="center"/>
                </w:tcPr>
                <w:p>
                  <w:pPr>
                    <w:jc w:val="center"/>
                    <w:rPr>
                      <w:rFonts w:hint="default" w:ascii="Times New Roman" w:hAnsi="Times New Roman" w:cs="Times New Roman"/>
                      <w:color w:val="auto"/>
                      <w:sz w:val="21"/>
                      <w:szCs w:val="21"/>
                    </w:rPr>
                  </w:pPr>
                </w:p>
              </w:tc>
              <w:tc>
                <w:tcPr>
                  <w:tcW w:w="1375" w:type="pct"/>
                  <w:gridSpan w:val="2"/>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NH</w:t>
                  </w:r>
                  <w:r>
                    <w:rPr>
                      <w:rFonts w:hint="default" w:ascii="Times New Roman" w:hAnsi="Times New Roman" w:cs="Times New Roman"/>
                      <w:bCs/>
                      <w:color w:val="auto"/>
                      <w:sz w:val="21"/>
                      <w:szCs w:val="21"/>
                      <w:vertAlign w:val="subscript"/>
                    </w:rPr>
                    <w:t>3</w:t>
                  </w:r>
                  <w:r>
                    <w:rPr>
                      <w:rFonts w:hint="default" w:ascii="Times New Roman" w:hAnsi="Times New Roman" w:cs="Times New Roman"/>
                      <w:bCs/>
                      <w:color w:val="auto"/>
                      <w:sz w:val="21"/>
                      <w:szCs w:val="21"/>
                    </w:rPr>
                    <w:t>-N</w:t>
                  </w:r>
                </w:p>
              </w:tc>
              <w:tc>
                <w:tcPr>
                  <w:tcW w:w="1361" w:type="pct"/>
                  <w:noWrap w:val="0"/>
                  <w:vAlign w:val="center"/>
                </w:tcPr>
                <w:p>
                  <w:pPr>
                    <w:jc w:val="center"/>
                    <w:rPr>
                      <w:rFonts w:hint="default" w:eastAsia="宋体"/>
                      <w:color w:val="auto"/>
                      <w:kern w:val="0"/>
                      <w:sz w:val="21"/>
                      <w:szCs w:val="21"/>
                      <w:lang w:val="en-US" w:eastAsia="zh-CN" w:bidi="ar"/>
                    </w:rPr>
                  </w:pPr>
                  <w:r>
                    <w:rPr>
                      <w:rFonts w:hint="eastAsia"/>
                      <w:color w:val="auto"/>
                      <w:kern w:val="0"/>
                      <w:sz w:val="21"/>
                      <w:szCs w:val="21"/>
                      <w:lang w:val="en-US" w:eastAsia="zh-CN" w:bidi="ar"/>
                    </w:rPr>
                    <w:t>0.009</w:t>
                  </w:r>
                </w:p>
              </w:tc>
              <w:tc>
                <w:tcPr>
                  <w:tcW w:w="2555" w:type="dxa"/>
                  <w:noWrap w:val="0"/>
                  <w:vAlign w:val="center"/>
                </w:tcPr>
                <w:p>
                  <w:pPr>
                    <w:jc w:val="center"/>
                    <w:rPr>
                      <w:rFonts w:hint="default" w:eastAsia="宋体"/>
                      <w:color w:val="auto"/>
                      <w:sz w:val="21"/>
                      <w:szCs w:val="21"/>
                      <w:lang w:val="en-US" w:eastAsia="zh-CN"/>
                    </w:rPr>
                  </w:pPr>
                  <w:r>
                    <w:rPr>
                      <w:rFonts w:hint="eastAsia"/>
                      <w:color w:val="auto"/>
                      <w:kern w:val="0"/>
                      <w:sz w:val="21"/>
                      <w:szCs w:val="21"/>
                      <w:lang w:val="en-US" w:eastAsia="zh-CN" w:bidi="ar"/>
                    </w:rPr>
                    <w:t>0.009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Merge w:val="continue"/>
                  <w:noWrap w:val="0"/>
                  <w:vAlign w:val="center"/>
                </w:tcPr>
                <w:p>
                  <w:pPr>
                    <w:jc w:val="center"/>
                    <w:rPr>
                      <w:rFonts w:hint="default" w:ascii="Times New Roman" w:hAnsi="Times New Roman" w:cs="Times New Roman"/>
                      <w:color w:val="auto"/>
                      <w:sz w:val="21"/>
                      <w:szCs w:val="21"/>
                    </w:rPr>
                  </w:pPr>
                </w:p>
              </w:tc>
              <w:tc>
                <w:tcPr>
                  <w:tcW w:w="1375" w:type="pct"/>
                  <w:gridSpan w:val="2"/>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TN</w:t>
                  </w:r>
                  <w:r>
                    <w:rPr>
                      <w:rFonts w:hint="default" w:ascii="Times New Roman" w:hAnsi="Times New Roman" w:cs="Times New Roman"/>
                      <w:bCs/>
                      <w:color w:val="auto"/>
                      <w:sz w:val="21"/>
                      <w:szCs w:val="21"/>
                      <w:vertAlign w:val="superscript"/>
                    </w:rPr>
                    <w:t>②</w:t>
                  </w:r>
                </w:p>
              </w:tc>
              <w:tc>
                <w:tcPr>
                  <w:tcW w:w="1361" w:type="pct"/>
                  <w:noWrap w:val="0"/>
                  <w:vAlign w:val="center"/>
                </w:tcPr>
                <w:p>
                  <w:pPr>
                    <w:jc w:val="center"/>
                    <w:rPr>
                      <w:rFonts w:hint="eastAsia"/>
                      <w:color w:val="auto"/>
                      <w:kern w:val="0"/>
                      <w:sz w:val="21"/>
                      <w:szCs w:val="21"/>
                      <w:lang w:bidi="ar"/>
                    </w:rPr>
                  </w:pPr>
                  <w:r>
                    <w:rPr>
                      <w:rFonts w:hint="eastAsia" w:cs="Times New Roman"/>
                      <w:color w:val="auto"/>
                      <w:sz w:val="21"/>
                      <w:szCs w:val="21"/>
                      <w:lang w:val="en-US" w:eastAsia="zh-CN"/>
                    </w:rPr>
                    <w:t>/</w:t>
                  </w:r>
                </w:p>
              </w:tc>
              <w:tc>
                <w:tcPr>
                  <w:tcW w:w="2555"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0.015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Merge w:val="continue"/>
                  <w:noWrap w:val="0"/>
                  <w:vAlign w:val="center"/>
                </w:tcPr>
                <w:p>
                  <w:pPr>
                    <w:jc w:val="center"/>
                    <w:rPr>
                      <w:color w:val="auto"/>
                      <w:sz w:val="21"/>
                      <w:szCs w:val="21"/>
                    </w:rPr>
                  </w:pPr>
                </w:p>
              </w:tc>
              <w:tc>
                <w:tcPr>
                  <w:tcW w:w="1375" w:type="pct"/>
                  <w:gridSpan w:val="2"/>
                  <w:noWrap w:val="0"/>
                  <w:vAlign w:val="center"/>
                </w:tcPr>
                <w:p>
                  <w:pPr>
                    <w:widowControl/>
                    <w:jc w:val="center"/>
                    <w:rPr>
                      <w:color w:val="auto"/>
                      <w:sz w:val="21"/>
                      <w:szCs w:val="21"/>
                    </w:rPr>
                  </w:pPr>
                  <w:r>
                    <w:rPr>
                      <w:bCs/>
                      <w:color w:val="auto"/>
                      <w:sz w:val="21"/>
                      <w:szCs w:val="21"/>
                    </w:rPr>
                    <w:t>TP</w:t>
                  </w:r>
                </w:p>
              </w:tc>
              <w:tc>
                <w:tcPr>
                  <w:tcW w:w="1361" w:type="pct"/>
                  <w:noWrap w:val="0"/>
                  <w:vAlign w:val="center"/>
                </w:tcPr>
                <w:p>
                  <w:pPr>
                    <w:jc w:val="center"/>
                    <w:rPr>
                      <w:rFonts w:hint="default" w:eastAsia="宋体"/>
                      <w:color w:val="auto"/>
                      <w:kern w:val="0"/>
                      <w:sz w:val="21"/>
                      <w:szCs w:val="21"/>
                      <w:lang w:val="en-US" w:eastAsia="zh-CN" w:bidi="ar"/>
                    </w:rPr>
                  </w:pPr>
                  <w:r>
                    <w:rPr>
                      <w:rFonts w:hint="eastAsia"/>
                      <w:color w:val="auto"/>
                      <w:kern w:val="0"/>
                      <w:sz w:val="21"/>
                      <w:szCs w:val="21"/>
                      <w:lang w:val="en-US" w:eastAsia="zh-CN" w:bidi="ar"/>
                    </w:rPr>
                    <w:t>0.001</w:t>
                  </w:r>
                </w:p>
              </w:tc>
              <w:tc>
                <w:tcPr>
                  <w:tcW w:w="2555" w:type="dxa"/>
                  <w:noWrap w:val="0"/>
                  <w:vAlign w:val="center"/>
                </w:tcPr>
                <w:p>
                  <w:pPr>
                    <w:jc w:val="center"/>
                    <w:rPr>
                      <w:rFonts w:hint="eastAsia" w:eastAsia="宋体"/>
                      <w:color w:val="auto"/>
                      <w:sz w:val="21"/>
                      <w:szCs w:val="21"/>
                      <w:lang w:eastAsia="zh-CN"/>
                    </w:rPr>
                  </w:pPr>
                  <w:r>
                    <w:rPr>
                      <w:rFonts w:hint="eastAsia"/>
                      <w:color w:val="auto"/>
                      <w:kern w:val="0"/>
                      <w:sz w:val="21"/>
                      <w:szCs w:val="21"/>
                      <w:lang w:val="en-US" w:eastAsia="zh-CN" w:bidi="ar"/>
                    </w:rPr>
                    <w:t>0.001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18" w:type="pct"/>
                  <w:gridSpan w:val="3"/>
                  <w:noWrap w:val="0"/>
                  <w:vAlign w:val="center"/>
                </w:tcPr>
                <w:p>
                  <w:pPr>
                    <w:adjustRightInd w:val="0"/>
                    <w:snapToGrid w:val="0"/>
                    <w:jc w:val="center"/>
                    <w:rPr>
                      <w:color w:val="auto"/>
                      <w:sz w:val="21"/>
                      <w:szCs w:val="21"/>
                    </w:rPr>
                  </w:pPr>
                  <w:r>
                    <w:rPr>
                      <w:color w:val="auto"/>
                      <w:sz w:val="21"/>
                      <w:szCs w:val="21"/>
                    </w:rPr>
                    <w:t>固废</w:t>
                  </w:r>
                </w:p>
              </w:tc>
              <w:tc>
                <w:tcPr>
                  <w:tcW w:w="1361" w:type="pct"/>
                  <w:noWrap w:val="0"/>
                  <w:vAlign w:val="center"/>
                </w:tcPr>
                <w:p>
                  <w:pPr>
                    <w:jc w:val="center"/>
                    <w:rPr>
                      <w:color w:val="auto"/>
                      <w:sz w:val="21"/>
                      <w:szCs w:val="21"/>
                    </w:rPr>
                  </w:pPr>
                  <w:r>
                    <w:rPr>
                      <w:color w:val="auto"/>
                      <w:sz w:val="21"/>
                      <w:szCs w:val="21"/>
                    </w:rPr>
                    <w:t>0</w:t>
                  </w:r>
                </w:p>
              </w:tc>
              <w:tc>
                <w:tcPr>
                  <w:tcW w:w="1519" w:type="pct"/>
                  <w:noWrap w:val="0"/>
                  <w:vAlign w:val="center"/>
                </w:tcPr>
                <w:p>
                  <w:pPr>
                    <w:jc w:val="center"/>
                    <w:rPr>
                      <w:color w:val="auto"/>
                      <w:sz w:val="21"/>
                      <w:szCs w:val="21"/>
                    </w:rPr>
                  </w:pPr>
                  <w:r>
                    <w:rPr>
                      <w:rFonts w:hint="eastAsia"/>
                      <w:color w:val="auto"/>
                      <w:sz w:val="21"/>
                      <w:szCs w:val="21"/>
                    </w:rPr>
                    <w:t>0</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kern w:val="0"/>
                <w:sz w:val="21"/>
                <w:szCs w:val="21"/>
              </w:rPr>
              <w:t>注：</w:t>
            </w:r>
            <w:r>
              <w:rPr>
                <w:rFonts w:hint="default" w:ascii="Times New Roman" w:hAnsi="Times New Roman" w:eastAsia="微软雅黑" w:cs="Times New Roman"/>
                <w:color w:val="auto"/>
                <w:sz w:val="21"/>
                <w:szCs w:val="21"/>
              </w:rPr>
              <w:t>①</w:t>
            </w:r>
            <w:r>
              <w:rPr>
                <w:rFonts w:hint="default" w:ascii="Times New Roman" w:hAnsi="Times New Roman" w:cs="Times New Roman"/>
                <w:color w:val="auto"/>
                <w:kern w:val="0"/>
                <w:sz w:val="21"/>
                <w:szCs w:val="21"/>
                <w:lang w:eastAsia="zh-CN"/>
              </w:rPr>
              <w:t>现有</w:t>
            </w:r>
            <w:r>
              <w:rPr>
                <w:rFonts w:hint="default" w:ascii="Times New Roman" w:hAnsi="Times New Roman" w:cs="Times New Roman"/>
                <w:bCs/>
                <w:color w:val="auto"/>
                <w:sz w:val="21"/>
                <w:szCs w:val="21"/>
                <w:lang w:val="en-US" w:eastAsia="zh-CN"/>
              </w:rPr>
              <w:t>项目热压废气未进行定量分析，本次根据现有项目原料消耗量进行定量分析，现有项目热压工序使用</w:t>
            </w:r>
            <w:r>
              <w:rPr>
                <w:rFonts w:hint="default" w:ascii="Times New Roman" w:hAnsi="Times New Roman" w:eastAsia="宋体" w:cs="Times New Roman"/>
                <w:kern w:val="2"/>
                <w:sz w:val="21"/>
                <w:szCs w:val="21"/>
                <w:lang w:val="en-US" w:eastAsia="zh-CN" w:bidi="ar-SA"/>
              </w:rPr>
              <w:t>无纺布</w:t>
            </w:r>
            <w:r>
              <w:rPr>
                <w:rFonts w:hint="default" w:ascii="Times New Roman" w:hAnsi="Times New Roman" w:cs="Times New Roman"/>
                <w:color w:val="auto"/>
                <w:sz w:val="21"/>
                <w:szCs w:val="21"/>
                <w:lang w:val="en-US" w:eastAsia="zh-CN"/>
              </w:rPr>
              <w:t>8.3</w:t>
            </w:r>
            <w:r>
              <w:rPr>
                <w:rFonts w:hint="default" w:ascii="Times New Roman" w:hAnsi="Times New Roman" w:eastAsia="宋体" w:cs="Times New Roman"/>
                <w:kern w:val="2"/>
                <w:sz w:val="21"/>
                <w:szCs w:val="21"/>
                <w:lang w:val="en-US" w:eastAsia="zh-CN" w:bidi="ar-SA"/>
              </w:rPr>
              <w:t>万m</w:t>
            </w:r>
            <w:r>
              <w:rPr>
                <w:rFonts w:hint="default" w:ascii="Times New Roman" w:hAnsi="Times New Roman" w:eastAsia="宋体" w:cs="Times New Roman"/>
                <w:kern w:val="2"/>
                <w:sz w:val="21"/>
                <w:szCs w:val="21"/>
                <w:vertAlign w:val="superscript"/>
                <w:lang w:val="en-US" w:eastAsia="zh-CN" w:bidi="ar-SA"/>
              </w:rPr>
              <w:t>2</w:t>
            </w:r>
            <w:r>
              <w:rPr>
                <w:rFonts w:hint="default" w:ascii="Times New Roman" w:hAnsi="Times New Roman" w:cs="Times New Roman"/>
                <w:kern w:val="2"/>
                <w:sz w:val="21"/>
                <w:szCs w:val="21"/>
                <w:vertAlign w:val="baseline"/>
                <w:lang w:val="en-US" w:eastAsia="zh-CN" w:bidi="ar-SA"/>
              </w:rPr>
              <w:t>/a（主要成分为PET，约16.6t/a）、</w:t>
            </w:r>
            <w:r>
              <w:rPr>
                <w:rFonts w:hint="default" w:ascii="Times New Roman" w:hAnsi="Times New Roman" w:eastAsia="宋体" w:cs="Times New Roman"/>
                <w:kern w:val="2"/>
                <w:sz w:val="21"/>
                <w:szCs w:val="21"/>
                <w:lang w:val="en-US" w:eastAsia="zh-CN" w:bidi="ar-SA"/>
              </w:rPr>
              <w:t>针刺面料</w:t>
            </w:r>
            <w:r>
              <w:rPr>
                <w:rFonts w:hint="default" w:ascii="Times New Roman" w:hAnsi="Times New Roman" w:cs="Times New Roman"/>
                <w:color w:val="auto"/>
                <w:sz w:val="21"/>
                <w:szCs w:val="21"/>
                <w:lang w:val="en-US" w:eastAsia="zh-CN"/>
              </w:rPr>
              <w:t>28</w:t>
            </w:r>
            <w:r>
              <w:rPr>
                <w:rFonts w:hint="default" w:ascii="Times New Roman" w:hAnsi="Times New Roman" w:eastAsia="宋体" w:cs="Times New Roman"/>
                <w:kern w:val="2"/>
                <w:sz w:val="21"/>
                <w:szCs w:val="21"/>
                <w:lang w:val="en-US" w:eastAsia="zh-CN" w:bidi="ar-SA"/>
              </w:rPr>
              <w:t>万m</w:t>
            </w:r>
            <w:r>
              <w:rPr>
                <w:rFonts w:hint="default" w:ascii="Times New Roman" w:hAnsi="Times New Roman" w:eastAsia="宋体" w:cs="Times New Roman"/>
                <w:kern w:val="2"/>
                <w:sz w:val="21"/>
                <w:szCs w:val="21"/>
                <w:vertAlign w:val="superscript"/>
                <w:lang w:val="en-US" w:eastAsia="zh-CN" w:bidi="ar-SA"/>
              </w:rPr>
              <w:t>2</w:t>
            </w:r>
            <w:r>
              <w:rPr>
                <w:rFonts w:hint="default" w:ascii="Times New Roman" w:hAnsi="Times New Roman" w:cs="Times New Roman"/>
                <w:kern w:val="2"/>
                <w:sz w:val="21"/>
                <w:szCs w:val="21"/>
                <w:vertAlign w:val="baseline"/>
                <w:lang w:val="en-US" w:eastAsia="zh-CN" w:bidi="ar-SA"/>
              </w:rPr>
              <w:t>/a（主要成分为PET，约224t/a）、</w:t>
            </w:r>
            <w:r>
              <w:rPr>
                <w:rFonts w:hint="default" w:ascii="Times New Roman" w:hAnsi="Times New Roman" w:eastAsia="宋体" w:cs="Times New Roman"/>
                <w:kern w:val="2"/>
                <w:sz w:val="21"/>
                <w:szCs w:val="21"/>
                <w:lang w:val="en-US" w:eastAsia="zh-CN" w:bidi="ar-SA"/>
              </w:rPr>
              <w:t>针织面料</w:t>
            </w:r>
            <w:r>
              <w:rPr>
                <w:rFonts w:hint="default" w:ascii="Times New Roman" w:hAnsi="Times New Roman" w:cs="Times New Roman"/>
                <w:color w:val="auto"/>
                <w:sz w:val="21"/>
                <w:szCs w:val="21"/>
                <w:lang w:val="en-US" w:eastAsia="zh-CN"/>
              </w:rPr>
              <w:t>4.2</w:t>
            </w:r>
            <w:r>
              <w:rPr>
                <w:rFonts w:hint="default" w:ascii="Times New Roman" w:hAnsi="Times New Roman" w:eastAsia="宋体" w:cs="Times New Roman"/>
                <w:kern w:val="2"/>
                <w:sz w:val="21"/>
                <w:szCs w:val="21"/>
                <w:lang w:val="en-US" w:eastAsia="zh-CN" w:bidi="ar-SA"/>
              </w:rPr>
              <w:t>万m</w:t>
            </w:r>
            <w:r>
              <w:rPr>
                <w:rFonts w:hint="default" w:ascii="Times New Roman" w:hAnsi="Times New Roman" w:eastAsia="宋体" w:cs="Times New Roman"/>
                <w:kern w:val="2"/>
                <w:sz w:val="21"/>
                <w:szCs w:val="21"/>
                <w:vertAlign w:val="superscript"/>
                <w:lang w:val="en-US" w:eastAsia="zh-CN" w:bidi="ar-SA"/>
              </w:rPr>
              <w:t>2</w:t>
            </w:r>
            <w:r>
              <w:rPr>
                <w:rFonts w:hint="default" w:ascii="Times New Roman" w:hAnsi="Times New Roman" w:cs="Times New Roman"/>
                <w:kern w:val="2"/>
                <w:sz w:val="21"/>
                <w:szCs w:val="21"/>
                <w:vertAlign w:val="baseline"/>
                <w:lang w:val="en-US" w:eastAsia="zh-CN" w:bidi="ar-SA"/>
              </w:rPr>
              <w:t>/a（主要成分为PET，约33.6t/a）、</w:t>
            </w:r>
            <w:r>
              <w:rPr>
                <w:rFonts w:hint="default" w:ascii="Times New Roman" w:hAnsi="Times New Roman" w:eastAsia="宋体" w:cs="Times New Roman"/>
                <w:kern w:val="2"/>
                <w:sz w:val="21"/>
                <w:szCs w:val="21"/>
                <w:lang w:val="en-US" w:eastAsia="zh-CN" w:bidi="ar-SA"/>
              </w:rPr>
              <w:t>PVC薄膜</w:t>
            </w:r>
            <w:r>
              <w:rPr>
                <w:rFonts w:hint="default" w:ascii="Times New Roman" w:hAnsi="Times New Roman" w:cs="Times New Roman"/>
                <w:kern w:val="2"/>
                <w:sz w:val="21"/>
                <w:szCs w:val="21"/>
                <w:lang w:val="en-US" w:eastAsia="zh-CN" w:bidi="ar-SA"/>
              </w:rPr>
              <w:t>4.3</w:t>
            </w:r>
            <w:r>
              <w:rPr>
                <w:rFonts w:hint="default" w:ascii="Times New Roman" w:hAnsi="Times New Roman" w:cs="Times New Roman"/>
                <w:kern w:val="2"/>
                <w:sz w:val="21"/>
                <w:szCs w:val="21"/>
                <w:vertAlign w:val="baseline"/>
                <w:lang w:val="en-US" w:eastAsia="zh-CN" w:bidi="ar-SA"/>
              </w:rPr>
              <w:t>t/a</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color w:val="auto"/>
                <w:sz w:val="21"/>
                <w:szCs w:val="21"/>
                <w:highlight w:val="none"/>
                <w:lang w:val="en-US" w:eastAsia="zh-CN"/>
              </w:rPr>
              <w:t>参考《空气污染物排放和控制手册》（美国国家环保局）中推荐的公式和同类项目废气源强，热压过程挥发性有机物产生量系数为0.5kg/t-原料，则项目热压工序有机废气非甲烷总烃产生量为0.139t/a，热压废气经集气罩收集后进入活性炭吸附箱处理，尾气经15m高1#排气筒排放。废气收集效率为90%，处理效率为90%，则热压废气非甲烷总烃有组织排放量为0.013t/a，无组织排放量为0.014t/a</w:t>
            </w:r>
            <w:r>
              <w:rPr>
                <w:rFonts w:hint="default" w:ascii="Times New Roman" w:hAnsi="Times New Roman" w:cs="Times New Roman"/>
                <w:bCs/>
                <w:color w:val="auto"/>
                <w:sz w:val="21"/>
                <w:szCs w:val="21"/>
                <w:lang w:val="en-US" w:eastAsia="zh-CN"/>
              </w:rPr>
              <w:t>。</w:t>
            </w:r>
            <w:r>
              <w:rPr>
                <w:rFonts w:hint="default" w:ascii="Times New Roman" w:hAnsi="Times New Roman" w:cs="Times New Roman"/>
                <w:bCs/>
                <w:color w:val="auto"/>
                <w:sz w:val="21"/>
                <w:szCs w:val="21"/>
              </w:rPr>
              <w:t>②</w:t>
            </w:r>
            <w:r>
              <w:rPr>
                <w:rFonts w:hint="default" w:ascii="Times New Roman" w:hAnsi="Times New Roman" w:cs="Times New Roman"/>
                <w:bCs/>
                <w:color w:val="auto"/>
                <w:sz w:val="21"/>
                <w:szCs w:val="21"/>
                <w:lang w:eastAsia="zh-CN"/>
              </w:rPr>
              <w:t>现有项目生活污水未评价</w:t>
            </w:r>
            <w:r>
              <w:rPr>
                <w:rFonts w:hint="default" w:ascii="Times New Roman" w:hAnsi="Times New Roman" w:cs="Times New Roman"/>
                <w:bCs/>
                <w:color w:val="auto"/>
                <w:sz w:val="21"/>
                <w:szCs w:val="21"/>
                <w:lang w:val="en-US" w:eastAsia="zh-CN"/>
              </w:rPr>
              <w:t>TN，本次补充申请。</w:t>
            </w:r>
          </w:p>
          <w:p>
            <w:pPr>
              <w:keepNext w:val="0"/>
              <w:keepLines w:val="0"/>
              <w:pageBreakBefore w:val="0"/>
              <w:widowControl w:val="0"/>
              <w:kinsoku/>
              <w:wordWrap/>
              <w:overflowPunct/>
              <w:topLinePunct w:val="0"/>
              <w:autoSpaceDE/>
              <w:autoSpaceDN/>
              <w:bidi w:val="0"/>
              <w:adjustRightInd w:val="0"/>
              <w:snapToGrid w:val="0"/>
              <w:spacing w:line="500" w:lineRule="exact"/>
              <w:ind w:right="0" w:firstLine="482" w:firstLineChars="200"/>
              <w:textAlignment w:val="auto"/>
              <w:rPr>
                <w:rFonts w:hint="default" w:ascii="Times New Roman" w:hAnsi="Times New Roman" w:cs="Times New Roman"/>
                <w:b/>
                <w:bCs/>
                <w:color w:val="auto"/>
                <w:sz w:val="24"/>
              </w:rPr>
            </w:pPr>
            <w:r>
              <w:rPr>
                <w:rFonts w:hint="eastAsia" w:cs="Times New Roman"/>
                <w:b/>
                <w:bCs/>
                <w:color w:val="auto"/>
                <w:sz w:val="24"/>
                <w:lang w:eastAsia="zh-CN"/>
              </w:rPr>
              <w:t>二</w:t>
            </w:r>
            <w:r>
              <w:rPr>
                <w:rFonts w:hint="default" w:ascii="Times New Roman" w:hAnsi="Times New Roman" w:cs="Times New Roman"/>
                <w:b/>
                <w:bCs/>
                <w:color w:val="auto"/>
                <w:sz w:val="24"/>
              </w:rPr>
              <w:t>、现有项目存在的主要问题及</w:t>
            </w:r>
            <w:r>
              <w:rPr>
                <w:rFonts w:hint="eastAsia" w:cs="Times New Roman"/>
                <w:b/>
                <w:color w:val="auto"/>
                <w:sz w:val="24"/>
                <w:lang w:eastAsia="zh-CN"/>
              </w:rPr>
              <w:t>“</w:t>
            </w:r>
            <w:r>
              <w:rPr>
                <w:rFonts w:hint="default" w:ascii="Times New Roman" w:hAnsi="Times New Roman" w:cs="Times New Roman"/>
                <w:b/>
                <w:color w:val="auto"/>
                <w:sz w:val="24"/>
              </w:rPr>
              <w:t>以新带老</w:t>
            </w:r>
            <w:r>
              <w:rPr>
                <w:rFonts w:hint="eastAsia" w:cs="Times New Roman"/>
                <w:b/>
                <w:color w:val="auto"/>
                <w:sz w:val="24"/>
                <w:lang w:eastAsia="zh-CN"/>
              </w:rPr>
              <w:t>”</w:t>
            </w:r>
            <w:r>
              <w:rPr>
                <w:rFonts w:hint="default" w:ascii="Times New Roman" w:hAnsi="Times New Roman" w:cs="Times New Roman"/>
                <w:b/>
                <w:color w:val="auto"/>
                <w:sz w:val="24"/>
              </w:rPr>
              <w:t>措施</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480" w:firstLineChars="200"/>
              <w:textAlignment w:val="auto"/>
              <w:rPr>
                <w:rFonts w:hint="default" w:ascii="Times New Roman" w:hAnsi="Times New Roman" w:eastAsia="宋体" w:cs="Times New Roman"/>
                <w:b w:val="0"/>
                <w:bCs/>
                <w:color w:val="auto"/>
                <w:sz w:val="24"/>
                <w:lang w:val="en-US" w:eastAsia="zh-CN"/>
              </w:rPr>
            </w:pPr>
            <w:r>
              <w:rPr>
                <w:rFonts w:hint="eastAsia" w:cs="Times New Roman"/>
                <w:b w:val="0"/>
                <w:bCs/>
                <w:color w:val="auto"/>
                <w:sz w:val="24"/>
                <w:lang w:val="en-US" w:eastAsia="zh-CN"/>
              </w:rPr>
              <w:t>1、</w:t>
            </w:r>
            <w:r>
              <w:rPr>
                <w:rFonts w:hint="default" w:ascii="Times New Roman" w:hAnsi="Times New Roman" w:cs="Times New Roman"/>
                <w:b/>
                <w:bCs/>
                <w:color w:val="auto"/>
                <w:sz w:val="24"/>
              </w:rPr>
              <w:t>现有项目存在的主要问题</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szCs w:val="24"/>
                <w:lang w:val="en-US" w:eastAsia="zh-CN"/>
              </w:rPr>
              <w:t>（1）</w:t>
            </w:r>
            <w:r>
              <w:rPr>
                <w:rFonts w:hint="eastAsia" w:ascii="Times New Roman" w:hAnsi="Times New Roman" w:eastAsia="宋体" w:cs="Times New Roman"/>
                <w:b w:val="0"/>
                <w:bCs/>
                <w:color w:val="auto"/>
                <w:sz w:val="24"/>
                <w:lang w:val="en-US" w:eastAsia="zh-CN"/>
              </w:rPr>
              <w:t>现有项目尚未履行环保“三同时”手续。</w:t>
            </w:r>
          </w:p>
          <w:p>
            <w:pPr>
              <w:adjustRightInd w:val="0"/>
              <w:snapToGrid w:val="0"/>
              <w:spacing w:line="500" w:lineRule="exact"/>
              <w:ind w:firstLine="480" w:firstLineChars="200"/>
              <w:rPr>
                <w:rFonts w:hint="eastAsia" w:cs="Times New Roman"/>
                <w:b w:val="0"/>
                <w:bCs/>
                <w:color w:val="auto"/>
                <w:sz w:val="24"/>
                <w:lang w:val="en-US" w:eastAsia="zh-CN"/>
              </w:rPr>
            </w:pPr>
            <w:r>
              <w:rPr>
                <w:rFonts w:hint="eastAsia" w:ascii="Times New Roman" w:hAnsi="Times New Roman" w:eastAsia="宋体" w:cs="Times New Roman"/>
                <w:b w:val="0"/>
                <w:bCs/>
                <w:color w:val="auto"/>
                <w:sz w:val="24"/>
                <w:szCs w:val="24"/>
                <w:lang w:val="en-US" w:eastAsia="zh-CN"/>
              </w:rPr>
              <w:t>（2）</w:t>
            </w:r>
            <w:r>
              <w:rPr>
                <w:rFonts w:hint="default" w:ascii="Times New Roman" w:hAnsi="Times New Roman" w:cs="Times New Roman"/>
                <w:bCs/>
                <w:color w:val="auto"/>
                <w:sz w:val="24"/>
                <w:lang w:val="en-US" w:eastAsia="zh-CN"/>
              </w:rPr>
              <w:t>现有项目生活污水</w:t>
            </w:r>
            <w:r>
              <w:rPr>
                <w:rFonts w:hint="default" w:ascii="Times New Roman" w:hAnsi="Times New Roman" w:eastAsia="宋体" w:cs="Times New Roman"/>
                <w:bCs/>
                <w:color w:val="auto"/>
                <w:sz w:val="24"/>
                <w:lang w:val="en-US" w:eastAsia="zh-CN"/>
              </w:rPr>
              <w:t>未评价总氮因子，该</w:t>
            </w:r>
            <w:r>
              <w:rPr>
                <w:rFonts w:hint="default" w:ascii="Times New Roman" w:hAnsi="Times New Roman" w:cs="Times New Roman"/>
                <w:color w:val="auto"/>
                <w:sz w:val="24"/>
              </w:rPr>
              <w:t>项目污染物排放总量未进行申请。</w:t>
            </w:r>
          </w:p>
          <w:p>
            <w:pPr>
              <w:keepNext w:val="0"/>
              <w:keepLines w:val="0"/>
              <w:pageBreakBefore w:val="0"/>
              <w:widowControl w:val="0"/>
              <w:kinsoku/>
              <w:wordWrap/>
              <w:overflowPunct/>
              <w:topLinePunct w:val="0"/>
              <w:autoSpaceDE/>
              <w:autoSpaceDN/>
              <w:bidi w:val="0"/>
              <w:adjustRightInd w:val="0"/>
              <w:snapToGrid w:val="0"/>
              <w:spacing w:line="500" w:lineRule="exact"/>
              <w:ind w:right="0" w:firstLine="480" w:firstLineChars="200"/>
              <w:textAlignment w:val="auto"/>
              <w:rPr>
                <w:rFonts w:hint="default" w:ascii="Times New Roman" w:hAnsi="Times New Roman" w:cs="Times New Roman"/>
                <w:b/>
                <w:bCs/>
                <w:color w:val="auto"/>
                <w:sz w:val="24"/>
              </w:rPr>
            </w:pPr>
            <w:r>
              <w:rPr>
                <w:rFonts w:hint="eastAsia" w:cs="Times New Roman"/>
                <w:b w:val="0"/>
                <w:bCs/>
                <w:color w:val="auto"/>
                <w:sz w:val="24"/>
                <w:lang w:val="en-US" w:eastAsia="zh-CN"/>
              </w:rPr>
              <w:t>2、</w:t>
            </w:r>
            <w:r>
              <w:rPr>
                <w:rFonts w:hint="eastAsia" w:cs="Times New Roman"/>
                <w:b/>
                <w:color w:val="auto"/>
                <w:sz w:val="24"/>
                <w:lang w:eastAsia="zh-CN"/>
              </w:rPr>
              <w:t>“</w:t>
            </w:r>
            <w:r>
              <w:rPr>
                <w:rFonts w:hint="default" w:ascii="Times New Roman" w:hAnsi="Times New Roman" w:cs="Times New Roman"/>
                <w:b/>
                <w:color w:val="auto"/>
                <w:sz w:val="24"/>
              </w:rPr>
              <w:t>以新带老</w:t>
            </w:r>
            <w:r>
              <w:rPr>
                <w:rFonts w:hint="eastAsia" w:cs="Times New Roman"/>
                <w:b/>
                <w:color w:val="auto"/>
                <w:sz w:val="24"/>
                <w:lang w:eastAsia="zh-CN"/>
              </w:rPr>
              <w:t>”</w:t>
            </w:r>
            <w:r>
              <w:rPr>
                <w:rFonts w:hint="default" w:ascii="Times New Roman" w:hAnsi="Times New Roman" w:cs="Times New Roman"/>
                <w:b/>
                <w:color w:val="auto"/>
                <w:sz w:val="24"/>
              </w:rPr>
              <w:t>措施</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w:t>
            </w:r>
            <w:r>
              <w:rPr>
                <w:rFonts w:hint="eastAsia" w:cs="Times New Roman"/>
                <w:b w:val="0"/>
                <w:bCs/>
                <w:color w:val="auto"/>
                <w:sz w:val="24"/>
                <w:szCs w:val="24"/>
                <w:lang w:val="en-US" w:eastAsia="zh-CN"/>
              </w:rPr>
              <w:t>待本项目建成后，现有</w:t>
            </w:r>
            <w:r>
              <w:rPr>
                <w:rFonts w:hint="eastAsia" w:ascii="Times New Roman" w:hAnsi="Times New Roman" w:eastAsia="宋体" w:cs="Times New Roman"/>
                <w:b w:val="0"/>
                <w:bCs/>
                <w:color w:val="auto"/>
                <w:sz w:val="24"/>
                <w:szCs w:val="24"/>
                <w:lang w:val="en-US" w:eastAsia="zh-CN"/>
              </w:rPr>
              <w:t>项目与本项目一并</w:t>
            </w:r>
            <w:r>
              <w:rPr>
                <w:rFonts w:hint="eastAsia" w:cs="Times New Roman"/>
                <w:b w:val="0"/>
                <w:bCs/>
                <w:color w:val="auto"/>
                <w:sz w:val="24"/>
                <w:szCs w:val="24"/>
                <w:lang w:val="en-US" w:eastAsia="zh-CN"/>
              </w:rPr>
              <w:t>履行环保“三同时”手续</w:t>
            </w:r>
            <w:r>
              <w:rPr>
                <w:rFonts w:hint="eastAsia" w:ascii="Times New Roman" w:hAnsi="Times New Roman" w:eastAsia="宋体" w:cs="Times New Roman"/>
                <w:b w:val="0"/>
                <w:bCs/>
                <w:color w:val="auto"/>
                <w:sz w:val="24"/>
                <w:szCs w:val="24"/>
                <w:lang w:val="en-US" w:eastAsia="zh-CN"/>
              </w:rPr>
              <w:t>。</w:t>
            </w:r>
          </w:p>
          <w:p>
            <w:pPr>
              <w:pStyle w:val="1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w:t>
            </w:r>
            <w:r>
              <w:rPr>
                <w:rFonts w:hint="default" w:ascii="Times New Roman" w:hAnsi="Times New Roman" w:eastAsia="宋体" w:cs="Times New Roman"/>
                <w:b w:val="0"/>
                <w:bCs/>
                <w:color w:val="auto"/>
                <w:sz w:val="24"/>
                <w:lang w:val="en-US" w:eastAsia="zh-CN"/>
              </w:rPr>
              <w:t>原有项目生活污水产生量为</w:t>
            </w:r>
            <w:r>
              <w:rPr>
                <w:rFonts w:hint="eastAsia" w:ascii="Times New Roman" w:hAnsi="Times New Roman" w:eastAsia="宋体" w:cs="Times New Roman"/>
                <w:b w:val="0"/>
                <w:bCs/>
                <w:color w:val="auto"/>
                <w:sz w:val="24"/>
                <w:lang w:val="en-US" w:eastAsia="zh-CN"/>
              </w:rPr>
              <w:t>368</w:t>
            </w:r>
            <w:r>
              <w:rPr>
                <w:rFonts w:hint="default" w:ascii="Times New Roman" w:hAnsi="Times New Roman" w:eastAsia="宋体" w:cs="Times New Roman"/>
                <w:b w:val="0"/>
                <w:bCs/>
                <w:color w:val="auto"/>
                <w:sz w:val="24"/>
                <w:lang w:val="en-US" w:eastAsia="zh-CN"/>
              </w:rPr>
              <w:t>t/a，TN浓度以40mg/L计，则TN排放量为0.0</w:t>
            </w:r>
            <w:r>
              <w:rPr>
                <w:rFonts w:hint="eastAsia" w:ascii="Times New Roman" w:hAnsi="Times New Roman" w:eastAsia="宋体" w:cs="Times New Roman"/>
                <w:b w:val="0"/>
                <w:bCs/>
                <w:color w:val="auto"/>
                <w:sz w:val="24"/>
                <w:lang w:val="en-US" w:eastAsia="zh-CN"/>
              </w:rPr>
              <w:t>15</w:t>
            </w:r>
            <w:r>
              <w:rPr>
                <w:rFonts w:hint="default" w:ascii="Times New Roman" w:hAnsi="Times New Roman" w:eastAsia="宋体" w:cs="Times New Roman"/>
                <w:b w:val="0"/>
                <w:bCs/>
                <w:color w:val="auto"/>
                <w:sz w:val="24"/>
                <w:lang w:val="en-US" w:eastAsia="zh-CN"/>
              </w:rPr>
              <w:t>t/a</w:t>
            </w:r>
            <w:r>
              <w:rPr>
                <w:rFonts w:hint="eastAsia" w:ascii="Times New Roman" w:hAnsi="Times New Roman" w:eastAsia="宋体" w:cs="Times New Roman"/>
                <w:b w:val="0"/>
                <w:bCs/>
                <w:color w:val="auto"/>
                <w:sz w:val="24"/>
                <w:lang w:val="en-US" w:eastAsia="zh-CN"/>
              </w:rPr>
              <w:t>。</w:t>
            </w:r>
          </w:p>
          <w:p>
            <w:pPr>
              <w:pStyle w:val="11"/>
              <w:adjustRightInd w:val="0"/>
              <w:snapToGrid w:val="0"/>
              <w:spacing w:line="500" w:lineRule="exact"/>
              <w:ind w:firstLine="480" w:firstLineChars="200"/>
              <w:rPr>
                <w:rFonts w:hint="default" w:ascii="Times New Roman" w:hAnsi="Times New Roman" w:eastAsia="宋体" w:cs="Times New Roman"/>
                <w:b w:val="0"/>
                <w:bCs/>
                <w:color w:val="auto"/>
                <w:sz w:val="24"/>
                <w:szCs w:val="24"/>
                <w:highlight w:val="none"/>
                <w:lang w:val="en-US" w:eastAsia="zh-CN"/>
              </w:rPr>
            </w:pPr>
          </w:p>
        </w:tc>
      </w:tr>
    </w:tbl>
    <w:p>
      <w:pPr>
        <w:pStyle w:val="25"/>
        <w:adjustRightInd w:val="0"/>
        <w:snapToGrid w:val="0"/>
        <w:spacing w:before="0" w:beforeAutospacing="0" w:after="0" w:afterAutospacing="0" w:line="14" w:lineRule="auto"/>
        <w:jc w:val="center"/>
        <w:outlineLvl w:val="0"/>
        <w:rPr>
          <w:rFonts w:hint="default" w:ascii="Times New Roman" w:hAnsi="Times New Roman" w:eastAsia="黑体" w:cs="Times New Roman"/>
          <w:snapToGrid w:val="0"/>
          <w:color w:val="auto"/>
          <w:sz w:val="30"/>
          <w:szCs w:val="30"/>
        </w:rPr>
      </w:pPr>
    </w:p>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sectPr>
          <w:footerReference r:id="rId4" w:type="default"/>
          <w:pgSz w:w="11906" w:h="16838"/>
          <w:pgMar w:top="1417" w:right="1417" w:bottom="1417" w:left="1417" w:header="851" w:footer="1134" w:gutter="0"/>
          <w:pgBorders>
            <w:top w:val="none" w:sz="0" w:space="0"/>
            <w:left w:val="none" w:sz="0" w:space="0"/>
            <w:bottom w:val="none" w:sz="0" w:space="0"/>
            <w:right w:val="none" w:sz="0" w:space="0"/>
          </w:pgBorders>
          <w:cols w:space="720" w:num="1"/>
          <w:docGrid w:linePitch="312" w:charSpace="0"/>
        </w:sectPr>
      </w:pPr>
      <w:bookmarkStart w:id="3" w:name="_Toc17832"/>
    </w:p>
    <w:bookmarkEnd w:id="3"/>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pPr>
      <w:bookmarkStart w:id="4" w:name="_Toc4503"/>
      <w:r>
        <w:rPr>
          <w:rFonts w:hint="default" w:ascii="Times New Roman" w:hAnsi="Times New Roman" w:eastAsia="黑体" w:cs="Times New Roman"/>
          <w:snapToGrid w:val="0"/>
          <w:color w:val="auto"/>
          <w:sz w:val="30"/>
          <w:szCs w:val="30"/>
        </w:rPr>
        <w:t>三、区域环境质量现状、环境保护目标及评价标准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8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区域</w:t>
            </w:r>
          </w:p>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环境</w:t>
            </w:r>
          </w:p>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质量</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现状</w:t>
            </w:r>
          </w:p>
        </w:tc>
        <w:tc>
          <w:tcPr>
            <w:tcW w:w="8228" w:type="dxa"/>
            <w:vAlign w:val="center"/>
          </w:tcPr>
          <w:p>
            <w:pPr>
              <w:spacing w:line="500" w:lineRule="exact"/>
              <w:rPr>
                <w:rFonts w:hint="default" w:ascii="Times New Roman" w:hAnsi="Times New Roman" w:cs="Times New Roman"/>
                <w:b/>
                <w:bCs/>
                <w:color w:val="auto"/>
                <w:sz w:val="24"/>
              </w:rPr>
            </w:pPr>
            <w:r>
              <w:rPr>
                <w:rFonts w:hint="default" w:ascii="Times New Roman" w:hAnsi="Times New Roman" w:cs="Times New Roman"/>
                <w:b/>
                <w:bCs/>
                <w:color w:val="auto"/>
                <w:sz w:val="24"/>
              </w:rPr>
              <w:t>1、环境空气质量现状</w:t>
            </w:r>
          </w:p>
          <w:p>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（1）区域达标判定</w:t>
            </w:r>
          </w:p>
          <w:p>
            <w:pPr>
              <w:adjustRightInd w:val="0"/>
              <w:snapToGrid w:val="0"/>
              <w:spacing w:line="50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根据《环境影响评价技术导则大气环境》（HJ2.2-2018），项目所在区域达标情况判定优先采用国家或地方生态环境主管部门公开发布的环境质量报告或环境质量报告书中的数据或结论。根据《</w:t>
            </w:r>
            <w:r>
              <w:rPr>
                <w:rFonts w:hint="eastAsia" w:cs="Times New Roman"/>
                <w:color w:val="auto"/>
                <w:sz w:val="24"/>
                <w:szCs w:val="22"/>
                <w:lang w:eastAsia="zh-CN"/>
              </w:rPr>
              <w:t>2022常州市生态环境状况公报</w:t>
            </w:r>
            <w:r>
              <w:rPr>
                <w:rFonts w:hint="default" w:ascii="Times New Roman" w:hAnsi="Times New Roman" w:cs="Times New Roman"/>
                <w:color w:val="auto"/>
                <w:sz w:val="24"/>
                <w:szCs w:val="22"/>
              </w:rPr>
              <w:t>》</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rPr>
              <w:t>常州市各评价因子数据见表3-1。</w:t>
            </w:r>
          </w:p>
          <w:p>
            <w:pPr>
              <w:adjustRightInd w:val="0"/>
              <w:snapToGrid w:val="0"/>
              <w:spacing w:line="500" w:lineRule="exact"/>
              <w:ind w:left="0" w:leftChars="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表3-</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 xml:space="preserve">  区域空气质量现状评价表</w:t>
            </w:r>
          </w:p>
          <w:tbl>
            <w:tblPr>
              <w:tblStyle w:val="27"/>
              <w:tblW w:w="483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598"/>
              <w:gridCol w:w="726"/>
              <w:gridCol w:w="1833"/>
              <w:gridCol w:w="1961"/>
              <w:gridCol w:w="1095"/>
              <w:gridCol w:w="971"/>
              <w:gridCol w:w="9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区域</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评价因子</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auto"/>
                      <w:szCs w:val="21"/>
                      <w:vertAlign w:val="subscript"/>
                    </w:rPr>
                  </w:pPr>
                  <w:r>
                    <w:rPr>
                      <w:rFonts w:hint="default" w:ascii="Times New Roman" w:hAnsi="Times New Roman" w:cs="Times New Roman"/>
                      <w:b/>
                      <w:color w:val="auto"/>
                      <w:szCs w:val="21"/>
                    </w:rPr>
                    <w:t>平均时段</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现状浓度（ug/m</w:t>
                  </w:r>
                  <w:r>
                    <w:rPr>
                      <w:rFonts w:hint="default" w:ascii="Times New Roman" w:hAnsi="Times New Roman" w:cs="Times New Roman"/>
                      <w:b/>
                      <w:color w:val="auto"/>
                      <w:szCs w:val="21"/>
                      <w:vertAlign w:val="superscript"/>
                    </w:rPr>
                    <w:t>3</w:t>
                  </w:r>
                  <w:r>
                    <w:rPr>
                      <w:rFonts w:hint="default" w:ascii="Times New Roman" w:hAnsi="Times New Roman" w:cs="Times New Roman"/>
                      <w:b/>
                      <w:color w:val="auto"/>
                      <w:szCs w:val="21"/>
                    </w:rPr>
                    <w:t>）</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标准值（ug/m</w:t>
                  </w:r>
                  <w:r>
                    <w:rPr>
                      <w:rFonts w:hint="default" w:ascii="Times New Roman" w:hAnsi="Times New Roman" w:cs="Times New Roman"/>
                      <w:b/>
                      <w:color w:val="auto"/>
                      <w:szCs w:val="21"/>
                      <w:vertAlign w:val="superscript"/>
                    </w:rPr>
                    <w:t>3</w:t>
                  </w:r>
                  <w:r>
                    <w:rPr>
                      <w:rFonts w:hint="default" w:ascii="Times New Roman" w:hAnsi="Times New Roman" w:cs="Times New Roman"/>
                      <w:b/>
                      <w:color w:val="auto"/>
                      <w:szCs w:val="21"/>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lang w:val="en-US" w:eastAsia="zh-CN"/>
                    </w:rPr>
                    <w:t>达标率（%）</w:t>
                  </w:r>
                </w:p>
              </w:tc>
              <w:tc>
                <w:tcPr>
                  <w:tcW w:w="8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达标</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restart"/>
                  <w:noWrap w:val="0"/>
                  <w:vAlign w:val="center"/>
                </w:tcPr>
                <w:p>
                  <w:pPr>
                    <w:adjustRightInd w:val="0"/>
                    <w:snapToGrid w:val="0"/>
                    <w:ind w:right="92"/>
                    <w:jc w:val="center"/>
                    <w:rPr>
                      <w:rFonts w:hint="default" w:ascii="Times New Roman" w:hAnsi="Times New Roman" w:cs="Times New Roman"/>
                      <w:color w:val="auto"/>
                    </w:rPr>
                  </w:pPr>
                  <w:r>
                    <w:rPr>
                      <w:rFonts w:hint="default" w:ascii="Times New Roman" w:hAnsi="Times New Roman" w:cs="Times New Roman"/>
                      <w:color w:val="auto"/>
                    </w:rPr>
                    <w:t>常</w:t>
                  </w:r>
                  <w:r>
                    <w:rPr>
                      <w:rFonts w:hint="default" w:ascii="Times New Roman" w:hAnsi="Times New Roman" w:eastAsia="宋体" w:cs="Times New Roman"/>
                      <w:bCs/>
                      <w:color w:val="auto"/>
                      <w:szCs w:val="21"/>
                    </w:rPr>
                    <w:t>州</w:t>
                  </w:r>
                  <w:r>
                    <w:rPr>
                      <w:rFonts w:hint="default" w:ascii="Times New Roman" w:hAnsi="Times New Roman" w:cs="Times New Roman"/>
                      <w:color w:val="auto"/>
                    </w:rPr>
                    <w:t>全市</w:t>
                  </w:r>
                </w:p>
                <w:p>
                  <w:pPr>
                    <w:pStyle w:val="13"/>
                    <w:ind w:left="1470" w:right="1470"/>
                    <w:jc w:val="center"/>
                    <w:rPr>
                      <w:rFonts w:hint="default" w:ascii="Times New Roman" w:hAnsi="Times New Roman" w:cs="Times New Roman"/>
                      <w:color w:val="auto"/>
                    </w:rPr>
                  </w:pPr>
                </w:p>
              </w:tc>
              <w:tc>
                <w:tcPr>
                  <w:tcW w:w="694" w:type="dxa"/>
                  <w:vMerge w:val="restart"/>
                  <w:noWrap w:val="0"/>
                  <w:vAlign w:val="center"/>
                </w:tcPr>
                <w:p>
                  <w:pPr>
                    <w:adjustRightInd w:val="0"/>
                    <w:snapToGrid w:val="0"/>
                    <w:ind w:right="92"/>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SO</w:t>
                  </w:r>
                  <w:r>
                    <w:rPr>
                      <w:rFonts w:hint="default" w:ascii="Times New Roman" w:hAnsi="Times New Roman" w:cs="Times New Roman"/>
                      <w:bCs/>
                      <w:color w:val="auto"/>
                      <w:szCs w:val="21"/>
                      <w:vertAlign w:val="subscript"/>
                    </w:rPr>
                    <w:t>2</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年平均质量浓度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Cs w:val="21"/>
                      <w:lang w:eastAsia="zh-CN"/>
                    </w:rPr>
                  </w:pPr>
                  <w:r>
                    <w:rPr>
                      <w:rFonts w:hint="eastAsia" w:ascii="Times New Roman" w:hAnsi="Times New Roman" w:cs="Times New Roman"/>
                      <w:bCs/>
                      <w:color w:val="auto"/>
                      <w:szCs w:val="21"/>
                      <w:lang w:val="en-US" w:eastAsia="zh-CN"/>
                    </w:rPr>
                    <w:t>7</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60</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100</w:t>
                  </w:r>
                </w:p>
              </w:tc>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continue"/>
                  <w:noWrap w:val="0"/>
                  <w:vAlign w:val="center"/>
                </w:tcPr>
                <w:p>
                  <w:pPr>
                    <w:pStyle w:val="13"/>
                    <w:ind w:left="1470" w:right="1470"/>
                    <w:jc w:val="center"/>
                    <w:rPr>
                      <w:rFonts w:hint="default" w:ascii="Times New Roman" w:hAnsi="Times New Roman" w:cs="Times New Roman"/>
                      <w:color w:val="auto"/>
                    </w:rPr>
                  </w:pPr>
                </w:p>
              </w:tc>
              <w:tc>
                <w:tcPr>
                  <w:tcW w:w="694"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日</w:t>
                  </w:r>
                  <w:r>
                    <w:rPr>
                      <w:rFonts w:hint="default" w:ascii="Times New Roman" w:hAnsi="Times New Roman" w:cs="Times New Roman"/>
                      <w:bCs/>
                      <w:color w:val="auto"/>
                      <w:szCs w:val="21"/>
                      <w:lang w:val="en-US" w:eastAsia="zh-CN"/>
                    </w:rPr>
                    <w:t>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4</w:t>
                  </w:r>
                  <w:r>
                    <w:rPr>
                      <w:rFonts w:hint="default" w:ascii="Times New Roman" w:hAnsi="Times New Roman" w:eastAsia="宋体" w:cs="Times New Roman"/>
                      <w:bCs/>
                      <w:color w:val="auto"/>
                      <w:szCs w:val="21"/>
                    </w:rPr>
                    <w:t>～</w:t>
                  </w:r>
                  <w:r>
                    <w:rPr>
                      <w:rFonts w:hint="eastAsia" w:ascii="Times New Roman" w:hAnsi="Times New Roman" w:eastAsia="宋体" w:cs="Times New Roman"/>
                      <w:bCs/>
                      <w:color w:val="auto"/>
                      <w:szCs w:val="21"/>
                      <w:lang w:val="en-US" w:eastAsia="zh-CN"/>
                    </w:rPr>
                    <w:t>13</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150</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cs="Times New Roman"/>
                      <w:bCs/>
                      <w:color w:val="auto"/>
                      <w:szCs w:val="21"/>
                      <w:lang w:val="en-US" w:eastAsia="zh-CN"/>
                    </w:rPr>
                    <w:t>100</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694" w:type="dxa"/>
                  <w:vMerge w:val="restart"/>
                  <w:noWrap w:val="0"/>
                  <w:vAlign w:val="center"/>
                </w:tcPr>
                <w:p>
                  <w:pPr>
                    <w:adjustRightInd w:val="0"/>
                    <w:snapToGrid w:val="0"/>
                    <w:ind w:right="92"/>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NO</w:t>
                  </w:r>
                  <w:r>
                    <w:rPr>
                      <w:rFonts w:hint="default" w:ascii="Times New Roman" w:hAnsi="Times New Roman" w:cs="Times New Roman"/>
                      <w:bCs/>
                      <w:color w:val="auto"/>
                      <w:szCs w:val="21"/>
                      <w:vertAlign w:val="subscript"/>
                    </w:rPr>
                    <w:t>2</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lang w:val="en-US" w:eastAsia="zh-CN"/>
                    </w:rPr>
                    <w:t>年平均质量浓度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28</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40</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cs="Times New Roman"/>
                      <w:bCs/>
                      <w:color w:val="auto"/>
                      <w:szCs w:val="21"/>
                      <w:lang w:val="en-US" w:eastAsia="zh-CN"/>
                    </w:rPr>
                    <w:t>100</w:t>
                  </w:r>
                </w:p>
              </w:tc>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694"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Cs w:val="21"/>
                      <w:lang w:val="en-US" w:eastAsia="zh-CN"/>
                    </w:rPr>
                    <w:t>日</w:t>
                  </w:r>
                  <w:r>
                    <w:rPr>
                      <w:rFonts w:hint="default" w:ascii="Times New Roman" w:hAnsi="Times New Roman" w:cs="Times New Roman"/>
                      <w:b w:val="0"/>
                      <w:bCs/>
                      <w:color w:val="auto"/>
                      <w:szCs w:val="21"/>
                      <w:lang w:val="en-US" w:eastAsia="zh-CN"/>
                    </w:rPr>
                    <w:t>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8</w:t>
                  </w:r>
                  <w:r>
                    <w:rPr>
                      <w:rFonts w:hint="default" w:ascii="Times New Roman" w:hAnsi="Times New Roman" w:eastAsia="宋体" w:cs="Times New Roman"/>
                      <w:b w:val="0"/>
                      <w:bCs/>
                      <w:color w:val="auto"/>
                      <w:szCs w:val="21"/>
                    </w:rPr>
                    <w:t>～</w:t>
                  </w:r>
                  <w:r>
                    <w:rPr>
                      <w:rFonts w:hint="eastAsia" w:ascii="Times New Roman" w:hAnsi="Times New Roman" w:eastAsia="宋体" w:cs="Times New Roman"/>
                      <w:b w:val="0"/>
                      <w:bCs/>
                      <w:color w:val="auto"/>
                      <w:szCs w:val="21"/>
                      <w:lang w:val="en-US" w:eastAsia="zh-CN"/>
                    </w:rPr>
                    <w:t>82</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80</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Cs w:val="21"/>
                      <w:lang w:val="en-US" w:eastAsia="zh-CN"/>
                    </w:rPr>
                  </w:pPr>
                  <w:r>
                    <w:rPr>
                      <w:rFonts w:hint="eastAsia" w:ascii="Times New Roman" w:hAnsi="Times New Roman" w:cs="Times New Roman"/>
                      <w:b w:val="0"/>
                      <w:bCs/>
                      <w:color w:val="auto"/>
                      <w:szCs w:val="21"/>
                      <w:lang w:val="en-US" w:eastAsia="zh-CN"/>
                    </w:rPr>
                    <w:t>99.5</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694" w:type="dxa"/>
                  <w:vMerge w:val="restart"/>
                  <w:noWrap w:val="0"/>
                  <w:vAlign w:val="center"/>
                </w:tcPr>
                <w:p>
                  <w:pPr>
                    <w:adjustRightInd w:val="0"/>
                    <w:snapToGrid w:val="0"/>
                    <w:ind w:right="92"/>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PM</w:t>
                  </w:r>
                  <w:r>
                    <w:rPr>
                      <w:rFonts w:hint="default" w:ascii="Times New Roman" w:hAnsi="Times New Roman" w:cs="Times New Roman"/>
                      <w:bCs/>
                      <w:color w:val="auto"/>
                      <w:szCs w:val="21"/>
                      <w:vertAlign w:val="subscript"/>
                    </w:rPr>
                    <w:t>10</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Cs w:val="21"/>
                      <w:lang w:val="en-US" w:eastAsia="zh-CN"/>
                    </w:rPr>
                    <w:t>年平均质量浓度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55</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70</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Cs w:val="21"/>
                      <w:lang w:val="en-US" w:eastAsia="zh-CN"/>
                    </w:rPr>
                  </w:pPr>
                  <w:r>
                    <w:rPr>
                      <w:rFonts w:hint="default" w:ascii="Times New Roman" w:hAnsi="Times New Roman" w:cs="Times New Roman"/>
                      <w:b w:val="0"/>
                      <w:bCs/>
                      <w:color w:val="auto"/>
                      <w:szCs w:val="21"/>
                      <w:lang w:val="en-US" w:eastAsia="zh-CN"/>
                    </w:rPr>
                    <w:t>100</w:t>
                  </w:r>
                </w:p>
              </w:tc>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694"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Cs w:val="21"/>
                      <w:lang w:val="en-US" w:eastAsia="zh-CN"/>
                    </w:rPr>
                    <w:t>日</w:t>
                  </w:r>
                  <w:r>
                    <w:rPr>
                      <w:rFonts w:hint="default" w:ascii="Times New Roman" w:hAnsi="Times New Roman" w:cs="Times New Roman"/>
                      <w:b w:val="0"/>
                      <w:bCs/>
                      <w:color w:val="auto"/>
                      <w:szCs w:val="21"/>
                      <w:lang w:val="en-US" w:eastAsia="zh-CN"/>
                    </w:rPr>
                    <w:t>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13</w:t>
                  </w:r>
                  <w:r>
                    <w:rPr>
                      <w:rFonts w:hint="default" w:ascii="Times New Roman" w:hAnsi="Times New Roman" w:eastAsia="宋体" w:cs="Times New Roman"/>
                      <w:b w:val="0"/>
                      <w:bCs/>
                      <w:color w:val="auto"/>
                      <w:szCs w:val="21"/>
                    </w:rPr>
                    <w:t>～</w:t>
                  </w:r>
                  <w:r>
                    <w:rPr>
                      <w:rFonts w:hint="default" w:ascii="Times New Roman" w:hAnsi="Times New Roman" w:eastAsia="宋体" w:cs="Times New Roman"/>
                      <w:b w:val="0"/>
                      <w:bCs/>
                      <w:color w:val="auto"/>
                      <w:szCs w:val="21"/>
                      <w:lang w:val="en-US" w:eastAsia="zh-CN"/>
                    </w:rPr>
                    <w:t>18</w:t>
                  </w:r>
                  <w:r>
                    <w:rPr>
                      <w:rFonts w:hint="eastAsia" w:ascii="Times New Roman" w:hAnsi="Times New Roman" w:eastAsia="宋体" w:cs="Times New Roman"/>
                      <w:b w:val="0"/>
                      <w:bCs/>
                      <w:color w:val="auto"/>
                      <w:szCs w:val="21"/>
                      <w:lang w:val="en-US" w:eastAsia="zh-CN"/>
                    </w:rPr>
                    <w:t>1</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150</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Cs w:val="21"/>
                      <w:lang w:val="en-US" w:eastAsia="zh-CN"/>
                    </w:rPr>
                  </w:pPr>
                  <w:r>
                    <w:rPr>
                      <w:rFonts w:hint="default" w:ascii="Times New Roman" w:hAnsi="Times New Roman" w:cs="Times New Roman"/>
                      <w:b w:val="0"/>
                      <w:bCs/>
                      <w:color w:val="auto"/>
                      <w:szCs w:val="21"/>
                      <w:lang w:val="en-US" w:eastAsia="zh-CN"/>
                    </w:rPr>
                    <w:t>98.</w:t>
                  </w:r>
                  <w:r>
                    <w:rPr>
                      <w:rFonts w:hint="eastAsia" w:ascii="Times New Roman" w:hAnsi="Times New Roman" w:cs="Times New Roman"/>
                      <w:b w:val="0"/>
                      <w:bCs/>
                      <w:color w:val="auto"/>
                      <w:szCs w:val="21"/>
                      <w:lang w:val="en-US" w:eastAsia="zh-CN"/>
                    </w:rPr>
                    <w:t>6</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694" w:type="dxa"/>
                  <w:vMerge w:val="restart"/>
                  <w:noWrap w:val="0"/>
                  <w:vAlign w:val="center"/>
                </w:tcPr>
                <w:p>
                  <w:pPr>
                    <w:adjustRightInd w:val="0"/>
                    <w:snapToGrid w:val="0"/>
                    <w:ind w:right="92"/>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PM</w:t>
                  </w:r>
                  <w:r>
                    <w:rPr>
                      <w:rFonts w:hint="default" w:ascii="Times New Roman" w:hAnsi="Times New Roman" w:cs="Times New Roman"/>
                      <w:bCs/>
                      <w:color w:val="auto"/>
                      <w:szCs w:val="21"/>
                      <w:vertAlign w:val="subscript"/>
                    </w:rPr>
                    <w:t>2.5</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lang w:val="en-US" w:eastAsia="zh-CN"/>
                    </w:rPr>
                    <w:t>年平均质量浓度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33</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35</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lang w:val="en-US" w:eastAsia="zh-CN"/>
                    </w:rPr>
                    <w:t>100</w:t>
                  </w:r>
                </w:p>
              </w:tc>
              <w:tc>
                <w:tcPr>
                  <w:tcW w:w="8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694"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eastAsia="zh-CN"/>
                    </w:rPr>
                  </w:pPr>
                  <w:r>
                    <w:rPr>
                      <w:rFonts w:hint="default" w:ascii="Times New Roman" w:hAnsi="Times New Roman" w:eastAsia="宋体" w:cs="Times New Roman"/>
                      <w:b/>
                      <w:bCs w:val="0"/>
                      <w:color w:val="auto"/>
                      <w:szCs w:val="21"/>
                      <w:lang w:val="en-US" w:eastAsia="zh-CN"/>
                    </w:rPr>
                    <w:t>日平均质量浓度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eastAsia="zh-CN"/>
                    </w:rPr>
                  </w:pPr>
                  <w:r>
                    <w:rPr>
                      <w:rFonts w:hint="eastAsia" w:ascii="Times New Roman" w:hAnsi="Times New Roman" w:eastAsia="宋体" w:cs="Times New Roman"/>
                      <w:b/>
                      <w:bCs w:val="0"/>
                      <w:color w:val="auto"/>
                      <w:szCs w:val="21"/>
                      <w:lang w:val="en-US" w:eastAsia="zh-CN"/>
                    </w:rPr>
                    <w:t>7</w:t>
                  </w:r>
                  <w:r>
                    <w:rPr>
                      <w:rFonts w:hint="default" w:ascii="Times New Roman" w:hAnsi="Times New Roman" w:eastAsia="宋体" w:cs="Times New Roman"/>
                      <w:b/>
                      <w:bCs w:val="0"/>
                      <w:color w:val="auto"/>
                      <w:szCs w:val="21"/>
                      <w:lang w:val="en-US" w:eastAsia="zh-CN"/>
                    </w:rPr>
                    <w:t>～13</w:t>
                  </w:r>
                  <w:r>
                    <w:rPr>
                      <w:rFonts w:hint="eastAsia" w:ascii="Times New Roman" w:hAnsi="Times New Roman" w:eastAsia="宋体" w:cs="Times New Roman"/>
                      <w:b/>
                      <w:bCs w:val="0"/>
                      <w:color w:val="auto"/>
                      <w:szCs w:val="21"/>
                      <w:lang w:val="en-US" w:eastAsia="zh-CN"/>
                    </w:rPr>
                    <w:t>4</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75</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eastAsia="zh-CN"/>
                    </w:rPr>
                  </w:pPr>
                  <w:r>
                    <w:rPr>
                      <w:rFonts w:hint="eastAsia" w:ascii="Times New Roman" w:hAnsi="Times New Roman" w:cs="Times New Roman"/>
                      <w:b/>
                      <w:bCs w:val="0"/>
                      <w:color w:val="auto"/>
                      <w:szCs w:val="21"/>
                      <w:lang w:val="en-US" w:eastAsia="zh-CN"/>
                    </w:rPr>
                    <w:t>94.6</w:t>
                  </w:r>
                </w:p>
              </w:tc>
              <w:tc>
                <w:tcPr>
                  <w:tcW w:w="8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eastAsia="zh-CN"/>
                    </w:rPr>
                  </w:pPr>
                  <w:r>
                    <w:rPr>
                      <w:rFonts w:hint="default" w:ascii="Times New Roman" w:hAnsi="Times New Roman" w:cs="Times New Roman"/>
                      <w:b/>
                      <w:bCs w:val="0"/>
                      <w:color w:val="auto"/>
                      <w:szCs w:val="21"/>
                      <w:lang w:val="en-US" w:eastAsia="zh-CN"/>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694" w:type="dxa"/>
                  <w:noWrap w:val="0"/>
                  <w:vAlign w:val="center"/>
                </w:tcPr>
                <w:p>
                  <w:pPr>
                    <w:adjustRightInd w:val="0"/>
                    <w:snapToGrid w:val="0"/>
                    <w:ind w:right="92"/>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CO</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百分位数日</w:t>
                  </w:r>
                  <w:r>
                    <w:rPr>
                      <w:rFonts w:hint="default" w:ascii="Times New Roman" w:hAnsi="Times New Roman" w:cs="Times New Roman"/>
                      <w:bCs/>
                      <w:color w:val="auto"/>
                      <w:szCs w:val="21"/>
                      <w:lang w:val="en-US" w:eastAsia="zh-CN"/>
                    </w:rPr>
                    <w:t>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r>
                    <w:rPr>
                      <w:rFonts w:hint="eastAsia" w:ascii="Times New Roman" w:hAnsi="Times New Roman" w:eastAsia="宋体" w:cs="Times New Roman"/>
                      <w:bCs/>
                      <w:color w:val="auto"/>
                      <w:szCs w:val="21"/>
                      <w:lang w:val="en-US" w:eastAsia="zh-CN"/>
                    </w:rPr>
                    <w:t>0</w:t>
                  </w:r>
                  <w:r>
                    <w:rPr>
                      <w:rFonts w:hint="default" w:ascii="Times New Roman" w:hAnsi="Times New Roman" w:eastAsia="宋体" w:cs="Times New Roman"/>
                      <w:bCs/>
                      <w:color w:val="auto"/>
                      <w:szCs w:val="21"/>
                    </w:rPr>
                    <w:t>00</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cs="Times New Roman"/>
                      <w:bCs/>
                      <w:color w:val="auto"/>
                      <w:szCs w:val="21"/>
                      <w:lang w:eastAsia="zh-CN"/>
                    </w:rPr>
                    <w:t>（</w:t>
                  </w:r>
                  <w:r>
                    <w:rPr>
                      <w:rFonts w:hint="default" w:ascii="Times New Roman" w:hAnsi="Times New Roman" w:eastAsia="宋体" w:cs="Times New Roman"/>
                      <w:bCs/>
                      <w:color w:val="auto"/>
                      <w:szCs w:val="21"/>
                    </w:rPr>
                    <w:t>第95</w:t>
                  </w:r>
                  <w:r>
                    <w:rPr>
                      <w:rFonts w:hint="default" w:ascii="Times New Roman" w:hAnsi="Times New Roman" w:eastAsia="宋体" w:cs="Times New Roman"/>
                      <w:bCs/>
                      <w:color w:val="auto"/>
                      <w:szCs w:val="21"/>
                      <w:lang w:val="en-US" w:eastAsia="zh-CN"/>
                    </w:rPr>
                    <w:t>百分位数</w:t>
                  </w:r>
                  <w:r>
                    <w:rPr>
                      <w:rFonts w:hint="default" w:ascii="Times New Roman" w:hAnsi="Times New Roman" w:cs="Times New Roman"/>
                      <w:bCs/>
                      <w:color w:val="auto"/>
                      <w:szCs w:val="21"/>
                      <w:lang w:eastAsia="zh-CN"/>
                    </w:rPr>
                    <w:t>）</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4000</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100</w:t>
                  </w:r>
                </w:p>
              </w:tc>
              <w:tc>
                <w:tcPr>
                  <w:tcW w:w="8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572" w:type="dxa"/>
                  <w:vMerge w:val="continue"/>
                  <w:noWrap w:val="0"/>
                  <w:vAlign w:val="center"/>
                </w:tcPr>
                <w:p>
                  <w:pPr>
                    <w:adjustRightInd w:val="0"/>
                    <w:snapToGrid w:val="0"/>
                    <w:ind w:right="92"/>
                    <w:jc w:val="center"/>
                    <w:rPr>
                      <w:rFonts w:hint="default" w:ascii="Times New Roman" w:hAnsi="Times New Roman" w:cs="Times New Roman"/>
                      <w:bCs/>
                      <w:color w:val="auto"/>
                      <w:szCs w:val="21"/>
                    </w:rPr>
                  </w:pPr>
                </w:p>
              </w:tc>
              <w:tc>
                <w:tcPr>
                  <w:tcW w:w="694" w:type="dxa"/>
                  <w:noWrap w:val="0"/>
                  <w:vAlign w:val="center"/>
                </w:tcPr>
                <w:p>
                  <w:pPr>
                    <w:adjustRightInd w:val="0"/>
                    <w:snapToGrid w:val="0"/>
                    <w:ind w:right="92"/>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O</w:t>
                  </w:r>
                  <w:r>
                    <w:rPr>
                      <w:rFonts w:hint="default" w:ascii="Times New Roman" w:hAnsi="Times New Roman" w:cs="Times New Roman"/>
                      <w:bCs/>
                      <w:color w:val="auto"/>
                      <w:szCs w:val="21"/>
                      <w:vertAlign w:val="subscript"/>
                    </w:rPr>
                    <w:t>3</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eastAsia="zh-CN"/>
                    </w:rPr>
                  </w:pPr>
                  <w:r>
                    <w:rPr>
                      <w:rFonts w:hint="default" w:ascii="Times New Roman" w:hAnsi="Times New Roman" w:eastAsia="宋体" w:cs="Times New Roman"/>
                      <w:b/>
                      <w:bCs w:val="0"/>
                      <w:color w:val="auto"/>
                      <w:szCs w:val="21"/>
                      <w:lang w:val="en-US" w:eastAsia="zh-CN"/>
                    </w:rPr>
                    <w:t>百分位数8h平均质量浓度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eastAsia="zh-CN"/>
                    </w:rPr>
                  </w:pPr>
                  <w:r>
                    <w:rPr>
                      <w:rFonts w:hint="default" w:ascii="Times New Roman" w:hAnsi="Times New Roman" w:eastAsia="宋体" w:cs="Times New Roman"/>
                      <w:b/>
                      <w:bCs w:val="0"/>
                      <w:color w:val="auto"/>
                      <w:szCs w:val="21"/>
                      <w:lang w:val="en-US" w:eastAsia="zh-CN"/>
                    </w:rPr>
                    <w:t>17</w:t>
                  </w:r>
                  <w:r>
                    <w:rPr>
                      <w:rFonts w:hint="eastAsia" w:ascii="Times New Roman" w:hAnsi="Times New Roman" w:eastAsia="宋体" w:cs="Times New Roman"/>
                      <w:b/>
                      <w:bCs w:val="0"/>
                      <w:color w:val="auto"/>
                      <w:szCs w:val="21"/>
                      <w:lang w:val="en-US" w:eastAsia="zh-CN"/>
                    </w:rPr>
                    <w:t>5</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eastAsia="zh-CN"/>
                    </w:rPr>
                  </w:pPr>
                  <w:r>
                    <w:rPr>
                      <w:rFonts w:hint="default" w:ascii="Times New Roman" w:hAnsi="Times New Roman" w:eastAsia="宋体" w:cs="Times New Roman"/>
                      <w:b/>
                      <w:bCs w:val="0"/>
                      <w:color w:val="auto"/>
                      <w:szCs w:val="21"/>
                      <w:lang w:val="en-US" w:eastAsia="zh-CN"/>
                    </w:rPr>
                    <w:t>（第90百分位数）</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eastAsia="zh-CN"/>
                    </w:rPr>
                  </w:pPr>
                  <w:r>
                    <w:rPr>
                      <w:rFonts w:hint="default" w:ascii="Times New Roman" w:hAnsi="Times New Roman" w:eastAsia="宋体" w:cs="Times New Roman"/>
                      <w:b/>
                      <w:bCs w:val="0"/>
                      <w:color w:val="auto"/>
                      <w:szCs w:val="21"/>
                      <w:lang w:val="en-US" w:eastAsia="zh-CN"/>
                    </w:rPr>
                    <w:t>160</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eastAsia="zh-CN"/>
                    </w:rPr>
                  </w:pPr>
                  <w:r>
                    <w:rPr>
                      <w:rFonts w:hint="default" w:ascii="Times New Roman" w:hAnsi="Times New Roman" w:eastAsia="宋体" w:cs="Times New Roman"/>
                      <w:b/>
                      <w:bCs w:val="0"/>
                      <w:color w:val="auto"/>
                      <w:szCs w:val="21"/>
                      <w:lang w:val="en-US" w:eastAsia="zh-CN"/>
                    </w:rPr>
                    <w:t>82.</w:t>
                  </w:r>
                  <w:r>
                    <w:rPr>
                      <w:rFonts w:hint="eastAsia" w:ascii="Times New Roman" w:hAnsi="Times New Roman" w:eastAsia="宋体" w:cs="Times New Roman"/>
                      <w:b/>
                      <w:bCs w:val="0"/>
                      <w:color w:val="auto"/>
                      <w:szCs w:val="21"/>
                      <w:lang w:val="en-US" w:eastAsia="zh-CN"/>
                    </w:rPr>
                    <w:t>5</w:t>
                  </w:r>
                </w:p>
              </w:tc>
              <w:tc>
                <w:tcPr>
                  <w:tcW w:w="8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Cs w:val="21"/>
                      <w:lang w:val="en-US" w:eastAsia="zh-CN"/>
                    </w:rPr>
                  </w:pPr>
                  <w:r>
                    <w:rPr>
                      <w:rFonts w:hint="default" w:ascii="Times New Roman" w:hAnsi="Times New Roman" w:eastAsia="宋体" w:cs="Times New Roman"/>
                      <w:b/>
                      <w:bCs w:val="0"/>
                      <w:color w:val="auto"/>
                      <w:szCs w:val="21"/>
                      <w:lang w:val="en-US" w:eastAsia="zh-CN"/>
                    </w:rPr>
                    <w:t>不达标</w:t>
                  </w:r>
                </w:p>
              </w:tc>
            </w:tr>
          </w:tbl>
          <w:p>
            <w:pPr>
              <w:adjustRightInd w:val="0"/>
              <w:snapToGrid w:val="0"/>
              <w:spacing w:line="500" w:lineRule="exact"/>
              <w:ind w:firstLine="480" w:firstLineChars="200"/>
              <w:rPr>
                <w:rFonts w:hint="default" w:ascii="Times New Roman" w:hAnsi="Times New Roman" w:cs="Times New Roman"/>
                <w:color w:val="auto"/>
                <w:sz w:val="24"/>
                <w:szCs w:val="22"/>
              </w:rPr>
            </w:pPr>
            <w:r>
              <w:rPr>
                <w:rFonts w:hint="eastAsia"/>
                <w:color w:val="auto"/>
                <w:sz w:val="24"/>
                <w:szCs w:val="24"/>
              </w:rPr>
              <w:t>2022年常州市环境空气中SO</w:t>
            </w:r>
            <w:r>
              <w:rPr>
                <w:rFonts w:hint="eastAsia"/>
                <w:color w:val="auto"/>
                <w:sz w:val="24"/>
                <w:szCs w:val="24"/>
                <w:vertAlign w:val="subscript"/>
              </w:rPr>
              <w:t>2</w:t>
            </w:r>
            <w:r>
              <w:rPr>
                <w:rFonts w:hint="eastAsia"/>
                <w:color w:val="auto"/>
                <w:sz w:val="24"/>
                <w:szCs w:val="24"/>
              </w:rPr>
              <w:t>、NO</w:t>
            </w:r>
            <w:r>
              <w:rPr>
                <w:rFonts w:hint="eastAsia"/>
                <w:color w:val="auto"/>
                <w:sz w:val="24"/>
                <w:szCs w:val="24"/>
                <w:vertAlign w:val="subscript"/>
              </w:rPr>
              <w:t>2</w:t>
            </w:r>
            <w:r>
              <w:rPr>
                <w:rFonts w:hint="eastAsia"/>
                <w:color w:val="auto"/>
                <w:sz w:val="24"/>
                <w:szCs w:val="24"/>
              </w:rPr>
              <w:t>、细颗粒物（PM</w:t>
            </w:r>
            <w:r>
              <w:rPr>
                <w:rFonts w:hint="eastAsia"/>
                <w:color w:val="auto"/>
                <w:sz w:val="24"/>
                <w:szCs w:val="24"/>
                <w:vertAlign w:val="subscript"/>
              </w:rPr>
              <w:t>2.5</w:t>
            </w:r>
            <w:r>
              <w:rPr>
                <w:rFonts w:hint="eastAsia"/>
                <w:color w:val="auto"/>
                <w:sz w:val="24"/>
                <w:szCs w:val="24"/>
              </w:rPr>
              <w:t>）、颗粒物（PM</w:t>
            </w:r>
            <w:r>
              <w:rPr>
                <w:rFonts w:hint="eastAsia"/>
                <w:color w:val="auto"/>
                <w:sz w:val="24"/>
                <w:szCs w:val="24"/>
                <w:vertAlign w:val="subscript"/>
              </w:rPr>
              <w:t>10</w:t>
            </w:r>
            <w:r>
              <w:rPr>
                <w:rFonts w:hint="eastAsia"/>
                <w:color w:val="auto"/>
                <w:sz w:val="24"/>
                <w:szCs w:val="24"/>
              </w:rPr>
              <w:t>）年均值和CO日平均第95百分位均达到环境空气质量二级标准；臭氧日最大8小时滑动均值的90百分位数浓度超过环境空气质量二级标准，超标倍数为0.09倍，项目所在区O</w:t>
            </w:r>
            <w:r>
              <w:rPr>
                <w:rFonts w:hint="eastAsia"/>
                <w:color w:val="auto"/>
                <w:sz w:val="24"/>
                <w:szCs w:val="24"/>
                <w:vertAlign w:val="subscript"/>
              </w:rPr>
              <w:t>3</w:t>
            </w:r>
            <w:r>
              <w:rPr>
                <w:rFonts w:hint="eastAsia"/>
                <w:color w:val="auto"/>
                <w:sz w:val="24"/>
                <w:szCs w:val="24"/>
              </w:rPr>
              <w:t>超标，因此判定为非达标区</w:t>
            </w:r>
            <w:r>
              <w:rPr>
                <w:rFonts w:hint="default" w:ascii="Times New Roman" w:hAnsi="Times New Roman" w:cs="Times New Roman"/>
                <w:color w:val="auto"/>
                <w:sz w:val="24"/>
              </w:rPr>
              <w:t>。</w:t>
            </w:r>
          </w:p>
          <w:p>
            <w:pPr>
              <w:adjustRightInd w:val="0"/>
              <w:snapToGrid w:val="0"/>
              <w:spacing w:line="50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（2）大气环境质量改善方案</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常州市人民政府2022年印发了《常州市深入打好污染防治攻坚战专项行动方案》，工作目标：到2025年，全市生态环境质量持续改善，主要</w:t>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"https://huanbao.bjx.com.cn/topics/wuranwupaifang/" \t "https://huanbao.bjx.com.cn/news/20220523/_blank"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污染物排放</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总量持续下降，PM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浓度达到30微克/立方米左右，地表水国省考断面水质优Ⅲ比例达到90%以上，优良天数比率达到81.4%，生态质量指数达到50以上。</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重点任务：①着力打好重污染天气消除攻坚战</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②着力打好臭氧污染防治攻坚战</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③着力打好交通运输污染治理攻坚战</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④持续打好长江保护修复攻坚战</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⑤持续打好太湖治理攻坚战</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⑥持续打好黑臭水体治理攻坚战</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⑦持续打好农业农村污染治理攻坚战</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⑧着力打好噪声污染治理攻坚战</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⑨着力打好生态质量提升攻坚战。</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rPr>
              <w:t>通过上述</w:t>
            </w:r>
            <w:r>
              <w:rPr>
                <w:rFonts w:hint="default" w:ascii="Times New Roman" w:hAnsi="Times New Roman" w:eastAsia="宋体" w:cs="Times New Roman"/>
                <w:color w:val="auto"/>
                <w:sz w:val="24"/>
              </w:rPr>
              <w:t>工作</w:t>
            </w:r>
            <w:r>
              <w:rPr>
                <w:rFonts w:hint="default" w:ascii="Times New Roman" w:hAnsi="Times New Roman" w:cs="Times New Roman"/>
                <w:color w:val="auto"/>
                <w:sz w:val="24"/>
              </w:rPr>
              <w:t>的不断推进实施，常州市环境空气质量将得到持续改善。</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）其他污染物环境质量现状评价</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2"/>
                <w:highlight w:val="none"/>
              </w:rPr>
            </w:pPr>
            <w:r>
              <w:rPr>
                <w:rFonts w:hint="default" w:ascii="Times New Roman" w:hAnsi="Times New Roman" w:cs="Times New Roman"/>
                <w:color w:val="auto"/>
                <w:kern w:val="2"/>
                <w:sz w:val="24"/>
                <w:szCs w:val="24"/>
                <w:highlight w:val="none"/>
                <w:lang w:val="en-US" w:eastAsia="zh-CN" w:bidi="ar-SA"/>
              </w:rPr>
              <w:t>非甲烷总烃</w:t>
            </w:r>
            <w:r>
              <w:rPr>
                <w:rFonts w:hint="default" w:ascii="Times New Roman" w:hAnsi="Times New Roman" w:eastAsia="宋体" w:cs="Times New Roman"/>
                <w:color w:val="auto"/>
                <w:kern w:val="2"/>
                <w:sz w:val="24"/>
                <w:szCs w:val="24"/>
                <w:highlight w:val="none"/>
                <w:lang w:val="en-US" w:eastAsia="zh-CN" w:bidi="ar-SA"/>
              </w:rPr>
              <w:t>现状</w:t>
            </w:r>
            <w:r>
              <w:rPr>
                <w:rFonts w:hint="default" w:ascii="Times New Roman" w:hAnsi="Times New Roman" w:cs="Times New Roman"/>
                <w:color w:val="auto"/>
                <w:kern w:val="2"/>
                <w:sz w:val="24"/>
                <w:szCs w:val="24"/>
                <w:highlight w:val="none"/>
                <w:lang w:val="en-US" w:eastAsia="zh-CN" w:bidi="ar-SA"/>
              </w:rPr>
              <w:t>监测</w:t>
            </w:r>
            <w:r>
              <w:rPr>
                <w:rFonts w:hint="default" w:ascii="Times New Roman" w:hAnsi="Times New Roman" w:cs="Times New Roman"/>
                <w:bCs/>
                <w:color w:val="auto"/>
                <w:sz w:val="24"/>
                <w:highlight w:val="none"/>
              </w:rPr>
              <w:t>引用</w:t>
            </w:r>
            <w:r>
              <w:rPr>
                <w:rFonts w:hint="default" w:ascii="Times New Roman" w:hAnsi="Times New Roman" w:cs="Times New Roman"/>
                <w:bCs/>
                <w:color w:val="auto"/>
                <w:sz w:val="24"/>
                <w:highlight w:val="none"/>
                <w:lang w:eastAsia="zh-CN"/>
              </w:rPr>
              <w:t>江苏久诚检验检测有限公</w:t>
            </w:r>
            <w:r>
              <w:rPr>
                <w:rFonts w:hint="default" w:ascii="Times New Roman" w:hAnsi="Times New Roman" w:cs="Times New Roman"/>
                <w:bCs/>
                <w:color w:val="auto"/>
                <w:sz w:val="24"/>
                <w:highlight w:val="none"/>
                <w:lang w:val="en-US" w:eastAsia="zh-CN"/>
              </w:rPr>
              <w:t>司</w:t>
            </w:r>
            <w:r>
              <w:rPr>
                <w:rFonts w:hint="default" w:ascii="Times New Roman" w:hAnsi="Times New Roman" w:eastAsia="宋体" w:cs="Times New Roman"/>
                <w:color w:val="auto"/>
                <w:kern w:val="2"/>
                <w:sz w:val="24"/>
                <w:szCs w:val="24"/>
                <w:highlight w:val="none"/>
                <w:lang w:val="en-US" w:eastAsia="zh-CN" w:bidi="ar-SA"/>
              </w:rPr>
              <w:t>在</w:t>
            </w:r>
            <w:r>
              <w:rPr>
                <w:rFonts w:hint="eastAsia" w:ascii="Times New Roman" w:hAnsi="Times New Roman" w:eastAsia="宋体" w:cs="Times New Roman"/>
                <w:bCs/>
                <w:color w:val="auto"/>
                <w:sz w:val="24"/>
                <w:highlight w:val="none"/>
                <w:lang w:eastAsia="zh-CN"/>
              </w:rPr>
              <w:t>项目所在地</w:t>
            </w:r>
            <w:r>
              <w:rPr>
                <w:rFonts w:hint="default" w:ascii="Times New Roman" w:hAnsi="Times New Roman" w:cs="Times New Roman"/>
                <w:color w:val="auto"/>
                <w:kern w:val="2"/>
                <w:sz w:val="24"/>
                <w:szCs w:val="24"/>
                <w:highlight w:val="none"/>
                <w:lang w:val="en-US" w:eastAsia="zh-CN" w:bidi="ar-SA"/>
              </w:rPr>
              <w:t>（G1）</w:t>
            </w:r>
            <w:r>
              <w:rPr>
                <w:rFonts w:hint="default" w:ascii="Times New Roman" w:hAnsi="Times New Roman" w:eastAsia="宋体" w:cs="Times New Roman"/>
                <w:color w:val="auto"/>
                <w:kern w:val="2"/>
                <w:sz w:val="24"/>
                <w:szCs w:val="24"/>
                <w:highlight w:val="none"/>
                <w:lang w:val="en-US" w:eastAsia="zh-CN" w:bidi="ar-SA"/>
              </w:rPr>
              <w:t>的历史监测数据</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bCs/>
                <w:color w:val="auto"/>
                <w:sz w:val="24"/>
                <w:highlight w:val="none"/>
              </w:rPr>
              <w:t>报告编号</w:t>
            </w:r>
            <w:r>
              <w:rPr>
                <w:rFonts w:hint="default" w:ascii="Times New Roman" w:hAnsi="Times New Roman" w:eastAsia="宋体" w:cs="Times New Roman"/>
                <w:bCs/>
                <w:color w:val="auto"/>
                <w:sz w:val="24"/>
                <w:highlight w:val="none"/>
                <w:lang w:val="en-US" w:eastAsia="zh-CN"/>
              </w:rPr>
              <w:t>JCH20220</w:t>
            </w:r>
            <w:r>
              <w:rPr>
                <w:rFonts w:hint="eastAsia" w:ascii="Times New Roman" w:hAnsi="Times New Roman" w:eastAsia="宋体" w:cs="Times New Roman"/>
                <w:bCs/>
                <w:color w:val="auto"/>
                <w:sz w:val="24"/>
                <w:highlight w:val="none"/>
                <w:lang w:val="en-US" w:eastAsia="zh-CN"/>
              </w:rPr>
              <w:t>219</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2"/>
                <w:highlight w:val="none"/>
              </w:rPr>
              <w:t>监测数据结果见</w:t>
            </w:r>
            <w:r>
              <w:rPr>
                <w:rFonts w:hint="default" w:ascii="Times New Roman" w:hAnsi="Times New Roman" w:eastAsia="宋体" w:cs="Times New Roman"/>
                <w:color w:val="auto"/>
                <w:sz w:val="24"/>
                <w:szCs w:val="22"/>
                <w:highlight w:val="none"/>
                <w:lang w:eastAsia="zh-CN"/>
              </w:rPr>
              <w:t>下</w:t>
            </w:r>
            <w:r>
              <w:rPr>
                <w:rFonts w:hint="default" w:ascii="Times New Roman" w:hAnsi="Times New Roman" w:eastAsia="宋体" w:cs="Times New Roman"/>
                <w:color w:val="auto"/>
                <w:sz w:val="24"/>
                <w:szCs w:val="22"/>
                <w:highlight w:val="none"/>
              </w:rPr>
              <w:t>表。</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cs="Times New Roman"/>
                <w:b/>
                <w:bCs/>
                <w:color w:val="auto"/>
                <w:sz w:val="21"/>
                <w:szCs w:val="21"/>
                <w:lang w:val="en-US" w:eastAsia="zh-CN"/>
              </w:rPr>
              <w:t xml:space="preserve">表3-2  </w:t>
            </w:r>
            <w:r>
              <w:rPr>
                <w:rFonts w:hint="default" w:ascii="Times New Roman" w:hAnsi="Times New Roman" w:eastAsia="宋体" w:cs="Times New Roman"/>
                <w:b/>
                <w:color w:val="auto"/>
                <w:szCs w:val="24"/>
                <w:highlight w:val="none"/>
              </w:rPr>
              <w:t>其他污染物环境质量现状监测结</w:t>
            </w:r>
            <w:r>
              <w:rPr>
                <w:rFonts w:hint="default" w:ascii="Times New Roman" w:hAnsi="Times New Roman" w:eastAsia="宋体" w:cs="Times New Roman"/>
                <w:b/>
                <w:color w:val="auto"/>
                <w:sz w:val="21"/>
                <w:szCs w:val="21"/>
                <w:highlight w:val="none"/>
              </w:rPr>
              <w:t>果  单位</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p>
          <w:tbl>
            <w:tblPr>
              <w:tblStyle w:val="2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706"/>
              <w:gridCol w:w="1335"/>
              <w:gridCol w:w="691"/>
              <w:gridCol w:w="765"/>
              <w:gridCol w:w="875"/>
              <w:gridCol w:w="934"/>
              <w:gridCol w:w="1263"/>
              <w:gridCol w:w="916"/>
              <w:gridCol w:w="8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421"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点位编号</w:t>
                  </w:r>
                </w:p>
              </w:tc>
              <w:tc>
                <w:tcPr>
                  <w:tcW w:w="796"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点位名称</w:t>
                  </w:r>
                </w:p>
              </w:tc>
              <w:tc>
                <w:tcPr>
                  <w:tcW w:w="412"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相对</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方位</w:t>
                  </w:r>
                </w:p>
              </w:tc>
              <w:tc>
                <w:tcPr>
                  <w:tcW w:w="456"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直线</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距离</w:t>
                  </w:r>
                </w:p>
              </w:tc>
              <w:tc>
                <w:tcPr>
                  <w:tcW w:w="522"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污染物</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名称</w:t>
                  </w:r>
                </w:p>
              </w:tc>
              <w:tc>
                <w:tcPr>
                  <w:tcW w:w="557"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评价</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标准</w:t>
                  </w:r>
                </w:p>
              </w:tc>
              <w:tc>
                <w:tcPr>
                  <w:tcW w:w="1299" w:type="pct"/>
                  <w:gridSpan w:val="2"/>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小时浓度</w:t>
                  </w:r>
                </w:p>
              </w:tc>
              <w:tc>
                <w:tcPr>
                  <w:tcW w:w="532"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421"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lang w:val="en-US" w:eastAsia="zh-CN"/>
                    </w:rPr>
                  </w:pPr>
                </w:p>
              </w:tc>
              <w:tc>
                <w:tcPr>
                  <w:tcW w:w="796"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lang w:val="en-US" w:eastAsia="zh-CN"/>
                    </w:rPr>
                  </w:pPr>
                </w:p>
              </w:tc>
              <w:tc>
                <w:tcPr>
                  <w:tcW w:w="412"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lang w:val="en-US" w:eastAsia="zh-CN"/>
                    </w:rPr>
                  </w:pPr>
                </w:p>
              </w:tc>
              <w:tc>
                <w:tcPr>
                  <w:tcW w:w="456"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lang w:val="en-US" w:eastAsia="zh-CN"/>
                    </w:rPr>
                  </w:pPr>
                </w:p>
              </w:tc>
              <w:tc>
                <w:tcPr>
                  <w:tcW w:w="522"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lang w:val="en-US" w:eastAsia="zh-CN"/>
                    </w:rPr>
                  </w:pPr>
                </w:p>
              </w:tc>
              <w:tc>
                <w:tcPr>
                  <w:tcW w:w="557"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lang w:val="en-US" w:eastAsia="zh-CN"/>
                    </w:rPr>
                  </w:pPr>
                </w:p>
              </w:tc>
              <w:tc>
                <w:tcPr>
                  <w:tcW w:w="753"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小时浓度</w:t>
                  </w:r>
                </w:p>
              </w:tc>
              <w:tc>
                <w:tcPr>
                  <w:tcW w:w="546"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超标率%</w:t>
                  </w:r>
                </w:p>
              </w:tc>
              <w:tc>
                <w:tcPr>
                  <w:tcW w:w="532"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421" w:type="pct"/>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G1</w:t>
                  </w:r>
                </w:p>
              </w:tc>
              <w:tc>
                <w:tcPr>
                  <w:tcW w:w="796" w:type="pct"/>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项目所在地（常州轩瑜机械有限公司）</w:t>
                  </w:r>
                </w:p>
              </w:tc>
              <w:tc>
                <w:tcPr>
                  <w:tcW w:w="412" w:type="pct"/>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SW</w:t>
                  </w:r>
                </w:p>
              </w:tc>
              <w:tc>
                <w:tcPr>
                  <w:tcW w:w="456" w:type="pct"/>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850</w:t>
                  </w:r>
                  <w:r>
                    <w:rPr>
                      <w:rFonts w:hint="default" w:ascii="Times New Roman" w:hAnsi="Times New Roman" w:eastAsia="宋体" w:cs="Times New Roman"/>
                      <w:color w:val="auto"/>
                      <w:highlight w:val="none"/>
                      <w:lang w:val="en-US" w:eastAsia="zh-CN"/>
                    </w:rPr>
                    <w:t>m</w:t>
                  </w:r>
                </w:p>
              </w:tc>
              <w:tc>
                <w:tcPr>
                  <w:tcW w:w="522" w:type="pct"/>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非甲烷</w:t>
                  </w:r>
                </w:p>
                <w:p>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总烃</w:t>
                  </w:r>
                </w:p>
              </w:tc>
              <w:tc>
                <w:tcPr>
                  <w:tcW w:w="557" w:type="pct"/>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w:t>
                  </w:r>
                </w:p>
              </w:tc>
              <w:tc>
                <w:tcPr>
                  <w:tcW w:w="753" w:type="pct"/>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eastAsia"/>
                      <w:color w:val="auto"/>
                      <w:szCs w:val="21"/>
                      <w:lang w:val="en-US" w:eastAsia="zh-CN"/>
                    </w:rPr>
                    <w:t>0.</w:t>
                  </w:r>
                  <w:r>
                    <w:rPr>
                      <w:rFonts w:hint="eastAsia"/>
                      <w:color w:val="auto"/>
                      <w:szCs w:val="21"/>
                    </w:rPr>
                    <w:t>51</w:t>
                  </w:r>
                  <w:r>
                    <w:rPr>
                      <w:bCs/>
                      <w:color w:val="auto"/>
                      <w:szCs w:val="21"/>
                    </w:rPr>
                    <w:t>~</w:t>
                  </w:r>
                  <w:r>
                    <w:rPr>
                      <w:rFonts w:hint="eastAsia"/>
                      <w:bCs/>
                      <w:color w:val="auto"/>
                      <w:szCs w:val="21"/>
                      <w:lang w:val="en-US" w:eastAsia="zh-CN"/>
                    </w:rPr>
                    <w:t>0.</w:t>
                  </w:r>
                  <w:r>
                    <w:rPr>
                      <w:rFonts w:hint="eastAsia"/>
                      <w:bCs/>
                      <w:color w:val="auto"/>
                      <w:szCs w:val="21"/>
                    </w:rPr>
                    <w:t>62</w:t>
                  </w:r>
                </w:p>
              </w:tc>
              <w:tc>
                <w:tcPr>
                  <w:tcW w:w="546" w:type="pct"/>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532" w:type="pct"/>
                  <w:noWrap w:val="0"/>
                  <w:vAlign w:val="center"/>
                </w:tcPr>
                <w:p>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bCs/>
                <w:color w:val="auto"/>
                <w:sz w:val="24"/>
                <w:highlight w:val="none"/>
              </w:rPr>
              <w:t>根据上表现状监测结</w:t>
            </w:r>
            <w:r>
              <w:rPr>
                <w:rFonts w:hint="default" w:ascii="Times New Roman" w:hAnsi="Times New Roman" w:eastAsia="宋体" w:cs="Times New Roman"/>
                <w:bCs/>
                <w:color w:val="auto"/>
                <w:sz w:val="24"/>
                <w:highlight w:val="none"/>
                <w:lang w:val="en-US" w:eastAsia="zh-CN"/>
              </w:rPr>
              <w:t>果可以看出，特征因子非甲烷总烃符合</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大气污染物综合排放标准详解</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标准</w:t>
            </w:r>
            <w:r>
              <w:rPr>
                <w:rFonts w:hint="default" w:ascii="Times New Roman" w:hAnsi="Times New Roman" w:eastAsia="宋体" w:cs="Times New Roman"/>
                <w:color w:val="auto"/>
                <w:sz w:val="24"/>
                <w:szCs w:val="22"/>
                <w:lang w:val="en-US" w:eastAsia="zh-CN"/>
              </w:rPr>
              <w:t>，满足项目所在地区的环境功能区划要求。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rPr>
              <w:t>数据有效性分析：本项目引用</w:t>
            </w:r>
            <w:r>
              <w:rPr>
                <w:rFonts w:hint="default" w:ascii="Times New Roman" w:hAnsi="Times New Roman" w:eastAsia="宋体" w:cs="Times New Roman"/>
                <w:color w:val="auto"/>
                <w:sz w:val="24"/>
                <w:szCs w:val="22"/>
                <w:lang w:eastAsia="zh-CN"/>
              </w:rPr>
              <w:t>江苏久诚检验检测有限公</w:t>
            </w:r>
            <w:r>
              <w:rPr>
                <w:rFonts w:hint="default" w:ascii="Times New Roman" w:hAnsi="Times New Roman" w:eastAsia="宋体" w:cs="Times New Roman"/>
                <w:color w:val="auto"/>
                <w:sz w:val="24"/>
                <w:szCs w:val="22"/>
                <w:lang w:val="en-US" w:eastAsia="zh-CN"/>
              </w:rPr>
              <w:t>司</w:t>
            </w:r>
            <w:r>
              <w:rPr>
                <w:rFonts w:hint="default" w:ascii="Times New Roman" w:hAnsi="Times New Roman" w:eastAsia="宋体" w:cs="Times New Roman"/>
                <w:color w:val="auto"/>
                <w:sz w:val="24"/>
                <w:szCs w:val="22"/>
              </w:rPr>
              <w:t>于</w:t>
            </w:r>
            <w:r>
              <w:rPr>
                <w:rFonts w:hint="default" w:ascii="Times New Roman" w:hAnsi="Times New Roman" w:eastAsia="宋体" w:cs="Times New Roman"/>
                <w:color w:val="auto"/>
                <w:sz w:val="24"/>
                <w:szCs w:val="22"/>
                <w:lang w:val="en-US" w:eastAsia="zh-CN"/>
              </w:rPr>
              <w:t>2022年</w:t>
            </w:r>
            <w:r>
              <w:rPr>
                <w:rFonts w:hint="eastAsia" w:ascii="Times New Roman" w:hAnsi="Times New Roman" w:eastAsia="宋体" w:cs="Times New Roman"/>
                <w:color w:val="auto"/>
                <w:sz w:val="24"/>
                <w:szCs w:val="22"/>
                <w:lang w:val="en-US" w:eastAsia="zh-CN"/>
              </w:rPr>
              <w:t>4</w:t>
            </w:r>
            <w:r>
              <w:rPr>
                <w:rFonts w:hint="default" w:ascii="Times New Roman" w:hAnsi="Times New Roman" w:eastAsia="宋体" w:cs="Times New Roman"/>
                <w:color w:val="auto"/>
                <w:sz w:val="24"/>
                <w:szCs w:val="22"/>
                <w:lang w:val="en-US" w:eastAsia="zh-CN"/>
              </w:rPr>
              <w:t>月</w:t>
            </w:r>
            <w:r>
              <w:rPr>
                <w:rFonts w:hint="eastAsia" w:ascii="Times New Roman" w:hAnsi="Times New Roman" w:eastAsia="宋体" w:cs="Times New Roman"/>
                <w:color w:val="auto"/>
                <w:sz w:val="24"/>
                <w:szCs w:val="22"/>
                <w:lang w:val="en-US" w:eastAsia="zh-CN"/>
              </w:rPr>
              <w:t>30</w:t>
            </w:r>
            <w:r>
              <w:rPr>
                <w:rFonts w:hint="default" w:ascii="Times New Roman" w:hAnsi="Times New Roman" w:eastAsia="宋体" w:cs="Times New Roman"/>
                <w:color w:val="auto"/>
                <w:sz w:val="24"/>
                <w:szCs w:val="22"/>
                <w:lang w:val="en-US" w:eastAsia="zh-CN"/>
              </w:rPr>
              <w:t>日～</w:t>
            </w:r>
            <w:r>
              <w:rPr>
                <w:rFonts w:hint="eastAsia" w:ascii="Times New Roman" w:hAnsi="Times New Roman" w:eastAsia="宋体" w:cs="Times New Roman"/>
                <w:color w:val="auto"/>
                <w:sz w:val="24"/>
                <w:szCs w:val="22"/>
                <w:lang w:val="en-US" w:eastAsia="zh-CN"/>
              </w:rPr>
              <w:t>5</w:t>
            </w:r>
            <w:r>
              <w:rPr>
                <w:rFonts w:hint="default" w:ascii="Times New Roman" w:hAnsi="Times New Roman" w:eastAsia="宋体" w:cs="Times New Roman"/>
                <w:color w:val="auto"/>
                <w:sz w:val="24"/>
                <w:szCs w:val="22"/>
                <w:lang w:val="en-US" w:eastAsia="zh-CN"/>
              </w:rPr>
              <w:t>月</w:t>
            </w:r>
            <w:r>
              <w:rPr>
                <w:rFonts w:hint="eastAsia" w:ascii="Times New Roman" w:hAnsi="Times New Roman" w:eastAsia="宋体" w:cs="Times New Roman"/>
                <w:color w:val="auto"/>
                <w:sz w:val="24"/>
                <w:szCs w:val="22"/>
                <w:lang w:val="en-US" w:eastAsia="zh-CN"/>
              </w:rPr>
              <w:t>2</w:t>
            </w:r>
            <w:r>
              <w:rPr>
                <w:rFonts w:hint="default" w:ascii="Times New Roman" w:hAnsi="Times New Roman" w:eastAsia="宋体" w:cs="Times New Roman"/>
                <w:color w:val="auto"/>
                <w:sz w:val="24"/>
                <w:szCs w:val="22"/>
                <w:lang w:val="en-US" w:eastAsia="zh-CN"/>
              </w:rPr>
              <w:t>日在</w:t>
            </w:r>
            <w:r>
              <w:rPr>
                <w:rFonts w:hint="default" w:ascii="Times New Roman" w:hAnsi="Times New Roman" w:eastAsia="宋体" w:cs="Times New Roman"/>
                <w:color w:val="auto"/>
                <w:sz w:val="24"/>
                <w:szCs w:val="22"/>
              </w:rPr>
              <w:t>项目</w:t>
            </w:r>
            <w:r>
              <w:rPr>
                <w:rFonts w:hint="default" w:ascii="Times New Roman" w:hAnsi="Times New Roman" w:eastAsia="宋体" w:cs="Times New Roman"/>
                <w:color w:val="auto"/>
                <w:sz w:val="24"/>
                <w:szCs w:val="22"/>
                <w:lang w:val="en-US" w:eastAsia="zh-CN"/>
              </w:rPr>
              <w:t>西南</w:t>
            </w:r>
            <w:r>
              <w:rPr>
                <w:rFonts w:hint="default" w:ascii="Times New Roman" w:hAnsi="Times New Roman" w:eastAsia="宋体" w:cs="Times New Roman"/>
                <w:color w:val="auto"/>
                <w:sz w:val="24"/>
                <w:szCs w:val="22"/>
              </w:rPr>
              <w:t>侧</w:t>
            </w:r>
            <w:r>
              <w:rPr>
                <w:rFonts w:hint="eastAsia" w:ascii="Times New Roman" w:hAnsi="Times New Roman" w:eastAsia="宋体" w:cs="Times New Roman"/>
                <w:color w:val="auto"/>
                <w:sz w:val="24"/>
                <w:szCs w:val="22"/>
                <w:lang w:val="en-US" w:eastAsia="zh-CN"/>
              </w:rPr>
              <w:t>850</w:t>
            </w:r>
            <w:r>
              <w:rPr>
                <w:rFonts w:hint="default" w:ascii="Times New Roman" w:hAnsi="Times New Roman" w:eastAsia="宋体" w:cs="Times New Roman"/>
                <w:color w:val="auto"/>
                <w:sz w:val="24"/>
                <w:szCs w:val="22"/>
              </w:rPr>
              <w:t>m处</w:t>
            </w:r>
            <w:r>
              <w:rPr>
                <w:rFonts w:hint="eastAsia" w:ascii="Times New Roman" w:hAnsi="Times New Roman" w:eastAsia="宋体" w:cs="Times New Roman"/>
                <w:color w:val="auto"/>
                <w:sz w:val="24"/>
                <w:szCs w:val="22"/>
                <w:lang w:val="en-US" w:eastAsia="zh-CN"/>
              </w:rPr>
              <w:t>项目所在地（常州轩瑜机械有限公司）</w:t>
            </w:r>
            <w:r>
              <w:rPr>
                <w:rFonts w:hint="default" w:ascii="Times New Roman" w:hAnsi="Times New Roman" w:eastAsia="宋体" w:cs="Times New Roman"/>
                <w:color w:val="auto"/>
                <w:sz w:val="24"/>
                <w:szCs w:val="22"/>
              </w:rPr>
              <w:t>的监测数据，引用时间不超过3年，大气环境引用时间有效；项目所在区域污染源未发生重大变化，可引用3年内环境空气的监测数据；引用点位在项目相关评价范围内，大气环境引用点位有效</w:t>
            </w:r>
            <w:r>
              <w:rPr>
                <w:rFonts w:hint="default" w:ascii="Times New Roman" w:hAnsi="Times New Roman" w:cs="Times New Roman"/>
                <w:color w:val="auto"/>
                <w:sz w:val="24"/>
                <w:szCs w:val="22"/>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2、地表水现状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highlight w:val="none"/>
              </w:rPr>
              <w:t>本项目尾水受纳水体</w:t>
            </w:r>
            <w:r>
              <w:rPr>
                <w:rFonts w:hint="default" w:ascii="Times New Roman" w:hAnsi="Times New Roman" w:cs="Times New Roman"/>
                <w:color w:val="auto"/>
                <w:sz w:val="24"/>
                <w:highlight w:val="none"/>
                <w:lang w:val="en-US" w:eastAsia="zh-CN"/>
              </w:rPr>
              <w:t>为</w:t>
            </w:r>
            <w:r>
              <w:rPr>
                <w:rFonts w:hint="default" w:ascii="Times New Roman" w:hAnsi="Times New Roman" w:cs="Times New Roman"/>
                <w:bCs/>
                <w:color w:val="auto"/>
                <w:sz w:val="24"/>
                <w:highlight w:val="none"/>
                <w:lang w:val="en-US" w:eastAsia="zh-CN"/>
              </w:rPr>
              <w:t>尧塘河</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bCs/>
                <w:color w:val="auto"/>
                <w:sz w:val="24"/>
                <w:highlight w:val="none"/>
              </w:rPr>
              <w:t>地表水环境质量现状引用</w:t>
            </w:r>
            <w:r>
              <w:rPr>
                <w:rFonts w:hint="default" w:ascii="Times New Roman" w:hAnsi="Times New Roman" w:cs="Times New Roman"/>
                <w:bCs/>
                <w:color w:val="auto"/>
                <w:sz w:val="24"/>
                <w:highlight w:val="none"/>
                <w:lang w:eastAsia="zh-CN"/>
              </w:rPr>
              <w:t>江苏久诚检验检测有限公司</w:t>
            </w:r>
            <w:r>
              <w:rPr>
                <w:rFonts w:hint="default" w:ascii="Times New Roman" w:hAnsi="Times New Roman" w:cs="Times New Roman"/>
                <w:bCs/>
                <w:color w:val="auto"/>
                <w:sz w:val="24"/>
                <w:highlight w:val="none"/>
              </w:rPr>
              <w:t>在</w:t>
            </w:r>
            <w:r>
              <w:rPr>
                <w:rFonts w:hint="default" w:ascii="Times New Roman" w:hAnsi="Times New Roman" w:cs="Times New Roman"/>
                <w:bCs/>
                <w:color w:val="auto"/>
                <w:sz w:val="24"/>
                <w:highlight w:val="none"/>
                <w:lang w:val="en-US" w:eastAsia="zh-CN"/>
              </w:rPr>
              <w:t>尧塘河</w:t>
            </w:r>
            <w:r>
              <w:rPr>
                <w:rFonts w:hint="default" w:ascii="Times New Roman" w:hAnsi="Times New Roman" w:cs="Times New Roman"/>
                <w:bCs/>
                <w:color w:val="auto"/>
                <w:sz w:val="24"/>
                <w:highlight w:val="none"/>
              </w:rPr>
              <w:t>2个断面</w:t>
            </w:r>
            <w:r>
              <w:rPr>
                <w:rFonts w:hint="default" w:ascii="Times New Roman" w:hAnsi="Times New Roman" w:cs="Times New Roman"/>
                <w:bCs/>
                <w:color w:val="auto"/>
                <w:sz w:val="24"/>
                <w:highlight w:val="none"/>
                <w:lang w:val="en-US" w:eastAsia="zh-CN"/>
              </w:rPr>
              <w:t>的监测数据</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报告编号</w:t>
            </w:r>
            <w:r>
              <w:rPr>
                <w:rFonts w:hint="default" w:ascii="Times New Roman" w:hAnsi="Times New Roman" w:cs="Times New Roman"/>
                <w:color w:val="auto"/>
                <w:kern w:val="2"/>
                <w:sz w:val="24"/>
                <w:szCs w:val="24"/>
                <w:highlight w:val="none"/>
                <w:lang w:val="en-US" w:eastAsia="zh-CN" w:bidi="ar-SA"/>
              </w:rPr>
              <w:t>JCH20210272</w:t>
            </w:r>
            <w:r>
              <w:rPr>
                <w:rFonts w:hint="default" w:ascii="Times New Roman" w:hAnsi="Times New Roman" w:cs="Times New Roman"/>
                <w:bCs/>
                <w:color w:val="auto"/>
                <w:sz w:val="24"/>
                <w:highlight w:val="none"/>
                <w:lang w:eastAsia="zh-CN"/>
              </w:rPr>
              <w:t>），</w:t>
            </w:r>
            <w:r>
              <w:rPr>
                <w:rFonts w:hint="default" w:ascii="Times New Roman" w:hAnsi="Times New Roman" w:eastAsia="宋体" w:cs="Times New Roman"/>
                <w:color w:val="auto"/>
                <w:sz w:val="24"/>
                <w:szCs w:val="24"/>
                <w:highlight w:val="none"/>
              </w:rPr>
              <w:t>采样断面的布设与取样点见下表。</w:t>
            </w:r>
          </w:p>
          <w:p>
            <w:pPr>
              <w:adjustRightInd w:val="0"/>
              <w:snapToGrid w:val="0"/>
              <w:spacing w:line="500" w:lineRule="exact"/>
              <w:ind w:left="0" w:leftChars="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 xml:space="preserve">表3-3  </w:t>
            </w:r>
            <w:r>
              <w:rPr>
                <w:rFonts w:hint="default" w:ascii="Times New Roman" w:hAnsi="Times New Roman" w:cs="Times New Roman"/>
                <w:b/>
                <w:bCs/>
                <w:color w:val="auto"/>
                <w:sz w:val="21"/>
                <w:szCs w:val="21"/>
              </w:rPr>
              <w:t>水质监测断面</w:t>
            </w:r>
          </w:p>
          <w:tbl>
            <w:tblPr>
              <w:tblStyle w:val="27"/>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28" w:type="dxa"/>
                <w:left w:w="108" w:type="dxa"/>
                <w:bottom w:w="28" w:type="dxa"/>
                <w:right w:w="108" w:type="dxa"/>
              </w:tblCellMar>
            </w:tblPr>
            <w:tblGrid>
              <w:gridCol w:w="1445"/>
              <w:gridCol w:w="4787"/>
              <w:gridCol w:w="21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862"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河流名称</w:t>
                  </w:r>
                </w:p>
              </w:tc>
              <w:tc>
                <w:tcPr>
                  <w:tcW w:w="28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监测断面</w:t>
                  </w:r>
                </w:p>
              </w:tc>
              <w:tc>
                <w:tcPr>
                  <w:tcW w:w="1281"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862" w:type="pct"/>
                  <w:vMerge w:val="restart"/>
                  <w:tcBorders>
                    <w:top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尧塘</w:t>
                  </w:r>
                  <w:r>
                    <w:rPr>
                      <w:rFonts w:hint="default" w:ascii="Times New Roman" w:hAnsi="Times New Roman" w:eastAsia="宋体" w:cs="Times New Roman"/>
                      <w:color w:val="auto"/>
                      <w:szCs w:val="21"/>
                      <w:highlight w:val="none"/>
                      <w:lang w:val="en-US" w:eastAsia="zh-CN"/>
                    </w:rPr>
                    <w:t>河</w:t>
                  </w:r>
                </w:p>
              </w:tc>
              <w:tc>
                <w:tcPr>
                  <w:tcW w:w="28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W1</w:t>
                  </w:r>
                  <w:r>
                    <w:rPr>
                      <w:rFonts w:hint="default" w:ascii="Times New Roman" w:hAnsi="Times New Roman" w:cs="Times New Roman"/>
                      <w:color w:val="auto"/>
                      <w:szCs w:val="21"/>
                      <w:highlight w:val="none"/>
                      <w:lang w:val="en-US" w:eastAsia="zh-CN"/>
                    </w:rPr>
                    <w:t>常州金坛区第二污水处理有限公司</w:t>
                  </w:r>
                  <w:r>
                    <w:rPr>
                      <w:rFonts w:hint="default" w:ascii="Times New Roman" w:hAnsi="Times New Roman" w:eastAsia="宋体" w:cs="Times New Roman"/>
                      <w:color w:val="auto"/>
                      <w:szCs w:val="21"/>
                      <w:highlight w:val="none"/>
                    </w:rPr>
                    <w:t>排污口上游500米</w:t>
                  </w:r>
                </w:p>
              </w:tc>
              <w:tc>
                <w:tcPr>
                  <w:tcW w:w="1281" w:type="pct"/>
                  <w:vMerge w:val="restart"/>
                  <w:tcBorders>
                    <w:top w:val="single" w:color="auto" w:sz="4" w:space="0"/>
                    <w:left w:val="single" w:color="auto" w:sz="4" w:space="0"/>
                  </w:tcBorders>
                  <w:noWrap w:val="0"/>
                  <w:vAlign w:val="center"/>
                </w:tcPr>
                <w:p>
                  <w:pPr>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pH、化学需氧量、氨氮、总磷</w:t>
                  </w:r>
                  <w:r>
                    <w:rPr>
                      <w:rFonts w:hint="eastAsia"/>
                      <w:color w:val="auto"/>
                      <w:lang w:eastAsia="zh-CN"/>
                    </w:rPr>
                    <w:t>、水温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862" w:type="pct"/>
                  <w:vMerge w:val="continue"/>
                  <w:tcBorders>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color w:val="auto"/>
                      <w:szCs w:val="21"/>
                      <w:highlight w:val="none"/>
                    </w:rPr>
                  </w:pPr>
                </w:p>
              </w:tc>
              <w:tc>
                <w:tcPr>
                  <w:tcW w:w="28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W2</w:t>
                  </w:r>
                  <w:r>
                    <w:rPr>
                      <w:rFonts w:hint="default" w:ascii="Times New Roman" w:hAnsi="Times New Roman" w:cs="Times New Roman"/>
                      <w:color w:val="auto"/>
                      <w:szCs w:val="21"/>
                      <w:highlight w:val="none"/>
                      <w:lang w:val="en-US" w:eastAsia="zh-CN"/>
                    </w:rPr>
                    <w:t>常州金坛区第二污水处理有限公司</w:t>
                  </w:r>
                  <w:r>
                    <w:rPr>
                      <w:rFonts w:hint="default" w:ascii="Times New Roman" w:hAnsi="Times New Roman" w:eastAsia="宋体" w:cs="Times New Roman"/>
                      <w:color w:val="auto"/>
                      <w:szCs w:val="21"/>
                      <w:highlight w:val="none"/>
                    </w:rPr>
                    <w:t>排污口下游</w:t>
                  </w:r>
                  <w:r>
                    <w:rPr>
                      <w:rFonts w:hint="default" w:ascii="Times New Roman" w:hAnsi="Times New Roman"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00米</w:t>
                  </w:r>
                </w:p>
              </w:tc>
              <w:tc>
                <w:tcPr>
                  <w:tcW w:w="1281" w:type="pct"/>
                  <w:vMerge w:val="continue"/>
                  <w:tcBorders>
                    <w:left w:val="single" w:color="auto" w:sz="4" w:space="0"/>
                    <w:bottom w:val="single" w:color="auto" w:sz="4" w:space="0"/>
                  </w:tcBorders>
                  <w:noWrap w:val="0"/>
                  <w:vAlign w:val="center"/>
                </w:tcPr>
                <w:p>
                  <w:pPr>
                    <w:widowControl/>
                    <w:jc w:val="center"/>
                    <w:rPr>
                      <w:rFonts w:hint="default" w:ascii="Times New Roman" w:hAnsi="Times New Roman" w:eastAsia="宋体" w:cs="Times New Roman"/>
                      <w:b/>
                      <w:color w:val="auto"/>
                      <w:highlight w:val="none"/>
                    </w:rPr>
                  </w:pPr>
                </w:p>
              </w:tc>
            </w:tr>
          </w:tbl>
          <w:p>
            <w:pPr>
              <w:adjustRightInd w:val="0"/>
              <w:snapToGrid w:val="0"/>
              <w:spacing w:line="500" w:lineRule="exact"/>
              <w:ind w:firstLine="480" w:firstLineChars="200"/>
              <w:rPr>
                <w:rFonts w:hint="default" w:ascii="Times New Roman" w:hAnsi="Times New Roman" w:eastAsia="宋体" w:cs="Times New Roman"/>
                <w:bCs/>
                <w:color w:val="auto"/>
                <w:sz w:val="24"/>
                <w:highlight w:val="none"/>
                <w:lang w:eastAsia="zh-CN"/>
              </w:rPr>
            </w:pPr>
            <w:r>
              <w:rPr>
                <w:rFonts w:hint="default" w:ascii="Times New Roman" w:hAnsi="Times New Roman" w:cs="Times New Roman"/>
                <w:bCs/>
                <w:color w:val="auto"/>
                <w:sz w:val="24"/>
                <w:highlight w:val="none"/>
              </w:rPr>
              <w:t>主要污染物监测统计结果如下</w:t>
            </w:r>
            <w:r>
              <w:rPr>
                <w:rFonts w:hint="default" w:ascii="Times New Roman" w:hAnsi="Times New Roman" w:cs="Times New Roman"/>
                <w:bCs/>
                <w:color w:val="auto"/>
                <w:sz w:val="24"/>
                <w:highlight w:val="none"/>
                <w:lang w:eastAsia="zh-CN"/>
              </w:rPr>
              <w:t>。</w:t>
            </w:r>
          </w:p>
          <w:p>
            <w:pPr>
              <w:adjustRightInd w:val="0"/>
              <w:snapToGrid w:val="0"/>
              <w:spacing w:line="500" w:lineRule="exact"/>
              <w:ind w:left="0" w:leftChars="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表3-4  地表水环境质量现状监测结果</w:t>
            </w:r>
          </w:p>
          <w:tbl>
            <w:tblPr>
              <w:tblStyle w:val="27"/>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688"/>
              <w:gridCol w:w="1688"/>
              <w:gridCol w:w="1688"/>
              <w:gridCol w:w="17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340" w:hRule="atLeast"/>
                <w:jc w:val="center"/>
              </w:trPr>
              <w:tc>
                <w:tcPr>
                  <w:tcW w:w="964" w:type="pct"/>
                  <w:vMerge w:val="restart"/>
                  <w:noWrap w:val="0"/>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监测断面名称</w:t>
                  </w:r>
                </w:p>
              </w:tc>
              <w:tc>
                <w:tcPr>
                  <w:tcW w:w="4035" w:type="pct"/>
                  <w:gridSpan w:val="4"/>
                  <w:noWrap w:val="0"/>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 w:type="pct"/>
                  <w:vMerge w:val="continue"/>
                  <w:noWrap w:val="0"/>
                  <w:vAlign w:val="center"/>
                </w:tcPr>
                <w:p>
                  <w:pPr>
                    <w:adjustRightInd w:val="0"/>
                    <w:snapToGrid w:val="0"/>
                    <w:jc w:val="center"/>
                    <w:rPr>
                      <w:rFonts w:hint="default" w:ascii="Times New Roman" w:hAnsi="Times New Roman" w:cs="Times New Roman"/>
                      <w:b/>
                      <w:bCs/>
                      <w:color w:val="auto"/>
                      <w:szCs w:val="21"/>
                      <w:highlight w:val="yellow"/>
                    </w:rPr>
                  </w:pPr>
                </w:p>
              </w:tc>
              <w:tc>
                <w:tcPr>
                  <w:tcW w:w="1007" w:type="pct"/>
                  <w:noWrap w:val="0"/>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pH（无量纲）</w:t>
                  </w:r>
                </w:p>
              </w:tc>
              <w:tc>
                <w:tcPr>
                  <w:tcW w:w="1007" w:type="pct"/>
                  <w:noWrap w:val="0"/>
                  <w:vAlign w:val="center"/>
                </w:tcPr>
                <w:p>
                  <w:pPr>
                    <w:adjustRightInd w:val="0"/>
                    <w:snapToGrid w:val="0"/>
                    <w:jc w:val="center"/>
                    <w:rPr>
                      <w:rFonts w:hint="default" w:ascii="Times New Roman" w:hAnsi="Times New Roman" w:cs="Times New Roman"/>
                      <w:b/>
                      <w:bCs/>
                      <w:color w:val="auto"/>
                      <w:szCs w:val="21"/>
                      <w:highlight w:val="none"/>
                      <w:vertAlign w:val="subscript"/>
                    </w:rPr>
                  </w:pPr>
                  <w:r>
                    <w:rPr>
                      <w:rFonts w:hint="default" w:ascii="Times New Roman" w:hAnsi="Times New Roman" w:cs="Times New Roman"/>
                      <w:b/>
                      <w:bCs/>
                      <w:color w:val="auto"/>
                      <w:szCs w:val="21"/>
                      <w:highlight w:val="none"/>
                    </w:rPr>
                    <w:t>COD(mg/L)</w:t>
                  </w:r>
                </w:p>
              </w:tc>
              <w:tc>
                <w:tcPr>
                  <w:tcW w:w="1007" w:type="pct"/>
                  <w:noWrap w:val="0"/>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NH</w:t>
                  </w:r>
                  <w:r>
                    <w:rPr>
                      <w:rFonts w:hint="default" w:ascii="Times New Roman" w:hAnsi="Times New Roman" w:cs="Times New Roman"/>
                      <w:b/>
                      <w:bCs/>
                      <w:color w:val="auto"/>
                      <w:szCs w:val="21"/>
                      <w:highlight w:val="none"/>
                      <w:vertAlign w:val="subscript"/>
                    </w:rPr>
                    <w:t>3</w:t>
                  </w:r>
                  <w:r>
                    <w:rPr>
                      <w:rFonts w:hint="default" w:ascii="Times New Roman" w:hAnsi="Times New Roman" w:cs="Times New Roman"/>
                      <w:b/>
                      <w:bCs/>
                      <w:color w:val="auto"/>
                      <w:szCs w:val="21"/>
                      <w:highlight w:val="none"/>
                    </w:rPr>
                    <w:t>-N(mg/L)</w:t>
                  </w:r>
                </w:p>
              </w:tc>
              <w:tc>
                <w:tcPr>
                  <w:tcW w:w="1011" w:type="pct"/>
                  <w:noWrap w:val="0"/>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TP(mg/L)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 w:type="pct"/>
                  <w:noWrap w:val="0"/>
                  <w:vAlign w:val="center"/>
                </w:tcPr>
                <w:p>
                  <w:pPr>
                    <w:adjustRightInd w:val="0"/>
                    <w:snapToGrid w:val="0"/>
                    <w:jc w:val="center"/>
                    <w:rPr>
                      <w:rFonts w:hint="default" w:ascii="Times New Roman" w:hAnsi="Times New Roman" w:eastAsia="宋体" w:cs="Times New Roman"/>
                      <w:color w:val="auto"/>
                      <w:szCs w:val="21"/>
                      <w:highlight w:val="yellow"/>
                      <w:vertAlign w:val="subscript"/>
                      <w:lang w:eastAsia="zh-CN"/>
                    </w:rPr>
                  </w:pPr>
                  <w:r>
                    <w:rPr>
                      <w:rFonts w:hint="default" w:ascii="Times New Roman" w:hAnsi="Times New Roman" w:eastAsia="宋体" w:cs="Times New Roman"/>
                      <w:color w:val="auto"/>
                      <w:szCs w:val="21"/>
                      <w:highlight w:val="none"/>
                    </w:rPr>
                    <w:t>W1</w:t>
                  </w:r>
                </w:p>
              </w:tc>
              <w:tc>
                <w:tcPr>
                  <w:tcW w:w="1007"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6.73</w:t>
                  </w:r>
                  <w:r>
                    <w:rPr>
                      <w:rFonts w:hint="default" w:ascii="Times New Roman" w:hAnsi="Times New Roman" w:cs="Times New Roman"/>
                      <w:color w:val="auto"/>
                      <w:szCs w:val="21"/>
                      <w:highlight w:val="none"/>
                    </w:rPr>
                    <w:t>-7.</w:t>
                  </w:r>
                  <w:r>
                    <w:rPr>
                      <w:rFonts w:hint="default" w:ascii="Times New Roman" w:hAnsi="Times New Roman" w:cs="Times New Roman"/>
                      <w:color w:val="auto"/>
                      <w:szCs w:val="21"/>
                      <w:highlight w:val="none"/>
                      <w:lang w:val="en-US" w:eastAsia="zh-CN"/>
                    </w:rPr>
                    <w:t>73</w:t>
                  </w:r>
                </w:p>
              </w:tc>
              <w:tc>
                <w:tcPr>
                  <w:tcW w:w="1007" w:type="pct"/>
                  <w:noWrap w:val="0"/>
                  <w:vAlign w:val="center"/>
                </w:tcPr>
                <w:p>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9</w:t>
                  </w:r>
                </w:p>
              </w:tc>
              <w:tc>
                <w:tcPr>
                  <w:tcW w:w="1007"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0.615</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0.633</w:t>
                  </w:r>
                </w:p>
              </w:tc>
              <w:tc>
                <w:tcPr>
                  <w:tcW w:w="1011" w:type="pct"/>
                  <w:noWrap w:val="0"/>
                  <w:vAlign w:val="center"/>
                </w:tcPr>
                <w:p>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1"/>
                      <w:highlight w:val="none"/>
                    </w:rPr>
                    <w:t>0.</w:t>
                  </w:r>
                  <w:r>
                    <w:rPr>
                      <w:rFonts w:hint="default" w:ascii="Times New Roman" w:hAnsi="Times New Roman" w:cs="Times New Roman"/>
                      <w:color w:val="auto"/>
                      <w:szCs w:val="21"/>
                      <w:highlight w:val="none"/>
                      <w:lang w:val="en-US" w:eastAsia="zh-CN"/>
                    </w:rPr>
                    <w:t>12</w:t>
                  </w:r>
                  <w:r>
                    <w:rPr>
                      <w:rFonts w:hint="default" w:ascii="Times New Roman" w:hAnsi="Times New Roman" w:cs="Times New Roman"/>
                      <w:color w:val="auto"/>
                      <w:szCs w:val="21"/>
                      <w:highlight w:val="none"/>
                    </w:rPr>
                    <w:t>-0.</w:t>
                  </w:r>
                  <w:r>
                    <w:rPr>
                      <w:rFonts w:hint="default" w:ascii="Times New Roman" w:hAnsi="Times New Roman" w:cs="Times New Roman"/>
                      <w:color w:val="auto"/>
                      <w:szCs w:val="21"/>
                      <w:highlight w:val="none"/>
                      <w:lang w:val="en-US" w:eastAsia="zh-CN"/>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 w:type="pct"/>
                  <w:noWrap w:val="0"/>
                  <w:vAlign w:val="center"/>
                </w:tcPr>
                <w:p>
                  <w:pPr>
                    <w:adjustRightInd w:val="0"/>
                    <w:snapToGrid w:val="0"/>
                    <w:jc w:val="center"/>
                    <w:rPr>
                      <w:rFonts w:hint="default" w:ascii="Times New Roman" w:hAnsi="Times New Roman" w:eastAsia="宋体" w:cs="Times New Roman"/>
                      <w:color w:val="auto"/>
                      <w:szCs w:val="21"/>
                      <w:highlight w:val="yellow"/>
                      <w:vertAlign w:val="subscript"/>
                      <w:lang w:val="en-US" w:eastAsia="zh-CN"/>
                    </w:rPr>
                  </w:pPr>
                  <w:r>
                    <w:rPr>
                      <w:rFonts w:hint="default" w:ascii="Times New Roman" w:hAnsi="Times New Roman" w:eastAsia="宋体" w:cs="Times New Roman"/>
                      <w:color w:val="auto"/>
                      <w:szCs w:val="21"/>
                      <w:highlight w:val="none"/>
                    </w:rPr>
                    <w:t>W</w:t>
                  </w:r>
                  <w:r>
                    <w:rPr>
                      <w:rFonts w:hint="default" w:ascii="Times New Roman" w:hAnsi="Times New Roman" w:eastAsia="宋体" w:cs="Times New Roman"/>
                      <w:color w:val="auto"/>
                      <w:szCs w:val="21"/>
                      <w:highlight w:val="none"/>
                      <w:lang w:val="en-US" w:eastAsia="zh-CN"/>
                    </w:rPr>
                    <w:t>2</w:t>
                  </w:r>
                </w:p>
              </w:tc>
              <w:tc>
                <w:tcPr>
                  <w:tcW w:w="1007"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7.62-7.74</w:t>
                  </w:r>
                </w:p>
              </w:tc>
              <w:tc>
                <w:tcPr>
                  <w:tcW w:w="1007" w:type="pct"/>
                  <w:noWrap w:val="0"/>
                  <w:vAlign w:val="center"/>
                </w:tcPr>
                <w:p>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9</w:t>
                  </w:r>
                </w:p>
              </w:tc>
              <w:tc>
                <w:tcPr>
                  <w:tcW w:w="1007"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w:t>
                  </w:r>
                  <w:r>
                    <w:rPr>
                      <w:rFonts w:hint="default" w:ascii="Times New Roman" w:hAnsi="Times New Roman" w:cs="Times New Roman"/>
                      <w:color w:val="auto"/>
                      <w:szCs w:val="21"/>
                      <w:highlight w:val="none"/>
                      <w:lang w:val="en-US" w:eastAsia="zh-CN"/>
                    </w:rPr>
                    <w:t>734</w:t>
                  </w:r>
                  <w:r>
                    <w:rPr>
                      <w:rFonts w:hint="default" w:ascii="Times New Roman" w:hAnsi="Times New Roman" w:cs="Times New Roman"/>
                      <w:color w:val="auto"/>
                      <w:szCs w:val="21"/>
                      <w:highlight w:val="none"/>
                    </w:rPr>
                    <w:t>-0.</w:t>
                  </w:r>
                  <w:r>
                    <w:rPr>
                      <w:rFonts w:hint="default" w:ascii="Times New Roman" w:hAnsi="Times New Roman" w:cs="Times New Roman"/>
                      <w:color w:val="auto"/>
                      <w:szCs w:val="21"/>
                      <w:highlight w:val="none"/>
                      <w:lang w:val="en-US" w:eastAsia="zh-CN"/>
                    </w:rPr>
                    <w:t>746</w:t>
                  </w:r>
                </w:p>
              </w:tc>
              <w:tc>
                <w:tcPr>
                  <w:tcW w:w="1011"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w:t>
                  </w:r>
                  <w:r>
                    <w:rPr>
                      <w:rFonts w:hint="default" w:ascii="Times New Roman" w:hAnsi="Times New Roman" w:cs="Times New Roman"/>
                      <w:color w:val="auto"/>
                      <w:szCs w:val="21"/>
                      <w:highlight w:val="none"/>
                      <w:lang w:val="en-US" w:eastAsia="zh-CN"/>
                    </w:rPr>
                    <w:t>12</w:t>
                  </w:r>
                  <w:r>
                    <w:rPr>
                      <w:rFonts w:hint="default" w:ascii="Times New Roman" w:hAnsi="Times New Roman" w:cs="Times New Roman"/>
                      <w:color w:val="auto"/>
                      <w:szCs w:val="21"/>
                      <w:highlight w:val="none"/>
                    </w:rPr>
                    <w:t>-0.</w:t>
                  </w:r>
                  <w:r>
                    <w:rPr>
                      <w:rFonts w:hint="default" w:ascii="Times New Roman" w:hAnsi="Times New Roman" w:cs="Times New Roman"/>
                      <w:color w:val="auto"/>
                      <w:szCs w:val="21"/>
                      <w:highlight w:val="none"/>
                      <w:lang w:val="en-US" w:eastAsia="zh-CN"/>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 w:type="pct"/>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rPr>
                    <w:t>Ⅲ</w:t>
                  </w:r>
                  <w:r>
                    <w:rPr>
                      <w:rFonts w:hint="default" w:ascii="Times New Roman" w:hAnsi="Times New Roman" w:cs="Times New Roman"/>
                      <w:color w:val="auto"/>
                      <w:szCs w:val="21"/>
                      <w:highlight w:val="none"/>
                    </w:rPr>
                    <w:t>类标准值</w:t>
                  </w:r>
                </w:p>
              </w:tc>
              <w:tc>
                <w:tcPr>
                  <w:tcW w:w="1007" w:type="pct"/>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6-9</w:t>
                  </w:r>
                </w:p>
              </w:tc>
              <w:tc>
                <w:tcPr>
                  <w:tcW w:w="1007" w:type="pct"/>
                  <w:noWrap w:val="0"/>
                  <w:vAlign w:val="center"/>
                </w:tcPr>
                <w:p>
                  <w:pPr>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rPr>
                    <w:t>≤20</w:t>
                  </w:r>
                </w:p>
              </w:tc>
              <w:tc>
                <w:tcPr>
                  <w:tcW w:w="1007" w:type="pct"/>
                  <w:noWrap w:val="0"/>
                  <w:vAlign w:val="center"/>
                </w:tcPr>
                <w:p>
                  <w:pPr>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rPr>
                    <w:t>≤1.0</w:t>
                  </w:r>
                </w:p>
              </w:tc>
              <w:tc>
                <w:tcPr>
                  <w:tcW w:w="1011" w:type="pct"/>
                  <w:noWrap w:val="0"/>
                  <w:vAlign w:val="center"/>
                </w:tcPr>
                <w:p>
                  <w:pPr>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rPr>
                    <w:t>≤0.2</w:t>
                  </w:r>
                </w:p>
              </w:tc>
            </w:tr>
          </w:tbl>
          <w:p>
            <w:pPr>
              <w:adjustRightInd w:val="0"/>
              <w:snapToGrid w:val="0"/>
              <w:rPr>
                <w:b/>
                <w:bCs/>
                <w:color w:val="auto"/>
                <w:szCs w:val="21"/>
              </w:rPr>
            </w:pPr>
            <w:r>
              <w:rPr>
                <w:b/>
                <w:bCs/>
                <w:color w:val="auto"/>
                <w:szCs w:val="21"/>
              </w:rPr>
              <w:t>注：检测期间，尧塘河水温处于28.2~30.5℃范围内。</w:t>
            </w:r>
          </w:p>
          <w:p>
            <w:pPr>
              <w:adjustRightInd w:val="0"/>
              <w:snapToGrid w:val="0"/>
              <w:spacing w:line="500" w:lineRule="exact"/>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监测统计结果表明：</w:t>
            </w:r>
            <w:r>
              <w:rPr>
                <w:rFonts w:hint="default" w:ascii="Times New Roman" w:hAnsi="Times New Roman" w:cs="Times New Roman"/>
                <w:bCs/>
                <w:color w:val="auto"/>
                <w:sz w:val="24"/>
                <w:highlight w:val="none"/>
                <w:lang w:val="en-US" w:eastAsia="zh-CN"/>
              </w:rPr>
              <w:t>尧塘河</w:t>
            </w:r>
            <w:r>
              <w:rPr>
                <w:rFonts w:hint="default" w:ascii="Times New Roman" w:hAnsi="Times New Roman" w:cs="Times New Roman"/>
                <w:bCs/>
                <w:color w:val="auto"/>
                <w:sz w:val="24"/>
                <w:highlight w:val="none"/>
              </w:rPr>
              <w:t>监测断面的各监测因子均可以达到《地表水环境质量</w:t>
            </w:r>
            <w:r>
              <w:rPr>
                <w:rFonts w:hint="default" w:ascii="Times New Roman" w:hAnsi="Times New Roman" w:cs="Times New Roman"/>
                <w:color w:val="auto"/>
                <w:sz w:val="24"/>
              </w:rPr>
              <w:t>标准</w:t>
            </w:r>
            <w:r>
              <w:rPr>
                <w:rFonts w:hint="default" w:ascii="Times New Roman" w:hAnsi="Times New Roman" w:cs="Times New Roman"/>
                <w:bCs/>
                <w:color w:val="auto"/>
                <w:sz w:val="24"/>
                <w:highlight w:val="none"/>
              </w:rPr>
              <w:t>》（GB3838-2002）</w:t>
            </w:r>
            <w:r>
              <w:rPr>
                <w:rFonts w:hint="default" w:ascii="Times New Roman" w:hAnsi="Times New Roman" w:cs="Times New Roman"/>
                <w:color w:val="auto"/>
                <w:sz w:val="24"/>
                <w:szCs w:val="24"/>
              </w:rPr>
              <w:t>Ⅲ</w:t>
            </w:r>
            <w:r>
              <w:rPr>
                <w:rFonts w:hint="default" w:ascii="Times New Roman" w:hAnsi="Times New Roman" w:cs="Times New Roman"/>
                <w:bCs/>
                <w:color w:val="auto"/>
                <w:sz w:val="24"/>
                <w:highlight w:val="none"/>
              </w:rPr>
              <w:t>类标准。</w:t>
            </w:r>
          </w:p>
          <w:p>
            <w:pPr>
              <w:keepNext w:val="0"/>
              <w:keepLines w:val="0"/>
              <w:pageBreakBefore w:val="0"/>
              <w:widowControl w:val="0"/>
              <w:kinsoku/>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highlight w:val="yellow"/>
              </w:rPr>
            </w:pPr>
            <w:r>
              <w:rPr>
                <w:rFonts w:hint="default" w:ascii="Times New Roman" w:hAnsi="Times New Roman" w:cs="Times New Roman"/>
                <w:bCs/>
                <w:color w:val="auto"/>
                <w:sz w:val="24"/>
                <w:highlight w:val="none"/>
              </w:rPr>
              <w:t>引用数据有效性分析：</w:t>
            </w:r>
            <w:r>
              <w:rPr>
                <w:rFonts w:hint="default" w:ascii="Times New Roman" w:hAnsi="Times New Roman" w:cs="Times New Roman"/>
                <w:bCs/>
                <w:color w:val="auto"/>
                <w:sz w:val="24"/>
                <w:highlight w:val="none"/>
                <w:lang w:eastAsia="zh-CN"/>
              </w:rPr>
              <w:t>江苏久诚检验检测有限公司</w:t>
            </w:r>
            <w:r>
              <w:rPr>
                <w:rFonts w:hint="default" w:ascii="Times New Roman" w:hAnsi="Times New Roman" w:cs="Times New Roman"/>
                <w:bCs/>
                <w:color w:val="auto"/>
                <w:sz w:val="24"/>
                <w:highlight w:val="none"/>
              </w:rPr>
              <w:t>于202</w:t>
            </w:r>
            <w:r>
              <w:rPr>
                <w:rFonts w:hint="default" w:ascii="Times New Roman" w:hAnsi="Times New Roman" w:cs="Times New Roman"/>
                <w:bCs/>
                <w:color w:val="auto"/>
                <w:sz w:val="24"/>
                <w:highlight w:val="none"/>
                <w:lang w:val="en-US" w:eastAsia="zh-CN"/>
              </w:rPr>
              <w:t>1</w:t>
            </w:r>
            <w:r>
              <w:rPr>
                <w:rFonts w:hint="default" w:ascii="Times New Roman" w:hAnsi="Times New Roman" w:cs="Times New Roman"/>
                <w:bCs/>
                <w:color w:val="auto"/>
                <w:sz w:val="24"/>
                <w:highlight w:val="none"/>
              </w:rPr>
              <w:t>年</w:t>
            </w:r>
            <w:r>
              <w:rPr>
                <w:rFonts w:hint="default" w:ascii="Times New Roman" w:hAnsi="Times New Roman" w:cs="Times New Roman"/>
                <w:bCs/>
                <w:color w:val="auto"/>
                <w:sz w:val="24"/>
                <w:highlight w:val="none"/>
                <w:lang w:val="en-US" w:eastAsia="zh-CN"/>
              </w:rPr>
              <w:t>7</w:t>
            </w:r>
            <w:r>
              <w:rPr>
                <w:rFonts w:hint="default" w:ascii="Times New Roman" w:hAnsi="Times New Roman" w:cs="Times New Roman"/>
                <w:bCs/>
                <w:color w:val="auto"/>
                <w:sz w:val="24"/>
                <w:highlight w:val="none"/>
              </w:rPr>
              <w:t>月</w:t>
            </w:r>
            <w:r>
              <w:rPr>
                <w:rFonts w:hint="default" w:ascii="Times New Roman" w:hAnsi="Times New Roman" w:cs="Times New Roman"/>
                <w:bCs/>
                <w:color w:val="auto"/>
                <w:sz w:val="24"/>
                <w:highlight w:val="none"/>
                <w:lang w:val="en-US" w:eastAsia="zh-CN"/>
              </w:rPr>
              <w:t>8</w:t>
            </w:r>
            <w:r>
              <w:rPr>
                <w:rFonts w:hint="default" w:ascii="Times New Roman" w:hAnsi="Times New Roman" w:cs="Times New Roman"/>
                <w:bCs/>
                <w:color w:val="auto"/>
                <w:sz w:val="24"/>
                <w:highlight w:val="none"/>
              </w:rPr>
              <w:t>日～</w:t>
            </w:r>
            <w:r>
              <w:rPr>
                <w:rFonts w:hint="default" w:ascii="Times New Roman" w:hAnsi="Times New Roman" w:cs="Times New Roman"/>
                <w:bCs/>
                <w:color w:val="auto"/>
                <w:sz w:val="24"/>
                <w:highlight w:val="none"/>
                <w:lang w:val="en-US" w:eastAsia="zh-CN"/>
              </w:rPr>
              <w:t>7</w:t>
            </w:r>
            <w:r>
              <w:rPr>
                <w:rFonts w:hint="default" w:ascii="Times New Roman" w:hAnsi="Times New Roman" w:cs="Times New Roman"/>
                <w:bCs/>
                <w:color w:val="auto"/>
                <w:sz w:val="24"/>
                <w:highlight w:val="none"/>
              </w:rPr>
              <w:t>月</w:t>
            </w:r>
            <w:r>
              <w:rPr>
                <w:rFonts w:hint="default" w:ascii="Times New Roman" w:hAnsi="Times New Roman" w:cs="Times New Roman"/>
                <w:bCs/>
                <w:color w:val="auto"/>
                <w:sz w:val="24"/>
                <w:highlight w:val="none"/>
                <w:lang w:val="en-US" w:eastAsia="zh-CN"/>
              </w:rPr>
              <w:t>10</w:t>
            </w:r>
            <w:r>
              <w:rPr>
                <w:rFonts w:hint="default" w:ascii="Times New Roman" w:hAnsi="Times New Roman" w:cs="Times New Roman"/>
                <w:bCs/>
                <w:color w:val="auto"/>
                <w:sz w:val="24"/>
                <w:highlight w:val="none"/>
              </w:rPr>
              <w:t>日</w:t>
            </w:r>
            <w:r>
              <w:rPr>
                <w:rFonts w:hint="default" w:ascii="Times New Roman" w:hAnsi="Times New Roman" w:cs="Times New Roman"/>
                <w:color w:val="auto"/>
                <w:sz w:val="24"/>
                <w:highlight w:val="none"/>
              </w:rPr>
              <w:t>对</w:t>
            </w:r>
            <w:r>
              <w:rPr>
                <w:rFonts w:hint="default" w:ascii="Times New Roman" w:hAnsi="Times New Roman" w:cs="Times New Roman"/>
                <w:color w:val="auto"/>
                <w:sz w:val="24"/>
                <w:highlight w:val="none"/>
                <w:lang w:eastAsia="zh-CN"/>
              </w:rPr>
              <w:t>常州金坛区第二污水处理有限公司</w:t>
            </w:r>
            <w:r>
              <w:rPr>
                <w:rFonts w:hint="default" w:ascii="Times New Roman" w:hAnsi="Times New Roman" w:cs="Times New Roman"/>
                <w:color w:val="auto"/>
                <w:sz w:val="24"/>
                <w:highlight w:val="none"/>
              </w:rPr>
              <w:t>排口上游500米断面和</w:t>
            </w:r>
            <w:r>
              <w:rPr>
                <w:rFonts w:hint="default" w:ascii="Times New Roman" w:hAnsi="Times New Roman" w:cs="Times New Roman"/>
                <w:color w:val="auto"/>
                <w:sz w:val="24"/>
                <w:highlight w:val="none"/>
                <w:lang w:eastAsia="zh-CN"/>
              </w:rPr>
              <w:t>常州金坛区第二污水处理有限公司</w:t>
            </w:r>
            <w:r>
              <w:rPr>
                <w:rFonts w:hint="default" w:ascii="Times New Roman" w:hAnsi="Times New Roman" w:cs="Times New Roman"/>
                <w:color w:val="auto"/>
                <w:sz w:val="24"/>
                <w:highlight w:val="none"/>
              </w:rPr>
              <w:t>排口下游</w:t>
            </w:r>
            <w:r>
              <w:rPr>
                <w:rFonts w:hint="default"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00米断面进行监测</w:t>
            </w:r>
            <w:r>
              <w:rPr>
                <w:rFonts w:hint="default" w:ascii="Times New Roman" w:hAnsi="Times New Roman" w:cs="Times New Roman"/>
                <w:bCs/>
                <w:color w:val="auto"/>
                <w:sz w:val="24"/>
                <w:highlight w:val="none"/>
              </w:rPr>
              <w:t>，引用时间不超过3年，水环境引用时间有效；项目所在区域污染源未发生重大变化，可引用3年内地表水的监测数据；引用点位在项目纳污河道</w:t>
            </w:r>
            <w:r>
              <w:rPr>
                <w:rFonts w:hint="default" w:ascii="Times New Roman" w:hAnsi="Times New Roman" w:cs="Times New Roman"/>
                <w:color w:val="auto"/>
                <w:sz w:val="24"/>
              </w:rPr>
              <w:t>评价</w:t>
            </w:r>
            <w:r>
              <w:rPr>
                <w:rFonts w:hint="default" w:ascii="Times New Roman" w:hAnsi="Times New Roman" w:cs="Times New Roman"/>
                <w:bCs/>
                <w:color w:val="auto"/>
                <w:sz w:val="24"/>
                <w:highlight w:val="none"/>
              </w:rPr>
              <w:t>范围内，监测方法、频次符合导则要求，则地表水环境引用点位有效。</w:t>
            </w:r>
          </w:p>
          <w:p>
            <w:pPr>
              <w:keepNext w:val="0"/>
              <w:keepLines w:val="0"/>
              <w:pageBreakBefore w:val="0"/>
              <w:widowControl w:val="0"/>
              <w:kinsoku/>
              <w:overflowPunct/>
              <w:topLinePunct w:val="0"/>
              <w:autoSpaceDE/>
              <w:autoSpaceDN/>
              <w:bidi w:val="0"/>
              <w:adjustRightInd w:val="0"/>
              <w:snapToGrid w:val="0"/>
              <w:spacing w:line="500" w:lineRule="exact"/>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3、声环境质量现状</w:t>
            </w:r>
          </w:p>
          <w:p>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highlight w:val="none"/>
                <w:lang w:eastAsia="zh-CN"/>
              </w:rPr>
              <w:t>根据江苏久诚检验检测有限公司对本项目各厂界</w:t>
            </w:r>
            <w:r>
              <w:rPr>
                <w:rFonts w:hint="eastAsia" w:ascii="Times New Roman" w:hAnsi="Times New Roman" w:eastAsia="宋体" w:cs="Times New Roman"/>
                <w:color w:val="auto"/>
                <w:sz w:val="24"/>
                <w:highlight w:val="none"/>
                <w:lang w:val="en-US" w:eastAsia="zh-CN"/>
              </w:rPr>
              <w:t>及附近敏感目标</w:t>
            </w:r>
            <w:r>
              <w:rPr>
                <w:rFonts w:hint="default" w:ascii="Times New Roman" w:hAnsi="Times New Roman" w:eastAsia="宋体" w:cs="Times New Roman"/>
                <w:color w:val="auto"/>
                <w:sz w:val="24"/>
                <w:highlight w:val="none"/>
                <w:lang w:eastAsia="zh-CN"/>
              </w:rPr>
              <w:t>昼</w:t>
            </w:r>
            <w:r>
              <w:rPr>
                <w:rFonts w:hint="eastAsia" w:ascii="Times New Roman" w:hAnsi="Times New Roman" w:eastAsia="宋体" w:cs="Times New Roman"/>
                <w:color w:val="auto"/>
                <w:sz w:val="24"/>
                <w:highlight w:val="none"/>
                <w:lang w:val="en-US" w:eastAsia="zh-CN"/>
              </w:rPr>
              <w:t>夜</w:t>
            </w:r>
            <w:r>
              <w:rPr>
                <w:rFonts w:hint="default" w:ascii="Times New Roman" w:hAnsi="Times New Roman" w:eastAsia="宋体" w:cs="Times New Roman"/>
                <w:color w:val="auto"/>
                <w:sz w:val="24"/>
                <w:highlight w:val="none"/>
                <w:lang w:eastAsia="zh-CN"/>
              </w:rPr>
              <w:t>间噪声的监测结果，</w:t>
            </w:r>
            <w:r>
              <w:rPr>
                <w:rFonts w:hint="default" w:ascii="Times New Roman" w:hAnsi="Times New Roman" w:eastAsia="宋体" w:cs="Times New Roman"/>
                <w:color w:val="auto"/>
                <w:sz w:val="24"/>
                <w:highlight w:val="none"/>
                <w:lang w:val="zh-CN" w:eastAsia="zh-CN"/>
              </w:rPr>
              <w:t>监测结果详见</w:t>
            </w:r>
            <w:r>
              <w:rPr>
                <w:rFonts w:hint="eastAsia" w:ascii="Times New Roman" w:hAnsi="Times New Roman" w:eastAsia="宋体" w:cs="Times New Roman"/>
                <w:color w:val="auto"/>
                <w:sz w:val="24"/>
                <w:highlight w:val="none"/>
                <w:lang w:val="zh-CN" w:eastAsia="zh-CN"/>
              </w:rPr>
              <w:t>下</w:t>
            </w:r>
            <w:r>
              <w:rPr>
                <w:rFonts w:hint="default" w:ascii="Times New Roman" w:hAnsi="Times New Roman" w:eastAsia="宋体" w:cs="Times New Roman"/>
                <w:color w:val="auto"/>
                <w:sz w:val="24"/>
                <w:highlight w:val="none"/>
                <w:lang w:val="zh-CN" w:eastAsia="zh-CN"/>
              </w:rPr>
              <w:t>表</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表3-</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噪声现状监测结果汇总  单位：dB（A）</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028"/>
              <w:gridCol w:w="1957"/>
              <w:gridCol w:w="1308"/>
              <w:gridCol w:w="1313"/>
              <w:gridCol w:w="1430"/>
              <w:gridCol w:w="1344"/>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13" w:type="pct"/>
                  <w:vMerge w:val="restart"/>
                  <w:noWrap w:val="0"/>
                  <w:vAlign w:val="center"/>
                </w:tcPr>
                <w:p>
                  <w:pPr>
                    <w:pStyle w:val="99"/>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测点</w:t>
                  </w:r>
                </w:p>
              </w:tc>
              <w:tc>
                <w:tcPr>
                  <w:tcW w:w="1167" w:type="pct"/>
                  <w:vMerge w:val="restart"/>
                  <w:noWrap w:val="0"/>
                  <w:vAlign w:val="center"/>
                </w:tcPr>
                <w:p>
                  <w:pPr>
                    <w:pStyle w:val="99"/>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位置</w:t>
                  </w:r>
                </w:p>
              </w:tc>
              <w:tc>
                <w:tcPr>
                  <w:tcW w:w="780" w:type="pct"/>
                  <w:noWrap w:val="0"/>
                  <w:vAlign w:val="center"/>
                </w:tcPr>
                <w:p>
                  <w:pPr>
                    <w:pStyle w:val="99"/>
                    <w:adjustRightInd w:val="0"/>
                    <w:snapToGri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20</w:t>
                  </w:r>
                  <w:r>
                    <w:rPr>
                      <w:rFonts w:hint="default" w:ascii="Times New Roman" w:hAnsi="Times New Roman" w:eastAsia="宋体" w:cs="Times New Roman"/>
                      <w:b/>
                      <w:bCs/>
                      <w:color w:val="auto"/>
                      <w:sz w:val="21"/>
                      <w:szCs w:val="21"/>
                      <w:highlight w:val="none"/>
                      <w:lang w:val="en-US" w:eastAsia="zh-CN"/>
                    </w:rPr>
                    <w:t>2</w:t>
                  </w:r>
                  <w:r>
                    <w:rPr>
                      <w:rFonts w:hint="eastAsia" w:ascii="Times New Roman" w:hAnsi="Times New Roman" w:eastAsia="宋体" w:cs="Times New Roman"/>
                      <w:b/>
                      <w:bCs/>
                      <w:color w:val="auto"/>
                      <w:sz w:val="21"/>
                      <w:szCs w:val="21"/>
                      <w:highlight w:val="none"/>
                      <w:lang w:val="en-US" w:eastAsia="zh-CN"/>
                    </w:rPr>
                    <w:t>3.10.28</w:t>
                  </w:r>
                </w:p>
              </w:tc>
              <w:tc>
                <w:tcPr>
                  <w:tcW w:w="783" w:type="pct"/>
                  <w:noWrap w:val="0"/>
                  <w:vAlign w:val="center"/>
                </w:tcPr>
                <w:p>
                  <w:pPr>
                    <w:pStyle w:val="99"/>
                    <w:adjustRightInd w:val="0"/>
                    <w:snapToGrid w:val="0"/>
                    <w:jc w:val="center"/>
                    <w:rPr>
                      <w:rFonts w:hint="default" w:ascii="Times New Roman" w:hAnsi="Times New Roman" w:eastAsia="宋体" w:cs="Times New Roman"/>
                      <w:b/>
                      <w:bCs/>
                      <w:color w:val="auto"/>
                      <w:sz w:val="21"/>
                      <w:szCs w:val="21"/>
                      <w:highlight w:val="none"/>
                      <w:lang w:val="en-US"/>
                    </w:rPr>
                  </w:pPr>
                  <w:r>
                    <w:rPr>
                      <w:rFonts w:hint="default" w:ascii="Times New Roman" w:hAnsi="Times New Roman" w:eastAsia="宋体" w:cs="Times New Roman"/>
                      <w:b/>
                      <w:bCs/>
                      <w:color w:val="auto"/>
                      <w:sz w:val="21"/>
                      <w:szCs w:val="21"/>
                      <w:highlight w:val="none"/>
                    </w:rPr>
                    <w:t>20</w:t>
                  </w:r>
                  <w:r>
                    <w:rPr>
                      <w:rFonts w:hint="default" w:ascii="Times New Roman" w:hAnsi="Times New Roman" w:eastAsia="宋体" w:cs="Times New Roman"/>
                      <w:b/>
                      <w:bCs/>
                      <w:color w:val="auto"/>
                      <w:sz w:val="21"/>
                      <w:szCs w:val="21"/>
                      <w:highlight w:val="none"/>
                      <w:lang w:val="en-US" w:eastAsia="zh-CN"/>
                    </w:rPr>
                    <w:t>2</w:t>
                  </w:r>
                  <w:r>
                    <w:rPr>
                      <w:rFonts w:hint="eastAsia" w:ascii="Times New Roman" w:hAnsi="Times New Roman" w:eastAsia="宋体" w:cs="Times New Roman"/>
                      <w:b/>
                      <w:bCs/>
                      <w:color w:val="auto"/>
                      <w:sz w:val="21"/>
                      <w:szCs w:val="21"/>
                      <w:highlight w:val="none"/>
                      <w:lang w:val="en-US" w:eastAsia="zh-CN"/>
                    </w:rPr>
                    <w:t>3.10.29</w:t>
                  </w:r>
                </w:p>
              </w:tc>
              <w:tc>
                <w:tcPr>
                  <w:tcW w:w="853" w:type="pct"/>
                  <w:noWrap w:val="0"/>
                  <w:vAlign w:val="center"/>
                </w:tcPr>
                <w:p>
                  <w:pPr>
                    <w:pStyle w:val="99"/>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标准值</w:t>
                  </w:r>
                </w:p>
              </w:tc>
              <w:tc>
                <w:tcPr>
                  <w:tcW w:w="801" w:type="pct"/>
                  <w:vMerge w:val="restart"/>
                  <w:noWrap w:val="0"/>
                  <w:vAlign w:val="center"/>
                </w:tcPr>
                <w:p>
                  <w:pPr>
                    <w:pStyle w:val="99"/>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达标状况</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13" w:type="pct"/>
                  <w:vMerge w:val="continue"/>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p>
              </w:tc>
              <w:tc>
                <w:tcPr>
                  <w:tcW w:w="1167" w:type="pct"/>
                  <w:vMerge w:val="continue"/>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p>
              </w:tc>
              <w:tc>
                <w:tcPr>
                  <w:tcW w:w="780"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783" w:type="pct"/>
                  <w:tcBorders>
                    <w:lef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昼间</w:t>
                  </w:r>
                </w:p>
              </w:tc>
              <w:tc>
                <w:tcPr>
                  <w:tcW w:w="853"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801" w:type="pct"/>
                  <w:vMerge w:val="continue"/>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13"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N1</w:t>
                  </w:r>
                </w:p>
              </w:tc>
              <w:tc>
                <w:tcPr>
                  <w:tcW w:w="1167"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东厂界1米处</w:t>
                  </w:r>
                </w:p>
              </w:tc>
              <w:tc>
                <w:tcPr>
                  <w:tcW w:w="780"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61</w:t>
                  </w:r>
                </w:p>
              </w:tc>
              <w:tc>
                <w:tcPr>
                  <w:tcW w:w="783" w:type="pct"/>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853"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801"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13"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N2</w:t>
                  </w:r>
                </w:p>
              </w:tc>
              <w:tc>
                <w:tcPr>
                  <w:tcW w:w="1167"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南</w:t>
                  </w:r>
                  <w:r>
                    <w:rPr>
                      <w:rFonts w:hint="default" w:ascii="Times New Roman" w:hAnsi="Times New Roman" w:eastAsia="宋体" w:cs="Times New Roman"/>
                      <w:color w:val="auto"/>
                      <w:sz w:val="21"/>
                      <w:szCs w:val="21"/>
                      <w:highlight w:val="none"/>
                    </w:rPr>
                    <w:t>厂界1米处</w:t>
                  </w:r>
                </w:p>
              </w:tc>
              <w:tc>
                <w:tcPr>
                  <w:tcW w:w="780"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c>
                <w:tcPr>
                  <w:tcW w:w="783" w:type="pct"/>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57</w:t>
                  </w:r>
                </w:p>
              </w:tc>
              <w:tc>
                <w:tcPr>
                  <w:tcW w:w="853"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801"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13"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N3</w:t>
                  </w:r>
                </w:p>
              </w:tc>
              <w:tc>
                <w:tcPr>
                  <w:tcW w:w="1167"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西厂界1米处</w:t>
                  </w:r>
                </w:p>
              </w:tc>
              <w:tc>
                <w:tcPr>
                  <w:tcW w:w="780"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58</w:t>
                  </w:r>
                </w:p>
              </w:tc>
              <w:tc>
                <w:tcPr>
                  <w:tcW w:w="783" w:type="pct"/>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61</w:t>
                  </w:r>
                </w:p>
              </w:tc>
              <w:tc>
                <w:tcPr>
                  <w:tcW w:w="853"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65</w:t>
                  </w:r>
                </w:p>
              </w:tc>
              <w:tc>
                <w:tcPr>
                  <w:tcW w:w="801"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13"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N4</w:t>
                  </w:r>
                </w:p>
              </w:tc>
              <w:tc>
                <w:tcPr>
                  <w:tcW w:w="1167"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北厂界1米处</w:t>
                  </w:r>
                </w:p>
              </w:tc>
              <w:tc>
                <w:tcPr>
                  <w:tcW w:w="780"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62</w:t>
                  </w:r>
                </w:p>
              </w:tc>
              <w:tc>
                <w:tcPr>
                  <w:tcW w:w="783" w:type="pct"/>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59</w:t>
                  </w:r>
                </w:p>
              </w:tc>
              <w:tc>
                <w:tcPr>
                  <w:tcW w:w="853"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65</w:t>
                  </w:r>
                </w:p>
              </w:tc>
              <w:tc>
                <w:tcPr>
                  <w:tcW w:w="801"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13"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N5</w:t>
                  </w:r>
                </w:p>
              </w:tc>
              <w:tc>
                <w:tcPr>
                  <w:tcW w:w="1167"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元巷</w:t>
                  </w:r>
                </w:p>
              </w:tc>
              <w:tc>
                <w:tcPr>
                  <w:tcW w:w="780"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59</w:t>
                  </w:r>
                </w:p>
              </w:tc>
              <w:tc>
                <w:tcPr>
                  <w:tcW w:w="783" w:type="pct"/>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56</w:t>
                  </w:r>
                </w:p>
              </w:tc>
              <w:tc>
                <w:tcPr>
                  <w:tcW w:w="853" w:type="pct"/>
                  <w:tcBorders>
                    <w:right w:val="single" w:color="auto" w:sz="4" w:space="0"/>
                  </w:tcBorders>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val="en-US" w:eastAsia="zh-CN"/>
                    </w:rPr>
                    <w:t>0</w:t>
                  </w:r>
                </w:p>
              </w:tc>
              <w:tc>
                <w:tcPr>
                  <w:tcW w:w="801" w:type="pct"/>
                  <w:noWrap w:val="0"/>
                  <w:vAlign w:val="center"/>
                </w:tcPr>
                <w:p>
                  <w:pPr>
                    <w:pStyle w:val="99"/>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highlight w:val="none"/>
                <w:lang w:val="zh-CN" w:eastAsia="zh-CN"/>
              </w:rPr>
            </w:pPr>
            <w:r>
              <w:rPr>
                <w:rFonts w:hint="default" w:ascii="Times New Roman" w:hAnsi="Times New Roman" w:eastAsia="宋体" w:cs="Times New Roman"/>
                <w:sz w:val="24"/>
                <w:szCs w:val="24"/>
                <w:highlight w:val="none"/>
                <w:lang w:val="en-US" w:eastAsia="zh-CN"/>
              </w:rPr>
              <w:t>由表3-1可见，监测时段内，本项目厂界</w:t>
            </w:r>
            <w:r>
              <w:rPr>
                <w:rFonts w:hint="eastAsia" w:ascii="Times New Roman" w:hAnsi="Times New Roman" w:eastAsia="宋体" w:cs="Times New Roman"/>
                <w:sz w:val="24"/>
                <w:szCs w:val="24"/>
                <w:highlight w:val="none"/>
                <w:lang w:val="en-US" w:eastAsia="zh-CN"/>
              </w:rPr>
              <w:t>四周</w:t>
            </w:r>
            <w:r>
              <w:rPr>
                <w:rFonts w:hint="default" w:ascii="Times New Roman" w:hAnsi="Times New Roman" w:eastAsia="宋体" w:cs="Times New Roman"/>
                <w:sz w:val="24"/>
                <w:szCs w:val="24"/>
                <w:highlight w:val="none"/>
                <w:lang w:val="en-US" w:eastAsia="zh-CN"/>
              </w:rPr>
              <w:t>昼间噪声能达到《声环境质量标准》（GB3096-2008）中的</w:t>
            </w: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类标准，</w:t>
            </w:r>
            <w:r>
              <w:rPr>
                <w:rFonts w:hint="eastAsia" w:ascii="Times New Roman" w:hAnsi="Times New Roman" w:eastAsia="宋体" w:cs="Times New Roman"/>
                <w:sz w:val="24"/>
                <w:szCs w:val="24"/>
                <w:highlight w:val="none"/>
                <w:lang w:val="en-US" w:eastAsia="zh-CN"/>
              </w:rPr>
              <w:t>附近敏感目标处</w:t>
            </w:r>
            <w:r>
              <w:rPr>
                <w:rFonts w:hint="default" w:ascii="Times New Roman" w:hAnsi="Times New Roman" w:eastAsia="宋体" w:cs="Times New Roman"/>
                <w:sz w:val="24"/>
                <w:szCs w:val="24"/>
                <w:highlight w:val="none"/>
                <w:lang w:val="en-US" w:eastAsia="zh-CN"/>
              </w:rPr>
              <w:t>昼间噪声能达到《声环境质量标准》（GB3096-2008）中的2类标准，区域声环境质量状况良好。</w:t>
            </w:r>
          </w:p>
          <w:p>
            <w:pPr>
              <w:keepNext w:val="0"/>
              <w:keepLines w:val="0"/>
              <w:pageBreakBefore w:val="0"/>
              <w:widowControl w:val="0"/>
              <w:kinsoku/>
              <w:overflowPunct/>
              <w:topLinePunct w:val="0"/>
              <w:autoSpaceDE/>
              <w:autoSpaceDN/>
              <w:bidi w:val="0"/>
              <w:adjustRightInd w:val="0"/>
              <w:snapToGrid w:val="0"/>
              <w:spacing w:line="500" w:lineRule="exact"/>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4、生态环境现状</w:t>
            </w:r>
          </w:p>
          <w:p>
            <w:pPr>
              <w:keepNext w:val="0"/>
              <w:keepLines w:val="0"/>
              <w:pageBreakBefore w:val="0"/>
              <w:widowControl w:val="0"/>
              <w:kinsoku/>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b/>
                <w:color w:val="auto"/>
                <w:sz w:val="24"/>
              </w:rPr>
            </w:pPr>
            <w:r>
              <w:rPr>
                <w:rFonts w:hint="default" w:ascii="Times New Roman" w:hAnsi="Times New Roman" w:cs="Times New Roman"/>
                <w:bCs/>
                <w:color w:val="auto"/>
                <w:sz w:val="24"/>
              </w:rPr>
              <w:t>本项目不新增建设用地，用地范围内无生态环境保护目标。根据《建设项目环境影响报告表编制技术指南（污染影响类）》（试行），无需开展生态环境现状调查。</w:t>
            </w:r>
          </w:p>
          <w:p>
            <w:pPr>
              <w:keepNext w:val="0"/>
              <w:keepLines w:val="0"/>
              <w:pageBreakBefore w:val="0"/>
              <w:widowControl w:val="0"/>
              <w:kinsoku/>
              <w:overflowPunct/>
              <w:topLinePunct w:val="0"/>
              <w:autoSpaceDE/>
              <w:autoSpaceDN/>
              <w:bidi w:val="0"/>
              <w:adjustRightInd w:val="0"/>
              <w:snapToGrid w:val="0"/>
              <w:spacing w:line="500" w:lineRule="exact"/>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5、</w:t>
            </w:r>
            <w:r>
              <w:rPr>
                <w:rFonts w:hint="eastAsia" w:ascii="Times New Roman" w:hAnsi="Times New Roman" w:cs="Times New Roman"/>
                <w:b/>
                <w:color w:val="auto"/>
                <w:sz w:val="24"/>
                <w:lang w:eastAsia="zh-CN"/>
              </w:rPr>
              <w:t>土壤、</w:t>
            </w:r>
            <w:r>
              <w:rPr>
                <w:rFonts w:hint="default" w:ascii="Times New Roman" w:hAnsi="Times New Roman" w:cs="Times New Roman"/>
                <w:b/>
                <w:color w:val="auto"/>
                <w:sz w:val="24"/>
              </w:rPr>
              <w:t>地下水环境质量现状</w:t>
            </w:r>
          </w:p>
          <w:p>
            <w:pPr>
              <w:keepNext w:val="0"/>
              <w:keepLines w:val="0"/>
              <w:pageBreakBefore w:val="0"/>
              <w:widowControl w:val="0"/>
              <w:kinsoku/>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本项目生产车间、危废仓库等</w:t>
            </w:r>
            <w:r>
              <w:rPr>
                <w:rFonts w:hint="default" w:ascii="Times New Roman" w:hAnsi="Times New Roman" w:cs="Times New Roman"/>
                <w:bCs/>
                <w:color w:val="auto"/>
                <w:sz w:val="24"/>
                <w:lang w:val="en-US" w:eastAsia="zh-CN"/>
              </w:rPr>
              <w:t>重点防渗区已</w:t>
            </w:r>
            <w:r>
              <w:rPr>
                <w:rFonts w:hint="default" w:ascii="Times New Roman" w:hAnsi="Times New Roman" w:cs="Times New Roman"/>
                <w:bCs/>
                <w:color w:val="auto"/>
                <w:sz w:val="24"/>
              </w:rPr>
              <w:t>进行硬化处理</w:t>
            </w:r>
            <w:r>
              <w:rPr>
                <w:rFonts w:hint="default" w:ascii="Times New Roman" w:hAnsi="Times New Roman" w:cs="Times New Roman"/>
                <w:bCs/>
                <w:color w:val="auto"/>
                <w:sz w:val="24"/>
                <w:lang w:val="en-US" w:eastAsia="zh-CN"/>
              </w:rPr>
              <w:t>并采取相应的防渗措施，</w:t>
            </w:r>
            <w:r>
              <w:rPr>
                <w:rFonts w:hint="default" w:ascii="Times New Roman" w:hAnsi="Times New Roman" w:cs="Times New Roman"/>
                <w:bCs/>
                <w:color w:val="auto"/>
                <w:sz w:val="24"/>
              </w:rPr>
              <w:t>不</w:t>
            </w:r>
            <w:r>
              <w:rPr>
                <w:rFonts w:hint="default" w:ascii="Times New Roman" w:hAnsi="Times New Roman" w:cs="Times New Roman"/>
                <w:bCs/>
                <w:color w:val="auto"/>
                <w:sz w:val="24"/>
                <w:lang w:val="en-US" w:eastAsia="zh-CN"/>
              </w:rPr>
              <w:t>存在</w:t>
            </w:r>
            <w:r>
              <w:rPr>
                <w:rFonts w:hint="eastAsia" w:ascii="Times New Roman" w:hAnsi="Times New Roman" w:cs="Times New Roman"/>
                <w:bCs/>
                <w:color w:val="auto"/>
                <w:sz w:val="24"/>
                <w:lang w:val="en-US" w:eastAsia="zh-CN"/>
              </w:rPr>
              <w:t>土壤、</w:t>
            </w:r>
            <w:r>
              <w:rPr>
                <w:rFonts w:hint="default" w:ascii="Times New Roman" w:hAnsi="Times New Roman" w:cs="Times New Roman"/>
                <w:bCs/>
                <w:color w:val="auto"/>
                <w:sz w:val="24"/>
                <w:lang w:val="en-US" w:eastAsia="zh-CN"/>
              </w:rPr>
              <w:t>地下水污染途径</w:t>
            </w:r>
            <w:r>
              <w:rPr>
                <w:rFonts w:hint="default" w:ascii="Times New Roman" w:hAnsi="Times New Roman" w:cs="Times New Roman"/>
                <w:bCs/>
                <w:color w:val="auto"/>
                <w:sz w:val="24"/>
              </w:rPr>
              <w:t>，</w:t>
            </w:r>
            <w:r>
              <w:rPr>
                <w:rFonts w:hint="default" w:ascii="Times New Roman" w:hAnsi="Times New Roman" w:cs="Times New Roman"/>
                <w:bCs/>
                <w:color w:val="auto"/>
                <w:sz w:val="24"/>
                <w:lang w:val="en-US" w:eastAsia="zh-CN"/>
              </w:rPr>
              <w:t>可</w:t>
            </w:r>
            <w:r>
              <w:rPr>
                <w:rFonts w:hint="default" w:ascii="Times New Roman" w:hAnsi="Times New Roman" w:cs="Times New Roman"/>
                <w:bCs/>
                <w:color w:val="auto"/>
                <w:sz w:val="24"/>
              </w:rPr>
              <w:t>不开展现状调查。</w:t>
            </w:r>
          </w:p>
          <w:p>
            <w:pPr>
              <w:keepNext w:val="0"/>
              <w:keepLines w:val="0"/>
              <w:pageBreakBefore w:val="0"/>
              <w:widowControl w:val="0"/>
              <w:kinsoku/>
              <w:overflowPunct/>
              <w:topLinePunct w:val="0"/>
              <w:autoSpaceDE/>
              <w:autoSpaceDN/>
              <w:bidi w:val="0"/>
              <w:adjustRightInd w:val="0"/>
              <w:snapToGrid w:val="0"/>
              <w:spacing w:line="500" w:lineRule="exact"/>
              <w:textAlignment w:val="auto"/>
              <w:rPr>
                <w:rFonts w:hint="default" w:ascii="Times New Roman" w:hAnsi="Times New Roman" w:cs="Times New Roman"/>
                <w:b/>
                <w:color w:val="auto"/>
                <w:sz w:val="24"/>
              </w:rPr>
            </w:pPr>
            <w:r>
              <w:rPr>
                <w:rFonts w:hint="eastAsia" w:ascii="Times New Roman" w:hAnsi="Times New Roman" w:cs="Times New Roman"/>
                <w:b/>
                <w:color w:val="auto"/>
                <w:sz w:val="24"/>
                <w:lang w:val="en-US" w:eastAsia="zh-CN"/>
              </w:rPr>
              <w:t>6</w:t>
            </w:r>
            <w:r>
              <w:rPr>
                <w:rFonts w:hint="default" w:ascii="Times New Roman" w:hAnsi="Times New Roman" w:cs="Times New Roman"/>
                <w:b/>
                <w:color w:val="auto"/>
                <w:sz w:val="24"/>
              </w:rPr>
              <w:t>、辐射</w:t>
            </w:r>
          </w:p>
          <w:p>
            <w:pPr>
              <w:keepNext w:val="0"/>
              <w:keepLines w:val="0"/>
              <w:pageBreakBefore w:val="0"/>
              <w:widowControl w:val="0"/>
              <w:tabs>
                <w:tab w:val="left" w:pos="630"/>
              </w:tabs>
              <w:kinsoku/>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本项目不属于广播电台、差转台、电视塔台、卫星地球上行站、雷达等电磁辐射类项目。</w:t>
            </w:r>
          </w:p>
          <w:p>
            <w:pPr>
              <w:tabs>
                <w:tab w:val="left" w:pos="630"/>
              </w:tabs>
              <w:adjustRightInd w:val="0"/>
              <w:snapToGrid w:val="0"/>
              <w:spacing w:line="500" w:lineRule="exact"/>
              <w:rPr>
                <w:rFonts w:hint="default" w:ascii="Times New Roman" w:hAnsi="Times New Roman" w:cs="Times New Roman"/>
                <w:bCs/>
                <w:color w:val="auto"/>
                <w:sz w:val="24"/>
              </w:rPr>
            </w:pP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r>
              <w:rPr>
                <w:rFonts w:hint="default" w:ascii="Times New Roman" w:hAnsi="Times New Roman" w:cs="Times New Roman"/>
                <w:bCs/>
                <w:color w:val="auto"/>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9" w:hRule="atLeast"/>
          <w:jc w:val="center"/>
        </w:trPr>
        <w:tc>
          <w:tcPr>
            <w:tcW w:w="832" w:type="dxa"/>
            <w:vAlign w:val="center"/>
          </w:tcPr>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环境</w:t>
            </w:r>
          </w:p>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保护</w:t>
            </w:r>
          </w:p>
          <w:p>
            <w:pPr>
              <w:adjustRightInd w:val="0"/>
              <w:snapToGrid w:val="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rPr>
              <w:t>目标</w:t>
            </w:r>
          </w:p>
        </w:tc>
        <w:tc>
          <w:tcPr>
            <w:tcW w:w="8228" w:type="dxa"/>
            <w:vAlign w:val="top"/>
          </w:tcPr>
          <w:p>
            <w:pPr>
              <w:adjustRightInd w:val="0"/>
              <w:snapToGrid w:val="0"/>
              <w:spacing w:line="500" w:lineRule="exact"/>
              <w:ind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1、大气环境</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宋体" w:cs="Times New Roman"/>
                <w:b/>
                <w:bCs/>
                <w:color w:val="auto"/>
                <w:sz w:val="21"/>
                <w:szCs w:val="20"/>
              </w:rPr>
            </w:pPr>
            <w:r>
              <w:rPr>
                <w:rFonts w:hint="default" w:ascii="Times New Roman" w:hAnsi="Times New Roman" w:eastAsia="宋体" w:cs="Times New Roman"/>
                <w:b/>
                <w:bCs/>
                <w:color w:val="auto"/>
                <w:sz w:val="21"/>
                <w:szCs w:val="20"/>
              </w:rPr>
              <w:t>表3-</w:t>
            </w:r>
            <w:r>
              <w:rPr>
                <w:rFonts w:hint="eastAsia" w:ascii="Times New Roman" w:hAnsi="Times New Roman" w:eastAsia="宋体" w:cs="Times New Roman"/>
                <w:b/>
                <w:bCs/>
                <w:color w:val="auto"/>
                <w:sz w:val="21"/>
                <w:szCs w:val="20"/>
                <w:lang w:val="en-US" w:eastAsia="zh-CN"/>
              </w:rPr>
              <w:t xml:space="preserve">6 </w:t>
            </w:r>
            <w:r>
              <w:rPr>
                <w:rFonts w:hint="default" w:ascii="Times New Roman" w:hAnsi="Times New Roman" w:eastAsia="宋体" w:cs="Times New Roman"/>
                <w:b/>
                <w:bCs/>
                <w:color w:val="auto"/>
                <w:sz w:val="21"/>
                <w:szCs w:val="20"/>
              </w:rPr>
              <w:t xml:space="preserve"> 大气环境保护目标、环境功能区划情况一览表</w:t>
            </w:r>
          </w:p>
          <w:tbl>
            <w:tblPr>
              <w:tblStyle w:val="27"/>
              <w:tblW w:w="4995" w:type="pct"/>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64"/>
              <w:gridCol w:w="1277"/>
              <w:gridCol w:w="1346"/>
              <w:gridCol w:w="849"/>
              <w:gridCol w:w="853"/>
              <w:gridCol w:w="1418"/>
              <w:gridCol w:w="764"/>
              <w:gridCol w:w="804"/>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63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保护对象名称</w:t>
                  </w:r>
                </w:p>
              </w:tc>
              <w:tc>
                <w:tcPr>
                  <w:tcW w:w="156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坐标</w:t>
                  </w:r>
                </w:p>
              </w:tc>
              <w:tc>
                <w:tcPr>
                  <w:tcW w:w="5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保护对象（人）</w:t>
                  </w:r>
                </w:p>
              </w:tc>
              <w:tc>
                <w:tcPr>
                  <w:tcW w:w="50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保护内容</w:t>
                  </w:r>
                </w:p>
              </w:tc>
              <w:tc>
                <w:tcPr>
                  <w:tcW w:w="8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环境功能区</w:t>
                  </w:r>
                </w:p>
              </w:tc>
              <w:tc>
                <w:tcPr>
                  <w:tcW w:w="45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相对厂址方位</w:t>
                  </w:r>
                </w:p>
              </w:tc>
              <w:tc>
                <w:tcPr>
                  <w:tcW w:w="48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相对厂界距离</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63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p>
              </w:tc>
              <w:tc>
                <w:tcPr>
                  <w:tcW w:w="7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X</w:t>
                  </w:r>
                </w:p>
              </w:tc>
              <w:tc>
                <w:tcPr>
                  <w:tcW w:w="80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Y</w:t>
                  </w:r>
                </w:p>
              </w:tc>
              <w:tc>
                <w:tcPr>
                  <w:tcW w:w="5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p>
              </w:tc>
              <w:tc>
                <w:tcPr>
                  <w:tcW w:w="50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p>
              </w:tc>
              <w:tc>
                <w:tcPr>
                  <w:tcW w:w="8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p>
              </w:tc>
              <w:tc>
                <w:tcPr>
                  <w:tcW w:w="45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p>
              </w:tc>
              <w:tc>
                <w:tcPr>
                  <w:tcW w:w="48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635"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元巷</w:t>
                  </w:r>
                </w:p>
              </w:tc>
              <w:tc>
                <w:tcPr>
                  <w:tcW w:w="762" w:type="pct"/>
                  <w:tcBorders>
                    <w:bottom w:val="single" w:color="auto" w:sz="4" w:space="0"/>
                  </w:tcBorders>
                  <w:noWrap w:val="0"/>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119.553707</w:t>
                  </w:r>
                </w:p>
              </w:tc>
              <w:tc>
                <w:tcPr>
                  <w:tcW w:w="802" w:type="pct"/>
                  <w:tcBorders>
                    <w:bottom w:val="single" w:color="auto" w:sz="4" w:space="0"/>
                  </w:tcBorders>
                  <w:noWrap w:val="0"/>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31.766522</w:t>
                  </w:r>
                </w:p>
              </w:tc>
              <w:tc>
                <w:tcPr>
                  <w:tcW w:w="506" w:type="pct"/>
                  <w:noWrap w:val="0"/>
                  <w:vAlign w:val="center"/>
                </w:tcPr>
                <w:p>
                  <w:pPr>
                    <w:pStyle w:val="24"/>
                    <w:keepNext w:val="0"/>
                    <w:keepLines w:val="0"/>
                    <w:pageBreakBefore w:val="0"/>
                    <w:widowControl w:val="0"/>
                    <w:tabs>
                      <w:tab w:val="left" w:pos="3456"/>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val="0"/>
                      <w:color w:val="auto"/>
                      <w:sz w:val="21"/>
                      <w:lang w:val="en-US" w:eastAsia="zh-CN"/>
                    </w:rPr>
                  </w:pPr>
                  <w:r>
                    <w:rPr>
                      <w:rFonts w:hint="eastAsia" w:ascii="Times New Roman" w:hAnsi="Times New Roman" w:eastAsia="宋体" w:cs="Times New Roman"/>
                      <w:b w:val="0"/>
                      <w:color w:val="auto"/>
                      <w:sz w:val="21"/>
                      <w:lang w:val="en-US" w:eastAsia="zh-CN"/>
                    </w:rPr>
                    <w:t>3000</w:t>
                  </w:r>
                </w:p>
              </w:tc>
              <w:tc>
                <w:tcPr>
                  <w:tcW w:w="5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居民区</w:t>
                  </w:r>
                </w:p>
              </w:tc>
              <w:tc>
                <w:tcPr>
                  <w:tcW w:w="8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GB3095-2012中二类区</w:t>
                  </w:r>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SW</w:t>
                  </w: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lang w:val="en-US" w:eastAsia="zh-CN"/>
                    </w:rPr>
                    <w:t>40m</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逸仙养老院</w:t>
                  </w:r>
                </w:p>
              </w:tc>
              <w:tc>
                <w:tcPr>
                  <w:tcW w:w="762" w:type="pct"/>
                  <w:noWrap w:val="0"/>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119.557397</w:t>
                  </w:r>
                </w:p>
              </w:tc>
              <w:tc>
                <w:tcPr>
                  <w:tcW w:w="802" w:type="pct"/>
                  <w:noWrap w:val="0"/>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31.764242</w:t>
                  </w:r>
                </w:p>
              </w:tc>
              <w:tc>
                <w:tcPr>
                  <w:tcW w:w="506" w:type="pct"/>
                  <w:noWrap w:val="0"/>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300</w:t>
                  </w:r>
                </w:p>
              </w:tc>
              <w:tc>
                <w:tcPr>
                  <w:tcW w:w="5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lang w:eastAsia="zh-CN"/>
                    </w:rPr>
                  </w:pPr>
                  <w:r>
                    <w:rPr>
                      <w:rFonts w:hint="eastAsia" w:cs="Times New Roman"/>
                      <w:color w:val="auto"/>
                      <w:lang w:eastAsia="zh-CN"/>
                    </w:rPr>
                    <w:t>事业单位</w:t>
                  </w:r>
                </w:p>
              </w:tc>
              <w:tc>
                <w:tcPr>
                  <w:tcW w:w="8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SE</w:t>
                  </w: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290m</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635"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lang w:eastAsia="zh-CN"/>
                    </w:rPr>
                  </w:pPr>
                  <w:r>
                    <w:rPr>
                      <w:rFonts w:hint="eastAsia" w:cs="Times New Roman"/>
                      <w:color w:val="auto"/>
                      <w:lang w:eastAsia="zh-CN"/>
                    </w:rPr>
                    <w:t>中心幼儿园</w:t>
                  </w:r>
                </w:p>
              </w:tc>
              <w:tc>
                <w:tcPr>
                  <w:tcW w:w="762" w:type="pct"/>
                  <w:tcBorders>
                    <w:bottom w:val="single" w:color="auto" w:sz="4" w:space="0"/>
                  </w:tcBorders>
                  <w:noWrap w:val="0"/>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119.555960</w:t>
                  </w:r>
                </w:p>
              </w:tc>
              <w:tc>
                <w:tcPr>
                  <w:tcW w:w="802" w:type="pct"/>
                  <w:tcBorders>
                    <w:bottom w:val="single" w:color="auto" w:sz="4" w:space="0"/>
                  </w:tcBorders>
                  <w:noWrap w:val="0"/>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31.763941</w:t>
                  </w:r>
                </w:p>
              </w:tc>
              <w:tc>
                <w:tcPr>
                  <w:tcW w:w="506" w:type="pct"/>
                  <w:noWrap w:val="0"/>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jc w:val="center"/>
                    <w:textAlignment w:val="auto"/>
                    <w:rPr>
                      <w:rFonts w:hint="default" w:cs="Times New Roman"/>
                      <w:color w:val="auto"/>
                      <w:lang w:val="en-US" w:eastAsia="zh-CN"/>
                    </w:rPr>
                  </w:pPr>
                  <w:r>
                    <w:rPr>
                      <w:rFonts w:hint="eastAsia" w:cs="Times New Roman"/>
                      <w:color w:val="auto"/>
                      <w:lang w:val="en-US" w:eastAsia="zh-CN"/>
                    </w:rPr>
                    <w:t>600</w:t>
                  </w:r>
                </w:p>
              </w:tc>
              <w:tc>
                <w:tcPr>
                  <w:tcW w:w="5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lang w:val="en-US" w:eastAsia="zh-CN"/>
                    </w:rPr>
                  </w:pPr>
                  <w:r>
                    <w:rPr>
                      <w:rFonts w:hint="eastAsia" w:cs="Times New Roman"/>
                      <w:color w:val="auto"/>
                      <w:lang w:val="en-US" w:eastAsia="zh-CN"/>
                    </w:rPr>
                    <w:t>学校</w:t>
                  </w:r>
                </w:p>
              </w:tc>
              <w:tc>
                <w:tcPr>
                  <w:tcW w:w="8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rPr>
                  </w:pPr>
                </w:p>
              </w:tc>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lang w:val="en-US" w:eastAsia="zh-CN"/>
                    </w:rPr>
                  </w:pPr>
                  <w:r>
                    <w:rPr>
                      <w:rFonts w:hint="eastAsia" w:cs="Times New Roman"/>
                      <w:color w:val="auto"/>
                      <w:lang w:val="en-US" w:eastAsia="zh-CN"/>
                    </w:rPr>
                    <w:t>SSE</w:t>
                  </w:r>
                </w:p>
              </w:tc>
              <w:tc>
                <w:tcPr>
                  <w:tcW w:w="48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lang w:val="en-US" w:eastAsia="zh-CN"/>
                    </w:rPr>
                  </w:pPr>
                  <w:r>
                    <w:rPr>
                      <w:rFonts w:hint="eastAsia" w:cs="Times New Roman"/>
                      <w:color w:val="auto"/>
                      <w:lang w:val="en-US" w:eastAsia="zh-CN"/>
                    </w:rPr>
                    <w:t>320m</w:t>
                  </w:r>
                </w:p>
              </w:tc>
            </w:tr>
          </w:tbl>
          <w:p>
            <w:pPr>
              <w:adjustRightInd w:val="0"/>
              <w:snapToGrid w:val="0"/>
              <w:spacing w:line="500" w:lineRule="exact"/>
              <w:ind w:firstLine="480" w:firstLineChars="200"/>
              <w:jc w:val="both"/>
              <w:rPr>
                <w:rFonts w:hint="default" w:ascii="Times New Roman" w:hAnsi="Times New Roman" w:cs="Times New Roman"/>
                <w:bCs/>
                <w:color w:val="auto"/>
                <w:sz w:val="24"/>
              </w:rPr>
            </w:pPr>
            <w:r>
              <w:rPr>
                <w:rFonts w:hint="default" w:ascii="Times New Roman" w:hAnsi="Times New Roman" w:cs="Times New Roman"/>
                <w:bCs/>
                <w:color w:val="auto"/>
                <w:sz w:val="24"/>
              </w:rPr>
              <w:t>2、</w:t>
            </w:r>
            <w:r>
              <w:rPr>
                <w:rFonts w:hint="eastAsia" w:ascii="Times New Roman" w:hAnsi="Times New Roman" w:cs="Times New Roman"/>
                <w:bCs/>
                <w:color w:val="auto"/>
                <w:sz w:val="24"/>
                <w:lang w:eastAsia="zh-CN"/>
              </w:rPr>
              <w:t>其他</w:t>
            </w:r>
            <w:r>
              <w:rPr>
                <w:rFonts w:hint="default" w:ascii="Times New Roman" w:hAnsi="Times New Roman" w:cs="Times New Roman"/>
                <w:bCs/>
                <w:color w:val="auto"/>
                <w:sz w:val="24"/>
              </w:rPr>
              <w:t>环境</w:t>
            </w:r>
          </w:p>
          <w:p>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表</w:t>
            </w:r>
            <w:r>
              <w:rPr>
                <w:rFonts w:hint="default" w:ascii="Times New Roman" w:hAnsi="Times New Roman" w:eastAsia="宋体" w:cs="Times New Roman"/>
                <w:b/>
                <w:bCs/>
                <w:color w:val="000000"/>
                <w:sz w:val="21"/>
                <w:szCs w:val="21"/>
                <w:highlight w:val="none"/>
                <w:lang w:val="en-US" w:eastAsia="zh-CN"/>
              </w:rPr>
              <w:t>3</w:t>
            </w:r>
            <w:r>
              <w:rPr>
                <w:rFonts w:hint="default" w:ascii="Times New Roman" w:hAnsi="Times New Roman" w:eastAsia="宋体" w:cs="Times New Roman"/>
                <w:b/>
                <w:bCs/>
                <w:color w:val="000000"/>
                <w:sz w:val="21"/>
                <w:szCs w:val="21"/>
                <w:highlight w:val="none"/>
              </w:rPr>
              <w:t>-</w:t>
            </w:r>
            <w:r>
              <w:rPr>
                <w:rFonts w:hint="eastAsia" w:ascii="Times New Roman" w:hAnsi="Times New Roman" w:eastAsia="宋体" w:cs="Times New Roman"/>
                <w:b/>
                <w:bCs/>
                <w:color w:val="000000"/>
                <w:sz w:val="21"/>
                <w:szCs w:val="21"/>
                <w:highlight w:val="none"/>
                <w:lang w:val="en-US" w:eastAsia="zh-CN"/>
              </w:rPr>
              <w:t>7</w:t>
            </w:r>
            <w:r>
              <w:rPr>
                <w:rFonts w:hint="default" w:ascii="Times New Roman" w:hAnsi="Times New Roman" w:eastAsia="宋体" w:cs="Times New Roman"/>
                <w:b/>
                <w:bCs/>
                <w:color w:val="000000"/>
                <w:sz w:val="21"/>
                <w:szCs w:val="21"/>
                <w:highlight w:val="none"/>
                <w:lang w:val="en-US" w:eastAsia="zh-CN"/>
              </w:rPr>
              <w:t xml:space="preserve"> </w:t>
            </w:r>
            <w:r>
              <w:rPr>
                <w:rFonts w:hint="default" w:ascii="Times New Roman" w:hAnsi="Times New Roman" w:eastAsia="宋体" w:cs="Times New Roman"/>
                <w:b/>
                <w:bCs/>
                <w:color w:val="000000"/>
                <w:sz w:val="21"/>
                <w:szCs w:val="21"/>
                <w:highlight w:val="none"/>
                <w:lang w:eastAsia="zh-CN"/>
              </w:rPr>
              <w:t>其他</w:t>
            </w:r>
            <w:r>
              <w:rPr>
                <w:rFonts w:hint="default" w:ascii="Times New Roman" w:hAnsi="Times New Roman" w:eastAsia="宋体" w:cs="Times New Roman"/>
                <w:b/>
                <w:bCs/>
                <w:color w:val="000000"/>
                <w:sz w:val="21"/>
                <w:szCs w:val="21"/>
                <w:highlight w:val="none"/>
              </w:rPr>
              <w:t>主要环境敏感目标</w:t>
            </w:r>
          </w:p>
          <w:tbl>
            <w:tblPr>
              <w:tblStyle w:val="27"/>
              <w:tblW w:w="838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150"/>
              <w:gridCol w:w="531"/>
              <w:gridCol w:w="814"/>
              <w:gridCol w:w="2048"/>
              <w:gridCol w:w="29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26" w:type="dxa"/>
                  <w:noWrap w:val="0"/>
                  <w:tcMar>
                    <w:top w:w="0" w:type="dxa"/>
                    <w:left w:w="51" w:type="dxa"/>
                    <w:bottom w:w="0" w:type="dxa"/>
                    <w:right w:w="51" w:type="dxa"/>
                  </w:tcMar>
                  <w:vAlign w:val="center"/>
                </w:tcPr>
                <w:p>
                  <w:pPr>
                    <w:pStyle w:val="22"/>
                    <w:adjustRightInd w:val="0"/>
                    <w:snapToGrid w:val="0"/>
                    <w:ind w:left="0" w:firstLine="0" w:firstLineChars="0"/>
                    <w:jc w:val="center"/>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类别</w:t>
                  </w:r>
                </w:p>
              </w:tc>
              <w:tc>
                <w:tcPr>
                  <w:tcW w:w="1150" w:type="dxa"/>
                  <w:noWrap w:val="0"/>
                  <w:tcMar>
                    <w:top w:w="0" w:type="dxa"/>
                    <w:left w:w="51" w:type="dxa"/>
                    <w:bottom w:w="0" w:type="dxa"/>
                    <w:right w:w="51" w:type="dxa"/>
                  </w:tcMar>
                  <w:vAlign w:val="center"/>
                </w:tcPr>
                <w:p>
                  <w:pPr>
                    <w:pStyle w:val="22"/>
                    <w:adjustRightInd w:val="0"/>
                    <w:snapToGrid w:val="0"/>
                    <w:ind w:left="0" w:firstLine="0" w:firstLineChars="0"/>
                    <w:jc w:val="center"/>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名称</w:t>
                  </w:r>
                </w:p>
              </w:tc>
              <w:tc>
                <w:tcPr>
                  <w:tcW w:w="531" w:type="dxa"/>
                  <w:noWrap w:val="0"/>
                  <w:tcMar>
                    <w:top w:w="0" w:type="dxa"/>
                    <w:left w:w="51" w:type="dxa"/>
                    <w:bottom w:w="0" w:type="dxa"/>
                    <w:right w:w="51" w:type="dxa"/>
                  </w:tcMar>
                  <w:vAlign w:val="center"/>
                </w:tcPr>
                <w:p>
                  <w:pPr>
                    <w:pStyle w:val="22"/>
                    <w:adjustRightInd w:val="0"/>
                    <w:snapToGrid w:val="0"/>
                    <w:ind w:left="0" w:firstLine="0" w:firstLineChars="0"/>
                    <w:jc w:val="center"/>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方位</w:t>
                  </w:r>
                </w:p>
              </w:tc>
              <w:tc>
                <w:tcPr>
                  <w:tcW w:w="814" w:type="dxa"/>
                  <w:noWrap w:val="0"/>
                  <w:tcMar>
                    <w:top w:w="0" w:type="dxa"/>
                    <w:left w:w="51" w:type="dxa"/>
                    <w:bottom w:w="0" w:type="dxa"/>
                    <w:right w:w="51" w:type="dxa"/>
                  </w:tcMar>
                  <w:vAlign w:val="center"/>
                </w:tcPr>
                <w:p>
                  <w:pPr>
                    <w:pStyle w:val="22"/>
                    <w:adjustRightInd w:val="0"/>
                    <w:snapToGrid w:val="0"/>
                    <w:ind w:left="0" w:firstLine="0" w:firstLineChars="0"/>
                    <w:jc w:val="center"/>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距离</w:t>
                  </w:r>
                </w:p>
              </w:tc>
              <w:tc>
                <w:tcPr>
                  <w:tcW w:w="2048" w:type="dxa"/>
                  <w:noWrap w:val="0"/>
                  <w:tcMar>
                    <w:top w:w="0" w:type="dxa"/>
                    <w:left w:w="51" w:type="dxa"/>
                    <w:bottom w:w="0" w:type="dxa"/>
                    <w:right w:w="51" w:type="dxa"/>
                  </w:tcMar>
                  <w:vAlign w:val="center"/>
                </w:tcPr>
                <w:p>
                  <w:pPr>
                    <w:pStyle w:val="22"/>
                    <w:adjustRightInd w:val="0"/>
                    <w:snapToGrid w:val="0"/>
                    <w:ind w:left="0" w:firstLine="0" w:firstLineChars="0"/>
                    <w:jc w:val="center"/>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规模</w:t>
                  </w:r>
                </w:p>
              </w:tc>
              <w:tc>
                <w:tcPr>
                  <w:tcW w:w="2914" w:type="dxa"/>
                  <w:noWrap w:val="0"/>
                  <w:tcMar>
                    <w:top w:w="0" w:type="dxa"/>
                    <w:left w:w="51" w:type="dxa"/>
                    <w:bottom w:w="0" w:type="dxa"/>
                    <w:right w:w="51" w:type="dxa"/>
                  </w:tcMar>
                  <w:vAlign w:val="center"/>
                </w:tcPr>
                <w:p>
                  <w:pPr>
                    <w:pStyle w:val="22"/>
                    <w:adjustRightInd w:val="0"/>
                    <w:snapToGrid w:val="0"/>
                    <w:ind w:left="0" w:firstLine="0" w:firstLineChars="0"/>
                    <w:jc w:val="center"/>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功能区划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26" w:type="dxa"/>
                  <w:vMerge w:val="restart"/>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color w:val="000000"/>
                      <w:sz w:val="21"/>
                      <w:szCs w:val="21"/>
                      <w:highlight w:val="none"/>
                      <w:lang w:val="en-US" w:eastAsia="zh-CN"/>
                    </w:rPr>
                  </w:pPr>
                  <w:r>
                    <w:rPr>
                      <w:rFonts w:hint="default" w:ascii="Times New Roman" w:hAnsi="Times New Roman" w:eastAsia="宋体" w:cs="Times New Roman"/>
                      <w:b w:val="0"/>
                      <w:bCs/>
                      <w:color w:val="000000"/>
                      <w:sz w:val="21"/>
                      <w:szCs w:val="21"/>
                      <w:highlight w:val="none"/>
                      <w:lang w:val="en-US" w:eastAsia="zh-CN"/>
                    </w:rPr>
                    <w:t>水环境</w:t>
                  </w:r>
                </w:p>
              </w:tc>
              <w:tc>
                <w:tcPr>
                  <w:tcW w:w="1150" w:type="dxa"/>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eastAsia" w:ascii="Times New Roman" w:cs="Times New Roman"/>
                      <w:b w:val="0"/>
                      <w:bCs w:val="0"/>
                      <w:color w:val="000000"/>
                      <w:sz w:val="21"/>
                      <w:szCs w:val="21"/>
                      <w:highlight w:val="none"/>
                      <w:lang w:val="en-US" w:eastAsia="zh-CN"/>
                    </w:rPr>
                    <w:t>城西中心河</w:t>
                  </w:r>
                </w:p>
              </w:tc>
              <w:tc>
                <w:tcPr>
                  <w:tcW w:w="531" w:type="dxa"/>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SE</w:t>
                  </w:r>
                </w:p>
              </w:tc>
              <w:tc>
                <w:tcPr>
                  <w:tcW w:w="814" w:type="dxa"/>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45</w:t>
                  </w:r>
                  <w:r>
                    <w:rPr>
                      <w:rFonts w:hint="default" w:ascii="Times New Roman" w:hAnsi="Times New Roman" w:eastAsia="宋体" w:cs="Times New Roman"/>
                      <w:b w:val="0"/>
                      <w:bCs w:val="0"/>
                      <w:color w:val="000000"/>
                      <w:sz w:val="21"/>
                      <w:szCs w:val="21"/>
                      <w:highlight w:val="none"/>
                      <w:lang w:val="en-US" w:eastAsia="zh-CN"/>
                    </w:rPr>
                    <w:t>0m</w:t>
                  </w:r>
                </w:p>
              </w:tc>
              <w:tc>
                <w:tcPr>
                  <w:tcW w:w="2048" w:type="dxa"/>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小</w:t>
                  </w:r>
                  <w:r>
                    <w:rPr>
                      <w:rFonts w:hint="default" w:ascii="Times New Roman" w:hAnsi="Times New Roman" w:eastAsia="宋体" w:cs="Times New Roman"/>
                      <w:b w:val="0"/>
                      <w:bCs w:val="0"/>
                      <w:color w:val="000000"/>
                      <w:sz w:val="21"/>
                      <w:szCs w:val="21"/>
                      <w:highlight w:val="none"/>
                      <w:lang w:val="en-US" w:eastAsia="zh-CN"/>
                    </w:rPr>
                    <w:t>型河流</w:t>
                  </w:r>
                </w:p>
              </w:tc>
              <w:tc>
                <w:tcPr>
                  <w:tcW w:w="2914" w:type="dxa"/>
                  <w:vMerge w:val="restart"/>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color w:val="000000"/>
                      <w:sz w:val="21"/>
                      <w:szCs w:val="21"/>
                      <w:highlight w:val="none"/>
                      <w:lang w:val="en-US" w:eastAsia="zh-CN"/>
                    </w:rPr>
                  </w:pPr>
                  <w:r>
                    <w:rPr>
                      <w:rFonts w:hint="default" w:ascii="Times New Roman" w:hAnsi="Times New Roman" w:eastAsia="宋体" w:cs="Times New Roman"/>
                      <w:b w:val="0"/>
                      <w:bCs/>
                      <w:color w:val="000000"/>
                      <w:sz w:val="21"/>
                      <w:szCs w:val="21"/>
                      <w:highlight w:val="none"/>
                      <w:lang w:val="en-US" w:eastAsia="zh-CN"/>
                    </w:rPr>
                    <w:t>《地表水环境质量标准》（GB3838-2002）中Ⅲ类标准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26" w:type="dxa"/>
                  <w:vMerge w:val="continue"/>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color w:val="000000"/>
                      <w:sz w:val="21"/>
                      <w:szCs w:val="21"/>
                      <w:highlight w:val="none"/>
                      <w:lang w:val="en-US" w:eastAsia="zh-CN"/>
                    </w:rPr>
                  </w:pPr>
                </w:p>
              </w:tc>
              <w:tc>
                <w:tcPr>
                  <w:tcW w:w="1150" w:type="dxa"/>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Times New Roman" w:cs="Times New Roman"/>
                      <w:b w:val="0"/>
                      <w:bCs w:val="0"/>
                      <w:color w:val="000000"/>
                      <w:sz w:val="21"/>
                      <w:szCs w:val="21"/>
                      <w:highlight w:val="none"/>
                      <w:lang w:val="en-US" w:eastAsia="zh-CN"/>
                    </w:rPr>
                  </w:pPr>
                  <w:r>
                    <w:rPr>
                      <w:rFonts w:hint="eastAsia" w:ascii="Times New Roman" w:cs="Times New Roman"/>
                      <w:b w:val="0"/>
                      <w:bCs w:val="0"/>
                      <w:color w:val="000000"/>
                      <w:sz w:val="21"/>
                      <w:szCs w:val="21"/>
                      <w:highlight w:val="none"/>
                      <w:lang w:val="en-US" w:eastAsia="zh-CN"/>
                    </w:rPr>
                    <w:t>尧塘河</w:t>
                  </w:r>
                </w:p>
              </w:tc>
              <w:tc>
                <w:tcPr>
                  <w:tcW w:w="531" w:type="dxa"/>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000000"/>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E</w:t>
                  </w:r>
                </w:p>
              </w:tc>
              <w:tc>
                <w:tcPr>
                  <w:tcW w:w="814" w:type="dxa"/>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eastAsia="宋体" w:cs="Times New Roman"/>
                      <w:b w:val="0"/>
                      <w:bCs w:val="0"/>
                      <w:color w:val="000000"/>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3200m</w:t>
                  </w:r>
                </w:p>
              </w:tc>
              <w:tc>
                <w:tcPr>
                  <w:tcW w:w="2048" w:type="dxa"/>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小</w:t>
                  </w:r>
                  <w:r>
                    <w:rPr>
                      <w:rFonts w:hint="default" w:ascii="Times New Roman" w:hAnsi="Times New Roman" w:eastAsia="宋体" w:cs="Times New Roman"/>
                      <w:b w:val="0"/>
                      <w:bCs w:val="0"/>
                      <w:color w:val="000000"/>
                      <w:sz w:val="21"/>
                      <w:szCs w:val="21"/>
                      <w:highlight w:val="none"/>
                      <w:lang w:val="en-US" w:eastAsia="zh-CN"/>
                    </w:rPr>
                    <w:t>型河流</w:t>
                  </w:r>
                </w:p>
              </w:tc>
              <w:tc>
                <w:tcPr>
                  <w:tcW w:w="2914" w:type="dxa"/>
                  <w:vMerge w:val="continue"/>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color w:val="000000"/>
                      <w:sz w:val="21"/>
                      <w:szCs w:val="21"/>
                      <w:highlight w:val="no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6" w:type="dxa"/>
                  <w:noWrap w:val="0"/>
                  <w:tcMar>
                    <w:top w:w="0" w:type="dxa"/>
                    <w:left w:w="51" w:type="dxa"/>
                    <w:bottom w:w="0" w:type="dxa"/>
                    <w:right w:w="51"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color w:val="000000"/>
                      <w:sz w:val="21"/>
                      <w:szCs w:val="21"/>
                      <w:highlight w:val="none"/>
                      <w:lang w:val="en-US" w:eastAsia="zh-CN"/>
                    </w:rPr>
                  </w:pPr>
                  <w:r>
                    <w:rPr>
                      <w:rFonts w:hint="default" w:ascii="Times New Roman" w:hAnsi="Times New Roman" w:eastAsia="宋体" w:cs="Times New Roman"/>
                      <w:b w:val="0"/>
                      <w:bCs/>
                      <w:color w:val="000000"/>
                      <w:sz w:val="21"/>
                      <w:szCs w:val="21"/>
                      <w:highlight w:val="none"/>
                      <w:lang w:val="en-US" w:eastAsia="zh-CN"/>
                    </w:rPr>
                    <w:t>生态</w:t>
                  </w: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color w:val="000000"/>
                      <w:sz w:val="21"/>
                      <w:szCs w:val="21"/>
                      <w:highlight w:val="none"/>
                      <w:lang w:eastAsia="zh-CN"/>
                    </w:rPr>
                  </w:pPr>
                  <w:r>
                    <w:rPr>
                      <w:rFonts w:hint="default" w:ascii="Times New Roman" w:hAnsi="Times New Roman" w:eastAsia="宋体" w:cs="Times New Roman"/>
                      <w:b w:val="0"/>
                      <w:bCs/>
                      <w:color w:val="000000"/>
                      <w:sz w:val="21"/>
                      <w:szCs w:val="21"/>
                      <w:highlight w:val="none"/>
                      <w:lang w:val="en-US" w:eastAsia="zh-CN"/>
                    </w:rPr>
                    <w:t>环境</w:t>
                  </w:r>
                </w:p>
              </w:tc>
              <w:tc>
                <w:tcPr>
                  <w:tcW w:w="1150" w:type="dxa"/>
                  <w:noWrap w:val="0"/>
                  <w:tcMar>
                    <w:top w:w="0" w:type="dxa"/>
                    <w:left w:w="51" w:type="dxa"/>
                    <w:bottom w:w="0" w:type="dxa"/>
                    <w:right w:w="51" w:type="dxa"/>
                  </w:tcMar>
                  <w:vAlign w:val="center"/>
                </w:tcPr>
                <w:p>
                  <w:pPr>
                    <w:jc w:val="center"/>
                    <w:rPr>
                      <w:rFonts w:hint="default" w:ascii="Times New Roman" w:hAnsi="Times New Roman" w:eastAsia="宋体" w:cs="Times New Roman"/>
                      <w:b w:val="0"/>
                      <w:bCs/>
                      <w:color w:val="000000"/>
                      <w:sz w:val="21"/>
                      <w:szCs w:val="21"/>
                      <w:highlight w:val="none"/>
                      <w:lang w:val="en-US" w:eastAsia="zh-CN"/>
                    </w:rPr>
                  </w:pPr>
                  <w:r>
                    <w:rPr>
                      <w:rFonts w:hint="default" w:ascii="Times New Roman" w:hAnsi="Times New Roman" w:eastAsia="宋体" w:cs="Times New Roman"/>
                      <w:bCs/>
                      <w:color w:val="auto"/>
                      <w:sz w:val="21"/>
                      <w:szCs w:val="21"/>
                    </w:rPr>
                    <w:t>丹金溧漕河（金坛）</w:t>
                  </w:r>
                </w:p>
              </w:tc>
              <w:tc>
                <w:tcPr>
                  <w:tcW w:w="531" w:type="dxa"/>
                  <w:noWrap w:val="0"/>
                  <w:tcMar>
                    <w:top w:w="0" w:type="dxa"/>
                    <w:left w:w="51" w:type="dxa"/>
                    <w:bottom w:w="0" w:type="dxa"/>
                    <w:right w:w="51" w:type="dxa"/>
                  </w:tcMar>
                  <w:vAlign w:val="center"/>
                </w:tcPr>
                <w:p>
                  <w:pPr>
                    <w:jc w:val="center"/>
                    <w:rPr>
                      <w:rFonts w:hint="default" w:ascii="Times New Roman" w:hAnsi="Times New Roman" w:eastAsia="宋体" w:cs="Times New Roman"/>
                      <w:b w:val="0"/>
                      <w:bCs/>
                      <w:color w:val="000000"/>
                      <w:sz w:val="21"/>
                      <w:szCs w:val="21"/>
                      <w:highlight w:val="none"/>
                      <w:lang w:eastAsia="zh-CN"/>
                    </w:rPr>
                  </w:pPr>
                  <w:r>
                    <w:rPr>
                      <w:rFonts w:hint="default" w:ascii="Times New Roman" w:hAnsi="Times New Roman" w:eastAsia="宋体" w:cs="Times New Roman"/>
                      <w:color w:val="000000"/>
                      <w:kern w:val="0"/>
                      <w:sz w:val="21"/>
                      <w:szCs w:val="21"/>
                      <w:lang w:val="en-US" w:eastAsia="zh-CN"/>
                    </w:rPr>
                    <w:t>E</w:t>
                  </w:r>
                </w:p>
              </w:tc>
              <w:tc>
                <w:tcPr>
                  <w:tcW w:w="814" w:type="dxa"/>
                  <w:noWrap w:val="0"/>
                  <w:tcMar>
                    <w:top w:w="0" w:type="dxa"/>
                    <w:left w:w="51" w:type="dxa"/>
                    <w:bottom w:w="0" w:type="dxa"/>
                    <w:right w:w="51" w:type="dxa"/>
                  </w:tcMar>
                  <w:vAlign w:val="center"/>
                </w:tcPr>
                <w:p>
                  <w:pPr>
                    <w:jc w:val="center"/>
                    <w:rPr>
                      <w:rFonts w:hint="default" w:ascii="Times New Roman" w:hAnsi="Times New Roman" w:eastAsia="宋体" w:cs="Times New Roman"/>
                      <w:b w:val="0"/>
                      <w:bCs/>
                      <w:color w:val="000000"/>
                      <w:sz w:val="21"/>
                      <w:szCs w:val="21"/>
                      <w:highlight w:val="none"/>
                      <w:lang w:val="en-US" w:eastAsia="zh-CN"/>
                    </w:rPr>
                  </w:pPr>
                  <w:r>
                    <w:rPr>
                      <w:rFonts w:hint="eastAsia" w:ascii="Times New Roman" w:hAnsi="Times New Roman" w:eastAsia="宋体" w:cs="Times New Roman"/>
                      <w:color w:val="000000"/>
                      <w:kern w:val="0"/>
                      <w:sz w:val="21"/>
                      <w:szCs w:val="21"/>
                      <w:lang w:val="en-US" w:eastAsia="zh-CN"/>
                    </w:rPr>
                    <w:t>31</w:t>
                  </w:r>
                  <w:r>
                    <w:rPr>
                      <w:rFonts w:hint="default" w:ascii="Times New Roman" w:hAnsi="Times New Roman" w:eastAsia="宋体" w:cs="Times New Roman"/>
                      <w:color w:val="000000"/>
                      <w:kern w:val="0"/>
                      <w:sz w:val="21"/>
                      <w:szCs w:val="21"/>
                      <w:lang w:val="en-US" w:eastAsia="zh-CN"/>
                    </w:rPr>
                    <w:t>00m</w:t>
                  </w:r>
                </w:p>
              </w:tc>
              <w:tc>
                <w:tcPr>
                  <w:tcW w:w="2048" w:type="dxa"/>
                  <w:noWrap w:val="0"/>
                  <w:tcMar>
                    <w:top w:w="0" w:type="dxa"/>
                    <w:left w:w="51" w:type="dxa"/>
                    <w:bottom w:w="0" w:type="dxa"/>
                    <w:right w:w="51" w:type="dxa"/>
                  </w:tcMar>
                  <w:vAlign w:val="center"/>
                </w:tcPr>
                <w:p>
                  <w:pPr>
                    <w:jc w:val="center"/>
                    <w:rPr>
                      <w:rFonts w:hint="default" w:ascii="Times New Roman" w:hAnsi="Times New Roman" w:eastAsia="宋体" w:cs="Times New Roman"/>
                      <w:b w:val="0"/>
                      <w:bCs/>
                      <w:color w:val="000000"/>
                      <w:sz w:val="21"/>
                      <w:szCs w:val="21"/>
                      <w:highlight w:val="none"/>
                      <w:lang w:eastAsia="zh-CN"/>
                    </w:rPr>
                  </w:pPr>
                  <w:r>
                    <w:rPr>
                      <w:rFonts w:hint="default" w:ascii="Times New Roman" w:hAnsi="Times New Roman" w:eastAsia="宋体" w:cs="Times New Roman"/>
                      <w:color w:val="000000"/>
                      <w:kern w:val="0"/>
                      <w:sz w:val="21"/>
                      <w:szCs w:val="21"/>
                      <w:lang w:val="en-US" w:eastAsia="zh-CN"/>
                    </w:rPr>
                    <w:t>二级管控区</w:t>
                  </w:r>
                  <w:r>
                    <w:rPr>
                      <w:rFonts w:hint="eastAsia"/>
                      <w:b w:val="0"/>
                      <w:bCs/>
                      <w:color w:val="auto"/>
                      <w:sz w:val="21"/>
                      <w:szCs w:val="21"/>
                      <w:lang w:val="en-US" w:eastAsia="zh-CN"/>
                    </w:rPr>
                    <w:t>2.5</w:t>
                  </w:r>
                  <w:r>
                    <w:rPr>
                      <w:rFonts w:hint="default" w:ascii="Times New Roman" w:hAnsi="Times New Roman" w:eastAsia="宋体" w:cs="Times New Roman"/>
                      <w:color w:val="000000"/>
                      <w:kern w:val="0"/>
                      <w:sz w:val="21"/>
                      <w:szCs w:val="21"/>
                      <w:lang w:val="en-US" w:eastAsia="zh-CN"/>
                    </w:rPr>
                    <w:t>km</w:t>
                  </w:r>
                  <w:r>
                    <w:rPr>
                      <w:rFonts w:hint="default" w:ascii="Times New Roman" w:hAnsi="Times New Roman" w:eastAsia="宋体" w:cs="Times New Roman"/>
                      <w:color w:val="000000"/>
                      <w:kern w:val="0"/>
                      <w:sz w:val="21"/>
                      <w:szCs w:val="21"/>
                      <w:vertAlign w:val="superscript"/>
                      <w:lang w:val="en-US" w:eastAsia="zh-CN"/>
                    </w:rPr>
                    <w:t>2</w:t>
                  </w:r>
                </w:p>
              </w:tc>
              <w:tc>
                <w:tcPr>
                  <w:tcW w:w="2914" w:type="dxa"/>
                  <w:noWrap w:val="0"/>
                  <w:tcMar>
                    <w:top w:w="0" w:type="dxa"/>
                    <w:left w:w="51" w:type="dxa"/>
                    <w:bottom w:w="0" w:type="dxa"/>
                    <w:right w:w="51" w:type="dxa"/>
                  </w:tcMar>
                  <w:vAlign w:val="center"/>
                </w:tcPr>
                <w:p>
                  <w:pPr>
                    <w:jc w:val="center"/>
                    <w:rPr>
                      <w:rFonts w:hint="default" w:ascii="Times New Roman" w:hAnsi="Times New Roman" w:eastAsia="宋体" w:cs="Times New Roman"/>
                      <w:b w:val="0"/>
                      <w:bCs/>
                      <w:color w:val="000000"/>
                      <w:sz w:val="21"/>
                      <w:szCs w:val="21"/>
                      <w:highlight w:val="none"/>
                      <w:lang w:eastAsia="zh-CN"/>
                    </w:rPr>
                  </w:pPr>
                  <w:r>
                    <w:rPr>
                      <w:rFonts w:hint="eastAsia" w:ascii="Times New Roman" w:hAnsi="Times New Roman" w:eastAsia="宋体" w:cs="Times New Roman"/>
                      <w:b w:val="0"/>
                      <w:bCs/>
                      <w:color w:val="auto"/>
                      <w:sz w:val="21"/>
                      <w:szCs w:val="21"/>
                    </w:rPr>
                    <w:t>洪水调蓄区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26" w:type="dxa"/>
                  <w:tcBorders>
                    <w:tl2br w:val="nil"/>
                    <w:tr2bl w:val="nil"/>
                  </w:tcBorders>
                  <w:noWrap w:val="0"/>
                  <w:vAlign w:val="center"/>
                </w:tcPr>
                <w:p>
                  <w:pPr>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kern w:val="0"/>
                      <w:sz w:val="21"/>
                      <w:szCs w:val="21"/>
                      <w:lang w:val="en-US" w:eastAsia="zh-CN"/>
                    </w:rPr>
                    <w:t>声环境</w:t>
                  </w:r>
                </w:p>
              </w:tc>
              <w:tc>
                <w:tcPr>
                  <w:tcW w:w="1150" w:type="dxa"/>
                  <w:tcBorders>
                    <w:tl2br w:val="nil"/>
                    <w:tr2bl w:val="nil"/>
                  </w:tcBorders>
                  <w:noWrap w:val="0"/>
                  <w:vAlign w:val="center"/>
                </w:tcPr>
                <w:p>
                  <w:pPr>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auto"/>
                      <w:sz w:val="21"/>
                      <w:szCs w:val="21"/>
                      <w:lang w:eastAsia="zh-CN"/>
                    </w:rPr>
                    <w:t>元巷</w:t>
                  </w:r>
                </w:p>
              </w:tc>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auto"/>
                      <w:sz w:val="21"/>
                      <w:szCs w:val="21"/>
                      <w:lang w:val="en-US" w:eastAsia="zh-CN"/>
                    </w:rPr>
                    <w:t>SW</w:t>
                  </w:r>
                </w:p>
              </w:tc>
              <w:tc>
                <w:tcPr>
                  <w:tcW w:w="8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auto"/>
                      <w:sz w:val="21"/>
                      <w:szCs w:val="21"/>
                      <w:lang w:val="en-US" w:eastAsia="zh-CN"/>
                    </w:rPr>
                    <w:t>40m</w:t>
                  </w:r>
                </w:p>
              </w:tc>
              <w:tc>
                <w:tcPr>
                  <w:tcW w:w="2048" w:type="dxa"/>
                  <w:tcBorders>
                    <w:tl2br w:val="nil"/>
                    <w:tr2bl w:val="nil"/>
                  </w:tcBorders>
                  <w:noWrap w:val="0"/>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b w:val="0"/>
                      <w:bCs w:val="0"/>
                      <w:color w:val="000000"/>
                      <w:sz w:val="21"/>
                      <w:szCs w:val="21"/>
                      <w:highlight w:val="none"/>
                      <w:lang w:val="en-US" w:eastAsia="zh-CN"/>
                    </w:rPr>
                    <w:t>约</w:t>
                  </w:r>
                  <w:r>
                    <w:rPr>
                      <w:rFonts w:hint="eastAsia" w:ascii="Times New Roman" w:eastAsia="宋体" w:cs="Times New Roman"/>
                      <w:b w:val="0"/>
                      <w:bCs w:val="0"/>
                      <w:color w:val="000000"/>
                      <w:sz w:val="21"/>
                      <w:szCs w:val="21"/>
                      <w:highlight w:val="none"/>
                      <w:lang w:val="en-US" w:eastAsia="zh-CN"/>
                    </w:rPr>
                    <w:t>300</w:t>
                  </w:r>
                  <w:r>
                    <w:rPr>
                      <w:rFonts w:hint="default" w:ascii="Times New Roman" w:hAnsi="Times New Roman" w:eastAsia="宋体" w:cs="Times New Roman"/>
                      <w:b w:val="0"/>
                      <w:bCs w:val="0"/>
                      <w:color w:val="000000"/>
                      <w:sz w:val="21"/>
                      <w:szCs w:val="21"/>
                      <w:highlight w:val="none"/>
                      <w:lang w:val="en-US" w:eastAsia="zh-CN"/>
                    </w:rPr>
                    <w:t>0人</w:t>
                  </w:r>
                </w:p>
              </w:tc>
              <w:tc>
                <w:tcPr>
                  <w:tcW w:w="2914" w:type="dxa"/>
                  <w:tcBorders>
                    <w:tl2br w:val="nil"/>
                    <w:tr2bl w:val="nil"/>
                  </w:tcBorders>
                  <w:noWrap w:val="0"/>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auto"/>
                      <w:sz w:val="21"/>
                      <w:szCs w:val="21"/>
                    </w:rPr>
                    <w:t>居民区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26" w:type="dxa"/>
                  <w:tcBorders>
                    <w:tl2br w:val="nil"/>
                    <w:tr2bl w:val="nil"/>
                  </w:tcBorders>
                  <w:noWrap w:val="0"/>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土壤</w:t>
                  </w:r>
                </w:p>
              </w:tc>
              <w:tc>
                <w:tcPr>
                  <w:tcW w:w="1150" w:type="dxa"/>
                  <w:tcBorders>
                    <w:tl2br w:val="nil"/>
                    <w:tr2bl w:val="nil"/>
                  </w:tcBorders>
                  <w:noWrap w:val="0"/>
                  <w:vAlign w:val="center"/>
                </w:tcPr>
                <w:p>
                  <w:pPr>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auto"/>
                      <w:sz w:val="21"/>
                      <w:szCs w:val="21"/>
                      <w:lang w:eastAsia="zh-CN"/>
                    </w:rPr>
                    <w:t>元巷</w:t>
                  </w:r>
                </w:p>
              </w:tc>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auto"/>
                      <w:sz w:val="21"/>
                      <w:szCs w:val="21"/>
                      <w:lang w:val="en-US" w:eastAsia="zh-CN"/>
                    </w:rPr>
                    <w:t>SW</w:t>
                  </w:r>
                </w:p>
              </w:tc>
              <w:tc>
                <w:tcPr>
                  <w:tcW w:w="8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auto"/>
                      <w:sz w:val="21"/>
                      <w:szCs w:val="21"/>
                      <w:lang w:val="en-US" w:eastAsia="zh-CN"/>
                    </w:rPr>
                    <w:t>40m</w:t>
                  </w:r>
                </w:p>
              </w:tc>
              <w:tc>
                <w:tcPr>
                  <w:tcW w:w="2048" w:type="dxa"/>
                  <w:tcBorders>
                    <w:tl2br w:val="nil"/>
                    <w:tr2bl w:val="nil"/>
                  </w:tcBorders>
                  <w:noWrap w:val="0"/>
                  <w:vAlign w:val="center"/>
                </w:tcPr>
                <w:p>
                  <w:pPr>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c>
                <w:tcPr>
                  <w:tcW w:w="2914" w:type="dxa"/>
                  <w:tcBorders>
                    <w:tl2br w:val="nil"/>
                    <w:tr2bl w:val="nil"/>
                  </w:tcBorders>
                  <w:noWrap w:val="0"/>
                  <w:vAlign w:val="center"/>
                </w:tcPr>
                <w:p>
                  <w:pPr>
                    <w:jc w:val="center"/>
                    <w:rPr>
                      <w:rFonts w:ascii="Times New Roman" w:hAnsi="Times New Roman"/>
                    </w:rPr>
                  </w:pPr>
                  <w:r>
                    <w:rPr>
                      <w:rFonts w:ascii="Times New Roman" w:hAnsi="Times New Roman"/>
                    </w:rPr>
                    <w:t>《土壤环境质量建设用地土壤污染风险管控标准（试行）》（GB36600-2018）中第</w:t>
                  </w:r>
                  <w:r>
                    <w:rPr>
                      <w:rFonts w:hint="eastAsia" w:ascii="Times New Roman" w:hAnsi="Times New Roman"/>
                    </w:rPr>
                    <w:t>一</w:t>
                  </w:r>
                  <w:r>
                    <w:rPr>
                      <w:rFonts w:ascii="Times New Roman" w:hAnsi="Times New Roman"/>
                    </w:rPr>
                    <w:t>类用地标准</w:t>
                  </w:r>
                  <w:r>
                    <w:rPr>
                      <w:rFonts w:hint="eastAsia" w:ascii="Times New Roman" w:hAnsi="Times New Roman"/>
                    </w:rPr>
                    <w:t>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6" w:type="dxa"/>
                  <w:tcBorders>
                    <w:tl2br w:val="nil"/>
                    <w:tr2bl w:val="nil"/>
                  </w:tcBorders>
                  <w:noWrap w:val="0"/>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地下水</w:t>
                  </w:r>
                </w:p>
              </w:tc>
              <w:tc>
                <w:tcPr>
                  <w:tcW w:w="7457" w:type="dxa"/>
                  <w:gridSpan w:val="5"/>
                  <w:tcBorders>
                    <w:tl2br w:val="nil"/>
                    <w:tr2bl w:val="nil"/>
                  </w:tcBorders>
                  <w:noWrap w:val="0"/>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本项目厂界外500米范围内无地下水集中式饮用水水源和热水、矿泉水、温泉等特殊地下水资源等敏感目标</w:t>
                  </w:r>
                </w:p>
              </w:tc>
            </w:tr>
          </w:tbl>
          <w:p>
            <w:pPr>
              <w:adjustRightInd w:val="0"/>
              <w:snapToGrid w:val="0"/>
              <w:spacing w:line="500" w:lineRule="exact"/>
              <w:ind w:firstLine="480" w:firstLineChars="200"/>
              <w:jc w:val="both"/>
              <w:rPr>
                <w:rFonts w:hint="default" w:ascii="Times New Roman" w:hAnsi="Times New Roman" w:cs="Times New Roman"/>
                <w:bCs/>
                <w:color w:val="auto"/>
                <w:sz w:val="24"/>
              </w:rPr>
            </w:pPr>
          </w:p>
          <w:p>
            <w:pPr>
              <w:adjustRightInd w:val="0"/>
              <w:snapToGrid w:val="0"/>
              <w:spacing w:line="500" w:lineRule="exact"/>
              <w:ind w:firstLine="420" w:firstLineChars="200"/>
              <w:jc w:val="both"/>
              <w:rPr>
                <w:rFonts w:hint="default" w:ascii="Times New Roman" w:hAnsi="Times New Roman" w:eastAsia="宋体" w:cs="Times New Roman"/>
                <w:color w:val="auto"/>
                <w:kern w:val="0"/>
                <w:sz w:val="21"/>
                <w:szCs w:val="21"/>
                <w:lang w:val="en-US" w:eastAsia="zh-CN" w:bidi="ar-SA"/>
              </w:rPr>
            </w:pPr>
          </w:p>
        </w:tc>
      </w:tr>
    </w:tbl>
    <w:p>
      <w:pPr>
        <w:adjustRightInd w:val="0"/>
        <w:snapToGrid w:val="0"/>
        <w:jc w:val="center"/>
        <w:rPr>
          <w:rFonts w:hint="default" w:ascii="Times New Roman" w:hAnsi="Times New Roman" w:cs="Times New Roman"/>
          <w:color w:val="auto"/>
          <w:kern w:val="0"/>
          <w:sz w:val="24"/>
        </w:rPr>
        <w:sectPr>
          <w:pgSz w:w="11906" w:h="16838"/>
          <w:pgMar w:top="1417" w:right="1417" w:bottom="1417" w:left="1417" w:header="851" w:footer="1134" w:gutter="0"/>
          <w:pgBorders>
            <w:top w:val="none" w:sz="0" w:space="0"/>
            <w:left w:val="none" w:sz="0" w:space="0"/>
            <w:bottom w:val="none" w:sz="0" w:space="0"/>
            <w:right w:val="none" w:sz="0" w:space="0"/>
          </w:pgBorders>
          <w:cols w:space="720" w:num="1"/>
          <w:docGrid w:linePitch="312" w:charSpace="0"/>
        </w:sectPr>
      </w:pPr>
    </w:p>
    <w:tbl>
      <w:tblPr>
        <w:tblStyle w:val="2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4" w:hRule="atLeast"/>
          <w:jc w:val="center"/>
        </w:trPr>
        <w:tc>
          <w:tcPr>
            <w:tcW w:w="832" w:type="dxa"/>
            <w:tcMar>
              <w:left w:w="28" w:type="dxa"/>
              <w:right w:w="28" w:type="dxa"/>
            </w:tcMar>
            <w:vAlign w:val="center"/>
          </w:tcPr>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污染</w:t>
            </w:r>
          </w:p>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物排</w:t>
            </w:r>
          </w:p>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放控</w:t>
            </w:r>
          </w:p>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制标</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准</w:t>
            </w:r>
          </w:p>
        </w:tc>
        <w:tc>
          <w:tcPr>
            <w:tcW w:w="8152" w:type="dxa"/>
            <w:vAlign w:val="center"/>
          </w:tcPr>
          <w:p>
            <w:pPr>
              <w:adjustRightInd w:val="0"/>
              <w:snapToGrid w:val="0"/>
              <w:spacing w:line="240" w:lineRule="auto"/>
              <w:rPr>
                <w:rFonts w:hint="default" w:ascii="Times New Roman" w:hAnsi="Times New Roman" w:cs="Times New Roman"/>
                <w:b/>
                <w:color w:val="auto"/>
                <w:sz w:val="24"/>
              </w:rPr>
            </w:pPr>
            <w:r>
              <w:rPr>
                <w:rFonts w:hint="default" w:ascii="Times New Roman" w:hAnsi="Times New Roman" w:cs="Times New Roman"/>
                <w:b/>
                <w:color w:val="auto"/>
                <w:sz w:val="24"/>
              </w:rPr>
              <w:t>1、废气</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本项目</w:t>
            </w:r>
            <w:r>
              <w:rPr>
                <w:rFonts w:hint="eastAsia" w:cs="Times New Roman"/>
                <w:color w:val="auto"/>
                <w:sz w:val="24"/>
                <w:lang w:eastAsia="zh-CN"/>
              </w:rPr>
              <w:t>热压</w:t>
            </w:r>
            <w:r>
              <w:rPr>
                <w:rFonts w:hint="eastAsia" w:ascii="Times New Roman" w:hAnsi="Times New Roman" w:cs="Times New Roman"/>
                <w:color w:val="auto"/>
                <w:sz w:val="24"/>
                <w:lang w:eastAsia="zh-CN"/>
              </w:rPr>
              <w:t>废气</w:t>
            </w:r>
            <w:r>
              <w:rPr>
                <w:rFonts w:hint="eastAsia" w:cs="Times New Roman"/>
                <w:color w:val="auto"/>
                <w:sz w:val="24"/>
                <w:lang w:eastAsia="zh-CN"/>
              </w:rPr>
              <w:t>（</w:t>
            </w:r>
            <w:r>
              <w:rPr>
                <w:rFonts w:hint="default" w:ascii="Times New Roman" w:hAnsi="Times New Roman" w:eastAsia="宋体" w:cs="Times New Roman"/>
                <w:kern w:val="0"/>
                <w:sz w:val="24"/>
                <w:lang w:val="en-US" w:eastAsia="zh-CN"/>
              </w:rPr>
              <w:t>非甲烷总烃</w:t>
            </w:r>
            <w:r>
              <w:rPr>
                <w:rFonts w:hint="eastAsia" w:cs="Times New Roman"/>
                <w:color w:val="auto"/>
                <w:sz w:val="24"/>
                <w:lang w:eastAsia="zh-CN"/>
              </w:rPr>
              <w:t>）</w:t>
            </w:r>
            <w:r>
              <w:rPr>
                <w:rFonts w:hint="default" w:ascii="Times New Roman" w:hAnsi="Times New Roman" w:eastAsia="宋体" w:cs="Times New Roman"/>
                <w:kern w:val="0"/>
                <w:sz w:val="24"/>
                <w:lang w:val="en-US" w:eastAsia="zh-CN"/>
              </w:rPr>
              <w:t>排放执行</w:t>
            </w:r>
            <w:r>
              <w:rPr>
                <w:rFonts w:hint="default" w:ascii="Times New Roman" w:hAnsi="Times New Roman" w:eastAsia="宋体" w:cs="Times New Roman"/>
                <w:color w:val="auto"/>
                <w:sz w:val="24"/>
                <w:szCs w:val="24"/>
                <w:highlight w:val="none"/>
              </w:rPr>
              <w:t>《大气污染物综合排放标准》</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DB32/4041-2021</w:t>
            </w:r>
            <w:r>
              <w:rPr>
                <w:rFonts w:hint="eastAsia" w:cs="Times New Roman"/>
                <w:color w:val="auto"/>
                <w:sz w:val="24"/>
                <w:szCs w:val="24"/>
                <w:highlight w:val="none"/>
                <w:lang w:eastAsia="zh-CN"/>
              </w:rPr>
              <w:t>）</w:t>
            </w:r>
            <w:r>
              <w:rPr>
                <w:rFonts w:hint="default" w:ascii="Times New Roman" w:hAnsi="Times New Roman" w:eastAsia="宋体" w:cs="Times New Roman"/>
                <w:kern w:val="0"/>
                <w:sz w:val="24"/>
                <w:lang w:val="en-US" w:eastAsia="zh-CN"/>
              </w:rPr>
              <w:t>表</w:t>
            </w:r>
            <w:r>
              <w:rPr>
                <w:rFonts w:hint="eastAsia" w:cs="Times New Roman"/>
                <w:kern w:val="0"/>
                <w:sz w:val="24"/>
                <w:lang w:val="en-US" w:eastAsia="zh-CN"/>
              </w:rPr>
              <w:t>1</w:t>
            </w:r>
            <w:r>
              <w:rPr>
                <w:rFonts w:hint="default" w:ascii="Times New Roman" w:hAnsi="Times New Roman" w:eastAsia="宋体" w:cs="Times New Roman"/>
                <w:kern w:val="0"/>
                <w:sz w:val="24"/>
                <w:lang w:val="en-US" w:eastAsia="zh-CN"/>
              </w:rPr>
              <w:t>标准</w:t>
            </w:r>
            <w:r>
              <w:rPr>
                <w:rFonts w:hint="eastAsia" w:cs="Times New Roman"/>
                <w:kern w:val="0"/>
                <w:sz w:val="24"/>
                <w:lang w:val="en-US" w:eastAsia="zh-CN"/>
              </w:rPr>
              <w:t>，发泡、成型、脱模等工序废气（</w:t>
            </w:r>
            <w:r>
              <w:rPr>
                <w:rFonts w:hint="default" w:ascii="Times New Roman" w:hAnsi="Times New Roman" w:eastAsia="宋体" w:cs="Times New Roman"/>
                <w:kern w:val="0"/>
                <w:sz w:val="24"/>
                <w:lang w:val="en-US" w:eastAsia="zh-CN"/>
              </w:rPr>
              <w:t>非甲烷总烃、MDI</w:t>
            </w:r>
            <w:r>
              <w:rPr>
                <w:rFonts w:hint="eastAsia" w:cs="Times New Roman"/>
                <w:kern w:val="0"/>
                <w:sz w:val="24"/>
                <w:lang w:val="en-US" w:eastAsia="zh-CN"/>
              </w:rPr>
              <w:t>）</w:t>
            </w:r>
            <w:r>
              <w:rPr>
                <w:rFonts w:hint="default" w:ascii="Times New Roman" w:hAnsi="Times New Roman" w:eastAsia="宋体" w:cs="Times New Roman"/>
                <w:kern w:val="0"/>
                <w:sz w:val="24"/>
                <w:lang w:val="en-US" w:eastAsia="zh-CN"/>
              </w:rPr>
              <w:t>排放执行《合成树脂工业污染物排放标准》（GB31572-2015）表5标准，</w:t>
            </w:r>
            <w:r>
              <w:rPr>
                <w:rFonts w:hint="eastAsia" w:cs="Times New Roman"/>
                <w:kern w:val="0"/>
                <w:sz w:val="24"/>
                <w:lang w:val="en-US" w:eastAsia="zh-CN"/>
              </w:rPr>
              <w:t>由于</w:t>
            </w:r>
            <w:r>
              <w:rPr>
                <w:rFonts w:hint="eastAsia" w:cs="Times New Roman"/>
                <w:color w:val="auto"/>
                <w:sz w:val="24"/>
                <w:lang w:eastAsia="zh-CN"/>
              </w:rPr>
              <w:t>热压和</w:t>
            </w:r>
            <w:r>
              <w:rPr>
                <w:rFonts w:hint="eastAsia" w:cs="Times New Roman"/>
                <w:kern w:val="0"/>
                <w:sz w:val="24"/>
                <w:lang w:val="en-US" w:eastAsia="zh-CN"/>
              </w:rPr>
              <w:t>发泡、成型、脱模废气经同一根1#排气筒排放，故本次1#排气筒废气非甲烷总烃排放从严执行</w:t>
            </w:r>
            <w:r>
              <w:rPr>
                <w:rFonts w:hint="default" w:ascii="Times New Roman" w:hAnsi="Times New Roman" w:eastAsia="宋体" w:cs="Times New Roman"/>
                <w:kern w:val="0"/>
                <w:sz w:val="24"/>
                <w:lang w:val="en-US" w:eastAsia="zh-CN"/>
              </w:rPr>
              <w:t>《合成树脂工业污染物排放标准》（GB31572-2015）表5标准</w:t>
            </w:r>
            <w:r>
              <w:rPr>
                <w:rFonts w:hint="eastAsia" w:cs="Times New Roman"/>
                <w:kern w:val="0"/>
                <w:sz w:val="24"/>
                <w:lang w:val="en-US" w:eastAsia="zh-CN"/>
              </w:rPr>
              <w:t>；</w:t>
            </w:r>
            <w:r>
              <w:rPr>
                <w:rFonts w:hint="default" w:ascii="Times New Roman" w:hAnsi="Times New Roman" w:eastAsia="宋体" w:cs="Times New Roman"/>
                <w:kern w:val="0"/>
                <w:sz w:val="24"/>
                <w:lang w:val="en-US" w:eastAsia="zh-CN"/>
              </w:rPr>
              <w:t>无组织废气非甲烷总烃排放执行《合成树脂工业污染物排放标准》（GB31572-2015）表9标准</w:t>
            </w:r>
            <w:r>
              <w:rPr>
                <w:rFonts w:hint="eastAsia"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厂区内</w:t>
            </w:r>
            <w:r>
              <w:rPr>
                <w:rFonts w:hint="default" w:ascii="Times New Roman" w:hAnsi="Times New Roman" w:eastAsia="宋体" w:cs="Times New Roman"/>
                <w:color w:val="auto"/>
                <w:sz w:val="24"/>
                <w:szCs w:val="24"/>
                <w:highlight w:val="none"/>
              </w:rPr>
              <w:t>非甲烷总烃无组织排放限值执行《大气污染物综合排放标准》</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DB32/4041-2021</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表2标</w:t>
            </w:r>
            <w:r>
              <w:rPr>
                <w:rFonts w:hint="default" w:ascii="Times New Roman" w:hAnsi="Times New Roman" w:cs="Times New Roman"/>
                <w:bCs/>
                <w:color w:val="auto"/>
                <w:sz w:val="24"/>
                <w:szCs w:val="24"/>
                <w:highlight w:val="none"/>
                <w:lang w:val="en-US" w:eastAsia="zh-CN"/>
              </w:rPr>
              <w:t>准</w:t>
            </w:r>
            <w:r>
              <w:rPr>
                <w:rFonts w:hint="eastAsia" w:cs="Times New Roman"/>
                <w:bCs/>
                <w:color w:val="auto"/>
                <w:sz w:val="24"/>
                <w:szCs w:val="24"/>
                <w:highlight w:val="none"/>
                <w:lang w:val="en-US" w:eastAsia="zh-CN"/>
              </w:rPr>
              <w:t>，</w:t>
            </w:r>
            <w:r>
              <w:rPr>
                <w:rFonts w:hint="default" w:ascii="Times New Roman" w:hAnsi="Times New Roman" w:cs="Times New Roman"/>
                <w:color w:val="auto"/>
                <w:sz w:val="24"/>
              </w:rPr>
              <w:t>具体标准值见下表。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表3-</w:t>
            </w:r>
            <w:r>
              <w:rPr>
                <w:rFonts w:hint="eastAsia" w:cs="Times New Roman"/>
                <w:b/>
                <w:bCs/>
                <w:color w:val="auto"/>
                <w:sz w:val="21"/>
                <w:szCs w:val="21"/>
                <w:lang w:val="en-US" w:eastAsia="zh-CN"/>
              </w:rPr>
              <w:t>8</w:t>
            </w:r>
            <w:r>
              <w:rPr>
                <w:rFonts w:hint="default" w:ascii="Times New Roman" w:hAnsi="Times New Roman" w:cs="Times New Roman"/>
                <w:b/>
                <w:bCs/>
                <w:color w:val="auto"/>
                <w:sz w:val="21"/>
                <w:szCs w:val="21"/>
                <w:lang w:val="en-US" w:eastAsia="zh-CN"/>
              </w:rPr>
              <w:t xml:space="preserve"> 大气污染物排放标准</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3571"/>
              <w:gridCol w:w="28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06" w:type="dxa"/>
                  <w:tcBorders>
                    <w:tl2br w:val="nil"/>
                    <w:tr2bl w:val="nil"/>
                  </w:tcBorders>
                  <w:noWrap w:val="0"/>
                  <w:vAlign w:val="center"/>
                </w:tcPr>
                <w:p>
                  <w:pPr>
                    <w:pStyle w:val="10"/>
                    <w:snapToGrid w:val="0"/>
                    <w:spacing w:line="240" w:lineRule="atLeas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污染物</w:t>
                  </w:r>
                </w:p>
              </w:tc>
              <w:tc>
                <w:tcPr>
                  <w:tcW w:w="3748" w:type="dxa"/>
                  <w:tcBorders>
                    <w:tl2br w:val="nil"/>
                    <w:tr2bl w:val="nil"/>
                  </w:tcBorders>
                  <w:noWrap w:val="0"/>
                  <w:vAlign w:val="center"/>
                </w:tcPr>
                <w:p>
                  <w:pPr>
                    <w:snapToGrid w:val="0"/>
                    <w:spacing w:line="240" w:lineRule="atLeas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kern w:val="2"/>
                      <w:sz w:val="21"/>
                      <w:szCs w:val="21"/>
                    </w:rPr>
                    <w:t>最高允许排放浓度（</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kern w:val="2"/>
                      <w:sz w:val="21"/>
                      <w:szCs w:val="21"/>
                    </w:rPr>
                    <w:t>）</w:t>
                  </w:r>
                </w:p>
              </w:tc>
              <w:tc>
                <w:tcPr>
                  <w:tcW w:w="2949" w:type="dxa"/>
                  <w:tcBorders>
                    <w:tl2br w:val="nil"/>
                    <w:tr2bl w:val="nil"/>
                  </w:tcBorders>
                  <w:noWrap w:val="0"/>
                  <w:vAlign w:val="center"/>
                </w:tcPr>
                <w:p>
                  <w:pPr>
                    <w:snapToGrid w:val="0"/>
                    <w:spacing w:line="24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无组织排放监控浓度</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kern w:val="2"/>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06" w:type="dxa"/>
                  <w:tcBorders>
                    <w:tl2br w:val="nil"/>
                    <w:tr2bl w:val="nil"/>
                  </w:tcBorders>
                  <w:noWrap w:val="0"/>
                  <w:vAlign w:val="center"/>
                </w:tcPr>
                <w:p>
                  <w:pPr>
                    <w:pStyle w:val="68"/>
                    <w:keepNext/>
                    <w:keepLines/>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Times New Roman" w:hAnsi="Times New Roman" w:eastAsia="宋体" w:cs="Times New Roman"/>
                      <w:color w:val="auto"/>
                      <w:kern w:val="2"/>
                      <w:sz w:val="21"/>
                      <w:szCs w:val="21"/>
                      <w:u w:val="none"/>
                      <w:shd w:val="clear" w:color="auto" w:fill="auto"/>
                      <w:lang w:val="en-US" w:eastAsia="zh-CN" w:bidi="ar-SA"/>
                    </w:rPr>
                  </w:pPr>
                  <w:r>
                    <w:rPr>
                      <w:rFonts w:hint="default" w:ascii="Times New Roman" w:hAnsi="Times New Roman" w:eastAsia="宋体" w:cs="Times New Roman"/>
                      <w:color w:val="auto"/>
                      <w:kern w:val="2"/>
                      <w:sz w:val="21"/>
                      <w:szCs w:val="21"/>
                      <w:u w:val="none"/>
                      <w:shd w:val="clear" w:color="auto" w:fill="auto"/>
                      <w:lang w:val="en-US" w:eastAsia="zh-CN" w:bidi="ar-SA"/>
                    </w:rPr>
                    <w:t>MDI</w:t>
                  </w:r>
                </w:p>
              </w:tc>
              <w:tc>
                <w:tcPr>
                  <w:tcW w:w="3748" w:type="dxa"/>
                  <w:tcBorders>
                    <w:tl2br w:val="nil"/>
                    <w:tr2bl w:val="nil"/>
                  </w:tcBorders>
                  <w:noWrap w:val="0"/>
                  <w:vAlign w:val="center"/>
                </w:tcPr>
                <w:p>
                  <w:pPr>
                    <w:snapToGrid w:val="0"/>
                    <w:spacing w:line="24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2949" w:type="dxa"/>
                  <w:tcBorders>
                    <w:tl2br w:val="nil"/>
                    <w:tr2bl w:val="nil"/>
                  </w:tcBorders>
                  <w:noWrap w:val="0"/>
                  <w:vAlign w:val="center"/>
                </w:tcPr>
                <w:p>
                  <w:pPr>
                    <w:snapToGrid w:val="0"/>
                    <w:spacing w:line="240" w:lineRule="atLeas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06" w:type="dxa"/>
                  <w:tcBorders>
                    <w:tl2br w:val="nil"/>
                    <w:tr2bl w:val="nil"/>
                  </w:tcBorders>
                  <w:noWrap w:val="0"/>
                  <w:vAlign w:val="center"/>
                </w:tcPr>
                <w:p>
                  <w:pPr>
                    <w:pStyle w:val="68"/>
                    <w:keepNext/>
                    <w:keepLines/>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Times New Roman" w:hAnsi="Times New Roman" w:eastAsia="宋体" w:cs="Times New Roman"/>
                      <w:color w:val="auto"/>
                      <w:kern w:val="2"/>
                      <w:sz w:val="21"/>
                      <w:szCs w:val="21"/>
                      <w:u w:val="none"/>
                      <w:shd w:val="clear" w:color="auto" w:fill="auto"/>
                      <w:lang w:val="en-US" w:eastAsia="zh-CN" w:bidi="ar-SA"/>
                    </w:rPr>
                  </w:pPr>
                  <w:r>
                    <w:rPr>
                      <w:rFonts w:hint="default" w:ascii="Times New Roman" w:hAnsi="Times New Roman" w:eastAsia="宋体" w:cs="Times New Roman"/>
                      <w:color w:val="auto"/>
                      <w:kern w:val="2"/>
                      <w:sz w:val="21"/>
                      <w:szCs w:val="21"/>
                      <w:u w:val="none"/>
                      <w:shd w:val="clear" w:color="auto" w:fill="auto"/>
                      <w:lang w:val="en-US" w:eastAsia="zh-CN" w:bidi="ar-SA"/>
                    </w:rPr>
                    <w:t>非甲烷总烃</w:t>
                  </w:r>
                </w:p>
              </w:tc>
              <w:tc>
                <w:tcPr>
                  <w:tcW w:w="3748" w:type="dxa"/>
                  <w:tcBorders>
                    <w:tl2br w:val="nil"/>
                    <w:tr2bl w:val="nil"/>
                  </w:tcBorders>
                  <w:noWrap w:val="0"/>
                  <w:vAlign w:val="center"/>
                </w:tcPr>
                <w:p>
                  <w:pPr>
                    <w:snapToGrid w:val="0"/>
                    <w:spacing w:line="240" w:lineRule="atLeast"/>
                    <w:jc w:val="center"/>
                    <w:rPr>
                      <w:rFonts w:hint="default" w:ascii="Times New Roman" w:hAnsi="Times New Roman" w:eastAsia="宋体" w:cs="Times New Roman"/>
                      <w:bCs/>
                      <w:color w:val="auto"/>
                      <w:szCs w:val="21"/>
                    </w:rPr>
                  </w:pPr>
                  <w:r>
                    <w:rPr>
                      <w:rFonts w:hint="default" w:ascii="Times New Roman" w:hAnsi="Times New Roman" w:cs="Times New Roman"/>
                      <w:color w:val="auto"/>
                      <w:szCs w:val="21"/>
                      <w:lang w:val="en-US" w:eastAsia="zh-CN"/>
                    </w:rPr>
                    <w:t>60</w:t>
                  </w:r>
                </w:p>
              </w:tc>
              <w:tc>
                <w:tcPr>
                  <w:tcW w:w="2949" w:type="dxa"/>
                  <w:tcBorders>
                    <w:tl2br w:val="nil"/>
                    <w:tr2bl w:val="nil"/>
                  </w:tcBorders>
                  <w:noWrap w:val="0"/>
                  <w:vAlign w:val="center"/>
                </w:tcPr>
                <w:p>
                  <w:pPr>
                    <w:snapToGrid w:val="0"/>
                    <w:spacing w:line="240" w:lineRule="atLeas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03" w:type="dxa"/>
                  <w:gridSpan w:val="3"/>
                  <w:tcBorders>
                    <w:tl2br w:val="nil"/>
                    <w:tr2bl w:val="nil"/>
                  </w:tcBorders>
                  <w:noWrap w:val="0"/>
                  <w:vAlign w:val="center"/>
                </w:tcPr>
                <w:p>
                  <w:pPr>
                    <w:snapToGrid w:val="0"/>
                    <w:spacing w:line="240" w:lineRule="atLeast"/>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1"/>
                      <w:szCs w:val="21"/>
                    </w:rPr>
                    <w:t>备注：</w:t>
                  </w:r>
                  <w:r>
                    <w:rPr>
                      <w:rFonts w:hint="default" w:ascii="Times New Roman" w:hAnsi="Times New Roman" w:cs="Times New Roman"/>
                      <w:bCs/>
                      <w:color w:val="auto"/>
                      <w:sz w:val="21"/>
                      <w:szCs w:val="21"/>
                      <w:lang w:val="en-US" w:eastAsia="zh-CN"/>
                    </w:rPr>
                    <w:t>项目</w:t>
                  </w:r>
                  <w:r>
                    <w:rPr>
                      <w:rFonts w:hint="eastAsia" w:cs="Times New Roman"/>
                      <w:kern w:val="0"/>
                      <w:sz w:val="21"/>
                      <w:szCs w:val="21"/>
                      <w:lang w:val="en-US" w:eastAsia="zh-CN"/>
                    </w:rPr>
                    <w:t>发泡、成型、脱模等工序废气与</w:t>
                  </w:r>
                  <w:r>
                    <w:rPr>
                      <w:rFonts w:hint="eastAsia" w:cs="Times New Roman"/>
                      <w:color w:val="auto"/>
                      <w:sz w:val="21"/>
                      <w:szCs w:val="21"/>
                      <w:lang w:eastAsia="zh-CN"/>
                    </w:rPr>
                    <w:t>热压</w:t>
                  </w:r>
                  <w:r>
                    <w:rPr>
                      <w:rFonts w:hint="eastAsia" w:ascii="Times New Roman" w:hAnsi="Times New Roman" w:cs="Times New Roman"/>
                      <w:color w:val="auto"/>
                      <w:sz w:val="21"/>
                      <w:szCs w:val="21"/>
                      <w:lang w:eastAsia="zh-CN"/>
                    </w:rPr>
                    <w:t>废气</w:t>
                  </w:r>
                  <w:r>
                    <w:rPr>
                      <w:rFonts w:hint="eastAsia" w:cs="Times New Roman"/>
                      <w:color w:val="auto"/>
                      <w:sz w:val="21"/>
                      <w:szCs w:val="21"/>
                      <w:lang w:eastAsia="zh-CN"/>
                    </w:rPr>
                    <w:t>经同一根排气筒排放</w:t>
                  </w:r>
                  <w:r>
                    <w:rPr>
                      <w:rFonts w:hint="default" w:ascii="Times New Roman" w:hAnsi="Times New Roman" w:cs="Times New Roman"/>
                      <w:color w:val="auto"/>
                      <w:kern w:val="2"/>
                      <w:sz w:val="21"/>
                      <w:szCs w:val="21"/>
                      <w:u w:val="none"/>
                      <w:shd w:val="clear" w:color="auto" w:fill="auto"/>
                      <w:lang w:val="en-US" w:eastAsia="zh-CN" w:bidi="ar-SA"/>
                    </w:rPr>
                    <w:t>，</w:t>
                  </w:r>
                  <w:r>
                    <w:rPr>
                      <w:rFonts w:hint="eastAsia" w:cs="Times New Roman"/>
                      <w:color w:val="auto"/>
                      <w:kern w:val="2"/>
                      <w:sz w:val="21"/>
                      <w:szCs w:val="21"/>
                      <w:u w:val="none"/>
                      <w:shd w:val="clear" w:color="auto" w:fill="auto"/>
                      <w:lang w:val="en-US" w:eastAsia="zh-CN" w:bidi="ar-SA"/>
                    </w:rPr>
                    <w:t>无法统计</w:t>
                  </w:r>
                  <w:r>
                    <w:rPr>
                      <w:rFonts w:hint="default" w:ascii="Times New Roman" w:hAnsi="Times New Roman" w:cs="Times New Roman"/>
                      <w:color w:val="auto"/>
                      <w:kern w:val="2"/>
                      <w:sz w:val="21"/>
                      <w:szCs w:val="21"/>
                      <w:u w:val="none"/>
                      <w:shd w:val="clear" w:color="auto" w:fill="auto"/>
                      <w:lang w:val="en-US" w:eastAsia="zh-CN" w:bidi="ar-SA"/>
                    </w:rPr>
                    <w:t>单位产品非甲烷总烃</w:t>
                  </w:r>
                  <w:r>
                    <w:rPr>
                      <w:rFonts w:hint="eastAsia" w:cs="Times New Roman"/>
                      <w:color w:val="auto"/>
                      <w:kern w:val="2"/>
                      <w:sz w:val="21"/>
                      <w:szCs w:val="21"/>
                      <w:u w:val="none"/>
                      <w:shd w:val="clear" w:color="auto" w:fill="auto"/>
                      <w:lang w:val="en-US" w:eastAsia="zh-CN" w:bidi="ar-SA"/>
                    </w:rPr>
                    <w:t>排放</w:t>
                  </w:r>
                  <w:r>
                    <w:rPr>
                      <w:rFonts w:hint="default" w:ascii="Times New Roman" w:hAnsi="Times New Roman" w:cs="Times New Roman"/>
                      <w:color w:val="auto"/>
                      <w:kern w:val="2"/>
                      <w:sz w:val="21"/>
                      <w:szCs w:val="21"/>
                      <w:u w:val="none"/>
                      <w:shd w:val="clear" w:color="auto" w:fill="auto"/>
                      <w:lang w:val="en-US" w:eastAsia="zh-CN" w:bidi="ar-SA"/>
                    </w:rPr>
                    <w:t>量，因此本项目不考虑单位产品非甲烷总烃</w:t>
                  </w:r>
                  <w:r>
                    <w:rPr>
                      <w:rFonts w:hint="eastAsia" w:cs="Times New Roman"/>
                      <w:color w:val="auto"/>
                      <w:kern w:val="2"/>
                      <w:sz w:val="21"/>
                      <w:szCs w:val="21"/>
                      <w:u w:val="none"/>
                      <w:shd w:val="clear" w:color="auto" w:fill="auto"/>
                      <w:lang w:val="en-US" w:eastAsia="zh-CN" w:bidi="ar-SA"/>
                    </w:rPr>
                    <w:t>排放</w:t>
                  </w:r>
                  <w:r>
                    <w:rPr>
                      <w:rFonts w:hint="default" w:ascii="Times New Roman" w:hAnsi="Times New Roman" w:cs="Times New Roman"/>
                      <w:color w:val="auto"/>
                      <w:kern w:val="2"/>
                      <w:sz w:val="21"/>
                      <w:szCs w:val="21"/>
                      <w:u w:val="none"/>
                      <w:shd w:val="clear" w:color="auto" w:fill="auto"/>
                      <w:lang w:val="en-US" w:eastAsia="zh-CN" w:bidi="ar-SA"/>
                    </w:rPr>
                    <w:t>量。</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表3-</w:t>
            </w:r>
            <w:r>
              <w:rPr>
                <w:rFonts w:hint="eastAsia" w:ascii="Times New Roman" w:hAnsi="Times New Roman" w:cs="Times New Roman"/>
                <w:b/>
                <w:bCs/>
                <w:color w:val="auto"/>
                <w:sz w:val="21"/>
                <w:szCs w:val="21"/>
                <w:lang w:val="en-US" w:eastAsia="zh-CN"/>
              </w:rPr>
              <w:t>9</w:t>
            </w:r>
            <w:r>
              <w:rPr>
                <w:rFonts w:hint="default" w:ascii="Times New Roman" w:hAnsi="Times New Roman" w:cs="Times New Roman"/>
                <w:b/>
                <w:bCs/>
                <w:color w:val="auto"/>
                <w:sz w:val="21"/>
                <w:szCs w:val="21"/>
                <w:lang w:val="en-US" w:eastAsia="zh-CN"/>
              </w:rPr>
              <w:t xml:space="preserve">  厂区内 VOCs 无组织排放限值</w:t>
            </w:r>
          </w:p>
          <w:tbl>
            <w:tblPr>
              <w:tblStyle w:val="27"/>
              <w:tblW w:w="777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1236"/>
              <w:gridCol w:w="2077"/>
              <w:gridCol w:w="2458"/>
              <w:gridCol w:w="20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1236" w:type="dxa"/>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2077" w:type="dxa"/>
                  <w:noWrap w:val="0"/>
                  <w:vAlign w:val="center"/>
                </w:tcPr>
                <w:p>
                  <w:pPr>
                    <w:widowControl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特别排放限值</w:t>
                  </w:r>
                  <w:r>
                    <w:rPr>
                      <w:rFonts w:hint="eastAsia"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mg/m</w:t>
                  </w:r>
                  <w:r>
                    <w:rPr>
                      <w:rFonts w:hint="default" w:ascii="Times New Roman" w:hAnsi="Times New Roman" w:eastAsia="宋体" w:cs="Times New Roman"/>
                      <w:b w:val="0"/>
                      <w:bCs w:val="0"/>
                      <w:color w:val="auto"/>
                      <w:sz w:val="21"/>
                      <w:szCs w:val="21"/>
                      <w:highlight w:val="none"/>
                      <w:vertAlign w:val="superscript"/>
                    </w:rPr>
                    <w:t>3</w:t>
                  </w:r>
                  <w:r>
                    <w:rPr>
                      <w:rFonts w:hint="eastAsia" w:cs="Times New Roman"/>
                      <w:color w:val="auto"/>
                      <w:sz w:val="21"/>
                      <w:szCs w:val="21"/>
                      <w:highlight w:val="none"/>
                      <w:lang w:val="en-US" w:eastAsia="zh-CN"/>
                    </w:rPr>
                    <w:t>)</w:t>
                  </w:r>
                </w:p>
              </w:tc>
              <w:tc>
                <w:tcPr>
                  <w:tcW w:w="2458" w:type="dxa"/>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限值含义</w:t>
                  </w:r>
                </w:p>
              </w:tc>
              <w:tc>
                <w:tcPr>
                  <w:tcW w:w="2008" w:type="dxa"/>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无组织排放监控位置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1236" w:type="dxa"/>
                  <w:vMerge w:val="restar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非甲烷总烃</w:t>
                  </w:r>
                </w:p>
              </w:tc>
              <w:tc>
                <w:tcPr>
                  <w:tcW w:w="2077" w:type="dxa"/>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458" w:type="dxa"/>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监控点处1h平均浓度值</w:t>
                  </w:r>
                </w:p>
              </w:tc>
              <w:tc>
                <w:tcPr>
                  <w:tcW w:w="2008" w:type="dxa"/>
                  <w:vMerge w:val="restar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在厂房外设置监控点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1236" w:type="dxa"/>
                  <w:vMerge w:val="continue"/>
                  <w:noWrap w:val="0"/>
                  <w:vAlign w:val="center"/>
                </w:tcPr>
                <w:p>
                  <w:pPr>
                    <w:widowControl w:val="0"/>
                    <w:jc w:val="center"/>
                    <w:rPr>
                      <w:rFonts w:hint="default" w:ascii="Times New Roman" w:hAnsi="Times New Roman" w:eastAsia="宋体" w:cs="Times New Roman"/>
                      <w:color w:val="auto"/>
                      <w:sz w:val="21"/>
                      <w:szCs w:val="21"/>
                      <w:highlight w:val="none"/>
                    </w:rPr>
                  </w:pPr>
                </w:p>
              </w:tc>
              <w:tc>
                <w:tcPr>
                  <w:tcW w:w="2077" w:type="dxa"/>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2458" w:type="dxa"/>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监控点处任意一次浓度值</w:t>
                  </w:r>
                </w:p>
              </w:tc>
              <w:tc>
                <w:tcPr>
                  <w:tcW w:w="2008" w:type="dxa"/>
                  <w:vMerge w:val="continue"/>
                  <w:noWrap w:val="0"/>
                  <w:vAlign w:val="center"/>
                </w:tcPr>
                <w:p>
                  <w:pPr>
                    <w:widowControl w:val="0"/>
                    <w:jc w:val="center"/>
                    <w:rPr>
                      <w:rFonts w:hint="default" w:ascii="Times New Roman" w:hAnsi="Times New Roman" w:eastAsia="宋体" w:cs="Times New Roman"/>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2、废水</w:t>
            </w:r>
          </w:p>
          <w:p>
            <w:pPr>
              <w:adjustRightInd w:val="0"/>
              <w:snapToGrid w:val="0"/>
              <w:spacing w:line="500" w:lineRule="exact"/>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szCs w:val="24"/>
              </w:rPr>
              <w:t>本项目</w:t>
            </w:r>
            <w:r>
              <w:rPr>
                <w:rFonts w:hint="eastAsia" w:cs="Times New Roman"/>
                <w:color w:val="auto"/>
                <w:sz w:val="24"/>
                <w:szCs w:val="24"/>
                <w:lang w:eastAsia="zh-CN"/>
              </w:rPr>
              <w:t>冷却水循环使用不外排，</w:t>
            </w:r>
            <w:r>
              <w:rPr>
                <w:rFonts w:hint="default" w:ascii="Times New Roman" w:hAnsi="Times New Roman" w:cs="Times New Roman"/>
                <w:color w:val="auto"/>
                <w:sz w:val="24"/>
              </w:rPr>
              <w:t>本项目生活污水接管</w:t>
            </w:r>
            <w:r>
              <w:rPr>
                <w:rFonts w:hint="eastAsia" w:cs="Times New Roman"/>
                <w:color w:val="auto"/>
                <w:sz w:val="24"/>
                <w:lang w:eastAsia="zh-CN"/>
              </w:rPr>
              <w:t>至</w:t>
            </w:r>
            <w:r>
              <w:rPr>
                <w:rFonts w:hint="default" w:ascii="Times New Roman" w:hAnsi="Times New Roman" w:cs="Times New Roman"/>
                <w:color w:val="auto"/>
                <w:sz w:val="24"/>
                <w:lang w:eastAsia="zh-CN"/>
              </w:rPr>
              <w:t>常州金坛区第二污水处理有限</w:t>
            </w:r>
            <w:r>
              <w:rPr>
                <w:rFonts w:hint="default" w:ascii="Times New Roman" w:hAnsi="Times New Roman" w:eastAsia="宋体" w:cs="Times New Roman"/>
                <w:color w:val="auto"/>
                <w:sz w:val="24"/>
                <w:lang w:eastAsia="zh-CN"/>
              </w:rPr>
              <w:t>公司</w:t>
            </w:r>
            <w:r>
              <w:rPr>
                <w:rFonts w:hint="default" w:ascii="Times New Roman" w:hAnsi="Times New Roman" w:eastAsia="宋体" w:cs="Times New Roman"/>
                <w:color w:val="auto"/>
                <w:sz w:val="24"/>
              </w:rPr>
              <w:t>集中处理，尾水排入</w:t>
            </w:r>
            <w:r>
              <w:rPr>
                <w:rFonts w:hint="default" w:ascii="Times New Roman" w:hAnsi="Times New Roman" w:eastAsia="宋体" w:cs="Times New Roman"/>
                <w:color w:val="auto"/>
                <w:sz w:val="24"/>
                <w:lang w:eastAsia="zh-CN"/>
              </w:rPr>
              <w:t>尧塘河，</w:t>
            </w:r>
            <w:r>
              <w:rPr>
                <w:rFonts w:hint="default" w:ascii="Times New Roman" w:hAnsi="Times New Roman" w:eastAsia="宋体" w:cs="Times New Roman"/>
                <w:color w:val="auto"/>
                <w:sz w:val="24"/>
              </w:rPr>
              <w:t>接管标准执行《常州金坛区第二污水处理有限公司污水接管要求》，污</w:t>
            </w:r>
            <w:r>
              <w:rPr>
                <w:rFonts w:hint="default" w:ascii="Times New Roman" w:hAnsi="Times New Roman" w:cs="Times New Roman"/>
                <w:color w:val="auto"/>
                <w:sz w:val="24"/>
              </w:rPr>
              <w:t>水处理厂尾水排放执行《太湖地区城镇污水处理厂及重点工业行业主要水污染物排放限值》（DB32/1072-2018）表2中城镇污水处理厂标准，未列入项目（SS）执行《城镇污水处理厂污染物排放标准》（GB18918-2002）表1中一级A标准，标准值如下：</w:t>
            </w:r>
          </w:p>
          <w:p>
            <w:pPr>
              <w:adjustRightInd w:val="0"/>
              <w:snapToGrid w:val="0"/>
              <w:spacing w:line="500" w:lineRule="exact"/>
              <w:ind w:left="0" w:leftChars="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表3-</w:t>
            </w:r>
            <w:r>
              <w:rPr>
                <w:rFonts w:hint="eastAsia"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水污染物排放标准</w:t>
            </w:r>
          </w:p>
          <w:tbl>
            <w:tblPr>
              <w:tblStyle w:val="2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2668"/>
              <w:gridCol w:w="1411"/>
              <w:gridCol w:w="1120"/>
              <w:gridCol w:w="730"/>
              <w:gridCol w:w="9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tcMar>
                    <w:left w:w="0" w:type="dxa"/>
                    <w:right w:w="0" w:type="dxa"/>
                  </w:tcMar>
                  <w:vAlign w:val="center"/>
                </w:tcPr>
                <w:p>
                  <w:pPr>
                    <w:adjustRightIn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排放口</w:t>
                  </w:r>
                </w:p>
                <w:p>
                  <w:pPr>
                    <w:adjustRightIn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2668" w:type="dxa"/>
                  <w:vAlign w:val="center"/>
                </w:tcPr>
                <w:p>
                  <w:pPr>
                    <w:adjustRightIn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执行标准</w:t>
                  </w:r>
                </w:p>
              </w:tc>
              <w:tc>
                <w:tcPr>
                  <w:tcW w:w="1411" w:type="dxa"/>
                  <w:tcMar>
                    <w:left w:w="0" w:type="dxa"/>
                    <w:right w:w="0" w:type="dxa"/>
                  </w:tcMar>
                  <w:vAlign w:val="center"/>
                </w:tcPr>
                <w:p>
                  <w:pPr>
                    <w:adjustRightIn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取值表号及级别</w:t>
                  </w:r>
                </w:p>
              </w:tc>
              <w:tc>
                <w:tcPr>
                  <w:tcW w:w="1120" w:type="dxa"/>
                  <w:vAlign w:val="center"/>
                </w:tcPr>
                <w:p>
                  <w:pPr>
                    <w:adjustRightIn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污染物指标</w:t>
                  </w:r>
                </w:p>
              </w:tc>
              <w:tc>
                <w:tcPr>
                  <w:tcW w:w="730" w:type="dxa"/>
                  <w:vAlign w:val="center"/>
                </w:tcPr>
                <w:p>
                  <w:pPr>
                    <w:adjustRightIn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单位</w:t>
                  </w:r>
                </w:p>
              </w:tc>
              <w:tc>
                <w:tcPr>
                  <w:tcW w:w="981" w:type="dxa"/>
                  <w:vAlign w:val="center"/>
                </w:tcPr>
                <w:p>
                  <w:pPr>
                    <w:adjustRightIn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restart"/>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color w:val="auto"/>
                      <w:sz w:val="21"/>
                      <w:szCs w:val="21"/>
                    </w:rPr>
                    <w:t>DW001</w:t>
                  </w:r>
                </w:p>
              </w:tc>
              <w:tc>
                <w:tcPr>
                  <w:tcW w:w="2668" w:type="dxa"/>
                  <w:vMerge w:val="restart"/>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color w:val="auto"/>
                      <w:szCs w:val="21"/>
                    </w:rPr>
                    <w:t>常州金坛区第二污水处理有限公司污水接管要求</w:t>
                  </w:r>
                </w:p>
              </w:tc>
              <w:tc>
                <w:tcPr>
                  <w:tcW w:w="1411" w:type="dxa"/>
                  <w:vMerge w:val="restart"/>
                  <w:vAlign w:val="center"/>
                </w:tcPr>
                <w:p>
                  <w:pPr>
                    <w:adjustRightInd w:val="0"/>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val="en-US" w:eastAsia="zh-CN"/>
                    </w:rPr>
                    <w:t>/</w:t>
                  </w:r>
                </w:p>
              </w:tc>
              <w:tc>
                <w:tcPr>
                  <w:tcW w:w="112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COD</w:t>
                  </w:r>
                </w:p>
              </w:tc>
              <w:tc>
                <w:tcPr>
                  <w:tcW w:w="73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SS</w:t>
                  </w:r>
                </w:p>
              </w:tc>
              <w:tc>
                <w:tcPr>
                  <w:tcW w:w="73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25</w:t>
                  </w:r>
                  <w:r>
                    <w:rPr>
                      <w:rFonts w:hint="default" w:ascii="Times New Roman" w:hAnsi="Times New Roman" w:cs="Times New Roman"/>
                      <w:bCs/>
                      <w:color w:val="auto"/>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NH</w:t>
                  </w:r>
                  <w:r>
                    <w:rPr>
                      <w:rFonts w:hint="default" w:ascii="Times New Roman" w:hAnsi="Times New Roman" w:cs="Times New Roman"/>
                      <w:bCs/>
                      <w:color w:val="auto"/>
                      <w:szCs w:val="21"/>
                      <w:vertAlign w:val="subscript"/>
                    </w:rPr>
                    <w:t>3</w:t>
                  </w:r>
                  <w:r>
                    <w:rPr>
                      <w:rFonts w:hint="default" w:ascii="Times New Roman" w:hAnsi="Times New Roman" w:cs="Times New Roman"/>
                      <w:bCs/>
                      <w:color w:val="auto"/>
                      <w:szCs w:val="21"/>
                    </w:rPr>
                    <w:t>-N</w:t>
                  </w:r>
                </w:p>
              </w:tc>
              <w:tc>
                <w:tcPr>
                  <w:tcW w:w="73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lang w:val="en-US" w:eastAsia="zh-CN"/>
                    </w:rPr>
                    <w:t>3</w:t>
                  </w:r>
                  <w:r>
                    <w:rPr>
                      <w:rFonts w:hint="default" w:ascii="Times New Roman" w:hAnsi="Times New Roman" w:cs="Times New Roman"/>
                      <w:bCs/>
                      <w:color w:val="auto"/>
                      <w:szCs w:val="21"/>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TP</w:t>
                  </w:r>
                </w:p>
              </w:tc>
              <w:tc>
                <w:tcPr>
                  <w:tcW w:w="73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TN</w:t>
                  </w:r>
                </w:p>
              </w:tc>
              <w:tc>
                <w:tcPr>
                  <w:tcW w:w="73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lang w:val="en-US" w:eastAsia="zh-CN"/>
                    </w:rPr>
                    <w:t>5</w:t>
                  </w:r>
                  <w:r>
                    <w:rPr>
                      <w:rFonts w:hint="default" w:ascii="Times New Roman" w:hAnsi="Times New Roman" w:cs="Times New Roman"/>
                      <w:bCs/>
                      <w:color w:val="auto"/>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restart"/>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污水处理厂排口</w:t>
                  </w:r>
                </w:p>
              </w:tc>
              <w:tc>
                <w:tcPr>
                  <w:tcW w:w="2668" w:type="dxa"/>
                  <w:vMerge w:val="restart"/>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《城镇污水处理厂污染物排放标准》(GB18918-2002)</w:t>
                  </w:r>
                </w:p>
              </w:tc>
              <w:tc>
                <w:tcPr>
                  <w:tcW w:w="1411" w:type="dxa"/>
                  <w:vMerge w:val="restart"/>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表1</w:t>
                  </w:r>
                </w:p>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一级A标准</w:t>
                  </w:r>
                </w:p>
              </w:tc>
              <w:tc>
                <w:tcPr>
                  <w:tcW w:w="112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pH</w:t>
                  </w:r>
                </w:p>
              </w:tc>
              <w:tc>
                <w:tcPr>
                  <w:tcW w:w="73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981"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SS</w:t>
                  </w:r>
                </w:p>
              </w:tc>
              <w:tc>
                <w:tcPr>
                  <w:tcW w:w="73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restart"/>
                  <w:vAlign w:val="center"/>
                </w:tcPr>
                <w:p>
                  <w:pPr>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《太湖地区城镇污水处理厂及重点工业行业主要水污染物排放限值》(DB32/1072-2018)</w:t>
                  </w:r>
                </w:p>
              </w:tc>
              <w:tc>
                <w:tcPr>
                  <w:tcW w:w="1411" w:type="dxa"/>
                  <w:vMerge w:val="restart"/>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表2</w:t>
                  </w:r>
                </w:p>
              </w:tc>
              <w:tc>
                <w:tcPr>
                  <w:tcW w:w="112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COD</w:t>
                  </w:r>
                </w:p>
              </w:tc>
              <w:tc>
                <w:tcPr>
                  <w:tcW w:w="73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eastAsia="宋体"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NH</w:t>
                  </w:r>
                  <w:r>
                    <w:rPr>
                      <w:rFonts w:hint="default" w:ascii="Times New Roman" w:hAnsi="Times New Roman" w:cs="Times New Roman"/>
                      <w:bCs/>
                      <w:color w:val="auto"/>
                      <w:szCs w:val="21"/>
                      <w:vertAlign w:val="subscript"/>
                    </w:rPr>
                    <w:t>3</w:t>
                  </w:r>
                  <w:r>
                    <w:rPr>
                      <w:rFonts w:hint="default" w:ascii="Times New Roman" w:hAnsi="Times New Roman" w:cs="Times New Roman"/>
                      <w:bCs/>
                      <w:color w:val="auto"/>
                      <w:szCs w:val="21"/>
                    </w:rPr>
                    <w:t>-N</w:t>
                  </w:r>
                </w:p>
              </w:tc>
              <w:tc>
                <w:tcPr>
                  <w:tcW w:w="73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eastAsia="宋体"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TP</w:t>
                  </w:r>
                </w:p>
              </w:tc>
              <w:tc>
                <w:tcPr>
                  <w:tcW w:w="73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eastAsia="宋体"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TN</w:t>
                  </w:r>
                </w:p>
              </w:tc>
              <w:tc>
                <w:tcPr>
                  <w:tcW w:w="730"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12（15）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restart"/>
                  <w:vAlign w:val="center"/>
                </w:tcPr>
                <w:p>
                  <w:pPr>
                    <w:adjustRightInd w:val="0"/>
                    <w:jc w:val="center"/>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《城镇污水处理厂污染物排放标准》（</w:t>
                  </w:r>
                  <w:r>
                    <w:rPr>
                      <w:rFonts w:hint="default" w:ascii="Times New Roman" w:hAnsi="Times New Roman" w:eastAsia="宋体" w:cs="Times New Roman"/>
                      <w:bCs/>
                      <w:color w:val="auto"/>
                      <w:szCs w:val="21"/>
                      <w:lang w:val="en-US" w:eastAsia="zh-CN"/>
                    </w:rPr>
                    <w:t>DB32/4440-2022</w:t>
                  </w:r>
                  <w:r>
                    <w:rPr>
                      <w:rFonts w:hint="eastAsia" w:ascii="Times New Roman" w:hAnsi="Times New Roman" w:eastAsia="宋体" w:cs="Times New Roman"/>
                      <w:bCs/>
                      <w:color w:val="auto"/>
                      <w:szCs w:val="21"/>
                      <w:lang w:val="en-US" w:eastAsia="zh-CN"/>
                    </w:rPr>
                    <w:t>）</w:t>
                  </w:r>
                  <w:r>
                    <w:rPr>
                      <w:rFonts w:hint="eastAsia" w:ascii="Times New Roman" w:hAnsi="Times New Roman" w:eastAsia="宋体" w:cs="Times New Roman"/>
                      <w:bCs/>
                      <w:color w:val="auto"/>
                      <w:szCs w:val="21"/>
                      <w:vertAlign w:val="superscript"/>
                      <w:lang w:val="en-US" w:eastAsia="zh-CN"/>
                    </w:rPr>
                    <w:t>②</w:t>
                  </w:r>
                </w:p>
              </w:tc>
              <w:tc>
                <w:tcPr>
                  <w:tcW w:w="1411" w:type="dxa"/>
                  <w:vMerge w:val="restart"/>
                  <w:vAlign w:val="center"/>
                </w:tcPr>
                <w:p>
                  <w:pPr>
                    <w:adjustRightInd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表</w:t>
                  </w:r>
                  <w:r>
                    <w:rPr>
                      <w:rFonts w:hint="default" w:ascii="Times New Roman" w:hAnsi="Times New Roman" w:eastAsia="宋体" w:cs="Times New Roman"/>
                      <w:bCs/>
                      <w:color w:val="auto"/>
                      <w:szCs w:val="21"/>
                      <w:lang w:val="en-US" w:eastAsia="zh-CN"/>
                    </w:rPr>
                    <w:t>1</w:t>
                  </w:r>
                </w:p>
                <w:p>
                  <w:pPr>
                    <w:adjustRightInd w:val="0"/>
                    <w:jc w:val="center"/>
                    <w:rPr>
                      <w:rFonts w:hint="default" w:ascii="Times New Roman" w:hAnsi="Times New Roman" w:cs="Times New Roman"/>
                      <w:bCs/>
                      <w:color w:val="auto"/>
                      <w:szCs w:val="21"/>
                    </w:rPr>
                  </w:pPr>
                  <w:r>
                    <w:rPr>
                      <w:rFonts w:hint="eastAsia" w:cs="Times New Roman"/>
                      <w:bCs/>
                      <w:color w:val="auto"/>
                      <w:szCs w:val="21"/>
                      <w:lang w:val="en-US" w:eastAsia="zh-CN"/>
                    </w:rPr>
                    <w:t>B</w:t>
                  </w:r>
                  <w:r>
                    <w:rPr>
                      <w:rFonts w:hint="eastAsia" w:ascii="Times New Roman" w:hAnsi="Times New Roman" w:eastAsia="宋体" w:cs="Times New Roman"/>
                      <w:bCs/>
                      <w:color w:val="auto"/>
                      <w:szCs w:val="21"/>
                      <w:lang w:val="en-US" w:eastAsia="zh-CN"/>
                    </w:rPr>
                    <w:t>级标准</w:t>
                  </w:r>
                </w:p>
              </w:tc>
              <w:tc>
                <w:tcPr>
                  <w:tcW w:w="112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pH</w:t>
                  </w:r>
                </w:p>
              </w:tc>
              <w:tc>
                <w:tcPr>
                  <w:tcW w:w="73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w:t>
                  </w:r>
                </w:p>
              </w:tc>
              <w:tc>
                <w:tcPr>
                  <w:tcW w:w="981"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COD</w:t>
                  </w:r>
                </w:p>
              </w:tc>
              <w:tc>
                <w:tcPr>
                  <w:tcW w:w="73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4</w:t>
                  </w:r>
                  <w:r>
                    <w:rPr>
                      <w:rFonts w:hint="default" w:ascii="Times New Roman" w:hAnsi="Times New Roman" w:cs="Times New Roman"/>
                      <w:bCs/>
                      <w:color w:val="auto"/>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SS</w:t>
                  </w:r>
                </w:p>
              </w:tc>
              <w:tc>
                <w:tcPr>
                  <w:tcW w:w="73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NH</w:t>
                  </w:r>
                  <w:r>
                    <w:rPr>
                      <w:rFonts w:hint="default" w:ascii="Times New Roman" w:hAnsi="Times New Roman" w:cs="Times New Roman"/>
                      <w:bCs/>
                      <w:color w:val="auto"/>
                      <w:szCs w:val="21"/>
                      <w:vertAlign w:val="subscript"/>
                    </w:rPr>
                    <w:t>3</w:t>
                  </w:r>
                  <w:r>
                    <w:rPr>
                      <w:rFonts w:hint="default" w:ascii="Times New Roman" w:hAnsi="Times New Roman" w:cs="Times New Roman"/>
                      <w:bCs/>
                      <w:color w:val="auto"/>
                      <w:szCs w:val="21"/>
                    </w:rPr>
                    <w:t>-N</w:t>
                  </w:r>
                </w:p>
              </w:tc>
              <w:tc>
                <w:tcPr>
                  <w:tcW w:w="73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Cs w:val="21"/>
                      <w:lang w:val="en-US" w:eastAsia="zh-CN"/>
                    </w:rPr>
                    <w:t>3</w:t>
                  </w:r>
                  <w:r>
                    <w:rPr>
                      <w:rFonts w:hint="default" w:ascii="Times New Roman" w:hAnsi="Times New Roman" w:cs="Times New Roman"/>
                      <w:bCs/>
                      <w:color w:val="auto"/>
                      <w:szCs w:val="21"/>
                    </w:rPr>
                    <w:t>（</w:t>
                  </w:r>
                  <w:r>
                    <w:rPr>
                      <w:rFonts w:hint="eastAsia" w:cs="Times New Roman"/>
                      <w:bCs/>
                      <w:color w:val="auto"/>
                      <w:szCs w:val="21"/>
                      <w:lang w:val="en-US" w:eastAsia="zh-CN"/>
                    </w:rPr>
                    <w:t>5</w:t>
                  </w:r>
                  <w:r>
                    <w:rPr>
                      <w:rFonts w:hint="default" w:ascii="Times New Roman" w:hAnsi="Times New Roman" w:cs="Times New Roman"/>
                      <w:bCs/>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TP</w:t>
                  </w:r>
                </w:p>
              </w:tc>
              <w:tc>
                <w:tcPr>
                  <w:tcW w:w="73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mg/L</w:t>
                  </w:r>
                </w:p>
              </w:tc>
              <w:tc>
                <w:tcPr>
                  <w:tcW w:w="981" w:type="dxa"/>
                  <w:vAlign w:val="center"/>
                </w:tcPr>
                <w:p>
                  <w:pPr>
                    <w:adjustRightInd w:val="0"/>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0.</w:t>
                  </w:r>
                  <w:r>
                    <w:rPr>
                      <w:rFonts w:hint="eastAsia" w:cs="Times New Roman"/>
                      <w:bCs/>
                      <w:color w:val="auto"/>
                      <w:szCs w:val="21"/>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3" w:type="dxa"/>
                  <w:vMerge w:val="continue"/>
                  <w:vAlign w:val="center"/>
                </w:tcPr>
                <w:p>
                  <w:pPr>
                    <w:adjustRightInd w:val="0"/>
                    <w:jc w:val="center"/>
                    <w:rPr>
                      <w:rFonts w:hint="default" w:ascii="Times New Roman" w:hAnsi="Times New Roman" w:cs="Times New Roman"/>
                      <w:bCs/>
                      <w:color w:val="auto"/>
                      <w:szCs w:val="21"/>
                    </w:rPr>
                  </w:pPr>
                </w:p>
              </w:tc>
              <w:tc>
                <w:tcPr>
                  <w:tcW w:w="2668" w:type="dxa"/>
                  <w:vMerge w:val="continue"/>
                  <w:vAlign w:val="center"/>
                </w:tcPr>
                <w:p>
                  <w:pPr>
                    <w:adjustRightInd w:val="0"/>
                    <w:jc w:val="center"/>
                    <w:rPr>
                      <w:rFonts w:hint="default" w:ascii="Times New Roman" w:hAnsi="Times New Roman" w:cs="Times New Roman"/>
                      <w:bCs/>
                      <w:color w:val="auto"/>
                      <w:szCs w:val="21"/>
                    </w:rPr>
                  </w:pPr>
                </w:p>
              </w:tc>
              <w:tc>
                <w:tcPr>
                  <w:tcW w:w="1411" w:type="dxa"/>
                  <w:vMerge w:val="continue"/>
                  <w:vAlign w:val="center"/>
                </w:tcPr>
                <w:p>
                  <w:pPr>
                    <w:adjustRightInd w:val="0"/>
                    <w:jc w:val="center"/>
                    <w:rPr>
                      <w:rFonts w:hint="default" w:ascii="Times New Roman" w:hAnsi="Times New Roman" w:cs="Times New Roman"/>
                      <w:bCs/>
                      <w:color w:val="auto"/>
                      <w:szCs w:val="21"/>
                    </w:rPr>
                  </w:pPr>
                </w:p>
              </w:tc>
              <w:tc>
                <w:tcPr>
                  <w:tcW w:w="112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TN</w:t>
                  </w:r>
                </w:p>
              </w:tc>
              <w:tc>
                <w:tcPr>
                  <w:tcW w:w="730"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mg/L</w:t>
                  </w:r>
                </w:p>
              </w:tc>
              <w:tc>
                <w:tcPr>
                  <w:tcW w:w="981" w:type="dxa"/>
                  <w:vAlign w:val="center"/>
                </w:tcPr>
                <w:p>
                  <w:pPr>
                    <w:adjustRightIn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1</w:t>
                  </w:r>
                  <w:r>
                    <w:rPr>
                      <w:rFonts w:hint="eastAsia" w:cs="Times New Roman"/>
                      <w:bCs/>
                      <w:color w:val="auto"/>
                      <w:szCs w:val="21"/>
                      <w:lang w:val="en-US" w:eastAsia="zh-CN"/>
                    </w:rPr>
                    <w:t>0</w:t>
                  </w:r>
                  <w:r>
                    <w:rPr>
                      <w:rFonts w:hint="default" w:ascii="Times New Roman" w:hAnsi="Times New Roman" w:cs="Times New Roman"/>
                      <w:bCs/>
                      <w:color w:val="auto"/>
                      <w:szCs w:val="21"/>
                    </w:rPr>
                    <w:t>（1</w:t>
                  </w:r>
                  <w:r>
                    <w:rPr>
                      <w:rFonts w:hint="eastAsia" w:cs="Times New Roman"/>
                      <w:bCs/>
                      <w:color w:val="auto"/>
                      <w:szCs w:val="21"/>
                      <w:lang w:val="en-US" w:eastAsia="zh-CN"/>
                    </w:rPr>
                    <w:t>2</w:t>
                  </w:r>
                  <w:r>
                    <w:rPr>
                      <w:rFonts w:hint="default" w:ascii="Times New Roman" w:hAnsi="Times New Roman" w:cs="Times New Roman"/>
                      <w:bCs/>
                      <w:color w:val="auto"/>
                      <w:szCs w:val="21"/>
                    </w:rPr>
                    <w:t>）</w:t>
                  </w:r>
                </w:p>
              </w:tc>
            </w:tr>
          </w:tbl>
          <w:p>
            <w:pPr>
              <w:pStyle w:val="12"/>
              <w:keepNext w:val="0"/>
              <w:keepLines w:val="0"/>
              <w:pageBreakBefore w:val="0"/>
              <w:kinsoku/>
              <w:wordWrap/>
              <w:overflowPunct/>
              <w:topLinePunct w:val="0"/>
              <w:autoSpaceDE/>
              <w:autoSpaceDN/>
              <w:bidi w:val="0"/>
              <w:adjustRightInd w:val="0"/>
              <w:spacing w:before="0" w:after="0" w:line="240" w:lineRule="auto"/>
              <w:ind w:right="0"/>
              <w:textAlignment w:val="auto"/>
              <w:rPr>
                <w:rFonts w:hint="eastAsia"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rPr>
              <w:t>注：</w:t>
            </w:r>
            <w:r>
              <w:rPr>
                <w:rFonts w:hint="default" w:ascii="Times New Roman" w:hAnsi="Times New Roman" w:eastAsia="宋体" w:cs="Times New Roman"/>
                <w:b w:val="0"/>
                <w:bCs/>
                <w:color w:val="auto"/>
                <w:sz w:val="21"/>
                <w:szCs w:val="21"/>
                <w:lang w:eastAsia="zh-CN"/>
              </w:rPr>
              <w:t>①</w:t>
            </w:r>
            <w:r>
              <w:rPr>
                <w:rFonts w:hint="default" w:ascii="Times New Roman" w:hAnsi="Times New Roman" w:eastAsia="宋体" w:cs="Times New Roman"/>
                <w:b w:val="0"/>
                <w:bCs/>
                <w:color w:val="auto"/>
                <w:sz w:val="21"/>
                <w:szCs w:val="21"/>
              </w:rPr>
              <w:t>括号外数值为水温&gt;12℃时的控制指标，括号内数值为水温≤12℃时的控制指标</w:t>
            </w:r>
            <w:r>
              <w:rPr>
                <w:rFonts w:hint="eastAsia" w:ascii="Times New Roman" w:hAnsi="Times New Roman" w:eastAsia="宋体" w:cs="Times New Roman"/>
                <w:b w:val="0"/>
                <w:bCs/>
                <w:color w:val="auto"/>
                <w:sz w:val="21"/>
                <w:szCs w:val="21"/>
                <w:lang w:eastAsia="zh-CN"/>
              </w:rPr>
              <w:t>；</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cs="Times New Roman"/>
                <w:b/>
                <w:color w:val="auto"/>
                <w:sz w:val="24"/>
              </w:rPr>
            </w:pPr>
            <w:r>
              <w:rPr>
                <w:rFonts w:hint="default" w:ascii="Times New Roman" w:hAnsi="Times New Roman" w:eastAsia="宋体" w:cs="Times New Roman"/>
                <w:b w:val="0"/>
                <w:bCs/>
                <w:color w:val="auto"/>
                <w:sz w:val="21"/>
                <w:szCs w:val="21"/>
              </w:rPr>
              <w:t>②</w:t>
            </w:r>
            <w:r>
              <w:rPr>
                <w:rFonts w:hint="eastAsia" w:ascii="Times New Roman" w:hAnsi="Times New Roman" w:eastAsia="宋体" w:cs="Times New Roman"/>
                <w:b w:val="0"/>
                <w:bCs/>
                <w:color w:val="auto"/>
                <w:sz w:val="21"/>
                <w:szCs w:val="21"/>
                <w:lang w:val="en-US" w:eastAsia="zh-CN"/>
              </w:rPr>
              <w:t>现有污水处理厂</w:t>
            </w:r>
            <w:r>
              <w:rPr>
                <w:rFonts w:hint="eastAsia" w:ascii="Times New Roman" w:hAnsi="Times New Roman" w:eastAsia="宋体" w:cs="Times New Roman"/>
                <w:b w:val="0"/>
                <w:bCs/>
                <w:color w:val="auto"/>
                <w:kern w:val="0"/>
                <w:sz w:val="21"/>
                <w:szCs w:val="21"/>
                <w:lang w:val="en-US" w:eastAsia="zh-CN" w:bidi="ar-SA"/>
              </w:rPr>
              <w:t>自</w:t>
            </w:r>
            <w:r>
              <w:rPr>
                <w:rFonts w:hint="default" w:ascii="Times New Roman" w:hAnsi="Times New Roman" w:eastAsia="宋体" w:cs="Times New Roman"/>
                <w:b w:val="0"/>
                <w:bCs/>
                <w:color w:val="auto"/>
                <w:kern w:val="0"/>
                <w:sz w:val="21"/>
                <w:szCs w:val="21"/>
                <w:lang w:val="en-US" w:eastAsia="zh-CN" w:bidi="ar-SA"/>
              </w:rPr>
              <w:t>2026</w:t>
            </w:r>
            <w:r>
              <w:rPr>
                <w:rFonts w:hint="eastAsia" w:ascii="Times New Roman" w:hAnsi="Times New Roman" w:eastAsia="宋体" w:cs="Times New Roman"/>
                <w:b w:val="0"/>
                <w:bCs/>
                <w:color w:val="auto"/>
                <w:kern w:val="0"/>
                <w:sz w:val="21"/>
                <w:szCs w:val="21"/>
                <w:lang w:val="en-US" w:eastAsia="zh-CN" w:bidi="ar-SA"/>
              </w:rPr>
              <w:t>年</w:t>
            </w:r>
            <w:r>
              <w:rPr>
                <w:rFonts w:hint="default" w:ascii="Times New Roman" w:hAnsi="Times New Roman" w:eastAsia="宋体" w:cs="Times New Roman"/>
                <w:b w:val="0"/>
                <w:bCs/>
                <w:color w:val="auto"/>
                <w:kern w:val="0"/>
                <w:sz w:val="21"/>
                <w:szCs w:val="21"/>
                <w:lang w:val="en-US" w:eastAsia="zh-CN" w:bidi="ar-SA"/>
              </w:rPr>
              <w:t>3</w:t>
            </w:r>
            <w:r>
              <w:rPr>
                <w:rFonts w:hint="eastAsia" w:ascii="Times New Roman" w:hAnsi="Times New Roman" w:eastAsia="宋体" w:cs="Times New Roman"/>
                <w:b w:val="0"/>
                <w:bCs/>
                <w:color w:val="auto"/>
                <w:kern w:val="0"/>
                <w:sz w:val="21"/>
                <w:szCs w:val="21"/>
                <w:lang w:val="en-US" w:eastAsia="zh-CN" w:bidi="ar-SA"/>
              </w:rPr>
              <w:t>月</w:t>
            </w:r>
            <w:r>
              <w:rPr>
                <w:rFonts w:hint="default" w:ascii="Times New Roman" w:hAnsi="Times New Roman" w:eastAsia="宋体" w:cs="Times New Roman"/>
                <w:b w:val="0"/>
                <w:bCs/>
                <w:color w:val="auto"/>
                <w:kern w:val="0"/>
                <w:sz w:val="21"/>
                <w:szCs w:val="21"/>
                <w:lang w:val="en-US" w:eastAsia="zh-CN" w:bidi="ar-SA"/>
              </w:rPr>
              <w:t>28</w:t>
            </w:r>
            <w:r>
              <w:rPr>
                <w:rFonts w:hint="eastAsia" w:ascii="Times New Roman" w:hAnsi="Times New Roman" w:eastAsia="宋体" w:cs="Times New Roman"/>
                <w:b w:val="0"/>
                <w:bCs/>
                <w:color w:val="auto"/>
                <w:kern w:val="0"/>
                <w:sz w:val="21"/>
                <w:szCs w:val="21"/>
                <w:lang w:val="en-US" w:eastAsia="zh-CN" w:bidi="ar-SA"/>
              </w:rPr>
              <w:t>日开始实施</w:t>
            </w:r>
            <w:r>
              <w:rPr>
                <w:rFonts w:hint="eastAsia" w:ascii="Times New Roman" w:hAnsi="Times New Roman" w:eastAsia="宋体" w:cs="Times New Roman"/>
                <w:b w:val="0"/>
                <w:bCs/>
                <w:color w:val="auto"/>
                <w:sz w:val="21"/>
                <w:szCs w:val="21"/>
                <w:lang w:val="en-US" w:eastAsia="zh-CN"/>
              </w:rPr>
              <w:t>该</w:t>
            </w:r>
            <w:r>
              <w:rPr>
                <w:rFonts w:hint="eastAsia" w:ascii="Times New Roman" w:hAnsi="Times New Roman" w:eastAsia="宋体" w:cs="Times New Roman"/>
                <w:b w:val="0"/>
                <w:bCs/>
                <w:color w:val="auto"/>
                <w:kern w:val="0"/>
                <w:sz w:val="21"/>
                <w:szCs w:val="21"/>
                <w:lang w:val="en-US" w:eastAsia="zh-CN" w:bidi="ar-SA"/>
              </w:rPr>
              <w:t>标准。</w:t>
            </w:r>
          </w:p>
          <w:p>
            <w:pPr>
              <w:keepNext w:val="0"/>
              <w:keepLines w:val="0"/>
              <w:pageBreakBefore w:val="0"/>
              <w:widowControl w:val="0"/>
              <w:kinsoku/>
              <w:overflowPunct/>
              <w:topLinePunct w:val="0"/>
              <w:autoSpaceDE/>
              <w:autoSpaceDN/>
              <w:bidi w:val="0"/>
              <w:adjustRightInd w:val="0"/>
              <w:snapToGrid w:val="0"/>
              <w:spacing w:line="500" w:lineRule="exact"/>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3、噪声</w:t>
            </w:r>
          </w:p>
          <w:p>
            <w:pPr>
              <w:keepNext w:val="0"/>
              <w:keepLines w:val="0"/>
              <w:pageBreakBefore w:val="0"/>
              <w:widowControl w:val="0"/>
              <w:kinsoku/>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bCs/>
                <w:color w:val="auto"/>
                <w:sz w:val="24"/>
              </w:rPr>
              <w:t>本项目营运期厂界噪声执行《工业企业厂界环境噪声排放标准》</w:t>
            </w:r>
            <w:r>
              <w:rPr>
                <w:rFonts w:hint="eastAsia" w:cs="Times New Roman"/>
                <w:bCs/>
                <w:color w:val="auto"/>
                <w:sz w:val="24"/>
                <w:lang w:eastAsia="zh-CN"/>
              </w:rPr>
              <w:t>（</w:t>
            </w:r>
            <w:r>
              <w:rPr>
                <w:rFonts w:hint="default" w:ascii="Times New Roman" w:hAnsi="Times New Roman" w:cs="Times New Roman"/>
                <w:bCs/>
                <w:color w:val="auto"/>
                <w:sz w:val="24"/>
              </w:rPr>
              <w:t>GB12348-2008</w:t>
            </w:r>
            <w:r>
              <w:rPr>
                <w:rFonts w:hint="eastAsia" w:cs="Times New Roman"/>
                <w:bCs/>
                <w:color w:val="auto"/>
                <w:sz w:val="24"/>
                <w:lang w:eastAsia="zh-CN"/>
              </w:rPr>
              <w:t>）</w:t>
            </w:r>
            <w:r>
              <w:rPr>
                <w:rFonts w:hint="default" w:ascii="Times New Roman" w:hAnsi="Times New Roman" w:cs="Times New Roman"/>
                <w:bCs/>
                <w:color w:val="auto"/>
                <w:sz w:val="24"/>
              </w:rPr>
              <w:t>中</w:t>
            </w:r>
            <w:r>
              <w:rPr>
                <w:rFonts w:hint="default" w:ascii="Times New Roman" w:hAnsi="Times New Roman" w:cs="Times New Roman"/>
                <w:bCs/>
                <w:color w:val="auto"/>
                <w:sz w:val="24"/>
                <w:lang w:val="en-US" w:eastAsia="zh-CN"/>
              </w:rPr>
              <w:t>3</w:t>
            </w:r>
            <w:r>
              <w:rPr>
                <w:rFonts w:hint="default" w:ascii="Times New Roman" w:hAnsi="Times New Roman" w:cs="Times New Roman"/>
                <w:bCs/>
                <w:color w:val="auto"/>
                <w:sz w:val="24"/>
              </w:rPr>
              <w:t>类标准</w:t>
            </w:r>
            <w:r>
              <w:rPr>
                <w:rFonts w:hint="default" w:ascii="Times New Roman" w:hAnsi="Times New Roman" w:cs="Times New Roman"/>
                <w:color w:val="auto"/>
                <w:sz w:val="24"/>
              </w:rPr>
              <w:t>，具体标准值见下表：</w:t>
            </w:r>
          </w:p>
          <w:p>
            <w:pPr>
              <w:keepNext w:val="0"/>
              <w:keepLines w:val="0"/>
              <w:pageBreakBefore w:val="0"/>
              <w:widowControl w:val="0"/>
              <w:kinsoku/>
              <w:wordWrap w:val="0"/>
              <w:overflowPunct/>
              <w:topLinePunct w:val="0"/>
              <w:autoSpaceDE/>
              <w:autoSpaceDN/>
              <w:bidi w:val="0"/>
              <w:adjustRightInd w:val="0"/>
              <w:snapToGrid w:val="0"/>
              <w:spacing w:line="500" w:lineRule="exact"/>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表3-</w:t>
            </w:r>
            <w:r>
              <w:rPr>
                <w:rFonts w:hint="default" w:ascii="Times New Roman" w:hAnsi="Times New Roman" w:cs="Times New Roman"/>
                <w:b/>
                <w:bCs/>
                <w:color w:val="auto"/>
                <w:szCs w:val="21"/>
                <w:lang w:val="en-US" w:eastAsia="zh-CN"/>
              </w:rPr>
              <w:t>1</w:t>
            </w:r>
            <w:r>
              <w:rPr>
                <w:rFonts w:hint="eastAsia" w:cs="Times New Roman"/>
                <w:b/>
                <w:bCs/>
                <w:color w:val="auto"/>
                <w:szCs w:val="21"/>
                <w:lang w:val="en-US" w:eastAsia="zh-CN"/>
              </w:rPr>
              <w:t>1</w:t>
            </w:r>
            <w:r>
              <w:rPr>
                <w:rFonts w:hint="default" w:ascii="Times New Roman" w:hAnsi="Times New Roman" w:cs="Times New Roman"/>
                <w:b/>
                <w:bCs/>
                <w:color w:val="auto"/>
                <w:szCs w:val="21"/>
              </w:rPr>
              <w:t xml:space="preserve"> 营运期噪声排放标准</w:t>
            </w:r>
          </w:p>
          <w:tbl>
            <w:tblPr>
              <w:tblStyle w:val="27"/>
              <w:tblW w:w="5000" w:type="pct"/>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387"/>
              <w:gridCol w:w="1689"/>
              <w:gridCol w:w="182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83" w:type="pct"/>
                  <w:vAlign w:val="center"/>
                </w:tcPr>
                <w:p>
                  <w:pPr>
                    <w:adjustRightIn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声环境功能类别</w:t>
                  </w:r>
                </w:p>
              </w:tc>
              <w:tc>
                <w:tcPr>
                  <w:tcW w:w="1505" w:type="pct"/>
                  <w:vAlign w:val="center"/>
                </w:tcPr>
                <w:p>
                  <w:pPr>
                    <w:adjustRightIn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昼间</w:t>
                  </w:r>
                </w:p>
              </w:tc>
              <w:tc>
                <w:tcPr>
                  <w:tcW w:w="1065" w:type="pct"/>
                  <w:vAlign w:val="center"/>
                </w:tcPr>
                <w:p>
                  <w:pPr>
                    <w:adjustRightIn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夜间</w:t>
                  </w:r>
                </w:p>
              </w:tc>
              <w:tc>
                <w:tcPr>
                  <w:tcW w:w="1147" w:type="pct"/>
                  <w:tcBorders>
                    <w:right w:val="nil"/>
                  </w:tcBorders>
                  <w:vAlign w:val="center"/>
                </w:tcPr>
                <w:p>
                  <w:pPr>
                    <w:adjustRightIn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执行区域</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83" w:type="pct"/>
                  <w:vAlign w:val="center"/>
                </w:tcPr>
                <w:p>
                  <w:pPr>
                    <w:adjustRightIn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类</w:t>
                  </w:r>
                </w:p>
              </w:tc>
              <w:tc>
                <w:tcPr>
                  <w:tcW w:w="1505" w:type="pct"/>
                  <w:vAlign w:val="center"/>
                </w:tcPr>
                <w:p>
                  <w:pPr>
                    <w:adjustRightIn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dB（A）</w:t>
                  </w:r>
                </w:p>
              </w:tc>
              <w:tc>
                <w:tcPr>
                  <w:tcW w:w="1065" w:type="pct"/>
                  <w:vAlign w:val="center"/>
                </w:tcPr>
                <w:p>
                  <w:pPr>
                    <w:adjustRightIn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dB（A）</w:t>
                  </w:r>
                </w:p>
              </w:tc>
              <w:tc>
                <w:tcPr>
                  <w:tcW w:w="1147" w:type="pct"/>
                  <w:tcBorders>
                    <w:right w:val="nil"/>
                  </w:tcBorders>
                  <w:vAlign w:val="center"/>
                </w:tcPr>
                <w:p>
                  <w:pPr>
                    <w:adjustRightIn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厂界四周</w:t>
                  </w:r>
                </w:p>
              </w:tc>
            </w:tr>
          </w:tbl>
          <w:p>
            <w:pPr>
              <w:adjustRightInd w:val="0"/>
              <w:snapToGrid w:val="0"/>
              <w:spacing w:line="500" w:lineRule="exact"/>
              <w:rPr>
                <w:rFonts w:hint="default" w:ascii="Times New Roman" w:hAnsi="Times New Roman" w:cs="Times New Roman"/>
                <w:b/>
                <w:color w:val="auto"/>
                <w:sz w:val="24"/>
              </w:rPr>
            </w:pPr>
            <w:r>
              <w:rPr>
                <w:rFonts w:hint="default" w:ascii="Times New Roman" w:hAnsi="Times New Roman" w:cs="Times New Roman"/>
                <w:b/>
                <w:color w:val="auto"/>
                <w:sz w:val="24"/>
              </w:rPr>
              <w:t>4、固废</w:t>
            </w:r>
          </w:p>
          <w:p>
            <w:pPr>
              <w:widowControl/>
              <w:adjustRightInd w:val="0"/>
              <w:snapToGrid w:val="0"/>
              <w:spacing w:line="500" w:lineRule="exact"/>
              <w:ind w:firstLine="468" w:firstLineChars="200"/>
              <w:rPr>
                <w:rFonts w:hint="default" w:ascii="Times New Roman" w:hAnsi="Times New Roman" w:eastAsia="宋体" w:cs="Times New Roman"/>
                <w:color w:val="auto"/>
                <w:spacing w:val="-3"/>
                <w:sz w:val="24"/>
              </w:rPr>
            </w:pPr>
            <w:r>
              <w:rPr>
                <w:rFonts w:hint="default" w:ascii="Times New Roman" w:hAnsi="Times New Roman" w:cs="Times New Roman"/>
                <w:color w:val="auto"/>
                <w:spacing w:val="-3"/>
                <w:sz w:val="24"/>
              </w:rPr>
              <w:t>（1）一</w:t>
            </w:r>
            <w:r>
              <w:rPr>
                <w:rFonts w:hint="default" w:ascii="Times New Roman" w:hAnsi="Times New Roman" w:cs="Times New Roman"/>
                <w:bCs/>
                <w:color w:val="auto"/>
                <w:sz w:val="24"/>
              </w:rPr>
              <w:t>般固废</w:t>
            </w:r>
            <w:r>
              <w:rPr>
                <w:rFonts w:hint="eastAsia" w:ascii="Times New Roman" w:hAnsi="Times New Roman" w:cs="Times New Roman"/>
                <w:bCs/>
                <w:color w:val="auto"/>
                <w:sz w:val="24"/>
                <w:lang w:val="en-US" w:eastAsia="zh-CN"/>
              </w:rPr>
              <w:t>满足防渗漏、防雨淋、防扬尘的环境管理要求</w:t>
            </w:r>
            <w:r>
              <w:rPr>
                <w:rFonts w:hint="default" w:ascii="Times New Roman" w:hAnsi="Times New Roman" w:cs="Times New Roman"/>
                <w:color w:val="auto"/>
                <w:spacing w:val="-3"/>
                <w:sz w:val="24"/>
              </w:rPr>
              <w:t>；</w:t>
            </w:r>
          </w:p>
          <w:p>
            <w:pPr>
              <w:adjustRightInd w:val="0"/>
              <w:snapToGrid w:val="0"/>
              <w:spacing w:line="500" w:lineRule="exact"/>
              <w:ind w:firstLine="468" w:firstLineChars="200"/>
              <w:rPr>
                <w:rFonts w:hint="default" w:ascii="Times New Roman" w:hAnsi="Times New Roman" w:cs="Times New Roman"/>
                <w:bCs/>
                <w:color w:val="auto"/>
                <w:sz w:val="24"/>
              </w:rPr>
            </w:pPr>
            <w:r>
              <w:rPr>
                <w:rFonts w:hint="default" w:ascii="Times New Roman" w:hAnsi="Times New Roman" w:cs="Times New Roman"/>
                <w:color w:val="auto"/>
                <w:spacing w:val="-3"/>
                <w:sz w:val="24"/>
              </w:rPr>
              <w:t>（2）危险废物</w:t>
            </w:r>
            <w:r>
              <w:rPr>
                <w:rFonts w:hint="default" w:ascii="Times New Roman" w:hAnsi="Times New Roman" w:cs="Times New Roman"/>
                <w:bCs/>
                <w:color w:val="auto"/>
                <w:sz w:val="24"/>
              </w:rPr>
              <w:t>执行《危险废物贮存污染控制标准》（GB18597-20</w:t>
            </w:r>
            <w:r>
              <w:rPr>
                <w:rFonts w:hint="eastAsia" w:cs="Times New Roman"/>
                <w:bCs/>
                <w:color w:val="auto"/>
                <w:sz w:val="24"/>
                <w:lang w:val="en-US" w:eastAsia="zh-CN"/>
              </w:rPr>
              <w:t>23</w:t>
            </w:r>
            <w:r>
              <w:rPr>
                <w:rFonts w:hint="default" w:ascii="Times New Roman" w:hAnsi="Times New Roman" w:cs="Times New Roman"/>
                <w:bCs/>
                <w:color w:val="auto"/>
                <w:sz w:val="24"/>
              </w:rPr>
              <w:t>），同时执行《省生态环境厅关于进一步加强危险废物污染防治工作的实施意见》（苏环办[2019]327号）、《省生态环境厅关于进一步加强危险废物环境管理工作的通知》（苏环办［2021］207号）的要求</w:t>
            </w:r>
            <w:r>
              <w:rPr>
                <w:rFonts w:hint="default" w:ascii="Times New Roman" w:hAnsi="Times New Roman" w:cs="Times New Roman"/>
                <w:color w:val="auto"/>
                <w:spacing w:val="-3"/>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4" w:hRule="atLeast"/>
          <w:jc w:val="center"/>
        </w:trPr>
        <w:tc>
          <w:tcPr>
            <w:tcW w:w="832" w:type="dxa"/>
            <w:tcMar>
              <w:left w:w="28" w:type="dxa"/>
              <w:right w:w="28" w:type="dxa"/>
            </w:tcMar>
            <w:vAlign w:val="center"/>
          </w:tcPr>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总量</w:t>
            </w:r>
          </w:p>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控制</w:t>
            </w:r>
          </w:p>
          <w:p>
            <w:pPr>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指标</w:t>
            </w:r>
          </w:p>
        </w:tc>
        <w:tc>
          <w:tcPr>
            <w:tcW w:w="8152" w:type="dxa"/>
            <w:vAlign w:val="center"/>
          </w:tcPr>
          <w:p>
            <w:pPr>
              <w:keepNext w:val="0"/>
              <w:keepLines w:val="0"/>
              <w:pageBreakBefore w:val="0"/>
              <w:kinsoku/>
              <w:wordWrap/>
              <w:overflowPunct w:val="0"/>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b/>
                <w:bCs/>
                <w:color w:val="auto"/>
                <w:sz w:val="24"/>
              </w:rPr>
            </w:pPr>
            <w:r>
              <w:rPr>
                <w:rFonts w:hint="eastAsia" w:cs="Times New Roman"/>
                <w:b/>
                <w:bCs/>
                <w:color w:val="auto"/>
                <w:sz w:val="24"/>
                <w:lang w:val="en-US" w:eastAsia="zh-CN"/>
              </w:rPr>
              <w:t>1</w:t>
            </w:r>
            <w:r>
              <w:rPr>
                <w:rFonts w:hint="default" w:ascii="Times New Roman" w:hAnsi="Times New Roman" w:cs="Times New Roman"/>
                <w:b/>
                <w:bCs/>
                <w:color w:val="auto"/>
                <w:sz w:val="24"/>
              </w:rPr>
              <w:t>、总量控制指标</w:t>
            </w:r>
          </w:p>
          <w:p>
            <w:pPr>
              <w:keepNext w:val="0"/>
              <w:keepLines w:val="0"/>
              <w:pageBreakBefore w:val="0"/>
              <w:kinsoku/>
              <w:wordWrap/>
              <w:topLinePunct w:val="0"/>
              <w:autoSpaceDE/>
              <w:autoSpaceDN/>
              <w:bidi w:val="0"/>
              <w:adjustRightInd w:val="0"/>
              <w:snapToGrid w:val="0"/>
              <w:spacing w:line="500" w:lineRule="exact"/>
              <w:ind w:firstLine="523" w:firstLineChars="218"/>
              <w:jc w:val="left"/>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本项目建成后全厂污染物总量控制指标及来源途径见</w:t>
            </w:r>
            <w:r>
              <w:rPr>
                <w:rFonts w:hint="default" w:ascii="Times New Roman" w:hAnsi="Times New Roman" w:cs="Times New Roman"/>
                <w:color w:val="auto"/>
                <w:sz w:val="24"/>
                <w:lang w:val="en-US" w:eastAsia="zh-CN"/>
              </w:rPr>
              <w:t>下</w:t>
            </w:r>
            <w:r>
              <w:rPr>
                <w:rFonts w:hint="default" w:ascii="Times New Roman" w:hAnsi="Times New Roman" w:cs="Times New Roman"/>
                <w:color w:val="auto"/>
                <w:sz w:val="24"/>
              </w:rPr>
              <w:t>表</w:t>
            </w:r>
            <w:r>
              <w:rPr>
                <w:rFonts w:hint="default" w:ascii="Times New Roman" w:hAnsi="Times New Roman" w:cs="Times New Roman"/>
                <w:color w:val="auto"/>
                <w:sz w:val="24"/>
                <w:lang w:eastAsia="zh-CN"/>
              </w:rPr>
              <w:t>。</w:t>
            </w:r>
          </w:p>
          <w:p>
            <w:pPr>
              <w:adjustRightInd w:val="0"/>
              <w:snapToGrid w:val="0"/>
              <w:spacing w:line="500" w:lineRule="exact"/>
              <w:ind w:left="0" w:leftChars="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表3-1</w:t>
            </w:r>
            <w:r>
              <w:rPr>
                <w:rFonts w:hint="eastAsia"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lang w:val="en-US" w:eastAsia="zh-CN"/>
              </w:rPr>
              <w:t>全厂污染物排放情况一览表(t/a)</w:t>
            </w:r>
          </w:p>
          <w:tbl>
            <w:tblPr>
              <w:tblStyle w:val="27"/>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378"/>
              <w:gridCol w:w="1198"/>
              <w:gridCol w:w="698"/>
              <w:gridCol w:w="841"/>
              <w:gridCol w:w="714"/>
              <w:gridCol w:w="870"/>
              <w:gridCol w:w="806"/>
              <w:gridCol w:w="641"/>
              <w:gridCol w:w="846"/>
              <w:gridCol w:w="9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69" w:hRule="atLeast"/>
                <w:jc w:val="center"/>
              </w:trPr>
              <w:tc>
                <w:tcPr>
                  <w:tcW w:w="238" w:type="pct"/>
                  <w:vMerge w:val="restar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种类</w:t>
                  </w:r>
                </w:p>
              </w:tc>
              <w:tc>
                <w:tcPr>
                  <w:tcW w:w="755" w:type="pct"/>
                  <w:vMerge w:val="restar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污染物名称</w:t>
                  </w:r>
                </w:p>
              </w:tc>
              <w:tc>
                <w:tcPr>
                  <w:tcW w:w="970" w:type="pct"/>
                  <w:gridSpan w:val="2"/>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原有项目</w:t>
                  </w:r>
                </w:p>
              </w:tc>
              <w:tc>
                <w:tcPr>
                  <w:tcW w:w="1506" w:type="pct"/>
                  <w:gridSpan w:val="3"/>
                  <w:vAlign w:val="center"/>
                </w:tcPr>
                <w:p>
                  <w:pPr>
                    <w:keepNext w:val="0"/>
                    <w:keepLines w:val="0"/>
                    <w:pageBreakBefore w:val="0"/>
                    <w:widowControl/>
                    <w:kinsoku/>
                    <w:wordWrap/>
                    <w:overflowPunct/>
                    <w:topLinePunct w:val="0"/>
                    <w:autoSpaceDE/>
                    <w:autoSpaceDN/>
                    <w:bidi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本</w:t>
                  </w:r>
                  <w:r>
                    <w:rPr>
                      <w:rFonts w:hint="default" w:ascii="Times New Roman" w:hAnsi="Times New Roman" w:cs="Times New Roman"/>
                      <w:b/>
                      <w:color w:val="auto"/>
                      <w:sz w:val="21"/>
                      <w:szCs w:val="21"/>
                    </w:rPr>
                    <w:t>项目</w:t>
                  </w:r>
                </w:p>
              </w:tc>
              <w:tc>
                <w:tcPr>
                  <w:tcW w:w="404" w:type="pct"/>
                  <w:vMerge w:val="restart"/>
                  <w:vAlign w:val="center"/>
                </w:tcPr>
                <w:p>
                  <w:pPr>
                    <w:keepNext w:val="0"/>
                    <w:keepLines w:val="0"/>
                    <w:pageBreakBefore w:val="0"/>
                    <w:widowControl/>
                    <w:kinsoku/>
                    <w:wordWrap/>
                    <w:overflowPunct/>
                    <w:topLinePunct w:val="0"/>
                    <w:autoSpaceDE/>
                    <w:autoSpaceDN/>
                    <w:bidi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“以新带老”削减量</w:t>
                  </w:r>
                </w:p>
              </w:tc>
              <w:tc>
                <w:tcPr>
                  <w:tcW w:w="533" w:type="pct"/>
                  <w:vMerge w:val="restart"/>
                  <w:vAlign w:val="center"/>
                </w:tcPr>
                <w:p>
                  <w:pPr>
                    <w:keepNext w:val="0"/>
                    <w:keepLines w:val="0"/>
                    <w:pageBreakBefore w:val="0"/>
                    <w:widowControl/>
                    <w:kinsoku/>
                    <w:wordWrap/>
                    <w:overflowPunct/>
                    <w:topLinePunct w:val="0"/>
                    <w:autoSpaceDE/>
                    <w:autoSpaceDN/>
                    <w:bidi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全厂排放量</w:t>
                  </w:r>
                </w:p>
              </w:tc>
              <w:tc>
                <w:tcPr>
                  <w:tcW w:w="591" w:type="pct"/>
                  <w:vMerge w:val="restart"/>
                  <w:vAlign w:val="center"/>
                </w:tcPr>
                <w:p>
                  <w:pPr>
                    <w:keepNext w:val="0"/>
                    <w:keepLines w:val="0"/>
                    <w:pageBreakBefore w:val="0"/>
                    <w:widowControl/>
                    <w:kinsoku/>
                    <w:wordWrap/>
                    <w:overflowPunct/>
                    <w:topLinePunct w:val="0"/>
                    <w:autoSpaceDE/>
                    <w:autoSpaceDN/>
                    <w:bidi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扩建前后变化量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69" w:hRule="atLeast"/>
                <w:jc w:val="center"/>
              </w:trPr>
              <w:tc>
                <w:tcPr>
                  <w:tcW w:w="238" w:type="pct"/>
                  <w:vMerge w:val="continue"/>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p>
              </w:tc>
              <w:tc>
                <w:tcPr>
                  <w:tcW w:w="755" w:type="pct"/>
                  <w:vMerge w:val="continue"/>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p>
              </w:tc>
              <w:tc>
                <w:tcPr>
                  <w:tcW w:w="440"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实际排放量</w:t>
                  </w:r>
                </w:p>
              </w:tc>
              <w:tc>
                <w:tcPr>
                  <w:tcW w:w="530"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环评批复</w:t>
                  </w:r>
                  <w:r>
                    <w:rPr>
                      <w:rFonts w:hint="default" w:ascii="Times New Roman" w:hAnsi="Times New Roman" w:cs="Times New Roman"/>
                      <w:b/>
                      <w:color w:val="auto"/>
                      <w:sz w:val="21"/>
                      <w:szCs w:val="21"/>
                    </w:rPr>
                    <w:t>量</w:t>
                  </w:r>
                </w:p>
              </w:tc>
              <w:tc>
                <w:tcPr>
                  <w:tcW w:w="450"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产生量</w:t>
                  </w:r>
                </w:p>
              </w:tc>
              <w:tc>
                <w:tcPr>
                  <w:tcW w:w="548"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削减量</w:t>
                  </w:r>
                </w:p>
              </w:tc>
              <w:tc>
                <w:tcPr>
                  <w:tcW w:w="508"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排放量</w:t>
                  </w:r>
                </w:p>
              </w:tc>
              <w:tc>
                <w:tcPr>
                  <w:tcW w:w="404" w:type="pct"/>
                  <w:vMerge w:val="continue"/>
                  <w:vAlign w:val="center"/>
                </w:tcPr>
                <w:p>
                  <w:pPr>
                    <w:keepNext w:val="0"/>
                    <w:keepLines w:val="0"/>
                    <w:pageBreakBefore w:val="0"/>
                    <w:widowControl/>
                    <w:kinsoku/>
                    <w:wordWrap/>
                    <w:overflowPunct/>
                    <w:topLinePunct w:val="0"/>
                    <w:autoSpaceDE/>
                    <w:autoSpaceDN/>
                    <w:bidi w:val="0"/>
                    <w:snapToGrid w:val="0"/>
                    <w:jc w:val="center"/>
                    <w:textAlignment w:val="auto"/>
                    <w:rPr>
                      <w:rFonts w:hint="default" w:ascii="Times New Roman" w:hAnsi="Times New Roman" w:cs="Times New Roman"/>
                      <w:b/>
                      <w:color w:val="auto"/>
                      <w:sz w:val="21"/>
                      <w:szCs w:val="21"/>
                    </w:rPr>
                  </w:pPr>
                </w:p>
              </w:tc>
              <w:tc>
                <w:tcPr>
                  <w:tcW w:w="533" w:type="pct"/>
                  <w:vMerge w:val="continue"/>
                  <w:vAlign w:val="center"/>
                </w:tcPr>
                <w:p>
                  <w:pPr>
                    <w:keepNext w:val="0"/>
                    <w:keepLines w:val="0"/>
                    <w:pageBreakBefore w:val="0"/>
                    <w:widowControl/>
                    <w:kinsoku/>
                    <w:wordWrap/>
                    <w:overflowPunct/>
                    <w:topLinePunct w:val="0"/>
                    <w:autoSpaceDE/>
                    <w:autoSpaceDN/>
                    <w:bidi w:val="0"/>
                    <w:snapToGrid w:val="0"/>
                    <w:jc w:val="center"/>
                    <w:textAlignment w:val="auto"/>
                    <w:rPr>
                      <w:rFonts w:hint="default" w:ascii="Times New Roman" w:hAnsi="Times New Roman" w:cs="Times New Roman"/>
                      <w:b/>
                      <w:color w:val="auto"/>
                      <w:sz w:val="21"/>
                      <w:szCs w:val="21"/>
                    </w:rPr>
                  </w:pPr>
                </w:p>
              </w:tc>
              <w:tc>
                <w:tcPr>
                  <w:tcW w:w="591" w:type="pct"/>
                  <w:vMerge w:val="continue"/>
                  <w:vAlign w:val="center"/>
                </w:tcPr>
                <w:p>
                  <w:pPr>
                    <w:keepNext w:val="0"/>
                    <w:keepLines w:val="0"/>
                    <w:pageBreakBefore w:val="0"/>
                    <w:widowControl/>
                    <w:kinsoku/>
                    <w:wordWrap/>
                    <w:overflowPunct/>
                    <w:topLinePunct w:val="0"/>
                    <w:autoSpaceDE/>
                    <w:autoSpaceDN/>
                    <w:bidi w:val="0"/>
                    <w:snapToGrid w:val="0"/>
                    <w:jc w:val="center"/>
                    <w:textAlignment w:val="auto"/>
                    <w:rPr>
                      <w:rFonts w:hint="default" w:ascii="Times New Roman" w:hAnsi="Times New Roman" w:cs="Times New Roman"/>
                      <w:b/>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69" w:hRule="atLeast"/>
                <w:jc w:val="center"/>
              </w:trPr>
              <w:tc>
                <w:tcPr>
                  <w:tcW w:w="238" w:type="pct"/>
                  <w:vMerge w:val="restar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755"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水量</w:t>
                  </w:r>
                </w:p>
              </w:tc>
              <w:tc>
                <w:tcPr>
                  <w:tcW w:w="440"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lang w:val="en-US" w:eastAsia="zh-CN"/>
                    </w:rPr>
                    <w:t>368</w:t>
                  </w:r>
                </w:p>
              </w:tc>
              <w:tc>
                <w:tcPr>
                  <w:tcW w:w="530"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lang w:val="en-US" w:eastAsia="zh-CN"/>
                    </w:rPr>
                    <w:t>368</w:t>
                  </w:r>
                </w:p>
              </w:tc>
              <w:tc>
                <w:tcPr>
                  <w:tcW w:w="450"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720</w:t>
                  </w:r>
                </w:p>
              </w:tc>
              <w:tc>
                <w:tcPr>
                  <w:tcW w:w="54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508" w:type="pct"/>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720</w:t>
                  </w:r>
                </w:p>
              </w:tc>
              <w:tc>
                <w:tcPr>
                  <w:tcW w:w="641" w:type="dxa"/>
                  <w:vAlign w:val="center"/>
                </w:tcPr>
                <w:p>
                  <w:pPr>
                    <w:jc w:val="center"/>
                    <w:rPr>
                      <w:rFonts w:hint="default" w:ascii="Times New Roman" w:hAnsi="Times New Roman" w:cs="Times New Roman"/>
                      <w:color w:val="auto"/>
                      <w:sz w:val="21"/>
                      <w:szCs w:val="21"/>
                    </w:rPr>
                  </w:pPr>
                  <w:r>
                    <w:rPr>
                      <w:rFonts w:hint="eastAsia" w:cs="Times New Roman"/>
                      <w:color w:val="auto"/>
                      <w:lang w:val="en-US" w:eastAsia="zh-CN"/>
                    </w:rPr>
                    <w:t>368</w:t>
                  </w:r>
                </w:p>
              </w:tc>
              <w:tc>
                <w:tcPr>
                  <w:tcW w:w="846"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720</w:t>
                  </w:r>
                </w:p>
              </w:tc>
              <w:tc>
                <w:tcPr>
                  <w:tcW w:w="93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352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69" w:hRule="atLeast"/>
                <w:jc w:val="center"/>
              </w:trPr>
              <w:tc>
                <w:tcPr>
                  <w:tcW w:w="238" w:type="pct"/>
                  <w:vMerge w:val="continue"/>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p>
              </w:tc>
              <w:tc>
                <w:tcPr>
                  <w:tcW w:w="755"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COD</w:t>
                  </w:r>
                </w:p>
              </w:tc>
              <w:tc>
                <w:tcPr>
                  <w:tcW w:w="440" w:type="pct"/>
                  <w:vAlign w:val="center"/>
                </w:tcPr>
                <w:p>
                  <w:pPr>
                    <w:jc w:val="center"/>
                    <w:rPr>
                      <w:rFonts w:hint="default" w:ascii="Times New Roman" w:hAnsi="Times New Roman" w:eastAsia="宋体" w:cs="Times New Roman"/>
                      <w:snapToGrid w:val="0"/>
                      <w:color w:val="auto"/>
                      <w:kern w:val="21"/>
                      <w:sz w:val="21"/>
                      <w:szCs w:val="21"/>
                      <w:lang w:val="en-US" w:eastAsia="zh-CN" w:bidi="ar-SA"/>
                    </w:rPr>
                  </w:pPr>
                  <w:r>
                    <w:rPr>
                      <w:rFonts w:hint="eastAsia"/>
                      <w:color w:val="auto"/>
                      <w:kern w:val="0"/>
                      <w:sz w:val="21"/>
                      <w:szCs w:val="21"/>
                      <w:lang w:val="en-US" w:eastAsia="zh-CN" w:bidi="ar"/>
                    </w:rPr>
                    <w:t>0.147</w:t>
                  </w:r>
                </w:p>
              </w:tc>
              <w:tc>
                <w:tcPr>
                  <w:tcW w:w="530"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kern w:val="0"/>
                      <w:sz w:val="21"/>
                      <w:szCs w:val="21"/>
                      <w:lang w:val="en-US" w:eastAsia="zh-CN" w:bidi="ar"/>
                    </w:rPr>
                    <w:t>0.147</w:t>
                  </w:r>
                </w:p>
              </w:tc>
              <w:tc>
                <w:tcPr>
                  <w:tcW w:w="714" w:type="dxa"/>
                  <w:vAlign w:val="center"/>
                </w:tcPr>
                <w:p>
                  <w:pPr>
                    <w:jc w:val="center"/>
                    <w:rPr>
                      <w:rFonts w:hint="default" w:ascii="Times New Roman" w:hAnsi="Times New Roman" w:cs="Times New Roman"/>
                      <w:color w:val="auto"/>
                      <w:sz w:val="21"/>
                      <w:szCs w:val="21"/>
                    </w:rPr>
                  </w:pPr>
                  <w:r>
                    <w:rPr>
                      <w:rFonts w:hint="eastAsia"/>
                      <w:color w:val="auto"/>
                      <w:szCs w:val="21"/>
                      <w:lang w:val="en-US" w:eastAsia="zh-CN"/>
                    </w:rPr>
                    <w:t>0.288</w:t>
                  </w:r>
                </w:p>
              </w:tc>
              <w:tc>
                <w:tcPr>
                  <w:tcW w:w="548"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c>
                <w:tcPr>
                  <w:tcW w:w="806"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0.288</w:t>
                  </w:r>
                </w:p>
              </w:tc>
              <w:tc>
                <w:tcPr>
                  <w:tcW w:w="641" w:type="dxa"/>
                  <w:vAlign w:val="center"/>
                </w:tcPr>
                <w:p>
                  <w:pPr>
                    <w:jc w:val="center"/>
                    <w:rPr>
                      <w:rFonts w:hint="default" w:ascii="Times New Roman" w:hAnsi="Times New Roman" w:cs="Times New Roman"/>
                      <w:color w:val="auto"/>
                      <w:sz w:val="21"/>
                      <w:szCs w:val="21"/>
                    </w:rPr>
                  </w:pPr>
                  <w:r>
                    <w:rPr>
                      <w:rFonts w:hint="eastAsia"/>
                      <w:color w:val="auto"/>
                      <w:kern w:val="0"/>
                      <w:sz w:val="21"/>
                      <w:szCs w:val="21"/>
                      <w:lang w:val="en-US" w:eastAsia="zh-CN" w:bidi="ar"/>
                    </w:rPr>
                    <w:t>0.147</w:t>
                  </w:r>
                </w:p>
              </w:tc>
              <w:tc>
                <w:tcPr>
                  <w:tcW w:w="846"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0.288</w:t>
                  </w:r>
                </w:p>
              </w:tc>
              <w:tc>
                <w:tcPr>
                  <w:tcW w:w="93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0.141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69" w:hRule="atLeast"/>
                <w:jc w:val="center"/>
              </w:trPr>
              <w:tc>
                <w:tcPr>
                  <w:tcW w:w="238" w:type="pct"/>
                  <w:vMerge w:val="continue"/>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p>
              </w:tc>
              <w:tc>
                <w:tcPr>
                  <w:tcW w:w="755"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SS</w:t>
                  </w:r>
                </w:p>
              </w:tc>
              <w:tc>
                <w:tcPr>
                  <w:tcW w:w="440" w:type="pct"/>
                  <w:vAlign w:val="center"/>
                </w:tcPr>
                <w:p>
                  <w:pPr>
                    <w:jc w:val="center"/>
                    <w:rPr>
                      <w:rFonts w:hint="default" w:ascii="Times New Roman" w:hAnsi="Times New Roman" w:eastAsia="宋体" w:cs="Times New Roman"/>
                      <w:snapToGrid w:val="0"/>
                      <w:color w:val="auto"/>
                      <w:kern w:val="21"/>
                      <w:sz w:val="21"/>
                      <w:szCs w:val="21"/>
                      <w:lang w:val="en-US" w:eastAsia="zh-CN" w:bidi="ar-SA"/>
                    </w:rPr>
                  </w:pPr>
                  <w:r>
                    <w:rPr>
                      <w:rFonts w:hint="eastAsia"/>
                      <w:color w:val="auto"/>
                      <w:kern w:val="0"/>
                      <w:sz w:val="21"/>
                      <w:szCs w:val="21"/>
                      <w:lang w:val="en-US" w:eastAsia="zh-CN" w:bidi="ar"/>
                    </w:rPr>
                    <w:t>0.092</w:t>
                  </w:r>
                </w:p>
              </w:tc>
              <w:tc>
                <w:tcPr>
                  <w:tcW w:w="530"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kern w:val="0"/>
                      <w:sz w:val="21"/>
                      <w:szCs w:val="21"/>
                      <w:lang w:val="en-US" w:eastAsia="zh-CN" w:bidi="ar"/>
                    </w:rPr>
                    <w:t>0.092</w:t>
                  </w:r>
                </w:p>
              </w:tc>
              <w:tc>
                <w:tcPr>
                  <w:tcW w:w="714" w:type="dxa"/>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Cs w:val="21"/>
                      <w:lang w:val="en-US" w:eastAsia="zh-CN"/>
                    </w:rPr>
                    <w:t>0.144</w:t>
                  </w:r>
                </w:p>
              </w:tc>
              <w:tc>
                <w:tcPr>
                  <w:tcW w:w="548"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c>
                <w:tcPr>
                  <w:tcW w:w="806"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0.144</w:t>
                  </w:r>
                </w:p>
              </w:tc>
              <w:tc>
                <w:tcPr>
                  <w:tcW w:w="641" w:type="dxa"/>
                  <w:vAlign w:val="center"/>
                </w:tcPr>
                <w:p>
                  <w:pPr>
                    <w:jc w:val="center"/>
                    <w:rPr>
                      <w:rFonts w:hint="default" w:ascii="Times New Roman" w:hAnsi="Times New Roman" w:cs="Times New Roman"/>
                      <w:color w:val="auto"/>
                      <w:sz w:val="21"/>
                      <w:szCs w:val="21"/>
                    </w:rPr>
                  </w:pPr>
                  <w:r>
                    <w:rPr>
                      <w:rFonts w:hint="eastAsia"/>
                      <w:color w:val="auto"/>
                      <w:kern w:val="0"/>
                      <w:sz w:val="21"/>
                      <w:szCs w:val="21"/>
                      <w:lang w:val="en-US" w:eastAsia="zh-CN" w:bidi="ar"/>
                    </w:rPr>
                    <w:t>0.092</w:t>
                  </w:r>
                </w:p>
              </w:tc>
              <w:tc>
                <w:tcPr>
                  <w:tcW w:w="846"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0.144</w:t>
                  </w:r>
                </w:p>
              </w:tc>
              <w:tc>
                <w:tcPr>
                  <w:tcW w:w="93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0.052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69" w:hRule="atLeast"/>
                <w:jc w:val="center"/>
              </w:trPr>
              <w:tc>
                <w:tcPr>
                  <w:tcW w:w="238" w:type="pct"/>
                  <w:vMerge w:val="continue"/>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p>
                <w:p>
                  <w:pPr>
                    <w:pStyle w:val="13"/>
                    <w:keepNext w:val="0"/>
                    <w:keepLines w:val="0"/>
                    <w:pageBreakBefore w:val="0"/>
                    <w:kinsoku/>
                    <w:wordWrap/>
                    <w:overflowPunct/>
                    <w:topLinePunct w:val="0"/>
                    <w:autoSpaceDE/>
                    <w:autoSpaceDN/>
                    <w:bidi w:val="0"/>
                    <w:snapToGrid w:val="0"/>
                    <w:spacing w:after="0"/>
                    <w:jc w:val="center"/>
                    <w:textAlignment w:val="auto"/>
                    <w:rPr>
                      <w:rFonts w:hint="default" w:ascii="Times New Roman" w:hAnsi="Times New Roman" w:cs="Times New Roman"/>
                      <w:color w:val="auto"/>
                      <w:sz w:val="21"/>
                      <w:szCs w:val="21"/>
                    </w:rPr>
                  </w:pPr>
                </w:p>
              </w:tc>
              <w:tc>
                <w:tcPr>
                  <w:tcW w:w="755"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440" w:type="pct"/>
                  <w:vAlign w:val="center"/>
                </w:tcPr>
                <w:p>
                  <w:pPr>
                    <w:jc w:val="center"/>
                    <w:rPr>
                      <w:rFonts w:hint="default" w:ascii="Times New Roman" w:hAnsi="Times New Roman" w:eastAsia="宋体" w:cs="Times New Roman"/>
                      <w:snapToGrid w:val="0"/>
                      <w:color w:val="auto"/>
                      <w:kern w:val="21"/>
                      <w:sz w:val="21"/>
                      <w:szCs w:val="21"/>
                      <w:lang w:val="en-US" w:eastAsia="zh-CN" w:bidi="ar-SA"/>
                    </w:rPr>
                  </w:pPr>
                  <w:r>
                    <w:rPr>
                      <w:rFonts w:hint="eastAsia"/>
                      <w:color w:val="auto"/>
                      <w:kern w:val="0"/>
                      <w:sz w:val="21"/>
                      <w:szCs w:val="21"/>
                      <w:lang w:val="en-US" w:eastAsia="zh-CN" w:bidi="ar"/>
                    </w:rPr>
                    <w:t>0.009</w:t>
                  </w:r>
                </w:p>
              </w:tc>
              <w:tc>
                <w:tcPr>
                  <w:tcW w:w="530"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kern w:val="0"/>
                      <w:sz w:val="21"/>
                      <w:szCs w:val="21"/>
                      <w:lang w:val="en-US" w:eastAsia="zh-CN" w:bidi="ar"/>
                    </w:rPr>
                    <w:t>0.009</w:t>
                  </w:r>
                </w:p>
              </w:tc>
              <w:tc>
                <w:tcPr>
                  <w:tcW w:w="714" w:type="dxa"/>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Cs w:val="21"/>
                      <w:lang w:val="en-US" w:eastAsia="zh-CN"/>
                    </w:rPr>
                    <w:t>0.022</w:t>
                  </w:r>
                </w:p>
              </w:tc>
              <w:tc>
                <w:tcPr>
                  <w:tcW w:w="548"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c>
                <w:tcPr>
                  <w:tcW w:w="806"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0.022</w:t>
                  </w:r>
                </w:p>
              </w:tc>
              <w:tc>
                <w:tcPr>
                  <w:tcW w:w="641" w:type="dxa"/>
                  <w:vAlign w:val="center"/>
                </w:tcPr>
                <w:p>
                  <w:pPr>
                    <w:jc w:val="center"/>
                    <w:rPr>
                      <w:rFonts w:hint="default" w:ascii="Times New Roman" w:hAnsi="Times New Roman" w:cs="Times New Roman"/>
                      <w:color w:val="auto"/>
                      <w:sz w:val="21"/>
                      <w:szCs w:val="21"/>
                    </w:rPr>
                  </w:pPr>
                  <w:r>
                    <w:rPr>
                      <w:rFonts w:hint="eastAsia"/>
                      <w:color w:val="auto"/>
                      <w:kern w:val="0"/>
                      <w:sz w:val="21"/>
                      <w:szCs w:val="21"/>
                      <w:lang w:val="en-US" w:eastAsia="zh-CN" w:bidi="ar"/>
                    </w:rPr>
                    <w:t>0.009</w:t>
                  </w:r>
                </w:p>
              </w:tc>
              <w:tc>
                <w:tcPr>
                  <w:tcW w:w="846"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0.022</w:t>
                  </w:r>
                </w:p>
              </w:tc>
              <w:tc>
                <w:tcPr>
                  <w:tcW w:w="93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0.013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69" w:hRule="atLeast"/>
                <w:jc w:val="center"/>
              </w:trPr>
              <w:tc>
                <w:tcPr>
                  <w:tcW w:w="238" w:type="pct"/>
                  <w:vMerge w:val="continue"/>
                  <w:vAlign w:val="center"/>
                </w:tcPr>
                <w:p>
                  <w:pPr>
                    <w:pStyle w:val="13"/>
                    <w:keepNext w:val="0"/>
                    <w:keepLines w:val="0"/>
                    <w:pageBreakBefore w:val="0"/>
                    <w:kinsoku/>
                    <w:wordWrap/>
                    <w:overflowPunct/>
                    <w:topLinePunct w:val="0"/>
                    <w:autoSpaceDE/>
                    <w:autoSpaceDN/>
                    <w:bidi w:val="0"/>
                    <w:snapToGrid w:val="0"/>
                    <w:spacing w:after="0"/>
                    <w:jc w:val="center"/>
                    <w:textAlignment w:val="auto"/>
                    <w:rPr>
                      <w:rFonts w:hint="default" w:ascii="Times New Roman" w:hAnsi="Times New Roman" w:cs="Times New Roman"/>
                      <w:color w:val="auto"/>
                      <w:sz w:val="21"/>
                      <w:szCs w:val="21"/>
                    </w:rPr>
                  </w:pPr>
                </w:p>
              </w:tc>
              <w:tc>
                <w:tcPr>
                  <w:tcW w:w="755"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TN</w:t>
                  </w:r>
                </w:p>
              </w:tc>
              <w:tc>
                <w:tcPr>
                  <w:tcW w:w="440" w:type="pct"/>
                  <w:vAlign w:val="center"/>
                </w:tcPr>
                <w:p>
                  <w:pPr>
                    <w:jc w:val="center"/>
                    <w:rPr>
                      <w:rFonts w:hint="default" w:ascii="Times New Roman" w:hAnsi="Times New Roman" w:eastAsia="宋体" w:cs="Times New Roman"/>
                      <w:snapToGrid w:val="0"/>
                      <w:color w:val="auto"/>
                      <w:kern w:val="21"/>
                      <w:sz w:val="21"/>
                      <w:szCs w:val="21"/>
                      <w:lang w:val="en-US" w:eastAsia="zh-CN" w:bidi="ar-SA"/>
                    </w:rPr>
                  </w:pPr>
                  <w:r>
                    <w:rPr>
                      <w:rFonts w:hint="eastAsia"/>
                      <w:color w:val="auto"/>
                      <w:sz w:val="21"/>
                      <w:szCs w:val="21"/>
                      <w:lang w:val="en-US" w:eastAsia="zh-CN"/>
                    </w:rPr>
                    <w:t>0.015</w:t>
                  </w:r>
                </w:p>
              </w:tc>
              <w:tc>
                <w:tcPr>
                  <w:tcW w:w="530"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714" w:type="dxa"/>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Cs w:val="21"/>
                      <w:lang w:val="en-US" w:eastAsia="zh-CN"/>
                    </w:rPr>
                    <w:t>0.029</w:t>
                  </w:r>
                </w:p>
              </w:tc>
              <w:tc>
                <w:tcPr>
                  <w:tcW w:w="548"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c>
                <w:tcPr>
                  <w:tcW w:w="806"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0.029</w:t>
                  </w:r>
                </w:p>
              </w:tc>
              <w:tc>
                <w:tcPr>
                  <w:tcW w:w="641" w:type="dxa"/>
                  <w:vAlign w:val="center"/>
                </w:tcPr>
                <w:p>
                  <w:pPr>
                    <w:jc w:val="center"/>
                    <w:rPr>
                      <w:rFonts w:hint="default" w:ascii="Times New Roman" w:hAnsi="Times New Roman" w:cs="Times New Roman"/>
                      <w:color w:val="auto"/>
                      <w:sz w:val="21"/>
                      <w:szCs w:val="21"/>
                    </w:rPr>
                  </w:pPr>
                  <w:r>
                    <w:rPr>
                      <w:rFonts w:hint="eastAsia"/>
                      <w:color w:val="auto"/>
                      <w:sz w:val="21"/>
                      <w:szCs w:val="21"/>
                      <w:lang w:val="en-US" w:eastAsia="zh-CN"/>
                    </w:rPr>
                    <w:t>0.015</w:t>
                  </w:r>
                </w:p>
              </w:tc>
              <w:tc>
                <w:tcPr>
                  <w:tcW w:w="846"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0.029</w:t>
                  </w:r>
                </w:p>
              </w:tc>
              <w:tc>
                <w:tcPr>
                  <w:tcW w:w="93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0.014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69" w:hRule="atLeast"/>
                <w:jc w:val="center"/>
              </w:trPr>
              <w:tc>
                <w:tcPr>
                  <w:tcW w:w="238" w:type="pct"/>
                  <w:vMerge w:val="continue"/>
                  <w:vAlign w:val="center"/>
                </w:tcPr>
                <w:p>
                  <w:pPr>
                    <w:pStyle w:val="13"/>
                    <w:keepNext w:val="0"/>
                    <w:keepLines w:val="0"/>
                    <w:pageBreakBefore w:val="0"/>
                    <w:kinsoku/>
                    <w:wordWrap/>
                    <w:overflowPunct/>
                    <w:topLinePunct w:val="0"/>
                    <w:autoSpaceDE/>
                    <w:autoSpaceDN/>
                    <w:bidi w:val="0"/>
                    <w:snapToGrid w:val="0"/>
                    <w:spacing w:after="0"/>
                    <w:jc w:val="center"/>
                    <w:textAlignment w:val="auto"/>
                    <w:rPr>
                      <w:rFonts w:hint="default" w:ascii="Times New Roman" w:hAnsi="Times New Roman" w:cs="Times New Roman"/>
                      <w:color w:val="auto"/>
                      <w:sz w:val="21"/>
                      <w:szCs w:val="21"/>
                    </w:rPr>
                  </w:pPr>
                </w:p>
              </w:tc>
              <w:tc>
                <w:tcPr>
                  <w:tcW w:w="755"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TP</w:t>
                  </w:r>
                </w:p>
              </w:tc>
              <w:tc>
                <w:tcPr>
                  <w:tcW w:w="440" w:type="pct"/>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kern w:val="0"/>
                      <w:sz w:val="21"/>
                      <w:szCs w:val="21"/>
                      <w:lang w:val="en-US" w:eastAsia="zh-CN" w:bidi="ar"/>
                    </w:rPr>
                    <w:t>0.001</w:t>
                  </w:r>
                </w:p>
              </w:tc>
              <w:tc>
                <w:tcPr>
                  <w:tcW w:w="530" w:type="pct"/>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kern w:val="0"/>
                      <w:sz w:val="21"/>
                      <w:szCs w:val="21"/>
                      <w:lang w:val="en-US" w:eastAsia="zh-CN" w:bidi="ar"/>
                    </w:rPr>
                    <w:t>0.001</w:t>
                  </w:r>
                </w:p>
              </w:tc>
              <w:tc>
                <w:tcPr>
                  <w:tcW w:w="714" w:type="dxa"/>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Cs w:val="21"/>
                      <w:lang w:val="en-US" w:eastAsia="zh-CN"/>
                    </w:rPr>
                    <w:t>0.002</w:t>
                  </w:r>
                </w:p>
              </w:tc>
              <w:tc>
                <w:tcPr>
                  <w:tcW w:w="548"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c>
                <w:tcPr>
                  <w:tcW w:w="806" w:type="dxa"/>
                  <w:vAlign w:val="center"/>
                </w:tcPr>
                <w:p>
                  <w:pPr>
                    <w:jc w:val="center"/>
                    <w:rPr>
                      <w:rFonts w:hint="default" w:ascii="Times New Roman" w:hAnsi="Times New Roman" w:cs="Times New Roman"/>
                      <w:color w:val="auto"/>
                      <w:sz w:val="21"/>
                      <w:szCs w:val="21"/>
                    </w:rPr>
                  </w:pPr>
                  <w:r>
                    <w:rPr>
                      <w:rFonts w:hint="eastAsia"/>
                      <w:color w:val="auto"/>
                      <w:szCs w:val="21"/>
                      <w:lang w:val="en-US" w:eastAsia="zh-CN"/>
                    </w:rPr>
                    <w:t>0.002</w:t>
                  </w:r>
                </w:p>
              </w:tc>
              <w:tc>
                <w:tcPr>
                  <w:tcW w:w="641" w:type="dxa"/>
                  <w:vAlign w:val="center"/>
                </w:tcPr>
                <w:p>
                  <w:pPr>
                    <w:jc w:val="center"/>
                    <w:rPr>
                      <w:rFonts w:hint="default" w:ascii="Times New Roman" w:hAnsi="Times New Roman" w:cs="Times New Roman"/>
                      <w:color w:val="auto"/>
                      <w:sz w:val="21"/>
                      <w:szCs w:val="21"/>
                    </w:rPr>
                  </w:pPr>
                  <w:r>
                    <w:rPr>
                      <w:rFonts w:hint="eastAsia"/>
                      <w:color w:val="auto"/>
                      <w:kern w:val="0"/>
                      <w:sz w:val="21"/>
                      <w:szCs w:val="21"/>
                      <w:lang w:val="en-US" w:eastAsia="zh-CN" w:bidi="ar"/>
                    </w:rPr>
                    <w:t>0.001</w:t>
                  </w:r>
                </w:p>
              </w:tc>
              <w:tc>
                <w:tcPr>
                  <w:tcW w:w="846"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0.002</w:t>
                  </w:r>
                </w:p>
              </w:tc>
              <w:tc>
                <w:tcPr>
                  <w:tcW w:w="93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69" w:hRule="atLeast"/>
                <w:jc w:val="center"/>
              </w:trPr>
              <w:tc>
                <w:tcPr>
                  <w:tcW w:w="238" w:type="pct"/>
                  <w:vMerge w:val="restar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755"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非甲烷总烃</w:t>
                  </w:r>
                </w:p>
              </w:tc>
              <w:tc>
                <w:tcPr>
                  <w:tcW w:w="440" w:type="pct"/>
                  <w:vAlign w:val="center"/>
                </w:tcPr>
                <w:p>
                  <w:pPr>
                    <w:widowControl/>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0.027</w:t>
                  </w:r>
                </w:p>
              </w:tc>
              <w:tc>
                <w:tcPr>
                  <w:tcW w:w="530" w:type="pct"/>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0</w:t>
                  </w:r>
                </w:p>
              </w:tc>
              <w:tc>
                <w:tcPr>
                  <w:tcW w:w="450" w:type="pct"/>
                  <w:vAlign w:val="center"/>
                </w:tcPr>
                <w:p>
                  <w:pPr>
                    <w:pStyle w:val="24"/>
                    <w:spacing w:after="0" w:line="240" w:lineRule="auto"/>
                    <w:jc w:val="center"/>
                    <w:rPr>
                      <w:rFonts w:hint="default" w:ascii="Times New Roman" w:hAnsi="Times New Roman" w:eastAsia="宋体" w:cs="Times New Roman"/>
                      <w:color w:val="auto"/>
                      <w:sz w:val="21"/>
                      <w:szCs w:val="21"/>
                      <w:lang w:val="en-US" w:eastAsia="zh-CN"/>
                    </w:rPr>
                  </w:pPr>
                  <w:r>
                    <w:rPr>
                      <w:rFonts w:hint="eastAsia" w:eastAsia="仿宋"/>
                      <w:color w:val="000000" w:themeColor="text1"/>
                      <w:kern w:val="0"/>
                      <w:sz w:val="21"/>
                      <w:szCs w:val="21"/>
                      <w:lang w:val="en-US" w:eastAsia="zh-CN"/>
                      <w14:textFill>
                        <w14:solidFill>
                          <w14:schemeClr w14:val="tx1"/>
                        </w14:solidFill>
                      </w14:textFill>
                    </w:rPr>
                    <w:t>1.372</w:t>
                  </w:r>
                </w:p>
              </w:tc>
              <w:tc>
                <w:tcPr>
                  <w:tcW w:w="548" w:type="pct"/>
                  <w:vAlign w:val="center"/>
                </w:tcPr>
                <w:p>
                  <w:pPr>
                    <w:pStyle w:val="24"/>
                    <w:spacing w:after="0"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1.111</w:t>
                  </w:r>
                </w:p>
              </w:tc>
              <w:tc>
                <w:tcPr>
                  <w:tcW w:w="508" w:type="pct"/>
                  <w:vAlign w:val="center"/>
                </w:tcPr>
                <w:p>
                  <w:pPr>
                    <w:pStyle w:val="24"/>
                    <w:spacing w:after="0" w:line="240" w:lineRule="auto"/>
                    <w:jc w:val="center"/>
                    <w:rPr>
                      <w:rFonts w:hint="default" w:ascii="Times New Roman" w:hAnsi="Times New Roman" w:eastAsia="宋体" w:cs="Times New Roman"/>
                      <w:color w:val="auto"/>
                      <w:sz w:val="21"/>
                      <w:szCs w:val="21"/>
                      <w:lang w:val="en-US" w:eastAsia="zh-CN"/>
                    </w:rPr>
                  </w:pPr>
                  <w:r>
                    <w:rPr>
                      <w:rFonts w:hint="eastAsia" w:cs="Times New Roman"/>
                      <w:snapToGrid w:val="0"/>
                      <w:color w:val="auto"/>
                      <w:kern w:val="21"/>
                      <w:sz w:val="21"/>
                      <w:szCs w:val="21"/>
                      <w:lang w:val="en-US" w:eastAsia="zh-CN" w:bidi="ar-SA"/>
                    </w:rPr>
                    <w:t>0.261</w:t>
                  </w:r>
                </w:p>
              </w:tc>
              <w:tc>
                <w:tcPr>
                  <w:tcW w:w="404" w:type="pct"/>
                  <w:vAlign w:val="center"/>
                </w:tcPr>
                <w:p>
                  <w:pPr>
                    <w:widowControl/>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kern w:val="2"/>
                      <w:sz w:val="21"/>
                      <w:szCs w:val="21"/>
                      <w:lang w:val="en-US" w:eastAsia="zh-CN" w:bidi="ar-SA"/>
                    </w:rPr>
                    <w:t>0.027</w:t>
                  </w:r>
                </w:p>
              </w:tc>
              <w:tc>
                <w:tcPr>
                  <w:tcW w:w="533" w:type="pct"/>
                  <w:vAlign w:val="center"/>
                </w:tcPr>
                <w:p>
                  <w:pPr>
                    <w:pStyle w:val="24"/>
                    <w:spacing w:after="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0.261</w:t>
                  </w:r>
                </w:p>
              </w:tc>
              <w:tc>
                <w:tcPr>
                  <w:tcW w:w="591" w:type="pct"/>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0.234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69" w:hRule="atLeast"/>
                <w:jc w:val="center"/>
              </w:trPr>
              <w:tc>
                <w:tcPr>
                  <w:tcW w:w="238" w:type="pct"/>
                  <w:vMerge w:val="continue"/>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p>
              </w:tc>
              <w:tc>
                <w:tcPr>
                  <w:tcW w:w="755" w:type="pc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MDI</w:t>
                  </w:r>
                </w:p>
              </w:tc>
              <w:tc>
                <w:tcPr>
                  <w:tcW w:w="440" w:type="pct"/>
                  <w:vAlign w:val="center"/>
                </w:tcPr>
                <w:p>
                  <w:pPr>
                    <w:widowControl/>
                    <w:adjustRightInd w:val="0"/>
                    <w:snapToGrid w:val="0"/>
                    <w:jc w:val="center"/>
                    <w:rPr>
                      <w:rFonts w:hint="eastAsia" w:cs="Times New Roman"/>
                      <w:color w:val="auto"/>
                      <w:kern w:val="2"/>
                      <w:sz w:val="21"/>
                      <w:szCs w:val="21"/>
                      <w:lang w:val="en-US" w:eastAsia="zh-CN" w:bidi="ar-SA"/>
                    </w:rPr>
                  </w:pPr>
                  <w:r>
                    <w:rPr>
                      <w:rFonts w:hint="eastAsia" w:cs="Times New Roman"/>
                      <w:color w:val="auto"/>
                      <w:kern w:val="0"/>
                      <w:sz w:val="21"/>
                      <w:szCs w:val="21"/>
                      <w:lang w:val="en-US" w:eastAsia="zh-CN" w:bidi="ar-SA"/>
                    </w:rPr>
                    <w:t>0</w:t>
                  </w:r>
                </w:p>
              </w:tc>
              <w:tc>
                <w:tcPr>
                  <w:tcW w:w="530" w:type="pct"/>
                  <w:vAlign w:val="center"/>
                </w:tcPr>
                <w:p>
                  <w:pPr>
                    <w:widowControl/>
                    <w:adjustRightInd w:val="0"/>
                    <w:snapToGrid w:val="0"/>
                    <w:jc w:val="center"/>
                    <w:rPr>
                      <w:rFonts w:hint="eastAsia" w:cs="Times New Roman"/>
                      <w:color w:val="auto"/>
                      <w:kern w:val="0"/>
                      <w:sz w:val="21"/>
                      <w:szCs w:val="21"/>
                      <w:lang w:val="en-US" w:eastAsia="zh-CN" w:bidi="ar-SA"/>
                    </w:rPr>
                  </w:pPr>
                  <w:r>
                    <w:rPr>
                      <w:rFonts w:hint="eastAsia" w:cs="Times New Roman"/>
                      <w:color w:val="auto"/>
                      <w:kern w:val="0"/>
                      <w:sz w:val="21"/>
                      <w:szCs w:val="21"/>
                      <w:lang w:val="en-US" w:eastAsia="zh-CN" w:bidi="ar-SA"/>
                    </w:rPr>
                    <w:t>0</w:t>
                  </w:r>
                </w:p>
              </w:tc>
              <w:tc>
                <w:tcPr>
                  <w:tcW w:w="450" w:type="pct"/>
                  <w:vAlign w:val="center"/>
                </w:tcPr>
                <w:p>
                  <w:pPr>
                    <w:pStyle w:val="24"/>
                    <w:spacing w:after="0" w:line="240" w:lineRule="auto"/>
                    <w:jc w:val="center"/>
                    <w:rPr>
                      <w:rFonts w:hint="default" w:ascii="Times New Roman" w:hAnsi="Times New Roman" w:eastAsia="宋体" w:cs="Times New Roman"/>
                      <w:color w:val="auto"/>
                      <w:sz w:val="21"/>
                      <w:szCs w:val="21"/>
                      <w:lang w:val="en-US" w:eastAsia="zh-CN"/>
                    </w:rPr>
                  </w:pPr>
                  <w:r>
                    <w:rPr>
                      <w:rFonts w:hint="eastAsia" w:cs="Times New Roman" w:eastAsiaTheme="minorEastAsia"/>
                      <w:bCs/>
                      <w:color w:val="auto"/>
                      <w:kern w:val="2"/>
                      <w:sz w:val="21"/>
                      <w:szCs w:val="22"/>
                      <w:lang w:val="en-US" w:eastAsia="zh-CN" w:bidi="ar-SA"/>
                    </w:rPr>
                    <w:t>0.006</w:t>
                  </w:r>
                </w:p>
              </w:tc>
              <w:tc>
                <w:tcPr>
                  <w:tcW w:w="548" w:type="pct"/>
                  <w:vAlign w:val="center"/>
                </w:tcPr>
                <w:p>
                  <w:pPr>
                    <w:pStyle w:val="24"/>
                    <w:spacing w:after="0"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0.0049</w:t>
                  </w:r>
                </w:p>
              </w:tc>
              <w:tc>
                <w:tcPr>
                  <w:tcW w:w="508" w:type="pct"/>
                  <w:vAlign w:val="center"/>
                </w:tcPr>
                <w:p>
                  <w:pPr>
                    <w:pStyle w:val="24"/>
                    <w:spacing w:after="0"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0.0011</w:t>
                  </w:r>
                </w:p>
              </w:tc>
              <w:tc>
                <w:tcPr>
                  <w:tcW w:w="404" w:type="pct"/>
                  <w:vAlign w:val="center"/>
                </w:tcPr>
                <w:p>
                  <w:pPr>
                    <w:widowControl/>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33" w:type="pct"/>
                  <w:vAlign w:val="center"/>
                </w:tcPr>
                <w:p>
                  <w:pPr>
                    <w:pStyle w:val="24"/>
                    <w:spacing w:after="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 w:val="21"/>
                      <w:szCs w:val="21"/>
                      <w:lang w:val="en-US" w:eastAsia="zh-CN"/>
                    </w:rPr>
                    <w:t>0.0011</w:t>
                  </w:r>
                </w:p>
              </w:tc>
              <w:tc>
                <w:tcPr>
                  <w:tcW w:w="591" w:type="pct"/>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+0.0011</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2、总量平衡方案</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废气</w:t>
            </w: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val="en-US" w:eastAsia="zh-CN"/>
              </w:rPr>
              <w:t>本项目新增</w:t>
            </w:r>
            <w:r>
              <w:rPr>
                <w:rFonts w:hint="default" w:ascii="Times New Roman" w:hAnsi="Times New Roman" w:cs="Times New Roman"/>
                <w:bCs/>
                <w:color w:val="auto"/>
                <w:sz w:val="24"/>
                <w:szCs w:val="24"/>
                <w:highlight w:val="none"/>
              </w:rPr>
              <w:t>排放</w:t>
            </w:r>
            <w:r>
              <w:rPr>
                <w:rFonts w:hint="eastAsia" w:cs="Times New Roman"/>
                <w:color w:val="auto"/>
                <w:sz w:val="24"/>
                <w:szCs w:val="24"/>
                <w:lang w:val="en-US" w:eastAsia="zh-CN"/>
              </w:rPr>
              <w:t>非甲烷总烃</w:t>
            </w:r>
            <w:r>
              <w:rPr>
                <w:rFonts w:hint="default" w:ascii="Times New Roman" w:hAnsi="Times New Roman" w:cs="Times New Roman"/>
                <w:bCs/>
                <w:color w:val="auto"/>
                <w:sz w:val="24"/>
                <w:szCs w:val="24"/>
                <w:highlight w:val="none"/>
              </w:rPr>
              <w:t xml:space="preserve"> </w:t>
            </w:r>
            <w:r>
              <w:rPr>
                <w:rFonts w:hint="eastAsia" w:cs="Times New Roman"/>
                <w:bCs/>
                <w:color w:val="auto"/>
                <w:sz w:val="24"/>
                <w:szCs w:val="24"/>
                <w:highlight w:val="none"/>
                <w:lang w:eastAsia="zh-CN"/>
              </w:rPr>
              <w:t>0.</w:t>
            </w:r>
            <w:r>
              <w:rPr>
                <w:rFonts w:hint="eastAsia" w:cs="Times New Roman"/>
                <w:bCs/>
                <w:color w:val="auto"/>
                <w:sz w:val="24"/>
                <w:szCs w:val="24"/>
                <w:highlight w:val="none"/>
                <w:lang w:val="en-US" w:eastAsia="zh-CN"/>
              </w:rPr>
              <w:t>234</w:t>
            </w:r>
            <w:r>
              <w:rPr>
                <w:rFonts w:hint="default" w:cs="Times New Roman"/>
                <w:bCs/>
                <w:color w:val="auto"/>
                <w:sz w:val="24"/>
                <w:szCs w:val="24"/>
                <w:highlight w:val="none"/>
                <w:lang w:val="en-US" w:eastAsia="zh-CN"/>
              </w:rPr>
              <w:t>t/a</w:t>
            </w:r>
            <w:r>
              <w:rPr>
                <w:rFonts w:hint="eastAsia"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在</w:t>
            </w:r>
            <w:r>
              <w:rPr>
                <w:rFonts w:hint="default" w:ascii="Times New Roman" w:hAnsi="Times New Roman" w:cs="Times New Roman"/>
                <w:bCs/>
                <w:color w:val="auto"/>
                <w:sz w:val="24"/>
                <w:szCs w:val="24"/>
                <w:highlight w:val="none"/>
                <w:lang w:eastAsia="zh-CN"/>
              </w:rPr>
              <w:t>金坛区</w:t>
            </w:r>
            <w:r>
              <w:rPr>
                <w:rFonts w:hint="default" w:ascii="Times New Roman" w:hAnsi="Times New Roman" w:cs="Times New Roman"/>
                <w:bCs/>
                <w:color w:val="auto"/>
                <w:sz w:val="24"/>
                <w:szCs w:val="24"/>
                <w:highlight w:val="none"/>
              </w:rPr>
              <w:t>范围内平衡。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bCs/>
                <w:color w:val="auto"/>
                <w:sz w:val="24"/>
              </w:rPr>
            </w:pPr>
            <w:r>
              <w:rPr>
                <w:rFonts w:hint="default" w:ascii="Times New Roman" w:hAnsi="Times New Roman" w:cs="Times New Roman"/>
                <w:color w:val="auto"/>
                <w:sz w:val="24"/>
              </w:rPr>
              <w:t>废水：</w:t>
            </w:r>
            <w:r>
              <w:rPr>
                <w:rFonts w:hint="default" w:ascii="Times New Roman" w:hAnsi="Times New Roman" w:cs="Times New Roman"/>
                <w:color w:val="auto"/>
                <w:sz w:val="24"/>
                <w:szCs w:val="24"/>
                <w:lang w:val="en-US" w:eastAsia="zh-CN"/>
              </w:rPr>
              <w:t>本项目生活污水</w:t>
            </w:r>
            <w:r>
              <w:rPr>
                <w:rFonts w:hint="eastAsia" w:cs="Times New Roman"/>
                <w:color w:val="auto"/>
                <w:sz w:val="24"/>
                <w:szCs w:val="24"/>
                <w:lang w:val="en-US" w:eastAsia="zh-CN"/>
              </w:rPr>
              <w:t>新增</w:t>
            </w:r>
            <w:r>
              <w:rPr>
                <w:rFonts w:hint="default" w:ascii="Times New Roman" w:hAnsi="Times New Roman" w:cs="Times New Roman"/>
                <w:color w:val="auto"/>
                <w:sz w:val="24"/>
                <w:szCs w:val="24"/>
                <w:lang w:val="en-US" w:eastAsia="zh-CN"/>
              </w:rPr>
              <w:t>接管</w:t>
            </w:r>
            <w:r>
              <w:rPr>
                <w:rFonts w:hint="default" w:ascii="Times New Roman" w:hAnsi="Times New Roman" w:cs="Times New Roman"/>
                <w:bCs/>
                <w:color w:val="auto"/>
                <w:sz w:val="24"/>
                <w:szCs w:val="24"/>
              </w:rPr>
              <w:t>量为</w:t>
            </w:r>
            <w:r>
              <w:rPr>
                <w:rFonts w:hint="eastAsia" w:cs="Times New Roman"/>
                <w:bCs/>
                <w:color w:val="auto"/>
                <w:sz w:val="24"/>
                <w:szCs w:val="24"/>
                <w:lang w:val="en-US" w:eastAsia="zh-CN"/>
              </w:rPr>
              <w:t>352</w:t>
            </w:r>
            <w:r>
              <w:rPr>
                <w:rFonts w:hint="default" w:ascii="Times New Roman" w:hAnsi="Times New Roman" w:cs="Times New Roman"/>
                <w:bCs/>
                <w:color w:val="auto"/>
                <w:sz w:val="24"/>
                <w:szCs w:val="24"/>
              </w:rPr>
              <w:t>t/a，</w:t>
            </w:r>
            <w:r>
              <w:rPr>
                <w:rFonts w:hint="default" w:ascii="Times New Roman" w:hAnsi="Times New Roman" w:cs="Times New Roman"/>
                <w:color w:val="auto"/>
                <w:sz w:val="24"/>
                <w:szCs w:val="24"/>
              </w:rPr>
              <w:t>COD 0.</w:t>
            </w:r>
            <w:r>
              <w:rPr>
                <w:rFonts w:hint="eastAsia" w:cs="Times New Roman"/>
                <w:color w:val="auto"/>
                <w:sz w:val="24"/>
                <w:szCs w:val="24"/>
                <w:lang w:val="en-US" w:eastAsia="zh-CN"/>
              </w:rPr>
              <w:t>141</w:t>
            </w:r>
            <w:r>
              <w:rPr>
                <w:rFonts w:hint="default" w:ascii="Times New Roman" w:hAnsi="Times New Roman" w:cs="Times New Roman"/>
                <w:color w:val="auto"/>
                <w:sz w:val="24"/>
                <w:szCs w:val="24"/>
              </w:rPr>
              <w:t>t/a、SS 0.</w:t>
            </w:r>
            <w:r>
              <w:rPr>
                <w:rFonts w:hint="eastAsia" w:cs="Times New Roman"/>
                <w:color w:val="auto"/>
                <w:sz w:val="24"/>
                <w:szCs w:val="24"/>
                <w:lang w:val="en-US" w:eastAsia="zh-CN"/>
              </w:rPr>
              <w:t>052</w:t>
            </w:r>
            <w:r>
              <w:rPr>
                <w:rFonts w:hint="default" w:ascii="Times New Roman" w:hAnsi="Times New Roman" w:cs="Times New Roman"/>
                <w:color w:val="auto"/>
                <w:sz w:val="24"/>
                <w:szCs w:val="24"/>
              </w:rPr>
              <w:t>t/a、NH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w:t>
            </w:r>
            <w:r>
              <w:rPr>
                <w:rFonts w:hint="eastAsia" w:cs="Times New Roman"/>
                <w:color w:val="auto"/>
                <w:sz w:val="24"/>
                <w:szCs w:val="24"/>
                <w:lang w:val="en-US" w:eastAsia="zh-CN"/>
              </w:rPr>
              <w:t>0.013</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val="en-US" w:eastAsia="zh-CN"/>
              </w:rPr>
              <w:t>TN</w:t>
            </w:r>
            <w:r>
              <w:rPr>
                <w:rFonts w:hint="default" w:ascii="Times New Roman" w:hAnsi="Times New Roman" w:cs="Times New Roman"/>
                <w:color w:val="auto"/>
                <w:sz w:val="24"/>
                <w:szCs w:val="24"/>
              </w:rPr>
              <w:t xml:space="preserve"> </w:t>
            </w:r>
            <w:r>
              <w:rPr>
                <w:rFonts w:hint="eastAsia" w:ascii="Times New Roman" w:hAnsi="Times New Roman" w:eastAsia="宋体" w:cs="Times New Roman"/>
                <w:color w:val="auto"/>
                <w:sz w:val="24"/>
                <w:szCs w:val="24"/>
                <w:lang w:val="en-US" w:eastAsia="zh-CN"/>
              </w:rPr>
              <w:t>0.0</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4</w:t>
            </w:r>
            <w:r>
              <w:rPr>
                <w:rFonts w:hint="default" w:ascii="Times New Roman" w:hAnsi="Times New Roman" w:cs="Times New Roman"/>
                <w:color w:val="auto"/>
                <w:sz w:val="24"/>
                <w:szCs w:val="24"/>
              </w:rPr>
              <w:t>t/a</w:t>
            </w:r>
            <w:r>
              <w:rPr>
                <w:rFonts w:hint="eastAsia" w:cs="Times New Roman"/>
                <w:color w:val="auto"/>
                <w:sz w:val="24"/>
                <w:szCs w:val="24"/>
                <w:lang w:eastAsia="zh-CN"/>
              </w:rPr>
              <w:t>、</w:t>
            </w:r>
            <w:r>
              <w:rPr>
                <w:rFonts w:hint="default" w:ascii="Times New Roman" w:hAnsi="Times New Roman" w:cs="Times New Roman"/>
                <w:color w:val="auto"/>
                <w:sz w:val="24"/>
                <w:szCs w:val="24"/>
              </w:rPr>
              <w:t>TP</w:t>
            </w:r>
            <w:r>
              <w:rPr>
                <w:rFonts w:hint="eastAsia" w:ascii="Times New Roman" w:hAnsi="Times New Roman" w:cs="Times New Roman"/>
                <w:color w:val="auto"/>
                <w:sz w:val="24"/>
                <w:szCs w:val="24"/>
                <w:lang w:val="en-US" w:eastAsia="zh-CN"/>
              </w:rPr>
              <w:t>0.001</w:t>
            </w:r>
            <w:r>
              <w:rPr>
                <w:rFonts w:hint="default" w:ascii="Times New Roman" w:hAnsi="Times New Roman" w:cs="Times New Roman"/>
                <w:color w:val="auto"/>
                <w:sz w:val="24"/>
                <w:szCs w:val="24"/>
              </w:rPr>
              <w:t>t/a</w:t>
            </w:r>
            <w:r>
              <w:rPr>
                <w:rFonts w:hint="default" w:ascii="Times New Roman" w:hAnsi="Times New Roman" w:cs="Times New Roman"/>
                <w:bCs/>
                <w:color w:val="auto"/>
                <w:sz w:val="24"/>
                <w:szCs w:val="24"/>
              </w:rPr>
              <w:t>，接入污水管网，排入</w:t>
            </w:r>
            <w:r>
              <w:rPr>
                <w:rFonts w:hint="default" w:ascii="Times New Roman" w:hAnsi="Times New Roman" w:cs="Times New Roman"/>
                <w:bCs/>
                <w:color w:val="auto"/>
                <w:sz w:val="24"/>
                <w:szCs w:val="24"/>
                <w:lang w:eastAsia="zh-CN"/>
              </w:rPr>
              <w:t>常州金坛区第二污水处理有限公司</w:t>
            </w:r>
            <w:r>
              <w:rPr>
                <w:rFonts w:hint="default" w:ascii="Times New Roman" w:hAnsi="Times New Roman" w:cs="Times New Roman"/>
                <w:bCs/>
                <w:color w:val="auto"/>
                <w:sz w:val="24"/>
                <w:szCs w:val="24"/>
              </w:rPr>
              <w:t>集中处理，污染物总量在污水处理厂内平衡</w:t>
            </w:r>
            <w:r>
              <w:rPr>
                <w:rFonts w:hint="default" w:ascii="Times New Roman" w:hAnsi="Times New Roman" w:cs="Times New Roman"/>
                <w:bCs/>
                <w:color w:val="auto"/>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固体废物：</w:t>
            </w:r>
            <w:r>
              <w:rPr>
                <w:rFonts w:hint="default" w:ascii="Times New Roman" w:hAnsi="Times New Roman" w:eastAsia="宋体" w:cs="Times New Roman"/>
                <w:bCs/>
                <w:color w:val="auto"/>
                <w:sz w:val="24"/>
              </w:rPr>
              <w:t>本项目产生的固体废物均进行合理处置，实现固体废物100%处置，无需申请总</w:t>
            </w:r>
            <w:r>
              <w:rPr>
                <w:rFonts w:hint="eastAsia" w:ascii="Times New Roman" w:hAnsi="Times New Roman" w:eastAsia="宋体" w:cs="Times New Roman"/>
                <w:bCs/>
                <w:color w:val="auto"/>
                <w:sz w:val="24"/>
                <w:lang w:val="en-US" w:eastAsia="zh-CN"/>
              </w:rPr>
              <w:t>量。</w:t>
            </w:r>
          </w:p>
          <w:p>
            <w:pPr>
              <w:pStyle w:val="12"/>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eastAsia" w:ascii="Times New Roman" w:hAnsi="Times New Roman" w:eastAsia="宋体" w:cs="Times New Roman"/>
                <w:bCs/>
                <w:color w:val="auto"/>
                <w:sz w:val="24"/>
                <w:lang w:val="en-US" w:eastAsia="zh-CN"/>
              </w:rPr>
            </w:pPr>
          </w:p>
          <w:p>
            <w:pPr>
              <w:pStyle w:val="16"/>
              <w:widowControl w:val="0"/>
              <w:numPr>
                <w:ilvl w:val="0"/>
                <w:numId w:val="0"/>
              </w:numPr>
              <w:jc w:val="both"/>
              <w:rPr>
                <w:rFonts w:hint="default" w:ascii="Times New Roman" w:hAnsi="Times New Roman" w:eastAsia="宋体" w:cs="Times New Roman"/>
                <w:bCs/>
                <w:color w:val="auto"/>
                <w:sz w:val="24"/>
                <w:lang w:val="en-US" w:eastAsia="zh-CN"/>
              </w:rPr>
            </w:pPr>
          </w:p>
        </w:tc>
      </w:tr>
    </w:tbl>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四、主要环境影响和保护措施</w:t>
      </w:r>
      <w:bookmarkEnd w:id="4"/>
    </w:p>
    <w:tbl>
      <w:tblPr>
        <w:tblStyle w:val="27"/>
        <w:tblpPr w:leftFromText="180" w:rightFromText="180" w:vertAnchor="text" w:tblpXSpec="center" w:tblpY="1"/>
        <w:tblOverlap w:val="never"/>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76" w:type="dxa"/>
            <w:tcMar>
              <w:left w:w="28" w:type="dxa"/>
              <w:right w:w="28" w:type="dxa"/>
            </w:tcMar>
            <w:vAlign w:val="center"/>
          </w:tcPr>
          <w:p>
            <w:pPr>
              <w:pStyle w:val="25"/>
              <w:adjustRightInd w:val="0"/>
              <w:snapToGrid w:val="0"/>
              <w:spacing w:before="0" w:beforeAutospacing="0" w:after="0" w:afterAutospacing="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施工</w:t>
            </w:r>
          </w:p>
          <w:p>
            <w:pPr>
              <w:pStyle w:val="25"/>
              <w:adjustRightInd w:val="0"/>
              <w:snapToGrid w:val="0"/>
              <w:spacing w:before="0" w:beforeAutospacing="0" w:after="0" w:afterAutospacing="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期环</w:t>
            </w:r>
          </w:p>
          <w:p>
            <w:pPr>
              <w:pStyle w:val="25"/>
              <w:adjustRightInd w:val="0"/>
              <w:snapToGrid w:val="0"/>
              <w:spacing w:before="0" w:beforeAutospacing="0" w:after="0" w:afterAutospacing="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境保</w:t>
            </w:r>
          </w:p>
          <w:p>
            <w:pPr>
              <w:pStyle w:val="25"/>
              <w:adjustRightInd w:val="0"/>
              <w:snapToGrid w:val="0"/>
              <w:spacing w:before="0" w:beforeAutospacing="0" w:after="0" w:afterAutospacing="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护措</w:t>
            </w:r>
          </w:p>
          <w:p>
            <w:pPr>
              <w:pStyle w:val="25"/>
              <w:adjustRightInd w:val="0"/>
              <w:snapToGrid w:val="0"/>
              <w:spacing w:before="0" w:beforeAutospacing="0" w:after="0" w:afterAutospacing="0"/>
              <w:jc w:val="center"/>
              <w:rPr>
                <w:rFonts w:hint="default" w:ascii="Times New Roman" w:hAnsi="Times New Roman" w:cs="Times New Roman"/>
                <w:bCs/>
                <w:color w:val="auto"/>
                <w:kern w:val="2"/>
                <w:szCs w:val="24"/>
              </w:rPr>
            </w:pPr>
            <w:r>
              <w:rPr>
                <w:rFonts w:hint="default" w:ascii="Times New Roman" w:hAnsi="Times New Roman" w:cs="Times New Roman"/>
                <w:color w:val="auto"/>
                <w:kern w:val="2"/>
                <w:szCs w:val="24"/>
              </w:rPr>
              <w:t>施</w:t>
            </w:r>
          </w:p>
        </w:tc>
        <w:tc>
          <w:tcPr>
            <w:tcW w:w="8273" w:type="dxa"/>
            <w:vAlign w:val="center"/>
          </w:tcPr>
          <w:p>
            <w:pPr>
              <w:adjustRightInd w:val="0"/>
              <w:snapToGrid w:val="0"/>
              <w:spacing w:line="500" w:lineRule="exact"/>
              <w:ind w:firstLine="480" w:firstLineChars="200"/>
              <w:rPr>
                <w:rFonts w:hint="default" w:ascii="Times New Roman" w:hAnsi="Times New Roman" w:cs="Times New Roman"/>
                <w:bCs/>
                <w:color w:val="auto"/>
                <w:spacing w:val="-10"/>
                <w:szCs w:val="21"/>
              </w:rPr>
            </w:pPr>
            <w:r>
              <w:rPr>
                <w:rFonts w:hint="default" w:ascii="Times New Roman" w:hAnsi="Times New Roman" w:cs="Times New Roman"/>
                <w:color w:val="auto"/>
                <w:sz w:val="24"/>
              </w:rPr>
              <w:t>本项目使用现有闲置厂房，包括后期设备安装等，不涉及土建，对周围环境影响较小，故本次环评不再对施工期环境影响进行分析</w:t>
            </w:r>
            <w:r>
              <w:rPr>
                <w:rFonts w:hint="default" w:ascii="Times New Roman" w:hAnsi="Times New Roman" w:cs="Times New Roman"/>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4" w:hRule="atLeast"/>
        </w:trPr>
        <w:tc>
          <w:tcPr>
            <w:tcW w:w="876" w:type="dxa"/>
            <w:tcMar>
              <w:left w:w="28" w:type="dxa"/>
              <w:right w:w="28" w:type="dxa"/>
            </w:tcMar>
            <w:vAlign w:val="center"/>
          </w:tcPr>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运营</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期环</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境影</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响和</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保护</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措施</w:t>
            </w:r>
          </w:p>
        </w:tc>
        <w:tc>
          <w:tcPr>
            <w:tcW w:w="8273" w:type="dxa"/>
            <w:vAlign w:val="center"/>
          </w:tcPr>
          <w:p>
            <w:pPr>
              <w:keepNext w:val="0"/>
              <w:keepLines w:val="0"/>
              <w:pageBreakBefore w:val="0"/>
              <w:kinsoku/>
              <w:wordWrap/>
              <w:overflowPunct/>
              <w:topLinePunct w:val="0"/>
              <w:autoSpaceDE/>
              <w:autoSpaceDN/>
              <w:bidi w:val="0"/>
              <w:adjustRightInd w:val="0"/>
              <w:snapToGrid w:val="0"/>
              <w:spacing w:line="500" w:lineRule="exact"/>
              <w:rPr>
                <w:rFonts w:hint="default" w:ascii="Times New Roman" w:hAnsi="Times New Roman" w:cs="Times New Roman"/>
                <w:b/>
                <w:color w:val="auto"/>
                <w:sz w:val="24"/>
              </w:rPr>
            </w:pPr>
            <w:r>
              <w:rPr>
                <w:rFonts w:hint="eastAsia" w:cs="Times New Roman"/>
                <w:b/>
                <w:color w:val="auto"/>
                <w:sz w:val="24"/>
                <w:lang w:eastAsia="zh-CN"/>
              </w:rPr>
              <w:t>一</w:t>
            </w:r>
            <w:r>
              <w:rPr>
                <w:rFonts w:hint="default" w:ascii="Times New Roman" w:hAnsi="Times New Roman" w:cs="Times New Roman"/>
                <w:b/>
                <w:color w:val="auto"/>
                <w:sz w:val="24"/>
              </w:rPr>
              <w:t>、废气</w:t>
            </w:r>
          </w:p>
          <w:p>
            <w:pPr>
              <w:keepNext w:val="0"/>
              <w:keepLines w:val="0"/>
              <w:pageBreakBefore w:val="0"/>
              <w:kinsoku/>
              <w:wordWrap/>
              <w:overflowPunct/>
              <w:topLinePunct w:val="0"/>
              <w:autoSpaceDE/>
              <w:autoSpaceDN/>
              <w:bidi w:val="0"/>
              <w:adjustRightInd w:val="0"/>
              <w:snapToGrid w:val="0"/>
              <w:spacing w:line="500" w:lineRule="exact"/>
              <w:ind w:firstLine="482" w:firstLineChars="200"/>
              <w:rPr>
                <w:rFonts w:hint="default" w:ascii="Times New Roman" w:hAnsi="Times New Roman" w:cs="Times New Roman"/>
                <w:b/>
                <w:bCs/>
                <w:color w:val="auto"/>
                <w:sz w:val="24"/>
                <w:lang w:val="en-US"/>
              </w:rPr>
            </w:pPr>
            <w:r>
              <w:rPr>
                <w:rFonts w:hint="eastAsia" w:cs="Times New Roman"/>
                <w:b/>
                <w:bCs/>
                <w:color w:val="auto"/>
                <w:sz w:val="24"/>
                <w:lang w:val="en-US" w:eastAsia="zh-CN"/>
              </w:rPr>
              <w:t>1、</w:t>
            </w:r>
            <w:r>
              <w:rPr>
                <w:rFonts w:hint="default" w:ascii="Times New Roman" w:hAnsi="Times New Roman" w:cs="Times New Roman"/>
                <w:b/>
                <w:bCs/>
                <w:color w:val="auto"/>
                <w:sz w:val="24"/>
                <w:lang w:val="en-US" w:eastAsia="zh-CN"/>
              </w:rPr>
              <w:t>废气产生情况</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①</w:t>
            </w:r>
            <w:r>
              <w:rPr>
                <w:rFonts w:hint="eastAsia" w:cs="Times New Roman"/>
                <w:color w:val="auto"/>
                <w:sz w:val="24"/>
                <w:lang w:eastAsia="zh-CN"/>
              </w:rPr>
              <w:t>热压</w:t>
            </w:r>
            <w:r>
              <w:rPr>
                <w:rFonts w:hint="eastAsia" w:cs="Times New Roman"/>
                <w:color w:val="auto"/>
                <w:sz w:val="24"/>
                <w:lang w:val="en-US" w:eastAsia="zh-CN"/>
              </w:rPr>
              <w:t>废气</w:t>
            </w:r>
            <w:r>
              <w:rPr>
                <w:rFonts w:hint="default" w:ascii="Times New Roman" w:hAnsi="Times New Roman" w:cs="Times New Roman"/>
                <w:color w:val="auto"/>
                <w:sz w:val="24"/>
                <w:lang w:val="en-US" w:eastAsia="zh-CN"/>
              </w:rPr>
              <w:t>（G</w:t>
            </w:r>
            <w:r>
              <w:rPr>
                <w:rFonts w:hint="eastAsia" w:cs="Times New Roman"/>
                <w:color w:val="auto"/>
                <w:sz w:val="24"/>
                <w:lang w:val="en-US" w:eastAsia="zh-CN"/>
              </w:rPr>
              <w:t>1-1、G2-1</w:t>
            </w:r>
            <w:r>
              <w:rPr>
                <w:rFonts w:hint="default" w:ascii="Times New Roman" w:hAnsi="Times New Roman" w:cs="Times New Roman"/>
                <w:color w:val="auto"/>
                <w:sz w:val="24"/>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lang w:val="en-US" w:eastAsia="zh-CN"/>
              </w:rPr>
              <w:t>项目</w:t>
            </w:r>
            <w:r>
              <w:rPr>
                <w:rFonts w:hint="eastAsia" w:cs="Times New Roman"/>
                <w:color w:val="auto"/>
                <w:sz w:val="24"/>
                <w:lang w:val="en-US" w:eastAsia="zh-CN"/>
              </w:rPr>
              <w:t>热压</w:t>
            </w:r>
            <w:r>
              <w:rPr>
                <w:rFonts w:hint="default" w:ascii="Times New Roman" w:hAnsi="Times New Roman" w:eastAsia="宋体" w:cs="Times New Roman"/>
                <w:color w:val="auto"/>
                <w:sz w:val="24"/>
                <w:lang w:val="en-US" w:eastAsia="zh-CN"/>
              </w:rPr>
              <w:t>过程</w:t>
            </w:r>
            <w:r>
              <w:rPr>
                <w:rFonts w:hint="eastAsia" w:cs="Times New Roman"/>
                <w:color w:val="auto"/>
                <w:sz w:val="24"/>
                <w:lang w:val="en-US" w:eastAsia="zh-CN"/>
              </w:rPr>
              <w:t>产生少量有机废气</w:t>
            </w:r>
            <w:r>
              <w:rPr>
                <w:rFonts w:hint="eastAsia" w:ascii="Times New Roman" w:hAnsi="Times New Roman" w:eastAsia="宋体" w:cs="Times New Roman"/>
                <w:color w:val="auto"/>
                <w:sz w:val="24"/>
                <w:lang w:val="en-US" w:eastAsia="zh-CN"/>
              </w:rPr>
              <w:t>，以非甲烷总烃计</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参考《空气污染物排放和控制手册》（美国国家环保局）中推</w:t>
            </w:r>
            <w:r>
              <w:rPr>
                <w:rFonts w:hint="eastAsia" w:ascii="Times New Roman" w:hAnsi="Times New Roman" w:eastAsia="宋体" w:cs="Times New Roman"/>
                <w:color w:val="auto"/>
                <w:sz w:val="24"/>
                <w:szCs w:val="24"/>
                <w:lang w:val="en-US" w:eastAsia="zh-CN"/>
              </w:rPr>
              <w:t>荐的公式和同类项目废气源强，热压过程挥发性有机物产生量系数为</w:t>
            </w:r>
            <w:r>
              <w:rPr>
                <w:rFonts w:hint="default" w:ascii="Times New Roman" w:hAnsi="Times New Roman" w:eastAsia="宋体" w:cs="Times New Roman"/>
                <w:color w:val="auto"/>
                <w:sz w:val="24"/>
                <w:szCs w:val="24"/>
                <w:lang w:val="en-US" w:eastAsia="zh-CN"/>
              </w:rPr>
              <w:t>0.5kg/t-</w:t>
            </w:r>
            <w:r>
              <w:rPr>
                <w:rFonts w:hint="eastAsia" w:ascii="Times New Roman" w:hAnsi="Times New Roman" w:eastAsia="宋体" w:cs="Times New Roman"/>
                <w:color w:val="auto"/>
                <w:sz w:val="24"/>
                <w:szCs w:val="24"/>
                <w:lang w:val="en-US" w:eastAsia="zh-CN"/>
              </w:rPr>
              <w:t>原料，项目热压过程</w:t>
            </w:r>
            <w:r>
              <w:rPr>
                <w:rFonts w:hint="eastAsia" w:ascii="Times New Roman" w:hAnsi="Times New Roman" w:eastAsia="宋体" w:cs="Times New Roman"/>
                <w:kern w:val="2"/>
                <w:sz w:val="24"/>
                <w:szCs w:val="24"/>
                <w:lang w:val="en-US" w:eastAsia="zh-CN" w:bidi="ar-SA"/>
              </w:rPr>
              <w:t>无纺布</w:t>
            </w:r>
            <w:r>
              <w:rPr>
                <w:rFonts w:hint="eastAsia" w:ascii="Times New Roman" w:hAnsi="Times New Roman" w:eastAsia="宋体" w:cs="Times New Roman"/>
                <w:color w:val="auto"/>
                <w:sz w:val="24"/>
                <w:szCs w:val="24"/>
                <w:lang w:val="en-US" w:eastAsia="zh-CN"/>
              </w:rPr>
              <w:t>消耗量为8.3万m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/a（约16.6t/a），针刺面料消耗量为</w:t>
            </w:r>
            <w:r>
              <w:rPr>
                <w:rFonts w:hint="eastAsia" w:cs="Times New Roman"/>
                <w:color w:val="auto"/>
                <w:sz w:val="24"/>
                <w:szCs w:val="24"/>
                <w:lang w:val="en-US" w:eastAsia="zh-CN"/>
              </w:rPr>
              <w:t>116</w:t>
            </w:r>
            <w:r>
              <w:rPr>
                <w:rFonts w:hint="eastAsia" w:ascii="Times New Roman" w:hAnsi="Times New Roman" w:eastAsia="宋体" w:cs="Times New Roman"/>
                <w:color w:val="auto"/>
                <w:sz w:val="24"/>
                <w:szCs w:val="24"/>
                <w:lang w:val="en-US" w:eastAsia="zh-CN"/>
              </w:rPr>
              <w:t>万m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/a（约</w:t>
            </w:r>
            <w:r>
              <w:rPr>
                <w:rFonts w:hint="eastAsia" w:cs="Times New Roman"/>
                <w:color w:val="auto"/>
                <w:sz w:val="24"/>
                <w:szCs w:val="24"/>
                <w:lang w:val="en-US" w:eastAsia="zh-CN"/>
              </w:rPr>
              <w:t>928</w:t>
            </w:r>
            <w:r>
              <w:rPr>
                <w:rFonts w:hint="eastAsia" w:ascii="Times New Roman" w:hAnsi="Times New Roman" w:eastAsia="宋体" w:cs="Times New Roman"/>
                <w:color w:val="auto"/>
                <w:sz w:val="24"/>
                <w:szCs w:val="24"/>
                <w:lang w:val="en-US" w:eastAsia="zh-CN"/>
              </w:rPr>
              <w:t>t/a），则项目热压工序有机废气非甲烷总烃产生量为0.</w:t>
            </w:r>
            <w:r>
              <w:rPr>
                <w:rFonts w:hint="eastAsia" w:cs="Times New Roman"/>
                <w:color w:val="auto"/>
                <w:sz w:val="24"/>
                <w:szCs w:val="24"/>
                <w:lang w:val="en-US" w:eastAsia="zh-CN"/>
              </w:rPr>
              <w:t>472</w:t>
            </w:r>
            <w:r>
              <w:rPr>
                <w:rFonts w:hint="eastAsia"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hint="eastAsia" w:cs="Times New Roman"/>
                <w:color w:val="auto"/>
                <w:sz w:val="24"/>
                <w:lang w:val="en-US" w:eastAsia="zh-CN"/>
              </w:rPr>
            </w:pPr>
            <w:r>
              <w:rPr>
                <w:rFonts w:hint="default" w:ascii="Times New Roman" w:hAnsi="Times New Roman" w:cs="Times New Roman"/>
                <w:bCs/>
                <w:color w:val="auto"/>
                <w:sz w:val="24"/>
              </w:rPr>
              <w:t>②</w:t>
            </w:r>
            <w:r>
              <w:rPr>
                <w:rFonts w:hint="eastAsia" w:cs="Times New Roman"/>
                <w:color w:val="auto"/>
                <w:sz w:val="24"/>
                <w:lang w:val="en-US" w:eastAsia="zh-CN"/>
              </w:rPr>
              <w:t>混合</w:t>
            </w:r>
            <w:r>
              <w:rPr>
                <w:rFonts w:hint="eastAsia" w:ascii="Times New Roman" w:hAnsi="Times New Roman" w:cs="Times New Roman"/>
                <w:color w:val="auto"/>
                <w:sz w:val="24"/>
                <w:lang w:val="en-US" w:eastAsia="zh-CN"/>
              </w:rPr>
              <w:t>废气</w:t>
            </w:r>
            <w:r>
              <w:rPr>
                <w:rFonts w:hint="default" w:ascii="Times New Roman" w:hAnsi="Times New Roman" w:cs="Times New Roman"/>
                <w:color w:val="auto"/>
                <w:sz w:val="24"/>
                <w:lang w:val="en-US" w:eastAsia="zh-CN"/>
              </w:rPr>
              <w:t>（G</w:t>
            </w:r>
            <w:r>
              <w:rPr>
                <w:rFonts w:hint="eastAsia" w:cs="Times New Roman"/>
                <w:color w:val="auto"/>
                <w:sz w:val="24"/>
                <w:lang w:val="en-US" w:eastAsia="zh-CN"/>
              </w:rPr>
              <w:t>1-</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、发泡废气</w:t>
            </w:r>
            <w:r>
              <w:rPr>
                <w:rFonts w:hint="default" w:ascii="Times New Roman" w:hAnsi="Times New Roman" w:cs="Times New Roman"/>
                <w:color w:val="auto"/>
                <w:sz w:val="24"/>
                <w:lang w:val="en-US" w:eastAsia="zh-CN"/>
              </w:rPr>
              <w:t>（G</w:t>
            </w:r>
            <w:r>
              <w:rPr>
                <w:rFonts w:hint="eastAsia" w:cs="Times New Roman"/>
                <w:color w:val="auto"/>
                <w:sz w:val="24"/>
                <w:lang w:val="en-US" w:eastAsia="zh-CN"/>
              </w:rPr>
              <w:t>1-4</w:t>
            </w:r>
            <w:r>
              <w:rPr>
                <w:rFonts w:hint="default" w:ascii="Times New Roman" w:hAnsi="Times New Roman" w:cs="Times New Roman"/>
                <w:color w:val="auto"/>
                <w:sz w:val="24"/>
                <w:lang w:val="en-US" w:eastAsia="zh-CN"/>
              </w:rPr>
              <w:t>）</w:t>
            </w:r>
            <w:r>
              <w:rPr>
                <w:rFonts w:hint="eastAsia" w:cs="Times New Roman"/>
                <w:color w:val="auto"/>
                <w:sz w:val="24"/>
                <w:lang w:val="en-US" w:eastAsia="zh-CN"/>
              </w:rPr>
              <w:t>、开模废气</w:t>
            </w:r>
            <w:r>
              <w:rPr>
                <w:rFonts w:hint="default" w:ascii="Times New Roman" w:hAnsi="Times New Roman" w:cs="Times New Roman"/>
                <w:color w:val="auto"/>
                <w:sz w:val="24"/>
                <w:lang w:val="en-US" w:eastAsia="zh-CN"/>
              </w:rPr>
              <w:t>（G</w:t>
            </w:r>
            <w:r>
              <w:rPr>
                <w:rFonts w:hint="eastAsia" w:cs="Times New Roman"/>
                <w:color w:val="auto"/>
                <w:sz w:val="24"/>
                <w:lang w:val="en-US" w:eastAsia="zh-CN"/>
              </w:rPr>
              <w:t>1-6</w:t>
            </w:r>
            <w:r>
              <w:rPr>
                <w:rFonts w:hint="default" w:ascii="Times New Roman" w:hAnsi="Times New Roman" w:cs="Times New Roman"/>
                <w:color w:val="auto"/>
                <w:sz w:val="24"/>
                <w:lang w:val="en-US" w:eastAsia="zh-CN"/>
              </w:rPr>
              <w:t>）</w:t>
            </w:r>
          </w:p>
          <w:p>
            <w:pPr>
              <w:pStyle w:val="12"/>
              <w:keepNext w:val="0"/>
              <w:keepLines w:val="0"/>
              <w:pageBreakBefore w:val="0"/>
              <w:widowControl/>
              <w:kinsoku/>
              <w:wordWrap/>
              <w:overflowPunct/>
              <w:topLinePunct w:val="0"/>
              <w:autoSpaceDE/>
              <w:autoSpaceDN/>
              <w:bidi w:val="0"/>
              <w:adjustRightInd/>
              <w:snapToGrid w:val="0"/>
              <w:spacing w:before="0" w:after="0" w:line="500" w:lineRule="exact"/>
              <w:ind w:left="0" w:leftChars="0" w:right="0" w:firstLine="480" w:firstLineChars="200"/>
              <w:jc w:val="both"/>
              <w:textAlignment w:val="auto"/>
              <w:rPr>
                <w:rFonts w:hint="default"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项目混合、发泡、开模过程均产生废气，主要污染物为非甲烷总烃和MDI。非甲烷总烃废气源强参考</w:t>
            </w:r>
            <w:r>
              <w:rPr>
                <w:rFonts w:hint="default" w:ascii="Times New Roman" w:hAnsi="Times New Roman" w:eastAsia="宋体" w:cs="Times New Roman"/>
                <w:bCs/>
                <w:color w:val="auto"/>
                <w:kern w:val="2"/>
                <w:sz w:val="24"/>
                <w:szCs w:val="24"/>
                <w:lang w:val="en-US" w:eastAsia="zh-CN" w:bidi="ar-SA"/>
              </w:rPr>
              <w:t>《污染源统计调查产排污核算方法和系数手册》中 2924泡沫塑料制造行业系数手册，发泡成型过程中非甲烷总烃的污染系数为30</w:t>
            </w:r>
            <w:r>
              <w:rPr>
                <w:rFonts w:hint="eastAsia" w:ascii="Times New Roman" w:hAnsi="Times New Roman" w:eastAsia="宋体" w:cs="Times New Roman"/>
                <w:bCs/>
                <w:color w:val="auto"/>
                <w:kern w:val="2"/>
                <w:sz w:val="24"/>
                <w:szCs w:val="24"/>
                <w:lang w:val="en-US" w:eastAsia="zh-CN" w:bidi="ar-SA"/>
              </w:rPr>
              <w:t>kg</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t</w:t>
            </w:r>
            <w:r>
              <w:rPr>
                <w:rFonts w:hint="default" w:ascii="Times New Roman" w:hAnsi="Times New Roman" w:eastAsia="宋体" w:cs="Times New Roman"/>
                <w:bCs/>
                <w:color w:val="auto"/>
                <w:kern w:val="2"/>
                <w:sz w:val="24"/>
                <w:szCs w:val="24"/>
                <w:lang w:val="en-US" w:eastAsia="zh-CN" w:bidi="ar-SA"/>
              </w:rPr>
              <w:t>-产品，项目</w:t>
            </w:r>
            <w:r>
              <w:rPr>
                <w:rFonts w:hint="eastAsia" w:ascii="Times New Roman" w:hAnsi="Times New Roman" w:eastAsia="宋体" w:cs="Times New Roman"/>
                <w:bCs/>
                <w:color w:val="auto"/>
                <w:kern w:val="2"/>
                <w:sz w:val="24"/>
                <w:szCs w:val="24"/>
                <w:lang w:val="en-US" w:eastAsia="zh-CN" w:bidi="ar-SA"/>
              </w:rPr>
              <w:t>发泡A料（</w:t>
            </w:r>
            <w:r>
              <w:rPr>
                <w:rFonts w:hint="eastAsia" w:ascii="Times New Roman" w:hAnsi="Times New Roman" w:eastAsia="宋体" w:cs="Times New Roman"/>
                <w:kern w:val="2"/>
                <w:sz w:val="24"/>
                <w:szCs w:val="24"/>
                <w:lang w:val="en-US" w:eastAsia="zh-CN" w:bidi="ar-SA"/>
              </w:rPr>
              <w:t>聚醚多元醇、聚合物多元醇</w:t>
            </w:r>
            <w:r>
              <w:rPr>
                <w:rFonts w:hint="eastAsia" w:ascii="Times New Roman" w:hAnsi="Times New Roman" w:eastAsia="宋体" w:cs="Times New Roman"/>
                <w:bCs/>
                <w:color w:val="auto"/>
                <w:kern w:val="2"/>
                <w:sz w:val="24"/>
                <w:szCs w:val="24"/>
                <w:lang w:val="en-US" w:eastAsia="zh-CN" w:bidi="ar-SA"/>
              </w:rPr>
              <w:t>）、发泡B料（改性MDI）消耗</w:t>
            </w:r>
            <w:r>
              <w:rPr>
                <w:rFonts w:hint="default" w:ascii="Times New Roman" w:hAnsi="Times New Roman" w:eastAsia="宋体" w:cs="Times New Roman"/>
                <w:bCs/>
                <w:color w:val="auto"/>
                <w:kern w:val="2"/>
                <w:sz w:val="24"/>
                <w:szCs w:val="24"/>
                <w:lang w:val="en-US" w:eastAsia="zh-CN" w:bidi="ar-SA"/>
              </w:rPr>
              <w:t>量</w:t>
            </w:r>
            <w:r>
              <w:rPr>
                <w:rFonts w:hint="eastAsia" w:ascii="Times New Roman" w:hAnsi="Times New Roman" w:eastAsia="宋体" w:cs="Times New Roman"/>
                <w:bCs/>
                <w:color w:val="auto"/>
                <w:kern w:val="2"/>
                <w:sz w:val="24"/>
                <w:szCs w:val="24"/>
                <w:lang w:val="en-US" w:eastAsia="zh-CN" w:bidi="ar-SA"/>
              </w:rPr>
              <w:t>约</w:t>
            </w:r>
            <w:r>
              <w:rPr>
                <w:rFonts w:hint="default" w:ascii="Times New Roman" w:hAnsi="Times New Roman" w:eastAsia="宋体" w:cs="Times New Roman"/>
                <w:bCs/>
                <w:color w:val="auto"/>
                <w:kern w:val="2"/>
                <w:sz w:val="24"/>
                <w:szCs w:val="24"/>
                <w:lang w:val="en-US" w:eastAsia="zh-CN" w:bidi="ar-SA"/>
              </w:rPr>
              <w:t>为</w:t>
            </w:r>
            <w:r>
              <w:rPr>
                <w:rFonts w:hint="eastAsia" w:ascii="Times New Roman" w:hAnsi="Times New Roman" w:eastAsia="宋体" w:cs="Times New Roman"/>
                <w:bCs/>
                <w:color w:val="auto"/>
                <w:kern w:val="2"/>
                <w:sz w:val="24"/>
                <w:szCs w:val="24"/>
                <w:lang w:val="en-US" w:eastAsia="zh-CN" w:bidi="ar-SA"/>
              </w:rPr>
              <w:t>30t</w:t>
            </w:r>
            <w:r>
              <w:rPr>
                <w:rFonts w:hint="default" w:ascii="Times New Roman" w:hAnsi="Times New Roman" w:eastAsia="宋体" w:cs="Times New Roman"/>
                <w:bCs/>
                <w:color w:val="auto"/>
                <w:kern w:val="2"/>
                <w:sz w:val="24"/>
                <w:szCs w:val="24"/>
                <w:lang w:val="en-US" w:eastAsia="zh-CN" w:bidi="ar-SA"/>
              </w:rPr>
              <w:t>/a，则非甲烷总烃产生量为</w:t>
            </w:r>
            <w:r>
              <w:rPr>
                <w:rFonts w:hint="eastAsia" w:ascii="Times New Roman" w:hAnsi="Times New Roman" w:eastAsia="宋体" w:cs="Times New Roman"/>
                <w:bCs/>
                <w:color w:val="auto"/>
                <w:kern w:val="2"/>
                <w:sz w:val="24"/>
                <w:szCs w:val="24"/>
                <w:lang w:val="en-US" w:eastAsia="zh-CN" w:bidi="ar-SA"/>
              </w:rPr>
              <w:t>0.9t</w:t>
            </w:r>
            <w:r>
              <w:rPr>
                <w:rFonts w:hint="default" w:ascii="Times New Roman" w:hAnsi="Times New Roman" w:eastAsia="宋体" w:cs="Times New Roman"/>
                <w:bCs/>
                <w:color w:val="auto"/>
                <w:kern w:val="2"/>
                <w:sz w:val="24"/>
                <w:szCs w:val="24"/>
                <w:lang w:val="en-US" w:eastAsia="zh-CN" w:bidi="ar-SA"/>
              </w:rPr>
              <w:t>/a。</w:t>
            </w:r>
          </w:p>
          <w:p>
            <w:pPr>
              <w:pStyle w:val="12"/>
              <w:keepNext w:val="0"/>
              <w:keepLines w:val="0"/>
              <w:pageBreakBefore w:val="0"/>
              <w:widowControl/>
              <w:kinsoku/>
              <w:wordWrap/>
              <w:overflowPunct/>
              <w:topLinePunct w:val="0"/>
              <w:autoSpaceDE/>
              <w:autoSpaceDN/>
              <w:bidi w:val="0"/>
              <w:adjustRightInd/>
              <w:snapToGrid w:val="0"/>
              <w:spacing w:before="0" w:after="0" w:line="500" w:lineRule="exact"/>
              <w:ind w:left="0" w:leftChars="0" w:right="0" w:firstLine="480" w:firstLineChars="200"/>
              <w:jc w:val="both"/>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MDI废气源强类比《江苏格瑞林家居科技有限公司家居用品制造生产项目》（该项目生产汽车腰靠、记忆棉颈枕、记忆棉枕头、坐垫，采取一步法发泡工艺，原辅料类型与本项目相同，该项目已通过环保验收），改性MDI挥发系数取0.06%，本项目发泡B料（改性MDI）用量为</w:t>
            </w:r>
            <w:r>
              <w:rPr>
                <w:rFonts w:hint="eastAsia" w:cs="Times New Roman"/>
                <w:bCs/>
                <w:color w:val="auto"/>
                <w:kern w:val="2"/>
                <w:sz w:val="24"/>
                <w:szCs w:val="24"/>
                <w:lang w:val="en-US" w:eastAsia="zh-CN" w:bidi="ar-SA"/>
              </w:rPr>
              <w:t>10</w:t>
            </w:r>
            <w:r>
              <w:rPr>
                <w:rFonts w:hint="eastAsia" w:ascii="Times New Roman" w:hAnsi="Times New Roman" w:eastAsia="宋体" w:cs="Times New Roman"/>
                <w:bCs/>
                <w:color w:val="auto"/>
                <w:kern w:val="2"/>
                <w:sz w:val="24"/>
                <w:szCs w:val="24"/>
                <w:lang w:val="en-US" w:eastAsia="zh-CN" w:bidi="ar-SA"/>
              </w:rPr>
              <w:t>t/a，则项目MDI废气产生量约为0.0</w:t>
            </w:r>
            <w:r>
              <w:rPr>
                <w:rFonts w:hint="eastAsia" w:cs="Times New Roman"/>
                <w:bCs/>
                <w:color w:val="auto"/>
                <w:kern w:val="2"/>
                <w:sz w:val="24"/>
                <w:szCs w:val="24"/>
                <w:lang w:val="en-US" w:eastAsia="zh-CN" w:bidi="ar-SA"/>
              </w:rPr>
              <w:t>06</w:t>
            </w:r>
            <w:r>
              <w:rPr>
                <w:rFonts w:hint="eastAsia" w:ascii="Times New Roman" w:hAnsi="Times New Roman" w:eastAsia="宋体" w:cs="Times New Roman"/>
                <w:bCs/>
                <w:color w:val="auto"/>
                <w:kern w:val="2"/>
                <w:sz w:val="24"/>
                <w:szCs w:val="24"/>
                <w:lang w:val="en-US" w:eastAsia="zh-CN" w:bidi="ar-SA"/>
              </w:rPr>
              <w:t>t/a。</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bCs/>
                <w:color w:val="auto"/>
                <w:kern w:val="2"/>
                <w:sz w:val="24"/>
                <w:szCs w:val="24"/>
                <w:lang w:val="en-US" w:eastAsia="zh-CN" w:bidi="ar-SA"/>
              </w:rPr>
              <w:t>综上，项目</w:t>
            </w:r>
            <w:r>
              <w:rPr>
                <w:rFonts w:hint="eastAsia" w:ascii="Times New Roman" w:hAnsi="Times New Roman"/>
                <w:bCs/>
                <w:color w:val="auto"/>
                <w:sz w:val="24"/>
                <w:lang w:val="en-US" w:eastAsia="zh-CN"/>
              </w:rPr>
              <w:t>混合、</w:t>
            </w:r>
            <w:r>
              <w:rPr>
                <w:rFonts w:hint="eastAsia" w:cs="Times New Roman"/>
                <w:color w:val="auto"/>
                <w:sz w:val="24"/>
                <w:lang w:val="en-US" w:eastAsia="zh-CN"/>
              </w:rPr>
              <w:t>发泡</w:t>
            </w:r>
            <w:r>
              <w:rPr>
                <w:rFonts w:hint="eastAsia" w:ascii="Times New Roman" w:hAnsi="Times New Roman"/>
                <w:bCs/>
                <w:color w:val="auto"/>
                <w:sz w:val="24"/>
                <w:lang w:val="en-US" w:eastAsia="zh-CN"/>
              </w:rPr>
              <w:t>、开模废气</w:t>
            </w:r>
            <w:r>
              <w:rPr>
                <w:rFonts w:hint="default" w:ascii="Times New Roman" w:hAnsi="Times New Roman" w:eastAsia="宋体" w:cs="Times New Roman"/>
                <w:bCs/>
                <w:color w:val="auto"/>
                <w:kern w:val="2"/>
                <w:sz w:val="24"/>
                <w:szCs w:val="24"/>
                <w:lang w:val="en-US" w:eastAsia="zh-CN" w:bidi="ar-SA"/>
              </w:rPr>
              <w:t>非甲烷总烃</w:t>
            </w:r>
            <w:r>
              <w:rPr>
                <w:rFonts w:hint="eastAsia" w:ascii="Times New Roman" w:hAnsi="Times New Roman" w:eastAsia="宋体" w:cs="Times New Roman"/>
                <w:bCs/>
                <w:color w:val="auto"/>
                <w:kern w:val="2"/>
                <w:sz w:val="24"/>
                <w:szCs w:val="24"/>
                <w:lang w:val="en-US" w:eastAsia="zh-CN" w:bidi="ar-SA"/>
              </w:rPr>
              <w:t>、MDI</w:t>
            </w:r>
            <w:r>
              <w:rPr>
                <w:rFonts w:hint="default" w:ascii="Times New Roman" w:hAnsi="Times New Roman" w:eastAsia="宋体" w:cs="Times New Roman"/>
                <w:bCs/>
                <w:color w:val="auto"/>
                <w:kern w:val="2"/>
                <w:sz w:val="24"/>
                <w:szCs w:val="24"/>
                <w:lang w:val="en-US" w:eastAsia="zh-CN" w:bidi="ar-SA"/>
              </w:rPr>
              <w:t>产生量</w:t>
            </w:r>
            <w:r>
              <w:rPr>
                <w:rFonts w:hint="eastAsia" w:ascii="Times New Roman" w:hAnsi="Times New Roman" w:eastAsia="宋体" w:cs="Times New Roman"/>
                <w:bCs/>
                <w:color w:val="auto"/>
                <w:kern w:val="2"/>
                <w:sz w:val="24"/>
                <w:szCs w:val="24"/>
                <w:lang w:val="en-US" w:eastAsia="zh-CN" w:bidi="ar-SA"/>
              </w:rPr>
              <w:t>分别</w:t>
            </w:r>
            <w:r>
              <w:rPr>
                <w:rFonts w:hint="default" w:ascii="Times New Roman" w:hAnsi="Times New Roman" w:eastAsia="宋体" w:cs="Times New Roman"/>
                <w:bCs/>
                <w:color w:val="auto"/>
                <w:kern w:val="2"/>
                <w:sz w:val="24"/>
                <w:szCs w:val="24"/>
                <w:lang w:val="en-US" w:eastAsia="zh-CN" w:bidi="ar-SA"/>
              </w:rPr>
              <w:t>为</w:t>
            </w:r>
            <w:r>
              <w:rPr>
                <w:rFonts w:hint="eastAsia" w:cs="Times New Roman"/>
                <w:bCs/>
                <w:color w:val="auto"/>
                <w:kern w:val="2"/>
                <w:sz w:val="24"/>
                <w:szCs w:val="24"/>
                <w:lang w:val="en-US" w:eastAsia="zh-CN" w:bidi="ar-SA"/>
              </w:rPr>
              <w:t>0.9</w:t>
            </w:r>
            <w:r>
              <w:rPr>
                <w:rFonts w:hint="eastAsia" w:ascii="Times New Roman" w:hAnsi="Times New Roman" w:eastAsia="宋体" w:cs="Times New Roman"/>
                <w:bCs/>
                <w:color w:val="auto"/>
                <w:kern w:val="2"/>
                <w:sz w:val="24"/>
                <w:szCs w:val="24"/>
                <w:lang w:val="en-US" w:eastAsia="zh-CN" w:bidi="ar-SA"/>
              </w:rPr>
              <w:t>t</w:t>
            </w:r>
            <w:r>
              <w:rPr>
                <w:rFonts w:hint="default" w:ascii="Times New Roman" w:hAnsi="Times New Roman" w:eastAsia="宋体" w:cs="Times New Roman"/>
                <w:bCs/>
                <w:color w:val="auto"/>
                <w:kern w:val="2"/>
                <w:sz w:val="24"/>
                <w:szCs w:val="24"/>
                <w:lang w:val="en-US" w:eastAsia="zh-CN" w:bidi="ar-SA"/>
              </w:rPr>
              <w:t>/a</w:t>
            </w:r>
            <w:r>
              <w:rPr>
                <w:rFonts w:hint="eastAsia" w:ascii="Times New Roman" w:hAnsi="Times New Roman" w:eastAsia="宋体" w:cs="Times New Roman"/>
                <w:bCs/>
                <w:color w:val="auto"/>
                <w:kern w:val="2"/>
                <w:sz w:val="24"/>
                <w:szCs w:val="24"/>
                <w:lang w:val="en-US" w:eastAsia="zh-CN" w:bidi="ar-SA"/>
              </w:rPr>
              <w:t>、0.0</w:t>
            </w:r>
            <w:r>
              <w:rPr>
                <w:rFonts w:hint="eastAsia" w:cs="Times New Roman"/>
                <w:bCs/>
                <w:color w:val="auto"/>
                <w:kern w:val="2"/>
                <w:sz w:val="24"/>
                <w:szCs w:val="24"/>
                <w:lang w:val="en-US" w:eastAsia="zh-CN" w:bidi="ar-SA"/>
              </w:rPr>
              <w:t>06</w:t>
            </w:r>
            <w:r>
              <w:rPr>
                <w:rFonts w:hint="eastAsia" w:ascii="Times New Roman" w:hAnsi="Times New Roman" w:eastAsia="宋体" w:cs="Times New Roman"/>
                <w:bCs/>
                <w:color w:val="auto"/>
                <w:kern w:val="2"/>
                <w:sz w:val="24"/>
                <w:szCs w:val="24"/>
                <w:lang w:val="en-US" w:eastAsia="zh-CN" w:bidi="ar-SA"/>
              </w:rPr>
              <w:t>t/a</w:t>
            </w:r>
            <w:r>
              <w:rPr>
                <w:rFonts w:hint="eastAsia" w:ascii="Times New Roman" w:hAnsi="Times New Roman" w:eastAsia="宋体" w:cs="Times New Roman"/>
                <w:color w:val="auto"/>
                <w:sz w:val="24"/>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bCs/>
                <w:color w:val="auto"/>
                <w:sz w:val="24"/>
                <w:lang w:val="en-US" w:eastAsia="zh-CN"/>
              </w:rPr>
              <w:t>③</w:t>
            </w:r>
            <w:r>
              <w:rPr>
                <w:rFonts w:hint="eastAsia" w:ascii="Times New Roman" w:hAnsi="Times New Roman"/>
                <w:bCs/>
                <w:color w:val="auto"/>
                <w:sz w:val="24"/>
                <w:lang w:val="en-US" w:eastAsia="zh-CN"/>
              </w:rPr>
              <w:t>喷脱模剂</w:t>
            </w:r>
            <w:r>
              <w:rPr>
                <w:rFonts w:hint="eastAsia" w:ascii="Times New Roman" w:hAnsi="Times New Roman" w:eastAsia="宋体" w:cs="Times New Roman"/>
                <w:bCs/>
                <w:color w:val="auto"/>
                <w:kern w:val="2"/>
                <w:sz w:val="24"/>
                <w:szCs w:val="24"/>
                <w:lang w:val="en-US" w:eastAsia="zh-CN" w:bidi="ar-SA"/>
              </w:rPr>
              <w:t>废气</w:t>
            </w:r>
            <w:r>
              <w:rPr>
                <w:rFonts w:hint="default" w:ascii="Times New Roman" w:hAnsi="Times New Roman" w:cs="Times New Roman"/>
                <w:color w:val="auto"/>
                <w:sz w:val="24"/>
                <w:lang w:val="en-US" w:eastAsia="zh-CN"/>
              </w:rPr>
              <w:t>（G</w:t>
            </w:r>
            <w:r>
              <w:rPr>
                <w:rFonts w:hint="eastAsia" w:cs="Times New Roman"/>
                <w:color w:val="auto"/>
                <w:sz w:val="24"/>
                <w:lang w:val="en-US" w:eastAsia="zh-CN"/>
              </w:rPr>
              <w:t>1-3</w:t>
            </w:r>
            <w:r>
              <w:rPr>
                <w:rFonts w:hint="default" w:ascii="Times New Roman" w:hAnsi="Times New Roman" w:cs="Times New Roman"/>
                <w:color w:val="auto"/>
                <w:sz w:val="24"/>
                <w:lang w:val="en-US" w:eastAsia="zh-CN"/>
              </w:rPr>
              <w:t>）</w:t>
            </w:r>
            <w:r>
              <w:rPr>
                <w:rFonts w:hint="eastAsia" w:cs="Times New Roman"/>
                <w:color w:val="auto"/>
                <w:sz w:val="24"/>
                <w:lang w:val="en-US" w:eastAsia="zh-CN"/>
              </w:rPr>
              <w:t>、喷头清洗废气</w:t>
            </w:r>
            <w:r>
              <w:rPr>
                <w:rFonts w:hint="default" w:ascii="Times New Roman" w:hAnsi="Times New Roman" w:cs="Times New Roman"/>
                <w:color w:val="auto"/>
                <w:sz w:val="24"/>
                <w:lang w:val="en-US" w:eastAsia="zh-CN"/>
              </w:rPr>
              <w:t>（G</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5</w:t>
            </w:r>
            <w:r>
              <w:rPr>
                <w:rFonts w:hint="default" w:ascii="Times New Roman" w:hAnsi="Times New Roman" w:cs="Times New Roman"/>
                <w:color w:val="auto"/>
                <w:sz w:val="24"/>
                <w:lang w:val="en-US" w:eastAsia="zh-CN"/>
              </w:rPr>
              <w:t>）</w:t>
            </w:r>
          </w:p>
          <w:p>
            <w:pPr>
              <w:pStyle w:val="12"/>
              <w:keepNext w:val="0"/>
              <w:keepLines w:val="0"/>
              <w:pageBreakBefore w:val="0"/>
              <w:kinsoku/>
              <w:wordWrap/>
              <w:overflowPunct/>
              <w:topLinePunct w:val="0"/>
              <w:autoSpaceDE/>
              <w:autoSpaceDN/>
              <w:bidi w:val="0"/>
              <w:adjustRightInd w:val="0"/>
              <w:snapToGrid w:val="0"/>
              <w:spacing w:before="0" w:after="0" w:line="500" w:lineRule="exact"/>
              <w:ind w:right="0" w:firstLine="480" w:firstLineChars="200"/>
              <w:textAlignment w:val="baseline"/>
              <w:rPr>
                <w:rFonts w:hint="eastAsia" w:eastAsia="宋体"/>
                <w:color w:val="auto"/>
                <w:sz w:val="24"/>
                <w:szCs w:val="24"/>
                <w:highlight w:val="none"/>
                <w:lang w:val="en-US" w:eastAsia="zh-CN"/>
              </w:rPr>
            </w:pPr>
            <w:r>
              <w:rPr>
                <w:rFonts w:hint="eastAsia" w:ascii="Times New Roman" w:hAnsi="Times New Roman" w:eastAsia="宋体" w:cs="Times New Roman"/>
                <w:bCs/>
                <w:color w:val="auto"/>
                <w:kern w:val="2"/>
                <w:sz w:val="24"/>
                <w:szCs w:val="24"/>
                <w:lang w:val="en-US" w:eastAsia="zh-CN" w:bidi="ar-SA"/>
              </w:rPr>
              <w:t>项目</w:t>
            </w:r>
            <w:r>
              <w:rPr>
                <w:rFonts w:hint="eastAsia" w:ascii="Times New Roman" w:hAnsi="Times New Roman"/>
                <w:bCs/>
                <w:color w:val="auto"/>
                <w:sz w:val="24"/>
                <w:lang w:val="en-US" w:eastAsia="zh-CN"/>
              </w:rPr>
              <w:t>喷脱模剂</w:t>
            </w:r>
            <w:r>
              <w:rPr>
                <w:rFonts w:hint="eastAsia"/>
                <w:bCs/>
                <w:color w:val="auto"/>
                <w:sz w:val="24"/>
                <w:lang w:val="en-US" w:eastAsia="zh-CN"/>
              </w:rPr>
              <w:t>、喷头清洗</w:t>
            </w:r>
            <w:r>
              <w:rPr>
                <w:rFonts w:hint="eastAsia" w:ascii="Times New Roman" w:hAnsi="Times New Roman" w:eastAsia="宋体" w:cs="Times New Roman"/>
                <w:bCs/>
                <w:color w:val="auto"/>
                <w:kern w:val="2"/>
                <w:sz w:val="24"/>
                <w:szCs w:val="24"/>
                <w:lang w:val="en-US" w:eastAsia="zh-CN" w:bidi="ar-SA"/>
              </w:rPr>
              <w:t>工序产生少量废气，主要污染物为非甲烷总烃。</w:t>
            </w:r>
            <w:r>
              <w:rPr>
                <w:rFonts w:hint="eastAsia" w:cs="Times New Roman"/>
                <w:bCs/>
                <w:color w:val="auto"/>
                <w:kern w:val="2"/>
                <w:sz w:val="24"/>
                <w:szCs w:val="24"/>
                <w:lang w:val="en-US" w:eastAsia="zh-CN" w:bidi="ar-SA"/>
              </w:rPr>
              <w:t>根据脱模剂VOCs含量检测报告，</w:t>
            </w:r>
            <w:r>
              <w:rPr>
                <w:rFonts w:hint="eastAsia" w:ascii="Times New Roman" w:hAnsi="Times New Roman" w:eastAsia="宋体" w:cs="Times New Roman"/>
                <w:bCs/>
                <w:color w:val="auto"/>
                <w:kern w:val="2"/>
                <w:sz w:val="24"/>
                <w:szCs w:val="24"/>
                <w:lang w:val="en-US" w:eastAsia="zh-CN" w:bidi="ar-SA"/>
              </w:rPr>
              <w:t>项目使用的脱模剂</w:t>
            </w:r>
            <w:r>
              <w:rPr>
                <w:rFonts w:hint="eastAsia" w:cs="Times New Roman"/>
                <w:bCs/>
                <w:color w:val="auto"/>
                <w:kern w:val="2"/>
                <w:sz w:val="24"/>
                <w:szCs w:val="24"/>
                <w:lang w:val="en-US" w:eastAsia="zh-CN" w:bidi="ar-SA"/>
              </w:rPr>
              <w:t>中VOCs含量约4.94ug/g原料</w:t>
            </w:r>
            <w:r>
              <w:rPr>
                <w:rFonts w:hint="eastAsia" w:ascii="Times New Roman" w:hAnsi="Times New Roman" w:eastAsia="宋体" w:cs="Times New Roman"/>
                <w:bCs/>
                <w:color w:val="auto"/>
                <w:kern w:val="2"/>
                <w:sz w:val="24"/>
                <w:szCs w:val="24"/>
                <w:lang w:val="en-US" w:eastAsia="zh-CN" w:bidi="ar-SA"/>
              </w:rPr>
              <w:t>，本次环评按最不利情况考虑，脱模剂</w:t>
            </w:r>
            <w:r>
              <w:rPr>
                <w:rFonts w:hint="eastAsia" w:cs="Times New Roman"/>
                <w:bCs/>
                <w:color w:val="auto"/>
                <w:kern w:val="2"/>
                <w:sz w:val="24"/>
                <w:szCs w:val="24"/>
                <w:lang w:val="en-US" w:eastAsia="zh-CN" w:bidi="ar-SA"/>
              </w:rPr>
              <w:t>中挥发性组分</w:t>
            </w:r>
            <w:r>
              <w:rPr>
                <w:rFonts w:hint="eastAsia" w:ascii="Times New Roman" w:hAnsi="Times New Roman" w:eastAsia="宋体" w:cs="Times New Roman"/>
                <w:bCs/>
                <w:color w:val="auto"/>
                <w:kern w:val="2"/>
                <w:sz w:val="24"/>
                <w:szCs w:val="24"/>
                <w:lang w:val="en-US" w:eastAsia="zh-CN" w:bidi="ar-SA"/>
              </w:rPr>
              <w:t>全部挥发，项目使用脱模剂约</w:t>
            </w:r>
            <w:r>
              <w:rPr>
                <w:rFonts w:hint="eastAsia" w:cs="Times New Roman"/>
                <w:bCs/>
                <w:color w:val="auto"/>
                <w:kern w:val="2"/>
                <w:sz w:val="24"/>
                <w:szCs w:val="24"/>
                <w:lang w:val="en-US" w:eastAsia="zh-CN" w:bidi="ar-SA"/>
              </w:rPr>
              <w:t>0.3</w:t>
            </w:r>
            <w:r>
              <w:rPr>
                <w:rFonts w:hint="eastAsia" w:ascii="Times New Roman" w:hAnsi="Times New Roman" w:eastAsia="宋体" w:cs="Times New Roman"/>
                <w:bCs/>
                <w:color w:val="auto"/>
                <w:kern w:val="2"/>
                <w:sz w:val="24"/>
                <w:szCs w:val="24"/>
                <w:lang w:val="en-US" w:eastAsia="zh-CN" w:bidi="ar-SA"/>
              </w:rPr>
              <w:t>t/a，则</w:t>
            </w:r>
            <w:r>
              <w:rPr>
                <w:rFonts w:hint="eastAsia" w:ascii="Times New Roman" w:hAnsi="Times New Roman"/>
                <w:bCs/>
                <w:color w:val="auto"/>
                <w:sz w:val="24"/>
                <w:lang w:val="en-US" w:eastAsia="zh-CN"/>
              </w:rPr>
              <w:t>喷脱模剂</w:t>
            </w:r>
            <w:r>
              <w:rPr>
                <w:rFonts w:hint="eastAsia" w:cs="Times New Roman"/>
                <w:color w:val="auto"/>
                <w:sz w:val="24"/>
                <w:lang w:val="en-US" w:eastAsia="zh-CN"/>
              </w:rPr>
              <w:t>、喷头清洗废气</w:t>
            </w:r>
            <w:r>
              <w:rPr>
                <w:rFonts w:hint="eastAsia" w:ascii="Times New Roman" w:hAnsi="Times New Roman" w:eastAsia="宋体" w:cs="Times New Roman"/>
                <w:bCs/>
                <w:color w:val="auto"/>
                <w:kern w:val="2"/>
                <w:sz w:val="24"/>
                <w:szCs w:val="24"/>
                <w:lang w:val="en-US" w:eastAsia="zh-CN" w:bidi="ar-SA"/>
              </w:rPr>
              <w:t>非甲烷总烃产生量</w:t>
            </w:r>
            <w:r>
              <w:rPr>
                <w:rFonts w:hint="eastAsia" w:cs="Times New Roman"/>
                <w:bCs/>
                <w:color w:val="auto"/>
                <w:kern w:val="2"/>
                <w:sz w:val="24"/>
                <w:szCs w:val="24"/>
                <w:lang w:val="en-US" w:eastAsia="zh-CN" w:bidi="ar-SA"/>
              </w:rPr>
              <w:t>约</w:t>
            </w:r>
            <w:r>
              <w:rPr>
                <w:rFonts w:hint="eastAsia" w:ascii="Times New Roman" w:hAnsi="Times New Roman" w:eastAsia="宋体" w:cs="Times New Roman"/>
                <w:bCs/>
                <w:color w:val="auto"/>
                <w:kern w:val="2"/>
                <w:sz w:val="24"/>
                <w:szCs w:val="24"/>
                <w:lang w:val="en-US" w:eastAsia="zh-CN" w:bidi="ar-SA"/>
              </w:rPr>
              <w:t>为</w:t>
            </w:r>
            <w:r>
              <w:rPr>
                <w:rFonts w:hint="eastAsia" w:cs="Times New Roman"/>
                <w:bCs/>
                <w:color w:val="auto"/>
                <w:kern w:val="2"/>
                <w:sz w:val="24"/>
                <w:szCs w:val="24"/>
                <w:lang w:val="en-US" w:eastAsia="zh-CN" w:bidi="ar-SA"/>
              </w:rPr>
              <w:t>1.48g</w:t>
            </w:r>
            <w:r>
              <w:rPr>
                <w:rFonts w:hint="eastAsia" w:ascii="Times New Roman" w:hAnsi="Times New Roman" w:eastAsia="宋体" w:cs="Times New Roman"/>
                <w:bCs/>
                <w:color w:val="auto"/>
                <w:kern w:val="2"/>
                <w:sz w:val="24"/>
                <w:szCs w:val="24"/>
                <w:lang w:val="en-US" w:eastAsia="zh-CN" w:bidi="ar-SA"/>
              </w:rPr>
              <w:t>/a</w:t>
            </w:r>
            <w:r>
              <w:rPr>
                <w:rFonts w:hint="eastAsia" w:cs="Times New Roman"/>
                <w:bCs/>
                <w:color w:val="auto"/>
                <w:kern w:val="2"/>
                <w:sz w:val="24"/>
                <w:szCs w:val="24"/>
                <w:lang w:val="en-US" w:eastAsia="zh-CN" w:bidi="ar-SA"/>
              </w:rPr>
              <w:t>，</w:t>
            </w:r>
            <w:r>
              <w:rPr>
                <w:rFonts w:hint="eastAsia"/>
                <w:color w:val="auto"/>
                <w:sz w:val="24"/>
                <w:szCs w:val="24"/>
                <w:highlight w:val="none"/>
              </w:rPr>
              <w:t>产生量极少，对环境的影响基本可忽略不计，本次环评不作定量分析</w:t>
            </w:r>
            <w:r>
              <w:rPr>
                <w:rFonts w:hint="eastAsia"/>
                <w:color w:val="auto"/>
                <w:sz w:val="24"/>
                <w:szCs w:val="24"/>
                <w:highlight w:val="none"/>
                <w:lang w:eastAsia="zh-CN"/>
              </w:rPr>
              <w:t>。</w:t>
            </w:r>
          </w:p>
          <w:p>
            <w:pPr>
              <w:adjustRightInd w:val="0"/>
              <w:snapToGrid w:val="0"/>
              <w:spacing w:line="500" w:lineRule="exact"/>
              <w:ind w:firstLine="482" w:firstLineChars="200"/>
              <w:rPr>
                <w:rFonts w:hint="default" w:ascii="Times New Roman" w:hAnsi="Times New Roman" w:eastAsia="宋体" w:cs="Times New Roman"/>
                <w:b/>
                <w:bCs/>
                <w:color w:val="auto"/>
                <w:sz w:val="24"/>
                <w:lang w:val="en-US" w:eastAsia="zh-CN"/>
              </w:rPr>
            </w:pPr>
            <w:r>
              <w:rPr>
                <w:rFonts w:hint="eastAsia" w:cs="Times New Roman"/>
                <w:b/>
                <w:bCs/>
                <w:color w:val="auto"/>
                <w:sz w:val="24"/>
                <w:lang w:val="en-US" w:eastAsia="zh-CN"/>
              </w:rPr>
              <w:t>2、</w:t>
            </w:r>
            <w:r>
              <w:rPr>
                <w:rFonts w:hint="default" w:ascii="Times New Roman" w:hAnsi="Times New Roman" w:cs="Times New Roman"/>
                <w:b/>
                <w:bCs/>
                <w:color w:val="auto"/>
                <w:sz w:val="24"/>
                <w:lang w:val="en-US" w:eastAsia="zh-CN"/>
              </w:rPr>
              <w:t>污染</w:t>
            </w:r>
            <w:r>
              <w:rPr>
                <w:rFonts w:hint="default" w:ascii="Times New Roman" w:hAnsi="Times New Roman" w:cs="Times New Roman"/>
                <w:b/>
                <w:bCs/>
                <w:color w:val="auto"/>
                <w:sz w:val="24"/>
              </w:rPr>
              <w:t>防治措施</w:t>
            </w:r>
          </w:p>
          <w:p>
            <w:pPr>
              <w:adjustRightInd w:val="0"/>
              <w:snapToGrid w:val="0"/>
              <w:spacing w:line="500" w:lineRule="exact"/>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1）有组织废气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drawing>
                <wp:inline distT="0" distB="0" distL="114300" distR="114300">
                  <wp:extent cx="5111750" cy="916305"/>
                  <wp:effectExtent l="0" t="0" r="8890" b="133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9"/>
                          <a:stretch>
                            <a:fillRect/>
                          </a:stretch>
                        </pic:blipFill>
                        <pic:spPr>
                          <a:xfrm>
                            <a:off x="0" y="0"/>
                            <a:ext cx="5111750" cy="916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Cs w:val="21"/>
                <w:lang w:eastAsia="zh-CN"/>
              </w:rPr>
            </w:pPr>
            <w:r>
              <w:rPr>
                <w:rFonts w:hint="default" w:ascii="Times New Roman" w:hAnsi="Times New Roman" w:cs="Times New Roman"/>
                <w:b/>
                <w:bCs/>
                <w:color w:val="auto"/>
                <w:szCs w:val="21"/>
                <w:lang w:eastAsia="zh-CN"/>
              </w:rPr>
              <w:t>图4-1</w:t>
            </w:r>
            <w:r>
              <w:rPr>
                <w:rFonts w:hint="eastAsia" w:ascii="Times New Roman" w:hAnsi="Times New Roman" w:cs="Times New Roman"/>
                <w:b/>
                <w:bCs/>
                <w:color w:val="auto"/>
                <w:szCs w:val="21"/>
                <w:lang w:val="en-US" w:eastAsia="zh-CN"/>
              </w:rPr>
              <w:t xml:space="preserve">  </w:t>
            </w:r>
            <w:r>
              <w:rPr>
                <w:rFonts w:hint="default" w:ascii="Times New Roman" w:hAnsi="Times New Roman" w:cs="Times New Roman"/>
                <w:b/>
                <w:bCs/>
                <w:color w:val="auto"/>
                <w:szCs w:val="21"/>
                <w:lang w:eastAsia="zh-CN"/>
              </w:rPr>
              <w:t>项目废气治理措施示意图</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rPr>
              <w:t>①</w:t>
            </w:r>
            <w:r>
              <w:rPr>
                <w:rFonts w:hint="default" w:ascii="Times New Roman" w:hAnsi="Times New Roman" w:cs="Times New Roman"/>
                <w:color w:val="auto"/>
                <w:sz w:val="24"/>
                <w:lang w:eastAsia="zh-CN"/>
              </w:rPr>
              <w:t>废气</w:t>
            </w:r>
            <w:r>
              <w:rPr>
                <w:rFonts w:hint="default" w:ascii="Times New Roman" w:hAnsi="Times New Roman" w:cs="Times New Roman"/>
                <w:color w:val="auto"/>
                <w:sz w:val="24"/>
                <w:lang w:val="en-US" w:eastAsia="zh-CN"/>
              </w:rPr>
              <w:t>收集系统风量核算</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结合生产工艺、设备配置情况，本项目</w:t>
            </w:r>
            <w:r>
              <w:rPr>
                <w:rFonts w:hint="eastAsia" w:cs="Times New Roman"/>
                <w:color w:val="auto"/>
                <w:sz w:val="24"/>
                <w:lang w:val="en-US" w:eastAsia="zh-CN"/>
              </w:rPr>
              <w:t>热压</w:t>
            </w:r>
            <w:r>
              <w:rPr>
                <w:rFonts w:hint="eastAsia" w:ascii="Times New Roman" w:hAnsi="Times New Roman" w:eastAsia="宋体" w:cs="Times New Roman"/>
                <w:color w:val="auto"/>
                <w:sz w:val="24"/>
                <w:lang w:val="en-US" w:eastAsia="zh-CN"/>
              </w:rPr>
              <w:t>废气、</w:t>
            </w:r>
            <w:r>
              <w:rPr>
                <w:rFonts w:hint="eastAsia" w:cs="Times New Roman"/>
                <w:color w:val="auto"/>
                <w:sz w:val="24"/>
                <w:lang w:val="en-US" w:eastAsia="zh-CN"/>
              </w:rPr>
              <w:t>混合</w:t>
            </w:r>
            <w:r>
              <w:rPr>
                <w:rFonts w:hint="eastAsia" w:ascii="Times New Roman" w:hAnsi="Times New Roman" w:cs="Times New Roman"/>
                <w:color w:val="auto"/>
                <w:sz w:val="24"/>
                <w:lang w:val="en-US" w:eastAsia="zh-CN"/>
              </w:rPr>
              <w:t>废气</w:t>
            </w:r>
            <w:r>
              <w:rPr>
                <w:rFonts w:hint="eastAsia" w:cs="Times New Roman"/>
                <w:color w:val="auto"/>
                <w:sz w:val="24"/>
                <w:lang w:val="en-US" w:eastAsia="zh-CN"/>
              </w:rPr>
              <w:t>、发泡废气</w:t>
            </w:r>
            <w:r>
              <w:rPr>
                <w:rFonts w:hint="eastAsia" w:ascii="Times New Roman" w:hAnsi="Times New Roman" w:cs="Times New Roman"/>
                <w:color w:val="auto"/>
                <w:sz w:val="24"/>
                <w:lang w:val="en-US" w:eastAsia="zh-CN"/>
              </w:rPr>
              <w:t>和</w:t>
            </w:r>
            <w:r>
              <w:rPr>
                <w:rFonts w:hint="eastAsia" w:cs="Times New Roman"/>
                <w:color w:val="auto"/>
                <w:sz w:val="24"/>
                <w:lang w:val="en-US" w:eastAsia="zh-CN"/>
              </w:rPr>
              <w:t>开模废气</w:t>
            </w:r>
            <w:r>
              <w:rPr>
                <w:rFonts w:hint="default" w:ascii="Times New Roman" w:hAnsi="Times New Roman" w:eastAsia="宋体" w:cs="Times New Roman"/>
                <w:color w:val="auto"/>
                <w:sz w:val="24"/>
                <w:szCs w:val="24"/>
              </w:rPr>
              <w:t>主要采用上吸风罩收集。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上吸风罩排风量L（m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rPr>
              <w:t>/s）的计算公式为：</w:t>
            </w:r>
          </w:p>
          <w:p>
            <w:pPr>
              <w:keepNext w:val="0"/>
              <w:keepLines w:val="0"/>
              <w:pageBreakBefore w:val="0"/>
              <w:widowControl w:val="0"/>
              <w:kinsoku/>
              <w:wordWrap/>
              <w:topLinePunct w:val="0"/>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lang w:val="en-US"/>
              </w:rPr>
            </w:pPr>
            <m:oMathPara>
              <m:oMath>
                <m:r>
                  <m:rPr>
                    <m:sty m:val="p"/>
                  </m:rPr>
                  <w:rPr>
                    <w:rFonts w:hint="default" w:ascii="Cambria Math" w:hAnsi="Cambria Math" w:eastAsia="宋体" w:cs="Times New Roman"/>
                    <w:color w:val="auto"/>
                    <w:kern w:val="2"/>
                    <w:sz w:val="24"/>
                    <w:szCs w:val="24"/>
                    <w:lang w:val="en-US" w:eastAsia="zh-CN" w:bidi="ar-SA"/>
                  </w:rPr>
                  <m:t>L=K∗P∗H∗</m:t>
                </m:r>
                <m:sSub>
                  <m:sSubPr>
                    <m:ctrlPr>
                      <w:rPr>
                        <w:rFonts w:hint="default" w:ascii="Cambria Math" w:hAnsi="Cambria Math" w:eastAsia="宋体" w:cs="Times New Roman"/>
                        <w:color w:val="auto"/>
                        <w:kern w:val="2"/>
                        <w:sz w:val="24"/>
                        <w:szCs w:val="24"/>
                        <w:lang w:val="en-US" w:eastAsia="zh-CN" w:bidi="ar-SA"/>
                      </w:rPr>
                    </m:ctrlPr>
                  </m:sSubPr>
                  <m:e>
                    <m:r>
                      <m:rPr>
                        <m:sty m:val="p"/>
                      </m:rPr>
                      <w:rPr>
                        <w:rFonts w:hint="default" w:ascii="Cambria Math" w:hAnsi="Cambria Math" w:eastAsia="宋体" w:cs="Times New Roman"/>
                        <w:color w:val="auto"/>
                        <w:kern w:val="2"/>
                        <w:sz w:val="24"/>
                        <w:szCs w:val="24"/>
                        <w:lang w:val="en-US" w:eastAsia="zh-CN" w:bidi="ar-SA"/>
                      </w:rPr>
                      <m:t>V</m:t>
                    </m:r>
                    <m:ctrlPr>
                      <w:rPr>
                        <w:rFonts w:hint="default" w:ascii="Cambria Math" w:hAnsi="Cambria Math" w:eastAsia="宋体" w:cs="Times New Roman"/>
                        <w:color w:val="auto"/>
                        <w:kern w:val="2"/>
                        <w:sz w:val="24"/>
                        <w:szCs w:val="24"/>
                        <w:lang w:val="en-US" w:eastAsia="zh-CN" w:bidi="ar-SA"/>
                      </w:rPr>
                    </m:ctrlPr>
                  </m:e>
                  <m:sub>
                    <m:r>
                      <m:rPr>
                        <m:sty m:val="p"/>
                      </m:rPr>
                      <w:rPr>
                        <w:rFonts w:hint="default" w:ascii="Cambria Math" w:hAnsi="Cambria Math" w:eastAsia="宋体" w:cs="Times New Roman"/>
                        <w:color w:val="auto"/>
                        <w:kern w:val="2"/>
                        <w:sz w:val="24"/>
                        <w:szCs w:val="24"/>
                        <w:lang w:val="en-US" w:eastAsia="zh-CN" w:bidi="ar-SA"/>
                      </w:rPr>
                      <m:t>x</m:t>
                    </m:r>
                    <m:ctrlPr>
                      <w:rPr>
                        <w:rFonts w:hint="default" w:ascii="Cambria Math" w:hAnsi="Cambria Math" w:eastAsia="宋体" w:cs="Times New Roman"/>
                        <w:color w:val="auto"/>
                        <w:kern w:val="2"/>
                        <w:sz w:val="24"/>
                        <w:szCs w:val="24"/>
                        <w:lang w:val="en-US" w:eastAsia="zh-CN" w:bidi="ar-SA"/>
                      </w:rPr>
                    </m:ctrlPr>
                  </m:sub>
                </m:sSub>
              </m:oMath>
            </m:oMathPara>
          </w:p>
          <w:p>
            <w:pPr>
              <w:keepNext w:val="0"/>
              <w:keepLines w:val="0"/>
              <w:pageBreakBefore w:val="0"/>
              <w:widowControl w:val="0"/>
              <w:kinsoku/>
              <w:wordWrap/>
              <w:topLinePunct w:val="0"/>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w:t>
            </w:r>
            <w:r>
              <w:rPr>
                <w:rFonts w:hint="default" w:ascii="Times New Roman" w:hAnsi="Times New Roman" w:eastAsia="宋体" w:cs="Times New Roman"/>
                <w:color w:val="auto"/>
                <w:sz w:val="24"/>
                <w:lang w:val="en-US" w:eastAsia="zh-CN"/>
              </w:rPr>
              <w:t>K</w:t>
            </w:r>
            <w:r>
              <w:rPr>
                <w:rFonts w:hint="default" w:ascii="Times New Roman" w:hAnsi="Times New Roman" w:eastAsia="宋体" w:cs="Times New Roman"/>
                <w:color w:val="auto"/>
                <w:sz w:val="24"/>
              </w:rPr>
              <w:t>——考虑沿高度分布不均匀的安全系数，通常取K=1.4</w:t>
            </w:r>
            <w:r>
              <w:rPr>
                <w:rFonts w:hint="default" w:ascii="Times New Roman" w:hAnsi="Times New Roman" w:eastAsia="宋体" w:cs="Times New Roman"/>
                <w:bCs/>
                <w:color w:val="auto"/>
                <w:sz w:val="24"/>
              </w:rPr>
              <w:t>；</w:t>
            </w:r>
          </w:p>
          <w:p>
            <w:pPr>
              <w:keepNext w:val="0"/>
              <w:keepLines w:val="0"/>
              <w:pageBreakBefore w:val="0"/>
              <w:widowControl w:val="0"/>
              <w:kinsoku/>
              <w:wordWrap/>
              <w:topLinePunct w:val="0"/>
              <w:autoSpaceDN/>
              <w:bidi w:val="0"/>
              <w:adjustRightInd w:val="0"/>
              <w:snapToGrid w:val="0"/>
              <w:spacing w:line="500" w:lineRule="exact"/>
              <w:ind w:firstLine="1200" w:firstLineChars="5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P</w:t>
            </w:r>
            <w:r>
              <w:rPr>
                <w:rFonts w:hint="default" w:ascii="Times New Roman" w:hAnsi="Times New Roman" w:eastAsia="宋体" w:cs="Times New Roman"/>
                <w:color w:val="auto"/>
                <w:sz w:val="24"/>
              </w:rPr>
              <w:t>——排风罩敞开面的周长，m；</w:t>
            </w:r>
          </w:p>
          <w:p>
            <w:pPr>
              <w:keepNext w:val="0"/>
              <w:keepLines w:val="0"/>
              <w:pageBreakBefore w:val="0"/>
              <w:widowControl w:val="0"/>
              <w:kinsoku/>
              <w:wordWrap/>
              <w:topLinePunct w:val="0"/>
              <w:autoSpaceDN/>
              <w:bidi w:val="0"/>
              <w:adjustRightInd w:val="0"/>
              <w:snapToGrid w:val="0"/>
              <w:spacing w:line="500" w:lineRule="exact"/>
              <w:ind w:firstLine="1200" w:firstLineChars="5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H</w:t>
            </w:r>
            <w:r>
              <w:rPr>
                <w:rFonts w:hint="default" w:ascii="Times New Roman" w:hAnsi="Times New Roman" w:eastAsia="宋体" w:cs="Times New Roman"/>
                <w:color w:val="auto"/>
                <w:sz w:val="24"/>
              </w:rPr>
              <w:t>——罩口至有害物源的距离，m；</w:t>
            </w:r>
          </w:p>
          <w:p>
            <w:pPr>
              <w:keepNext w:val="0"/>
              <w:keepLines w:val="0"/>
              <w:pageBreakBefore w:val="0"/>
              <w:widowControl w:val="0"/>
              <w:kinsoku/>
              <w:wordWrap/>
              <w:topLinePunct w:val="0"/>
              <w:autoSpaceDN/>
              <w:bidi w:val="0"/>
              <w:adjustRightInd w:val="0"/>
              <w:snapToGrid w:val="0"/>
              <w:spacing w:line="500" w:lineRule="exact"/>
              <w:ind w:firstLine="1200" w:firstLineChars="5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V</w:t>
            </w:r>
            <w:r>
              <w:rPr>
                <w:rFonts w:hint="default" w:ascii="Times New Roman" w:hAnsi="Times New Roman" w:eastAsia="宋体" w:cs="Times New Roman"/>
                <w:color w:val="auto"/>
                <w:sz w:val="24"/>
                <w:vertAlign w:val="subscript"/>
              </w:rPr>
              <w:t>x</w:t>
            </w:r>
            <w:r>
              <w:rPr>
                <w:rFonts w:hint="default" w:ascii="Times New Roman" w:hAnsi="Times New Roman" w:eastAsia="宋体" w:cs="Times New Roman"/>
                <w:color w:val="auto"/>
                <w:sz w:val="24"/>
              </w:rPr>
              <w:t>——边缘控制点的控制风速，m/s；</w:t>
            </w:r>
          </w:p>
          <w:p>
            <w:pPr>
              <w:keepNext w:val="0"/>
              <w:keepLines w:val="0"/>
              <w:pageBreakBefore w:val="0"/>
              <w:widowControl w:val="0"/>
              <w:kinsoku/>
              <w:wordWrap/>
              <w:topLinePunct w:val="0"/>
              <w:autoSpaceDN/>
              <w:bidi w:val="0"/>
              <w:adjustRightInd w:val="0"/>
              <w:snapToGrid w:val="0"/>
              <w:spacing w:line="500" w:lineRule="exact"/>
              <w:ind w:firstLine="480" w:firstLineChars="200"/>
              <w:textAlignment w:val="auto"/>
              <w:rPr>
                <w:rFonts w:hint="default" w:ascii="Times New Roman" w:hAnsi="Times New Roman" w:cs="Times New Roman"/>
                <w:b/>
                <w:bCs/>
                <w:color w:val="auto"/>
                <w:szCs w:val="21"/>
              </w:rPr>
            </w:pPr>
            <w:r>
              <w:rPr>
                <w:rFonts w:hint="default" w:ascii="Times New Roman" w:hAnsi="Times New Roman" w:eastAsia="宋体" w:cs="Times New Roman"/>
                <w:color w:val="auto"/>
                <w:sz w:val="24"/>
              </w:rPr>
              <w:t>根据以上内容，计算各废气处理系统处理风量结果如下表所示：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表4</w:t>
            </w:r>
            <w:r>
              <w:rPr>
                <w:rFonts w:hint="default" w:ascii="Times New Roman" w:hAnsi="Times New Roman" w:cs="Times New Roman"/>
                <w:b/>
                <w:bCs/>
                <w:color w:val="auto"/>
                <w:szCs w:val="21"/>
                <w:lang w:val="en-US" w:eastAsia="zh-CN"/>
              </w:rPr>
              <w:t xml:space="preserve">-1 </w:t>
            </w:r>
            <w:r>
              <w:rPr>
                <w:rFonts w:hint="eastAsia" w:ascii="Times New Roman" w:hAnsi="Times New Roman" w:cs="Times New Roman"/>
                <w:b/>
                <w:bCs/>
                <w:color w:val="auto"/>
                <w:szCs w:val="21"/>
                <w:lang w:val="en-US" w:eastAsia="zh-CN"/>
              </w:rPr>
              <w:t xml:space="preserve"> </w:t>
            </w:r>
            <w:r>
              <w:rPr>
                <w:rFonts w:hint="eastAsia" w:cs="Times New Roman"/>
                <w:b/>
                <w:bCs/>
                <w:color w:val="auto"/>
                <w:szCs w:val="21"/>
                <w:lang w:val="en-US" w:eastAsia="zh-CN"/>
              </w:rPr>
              <w:t>项目</w:t>
            </w:r>
            <w:r>
              <w:rPr>
                <w:rFonts w:hint="default" w:ascii="Times New Roman" w:hAnsi="Times New Roman" w:cs="Times New Roman"/>
                <w:b/>
                <w:bCs/>
                <w:color w:val="auto"/>
                <w:szCs w:val="21"/>
              </w:rPr>
              <w:t>废气收集系统风量核算表</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653"/>
              <w:gridCol w:w="733"/>
              <w:gridCol w:w="930"/>
              <w:gridCol w:w="753"/>
              <w:gridCol w:w="881"/>
              <w:gridCol w:w="1033"/>
              <w:gridCol w:w="10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39" w:hRule="atLeast"/>
                <w:jc w:val="center"/>
              </w:trPr>
              <w:tc>
                <w:tcPr>
                  <w:tcW w:w="643" w:type="pct"/>
                  <w:vMerge w:val="restart"/>
                  <w:tcBorders>
                    <w:tl2br w:val="nil"/>
                    <w:tr2bl w:val="nil"/>
                  </w:tcBorders>
                  <w:vAlign w:val="center"/>
                </w:tcPr>
                <w:p>
                  <w:pPr>
                    <w:adjustRightInd w:val="0"/>
                    <w:snapToGrid w:val="0"/>
                    <w:jc w:val="center"/>
                    <w:rPr>
                      <w:b/>
                      <w:bCs/>
                      <w:color w:val="auto"/>
                      <w:szCs w:val="21"/>
                    </w:rPr>
                  </w:pPr>
                  <w:r>
                    <w:rPr>
                      <w:rFonts w:hint="eastAsia"/>
                      <w:b/>
                      <w:bCs/>
                      <w:color w:val="auto"/>
                      <w:szCs w:val="21"/>
                    </w:rPr>
                    <w:t>排气筒编号</w:t>
                  </w:r>
                </w:p>
              </w:tc>
              <w:tc>
                <w:tcPr>
                  <w:tcW w:w="1026" w:type="pct"/>
                  <w:vMerge w:val="restart"/>
                  <w:tcBorders>
                    <w:tl2br w:val="nil"/>
                    <w:tr2bl w:val="nil"/>
                  </w:tcBorders>
                  <w:vAlign w:val="center"/>
                </w:tcPr>
                <w:p>
                  <w:pPr>
                    <w:adjustRightInd w:val="0"/>
                    <w:snapToGrid w:val="0"/>
                    <w:jc w:val="center"/>
                    <w:rPr>
                      <w:b/>
                      <w:bCs/>
                      <w:color w:val="auto"/>
                      <w:szCs w:val="21"/>
                    </w:rPr>
                  </w:pPr>
                  <w:r>
                    <w:rPr>
                      <w:rFonts w:hint="eastAsia"/>
                      <w:b/>
                      <w:bCs/>
                      <w:color w:val="auto"/>
                      <w:szCs w:val="21"/>
                    </w:rPr>
                    <w:t>设备</w:t>
                  </w:r>
                </w:p>
              </w:tc>
              <w:tc>
                <w:tcPr>
                  <w:tcW w:w="455" w:type="pct"/>
                  <w:vMerge w:val="restart"/>
                  <w:tcBorders>
                    <w:tl2br w:val="nil"/>
                    <w:tr2bl w:val="nil"/>
                  </w:tcBorders>
                  <w:vAlign w:val="center"/>
                </w:tcPr>
                <w:p>
                  <w:pPr>
                    <w:adjustRightInd w:val="0"/>
                    <w:snapToGrid w:val="0"/>
                    <w:jc w:val="center"/>
                    <w:rPr>
                      <w:b/>
                      <w:bCs/>
                      <w:color w:val="auto"/>
                      <w:szCs w:val="21"/>
                    </w:rPr>
                  </w:pPr>
                  <w:r>
                    <w:rPr>
                      <w:rFonts w:hint="eastAsia"/>
                      <w:b/>
                      <w:bCs/>
                      <w:color w:val="auto"/>
                      <w:szCs w:val="21"/>
                    </w:rPr>
                    <w:t>H（m）</w:t>
                  </w:r>
                </w:p>
              </w:tc>
              <w:tc>
                <w:tcPr>
                  <w:tcW w:w="1044" w:type="pct"/>
                  <w:gridSpan w:val="2"/>
                  <w:tcBorders>
                    <w:tl2br w:val="nil"/>
                    <w:tr2bl w:val="nil"/>
                  </w:tcBorders>
                  <w:vAlign w:val="center"/>
                </w:tcPr>
                <w:p>
                  <w:pPr>
                    <w:adjustRightInd w:val="0"/>
                    <w:snapToGrid w:val="0"/>
                    <w:jc w:val="center"/>
                    <w:rPr>
                      <w:b/>
                      <w:bCs/>
                      <w:color w:val="auto"/>
                      <w:szCs w:val="21"/>
                    </w:rPr>
                  </w:pPr>
                  <w:r>
                    <w:rPr>
                      <w:rFonts w:hint="eastAsia"/>
                      <w:b/>
                      <w:bCs/>
                      <w:color w:val="auto"/>
                      <w:szCs w:val="21"/>
                    </w:rPr>
                    <w:t>罩口参数</w:t>
                  </w:r>
                </w:p>
              </w:tc>
              <w:tc>
                <w:tcPr>
                  <w:tcW w:w="546" w:type="pct"/>
                  <w:vMerge w:val="restart"/>
                  <w:tcBorders>
                    <w:tl2br w:val="nil"/>
                    <w:tr2bl w:val="nil"/>
                  </w:tcBorders>
                  <w:vAlign w:val="center"/>
                </w:tcPr>
                <w:p>
                  <w:pPr>
                    <w:adjustRightInd w:val="0"/>
                    <w:snapToGrid w:val="0"/>
                    <w:jc w:val="center"/>
                    <w:rPr>
                      <w:b/>
                      <w:bCs/>
                      <w:color w:val="auto"/>
                      <w:szCs w:val="21"/>
                    </w:rPr>
                  </w:pPr>
                  <w:r>
                    <w:rPr>
                      <w:rFonts w:hint="eastAsia"/>
                      <w:b/>
                      <w:bCs/>
                      <w:color w:val="auto"/>
                      <w:szCs w:val="21"/>
                    </w:rPr>
                    <w:t>Vx（m/s）</w:t>
                  </w:r>
                </w:p>
              </w:tc>
              <w:tc>
                <w:tcPr>
                  <w:tcW w:w="641" w:type="pct"/>
                  <w:vMerge w:val="restart"/>
                  <w:tcBorders>
                    <w:tl2br w:val="nil"/>
                    <w:tr2bl w:val="nil"/>
                  </w:tcBorders>
                  <w:vAlign w:val="center"/>
                </w:tcPr>
                <w:p>
                  <w:pPr>
                    <w:adjustRightInd w:val="0"/>
                    <w:snapToGrid w:val="0"/>
                    <w:jc w:val="center"/>
                    <w:rPr>
                      <w:b/>
                      <w:bCs/>
                      <w:color w:val="auto"/>
                      <w:szCs w:val="21"/>
                    </w:rPr>
                  </w:pPr>
                  <w:r>
                    <w:rPr>
                      <w:rFonts w:hint="eastAsia"/>
                      <w:b/>
                      <w:bCs/>
                      <w:color w:val="auto"/>
                      <w:szCs w:val="21"/>
                    </w:rPr>
                    <w:t>Q（m</w:t>
                  </w:r>
                  <w:r>
                    <w:rPr>
                      <w:rFonts w:hint="eastAsia"/>
                      <w:b/>
                      <w:bCs/>
                      <w:color w:val="auto"/>
                      <w:szCs w:val="21"/>
                      <w:vertAlign w:val="superscript"/>
                    </w:rPr>
                    <w:t>3</w:t>
                  </w:r>
                  <w:r>
                    <w:rPr>
                      <w:rFonts w:hint="eastAsia"/>
                      <w:b/>
                      <w:bCs/>
                      <w:color w:val="auto"/>
                      <w:szCs w:val="21"/>
                    </w:rPr>
                    <w:t>/h）</w:t>
                  </w:r>
                </w:p>
              </w:tc>
              <w:tc>
                <w:tcPr>
                  <w:tcW w:w="642" w:type="pct"/>
                  <w:vMerge w:val="restart"/>
                  <w:tcBorders>
                    <w:tl2br w:val="nil"/>
                    <w:tr2bl w:val="nil"/>
                  </w:tcBorders>
                  <w:vAlign w:val="center"/>
                </w:tcPr>
                <w:p>
                  <w:pPr>
                    <w:adjustRightInd w:val="0"/>
                    <w:snapToGrid w:val="0"/>
                    <w:jc w:val="center"/>
                    <w:rPr>
                      <w:b/>
                      <w:bCs/>
                      <w:color w:val="auto"/>
                      <w:szCs w:val="21"/>
                    </w:rPr>
                  </w:pPr>
                  <w:r>
                    <w:rPr>
                      <w:rFonts w:hint="eastAsia"/>
                      <w:b/>
                      <w:bCs/>
                      <w:color w:val="auto"/>
                      <w:szCs w:val="21"/>
                    </w:rPr>
                    <w:t>设计风量（m</w:t>
                  </w:r>
                  <w:r>
                    <w:rPr>
                      <w:rFonts w:hint="eastAsia"/>
                      <w:b/>
                      <w:bCs/>
                      <w:color w:val="auto"/>
                      <w:szCs w:val="21"/>
                      <w:vertAlign w:val="superscript"/>
                    </w:rPr>
                    <w:t>3</w:t>
                  </w:r>
                  <w:r>
                    <w:rPr>
                      <w:rFonts w:hint="eastAsia"/>
                      <w:b/>
                      <w:bCs/>
                      <w:color w:val="auto"/>
                      <w:szCs w:val="21"/>
                    </w:rPr>
                    <w:t>/h）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3" w:type="pct"/>
                  <w:vMerge w:val="continue"/>
                  <w:tcBorders>
                    <w:tl2br w:val="nil"/>
                    <w:tr2bl w:val="nil"/>
                  </w:tcBorders>
                  <w:vAlign w:val="center"/>
                </w:tcPr>
                <w:p>
                  <w:pPr>
                    <w:adjustRightInd w:val="0"/>
                    <w:snapToGrid w:val="0"/>
                    <w:jc w:val="center"/>
                    <w:rPr>
                      <w:color w:val="auto"/>
                      <w:szCs w:val="21"/>
                    </w:rPr>
                  </w:pPr>
                </w:p>
              </w:tc>
              <w:tc>
                <w:tcPr>
                  <w:tcW w:w="1026" w:type="pct"/>
                  <w:vMerge w:val="continue"/>
                  <w:tcBorders>
                    <w:tl2br w:val="nil"/>
                    <w:tr2bl w:val="nil"/>
                  </w:tcBorders>
                  <w:vAlign w:val="center"/>
                </w:tcPr>
                <w:p>
                  <w:pPr>
                    <w:adjustRightInd w:val="0"/>
                    <w:snapToGrid w:val="0"/>
                    <w:jc w:val="center"/>
                    <w:rPr>
                      <w:color w:val="auto"/>
                      <w:szCs w:val="21"/>
                    </w:rPr>
                  </w:pPr>
                </w:p>
              </w:tc>
              <w:tc>
                <w:tcPr>
                  <w:tcW w:w="455" w:type="pct"/>
                  <w:vMerge w:val="continue"/>
                  <w:tcBorders>
                    <w:tl2br w:val="nil"/>
                    <w:tr2bl w:val="nil"/>
                  </w:tcBorders>
                  <w:vAlign w:val="center"/>
                </w:tcPr>
                <w:p>
                  <w:pPr>
                    <w:adjustRightInd w:val="0"/>
                    <w:snapToGrid w:val="0"/>
                    <w:jc w:val="center"/>
                    <w:rPr>
                      <w:color w:val="auto"/>
                      <w:szCs w:val="21"/>
                    </w:rPr>
                  </w:pPr>
                </w:p>
              </w:tc>
              <w:tc>
                <w:tcPr>
                  <w:tcW w:w="577" w:type="pct"/>
                  <w:tcBorders>
                    <w:tl2br w:val="nil"/>
                    <w:tr2bl w:val="nil"/>
                  </w:tcBorders>
                  <w:vAlign w:val="center"/>
                </w:tcPr>
                <w:p>
                  <w:pPr>
                    <w:adjustRightInd w:val="0"/>
                    <w:snapToGrid w:val="0"/>
                    <w:jc w:val="center"/>
                    <w:rPr>
                      <w:b/>
                      <w:bCs/>
                      <w:color w:val="auto"/>
                      <w:szCs w:val="21"/>
                    </w:rPr>
                  </w:pPr>
                  <w:r>
                    <w:rPr>
                      <w:rFonts w:hint="eastAsia"/>
                      <w:b/>
                      <w:bCs/>
                      <w:color w:val="auto"/>
                      <w:szCs w:val="21"/>
                    </w:rPr>
                    <w:t>数量（个）</w:t>
                  </w:r>
                </w:p>
              </w:tc>
              <w:tc>
                <w:tcPr>
                  <w:tcW w:w="467" w:type="pct"/>
                  <w:tcBorders>
                    <w:tl2br w:val="nil"/>
                    <w:tr2bl w:val="nil"/>
                  </w:tcBorders>
                  <w:vAlign w:val="center"/>
                </w:tcPr>
                <w:p>
                  <w:pPr>
                    <w:adjustRightInd w:val="0"/>
                    <w:snapToGrid w:val="0"/>
                    <w:jc w:val="center"/>
                    <w:rPr>
                      <w:b/>
                      <w:bCs/>
                      <w:color w:val="auto"/>
                      <w:szCs w:val="21"/>
                    </w:rPr>
                  </w:pPr>
                  <w:r>
                    <w:rPr>
                      <w:rFonts w:hint="eastAsia"/>
                      <w:b/>
                      <w:bCs/>
                      <w:color w:val="auto"/>
                      <w:szCs w:val="21"/>
                    </w:rPr>
                    <w:t>P（m）</w:t>
                  </w:r>
                </w:p>
              </w:tc>
              <w:tc>
                <w:tcPr>
                  <w:tcW w:w="546" w:type="pct"/>
                  <w:vMerge w:val="continue"/>
                  <w:tcBorders>
                    <w:tl2br w:val="nil"/>
                    <w:tr2bl w:val="nil"/>
                  </w:tcBorders>
                  <w:vAlign w:val="center"/>
                </w:tcPr>
                <w:p>
                  <w:pPr>
                    <w:adjustRightInd w:val="0"/>
                    <w:snapToGrid w:val="0"/>
                    <w:jc w:val="center"/>
                    <w:rPr>
                      <w:b/>
                      <w:bCs/>
                      <w:color w:val="auto"/>
                      <w:szCs w:val="21"/>
                    </w:rPr>
                  </w:pPr>
                </w:p>
              </w:tc>
              <w:tc>
                <w:tcPr>
                  <w:tcW w:w="641" w:type="pct"/>
                  <w:vMerge w:val="continue"/>
                  <w:tcBorders>
                    <w:tl2br w:val="nil"/>
                    <w:tr2bl w:val="nil"/>
                  </w:tcBorders>
                  <w:vAlign w:val="center"/>
                </w:tcPr>
                <w:p>
                  <w:pPr>
                    <w:adjustRightInd w:val="0"/>
                    <w:snapToGrid w:val="0"/>
                    <w:jc w:val="center"/>
                    <w:rPr>
                      <w:b/>
                      <w:bCs/>
                      <w:color w:val="auto"/>
                      <w:szCs w:val="21"/>
                    </w:rPr>
                  </w:pPr>
                </w:p>
              </w:tc>
              <w:tc>
                <w:tcPr>
                  <w:tcW w:w="642" w:type="pct"/>
                  <w:vMerge w:val="continue"/>
                  <w:tcBorders>
                    <w:tl2br w:val="nil"/>
                    <w:tr2bl w:val="nil"/>
                  </w:tcBorders>
                  <w:vAlign w:val="center"/>
                </w:tcPr>
                <w:p>
                  <w:pPr>
                    <w:adjustRightInd w:val="0"/>
                    <w:snapToGrid w:val="0"/>
                    <w:jc w:val="center"/>
                    <w:rPr>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vMerge w:val="restart"/>
                  <w:tcBorders>
                    <w:tl2br w:val="nil"/>
                    <w:tr2bl w:val="nil"/>
                  </w:tcBorders>
                  <w:vAlign w:val="center"/>
                </w:tcPr>
                <w:p>
                  <w:pPr>
                    <w:adjustRightInd w:val="0"/>
                    <w:snapToGrid w:val="0"/>
                    <w:jc w:val="center"/>
                    <w:rPr>
                      <w:rFonts w:hint="eastAsia" w:ascii="宋体" w:hAnsi="宋体" w:eastAsia="宋体" w:cs="宋体"/>
                      <w:color w:val="auto"/>
                      <w:szCs w:val="21"/>
                      <w:lang w:val="en-US" w:eastAsia="zh-CN"/>
                    </w:rPr>
                  </w:pPr>
                  <w:r>
                    <w:rPr>
                      <w:rFonts w:hint="eastAsia"/>
                      <w:color w:val="auto"/>
                      <w:szCs w:val="21"/>
                    </w:rPr>
                    <w:t>DA00</w:t>
                  </w:r>
                  <w:r>
                    <w:rPr>
                      <w:rFonts w:hint="eastAsia"/>
                      <w:color w:val="auto"/>
                      <w:szCs w:val="21"/>
                      <w:lang w:val="en-US" w:eastAsia="zh-CN"/>
                    </w:rPr>
                    <w:t>1</w:t>
                  </w:r>
                </w:p>
              </w:tc>
              <w:tc>
                <w:tcPr>
                  <w:tcW w:w="1026" w:type="pct"/>
                  <w:tcBorders>
                    <w:tl2br w:val="nil"/>
                    <w:tr2bl w:val="nil"/>
                  </w:tcBorders>
                  <w:vAlign w:val="center"/>
                </w:tcPr>
                <w:p>
                  <w:pPr>
                    <w:adjustRightInd w:val="0"/>
                    <w:snapToGrid w:val="0"/>
                    <w:jc w:val="center"/>
                    <w:rPr>
                      <w:rFonts w:hint="eastAsia" w:ascii="宋体" w:hAnsi="宋体" w:eastAsia="宋体" w:cs="宋体"/>
                      <w:color w:val="auto"/>
                      <w:szCs w:val="21"/>
                      <w:lang w:eastAsia="zh-CN"/>
                    </w:rPr>
                  </w:pPr>
                  <w:r>
                    <w:rPr>
                      <w:rFonts w:hint="eastAsia" w:ascii="Times New Roman" w:hAnsi="Times New Roman" w:eastAsia="宋体" w:cs="Times New Roman"/>
                      <w:sz w:val="21"/>
                      <w:szCs w:val="21"/>
                      <w:lang w:val="en-US" w:eastAsia="zh-CN"/>
                    </w:rPr>
                    <w:t>液压机</w:t>
                  </w:r>
                </w:p>
              </w:tc>
              <w:tc>
                <w:tcPr>
                  <w:tcW w:w="455"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0.3</w:t>
                  </w:r>
                </w:p>
              </w:tc>
              <w:tc>
                <w:tcPr>
                  <w:tcW w:w="577" w:type="pct"/>
                  <w:tcBorders>
                    <w:tl2br w:val="nil"/>
                    <w:tr2bl w:val="nil"/>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7</w:t>
                  </w:r>
                </w:p>
              </w:tc>
              <w:tc>
                <w:tcPr>
                  <w:tcW w:w="467"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3.6</w:t>
                  </w:r>
                </w:p>
              </w:tc>
              <w:tc>
                <w:tcPr>
                  <w:tcW w:w="546"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0.3</w:t>
                  </w:r>
                </w:p>
              </w:tc>
              <w:tc>
                <w:tcPr>
                  <w:tcW w:w="641"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11431</w:t>
                  </w:r>
                </w:p>
              </w:tc>
              <w:tc>
                <w:tcPr>
                  <w:tcW w:w="642" w:type="pct"/>
                  <w:vMerge w:val="restar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14000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vMerge w:val="continue"/>
                  <w:tcBorders>
                    <w:tl2br w:val="nil"/>
                    <w:tr2bl w:val="nil"/>
                  </w:tcBorders>
                  <w:vAlign w:val="center"/>
                </w:tcPr>
                <w:p>
                  <w:pPr>
                    <w:adjustRightInd w:val="0"/>
                    <w:snapToGrid w:val="0"/>
                    <w:jc w:val="center"/>
                    <w:rPr>
                      <w:rFonts w:hint="eastAsia"/>
                      <w:color w:val="auto"/>
                      <w:szCs w:val="21"/>
                    </w:rPr>
                  </w:pPr>
                </w:p>
              </w:tc>
              <w:tc>
                <w:tcPr>
                  <w:tcW w:w="1026" w:type="pct"/>
                  <w:tcBorders>
                    <w:tl2br w:val="nil"/>
                    <w:tr2bl w:val="nil"/>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sz w:val="21"/>
                      <w:szCs w:val="21"/>
                      <w:lang w:val="en-US" w:eastAsia="zh-CN"/>
                    </w:rPr>
                    <w:t>发泡模具</w:t>
                  </w:r>
                </w:p>
              </w:tc>
              <w:tc>
                <w:tcPr>
                  <w:tcW w:w="455" w:type="pct"/>
                  <w:tcBorders>
                    <w:tl2br w:val="nil"/>
                    <w:tr2bl w:val="nil"/>
                  </w:tcBorders>
                  <w:vAlign w:val="center"/>
                </w:tcPr>
                <w:p>
                  <w:pPr>
                    <w:adjustRightInd w:val="0"/>
                    <w:snapToGrid w:val="0"/>
                    <w:jc w:val="center"/>
                    <w:rPr>
                      <w:rFonts w:hint="default"/>
                      <w:color w:val="auto"/>
                      <w:szCs w:val="21"/>
                      <w:lang w:val="en-US" w:eastAsia="zh-CN"/>
                    </w:rPr>
                  </w:pPr>
                  <w:r>
                    <w:rPr>
                      <w:rFonts w:hint="eastAsia"/>
                      <w:color w:val="auto"/>
                      <w:szCs w:val="21"/>
                      <w:lang w:val="en-US" w:eastAsia="zh-CN"/>
                    </w:rPr>
                    <w:t>0.3</w:t>
                  </w:r>
                </w:p>
              </w:tc>
              <w:tc>
                <w:tcPr>
                  <w:tcW w:w="577" w:type="pct"/>
                  <w:tcBorders>
                    <w:tl2br w:val="nil"/>
                    <w:tr2bl w:val="nil"/>
                  </w:tcBorders>
                  <w:vAlign w:val="center"/>
                </w:tcPr>
                <w:p>
                  <w:pPr>
                    <w:adjustRightInd w:val="0"/>
                    <w:snapToGrid w:val="0"/>
                    <w:jc w:val="center"/>
                    <w:rPr>
                      <w:rFonts w:hint="default"/>
                      <w:color w:val="auto"/>
                      <w:szCs w:val="21"/>
                      <w:lang w:val="en-US" w:eastAsia="zh-CN"/>
                    </w:rPr>
                  </w:pPr>
                  <w:r>
                    <w:rPr>
                      <w:rFonts w:hint="eastAsia"/>
                      <w:color w:val="auto"/>
                      <w:szCs w:val="21"/>
                      <w:lang w:val="en-US" w:eastAsia="zh-CN"/>
                    </w:rPr>
                    <w:t>2</w:t>
                  </w:r>
                </w:p>
              </w:tc>
              <w:tc>
                <w:tcPr>
                  <w:tcW w:w="467" w:type="pct"/>
                  <w:tcBorders>
                    <w:tl2br w:val="nil"/>
                    <w:tr2bl w:val="nil"/>
                  </w:tcBorders>
                  <w:vAlign w:val="center"/>
                </w:tcPr>
                <w:p>
                  <w:pPr>
                    <w:adjustRightInd w:val="0"/>
                    <w:snapToGrid w:val="0"/>
                    <w:jc w:val="center"/>
                    <w:rPr>
                      <w:rFonts w:hint="default"/>
                      <w:color w:val="auto"/>
                      <w:szCs w:val="21"/>
                      <w:lang w:val="en-US" w:eastAsia="zh-CN"/>
                    </w:rPr>
                  </w:pPr>
                  <w:r>
                    <w:rPr>
                      <w:rFonts w:hint="eastAsia"/>
                      <w:color w:val="auto"/>
                      <w:szCs w:val="21"/>
                      <w:lang w:val="en-US" w:eastAsia="zh-CN"/>
                    </w:rPr>
                    <w:t>2.8</w:t>
                  </w:r>
                </w:p>
              </w:tc>
              <w:tc>
                <w:tcPr>
                  <w:tcW w:w="546" w:type="pct"/>
                  <w:tcBorders>
                    <w:tl2br w:val="nil"/>
                    <w:tr2bl w:val="nil"/>
                  </w:tcBorders>
                  <w:vAlign w:val="center"/>
                </w:tcPr>
                <w:p>
                  <w:pPr>
                    <w:adjustRightInd w:val="0"/>
                    <w:snapToGrid w:val="0"/>
                    <w:jc w:val="center"/>
                    <w:rPr>
                      <w:rFonts w:hint="default"/>
                      <w:color w:val="auto"/>
                      <w:szCs w:val="21"/>
                      <w:lang w:val="en-US" w:eastAsia="zh-CN"/>
                    </w:rPr>
                  </w:pPr>
                  <w:r>
                    <w:rPr>
                      <w:rFonts w:hint="eastAsia"/>
                      <w:color w:val="auto"/>
                      <w:szCs w:val="21"/>
                      <w:lang w:val="en-US" w:eastAsia="zh-CN"/>
                    </w:rPr>
                    <w:t>0.3</w:t>
                  </w:r>
                </w:p>
              </w:tc>
              <w:tc>
                <w:tcPr>
                  <w:tcW w:w="641" w:type="pct"/>
                  <w:tcBorders>
                    <w:tl2br w:val="nil"/>
                    <w:tr2bl w:val="nil"/>
                  </w:tcBorders>
                  <w:vAlign w:val="center"/>
                </w:tcPr>
                <w:p>
                  <w:pPr>
                    <w:adjustRightInd w:val="0"/>
                    <w:snapToGrid w:val="0"/>
                    <w:jc w:val="center"/>
                    <w:rPr>
                      <w:rFonts w:hint="default"/>
                      <w:color w:val="auto"/>
                      <w:szCs w:val="21"/>
                      <w:lang w:val="en-US" w:eastAsia="zh-CN"/>
                    </w:rPr>
                  </w:pPr>
                  <w:r>
                    <w:rPr>
                      <w:rFonts w:hint="eastAsia"/>
                      <w:color w:val="auto"/>
                      <w:szCs w:val="21"/>
                      <w:lang w:val="en-US" w:eastAsia="zh-CN"/>
                    </w:rPr>
                    <w:t>2540</w:t>
                  </w:r>
                </w:p>
              </w:tc>
              <w:tc>
                <w:tcPr>
                  <w:tcW w:w="642" w:type="pct"/>
                  <w:vMerge w:val="continue"/>
                  <w:tcBorders>
                    <w:tl2br w:val="nil"/>
                    <w:tr2bl w:val="nil"/>
                  </w:tcBorders>
                  <w:vAlign w:val="center"/>
                </w:tcPr>
                <w:p>
                  <w:pPr>
                    <w:adjustRightInd w:val="0"/>
                    <w:snapToGrid w:val="0"/>
                    <w:jc w:val="center"/>
                    <w:rPr>
                      <w:rFonts w:hint="eastAsia"/>
                      <w:color w:val="auto"/>
                      <w:szCs w:val="21"/>
                      <w:lang w:val="en-US" w:eastAsia="zh-CN"/>
                    </w:rPr>
                  </w:pPr>
                </w:p>
              </w:tc>
            </w:tr>
          </w:tbl>
          <w:p>
            <w:pPr>
              <w:keepNext w:val="0"/>
              <w:keepLines w:val="0"/>
              <w:pageBreakBefore w:val="0"/>
              <w:widowControl w:val="0"/>
              <w:kinsoku/>
              <w:wordWrap/>
              <w:topLinePunct w:val="0"/>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现有项目</w:t>
            </w:r>
            <w:r>
              <w:rPr>
                <w:rFonts w:hint="default" w:ascii="Times New Roman" w:hAnsi="Times New Roman" w:eastAsia="宋体" w:cs="Times New Roman"/>
                <w:color w:val="auto"/>
                <w:sz w:val="24"/>
              </w:rPr>
              <w:t>排气筒</w:t>
            </w:r>
            <w:r>
              <w:rPr>
                <w:rFonts w:hint="default" w:ascii="Times New Roman" w:hAnsi="Times New Roman" w:eastAsia="宋体" w:cs="Times New Roman"/>
                <w:color w:val="auto"/>
                <w:sz w:val="24"/>
                <w:lang w:val="en-US" w:eastAsia="zh-CN"/>
              </w:rPr>
              <w:t>风量</w:t>
            </w:r>
            <w:r>
              <w:rPr>
                <w:rFonts w:hint="eastAsia" w:ascii="Times New Roman" w:hAnsi="Times New Roman" w:eastAsia="宋体" w:cs="Times New Roman"/>
                <w:color w:val="auto"/>
                <w:sz w:val="24"/>
                <w:lang w:val="en-US" w:eastAsia="zh-CN"/>
              </w:rPr>
              <w:t>约</w:t>
            </w:r>
            <w:r>
              <w:rPr>
                <w:rFonts w:hint="default" w:ascii="Times New Roman" w:hAnsi="Times New Roman" w:eastAsia="宋体" w:cs="Times New Roman"/>
                <w:color w:val="auto"/>
                <w:sz w:val="24"/>
                <w:lang w:val="en-US" w:eastAsia="zh-CN"/>
              </w:rPr>
              <w:t>为</w:t>
            </w:r>
            <w:r>
              <w:rPr>
                <w:rFonts w:hint="eastAsia" w:ascii="Times New Roman" w:hAnsi="Times New Roman" w:eastAsia="宋体" w:cs="Times New Roman"/>
                <w:color w:val="auto"/>
                <w:sz w:val="24"/>
                <w:lang w:val="en-US" w:eastAsia="zh-CN"/>
              </w:rPr>
              <w:t>70</w:t>
            </w:r>
            <w:r>
              <w:rPr>
                <w:rFonts w:hint="default" w:ascii="Times New Roman" w:hAnsi="Times New Roman" w:eastAsia="宋体" w:cs="Times New Roman"/>
                <w:color w:val="auto"/>
                <w:sz w:val="24"/>
              </w:rPr>
              <w:t>00m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本次需更换现有项目风机，使</w:t>
            </w:r>
            <w:r>
              <w:rPr>
                <w:rFonts w:hint="eastAsia" w:cs="Times New Roman"/>
                <w:color w:val="auto"/>
                <w:sz w:val="24"/>
                <w:lang w:eastAsia="zh-CN"/>
              </w:rPr>
              <w:t>排风机</w:t>
            </w:r>
            <w:r>
              <w:rPr>
                <w:rFonts w:hint="default" w:ascii="Times New Roman" w:hAnsi="Times New Roman" w:eastAsia="宋体" w:cs="Times New Roman"/>
                <w:color w:val="auto"/>
                <w:sz w:val="24"/>
              </w:rPr>
              <w:t>风量</w:t>
            </w:r>
            <w:r>
              <w:rPr>
                <w:rFonts w:hint="default" w:ascii="Times New Roman" w:hAnsi="Times New Roman" w:eastAsia="宋体" w:cs="Times New Roman"/>
                <w:color w:val="auto"/>
                <w:sz w:val="24"/>
                <w:lang w:val="en-US" w:eastAsia="zh-CN"/>
              </w:rPr>
              <w:t>调整</w:t>
            </w:r>
            <w:r>
              <w:rPr>
                <w:rFonts w:hint="default" w:ascii="Times New Roman" w:hAnsi="Times New Roman" w:eastAsia="宋体" w:cs="Times New Roman"/>
                <w:color w:val="auto"/>
                <w:sz w:val="24"/>
              </w:rPr>
              <w:t>为</w:t>
            </w:r>
            <w:r>
              <w:rPr>
                <w:rFonts w:hint="eastAsia" w:ascii="Times New Roman" w:hAnsi="Times New Roman" w:eastAsia="宋体" w:cs="Times New Roman"/>
                <w:color w:val="auto"/>
                <w:sz w:val="24"/>
                <w:lang w:val="en-US" w:eastAsia="zh-CN"/>
              </w:rPr>
              <w:t>14</w:t>
            </w:r>
            <w:r>
              <w:rPr>
                <w:rFonts w:hint="default" w:ascii="Times New Roman" w:hAnsi="Times New Roman" w:eastAsia="宋体" w:cs="Times New Roman"/>
                <w:color w:val="auto"/>
                <w:sz w:val="24"/>
              </w:rPr>
              <w:t>000m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p>
          <w:p>
            <w:pPr>
              <w:adjustRightInd w:val="0"/>
              <w:snapToGrid w:val="0"/>
              <w:spacing w:line="500" w:lineRule="exact"/>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bCs/>
                <w:color w:val="auto"/>
                <w:sz w:val="24"/>
              </w:rPr>
              <w:t>②</w:t>
            </w:r>
            <w:r>
              <w:rPr>
                <w:rFonts w:hint="default" w:ascii="Times New Roman" w:hAnsi="Times New Roman" w:cs="Times New Roman"/>
                <w:color w:val="auto"/>
                <w:sz w:val="24"/>
                <w:highlight w:val="none"/>
                <w:lang w:val="en-US" w:eastAsia="zh-CN"/>
              </w:rPr>
              <w:t>废气污染防治措施概述</w:t>
            </w:r>
          </w:p>
          <w:p>
            <w:pPr>
              <w:adjustRightInd w:val="0"/>
              <w:snapToGrid w:val="0"/>
              <w:spacing w:line="500" w:lineRule="exact"/>
              <w:ind w:firstLine="480" w:firstLineChars="200"/>
              <w:rPr>
                <w:rFonts w:hint="default" w:ascii="Times New Roman" w:hAnsi="Times New Roman" w:eastAsia="宋体" w:cs="Times New Roman"/>
                <w:b/>
                <w:color w:val="auto"/>
                <w:szCs w:val="21"/>
                <w:lang w:val="en-US" w:eastAsia="zh-CN"/>
              </w:rPr>
            </w:pPr>
            <w:r>
              <w:rPr>
                <w:rFonts w:hint="default" w:ascii="Times New Roman" w:hAnsi="Times New Roman" w:cs="Times New Roman"/>
                <w:bCs/>
                <w:color w:val="auto"/>
                <w:sz w:val="24"/>
              </w:rPr>
              <w:t>本项目</w:t>
            </w:r>
            <w:r>
              <w:rPr>
                <w:rFonts w:hint="eastAsia" w:cs="Times New Roman"/>
                <w:color w:val="auto"/>
                <w:sz w:val="24"/>
                <w:lang w:val="en-US" w:eastAsia="zh-CN"/>
              </w:rPr>
              <w:t>热压</w:t>
            </w:r>
            <w:r>
              <w:rPr>
                <w:rFonts w:hint="eastAsia" w:ascii="Times New Roman" w:hAnsi="Times New Roman" w:eastAsia="宋体" w:cs="Times New Roman"/>
                <w:color w:val="auto"/>
                <w:sz w:val="24"/>
                <w:lang w:val="en-US" w:eastAsia="zh-CN"/>
              </w:rPr>
              <w:t>废气、</w:t>
            </w:r>
            <w:r>
              <w:rPr>
                <w:rFonts w:hint="eastAsia" w:cs="Times New Roman"/>
                <w:color w:val="auto"/>
                <w:sz w:val="24"/>
                <w:lang w:val="en-US" w:eastAsia="zh-CN"/>
              </w:rPr>
              <w:t>混合</w:t>
            </w:r>
            <w:r>
              <w:rPr>
                <w:rFonts w:hint="eastAsia" w:ascii="Times New Roman" w:hAnsi="Times New Roman" w:cs="Times New Roman"/>
                <w:color w:val="auto"/>
                <w:sz w:val="24"/>
                <w:lang w:val="en-US" w:eastAsia="zh-CN"/>
              </w:rPr>
              <w:t>废气</w:t>
            </w:r>
            <w:r>
              <w:rPr>
                <w:rFonts w:hint="eastAsia" w:cs="Times New Roman"/>
                <w:color w:val="auto"/>
                <w:sz w:val="24"/>
                <w:lang w:val="en-US" w:eastAsia="zh-CN"/>
              </w:rPr>
              <w:t>、发泡废气</w:t>
            </w:r>
            <w:r>
              <w:rPr>
                <w:rFonts w:hint="eastAsia" w:ascii="Times New Roman" w:hAnsi="Times New Roman" w:cs="Times New Roman"/>
                <w:color w:val="auto"/>
                <w:sz w:val="24"/>
                <w:lang w:val="en-US" w:eastAsia="zh-CN"/>
              </w:rPr>
              <w:t>和</w:t>
            </w:r>
            <w:r>
              <w:rPr>
                <w:rFonts w:hint="eastAsia" w:cs="Times New Roman"/>
                <w:color w:val="auto"/>
                <w:sz w:val="24"/>
                <w:lang w:val="en-US" w:eastAsia="zh-CN"/>
              </w:rPr>
              <w:t>开模废气</w:t>
            </w:r>
            <w:r>
              <w:rPr>
                <w:rFonts w:hint="default" w:ascii="Times New Roman" w:hAnsi="Times New Roman" w:cs="Times New Roman"/>
                <w:bCs/>
                <w:color w:val="auto"/>
                <w:sz w:val="24"/>
              </w:rPr>
              <w:t>采用</w:t>
            </w:r>
            <w:r>
              <w:rPr>
                <w:rFonts w:hint="default" w:ascii="Times New Roman" w:hAnsi="Times New Roman" w:cs="Times New Roman"/>
                <w:bCs/>
                <w:color w:val="auto"/>
                <w:sz w:val="24"/>
                <w:lang w:val="en-US" w:eastAsia="zh-CN"/>
              </w:rPr>
              <w:t>集气罩收集</w:t>
            </w:r>
            <w:r>
              <w:rPr>
                <w:rFonts w:hint="default" w:ascii="Times New Roman" w:hAnsi="Times New Roman" w:eastAsia="宋体" w:cs="Times New Roman"/>
                <w:color w:val="auto"/>
                <w:sz w:val="24"/>
                <w:lang w:val="en-US" w:eastAsia="zh-CN"/>
              </w:rPr>
              <w:t>后</w:t>
            </w:r>
            <w:r>
              <w:rPr>
                <w:rFonts w:hint="eastAsia" w:ascii="Times New Roman" w:hAnsi="Times New Roman" w:eastAsia="宋体" w:cs="Times New Roman"/>
                <w:color w:val="auto"/>
                <w:sz w:val="24"/>
                <w:lang w:val="en-US" w:eastAsia="zh-CN"/>
              </w:rPr>
              <w:t>依托现有项目两级活性炭吸附装置处理，尾气依托现有的1根15m高的排气筒排放，</w:t>
            </w:r>
            <w:r>
              <w:rPr>
                <w:rFonts w:hint="default" w:ascii="Times New Roman" w:hAnsi="Times New Roman" w:cs="Times New Roman"/>
                <w:color w:val="auto"/>
                <w:sz w:val="24"/>
                <w:highlight w:val="none"/>
              </w:rPr>
              <w:t>集气</w:t>
            </w:r>
            <w:r>
              <w:rPr>
                <w:rFonts w:hint="default" w:ascii="Times New Roman" w:hAnsi="Times New Roman" w:cs="Times New Roman"/>
                <w:color w:val="auto"/>
                <w:sz w:val="24"/>
                <w:highlight w:val="none"/>
                <w:lang w:val="en-US" w:eastAsia="zh-CN"/>
              </w:rPr>
              <w:t>罩</w:t>
            </w:r>
            <w:r>
              <w:rPr>
                <w:rFonts w:hint="default" w:ascii="Times New Roman" w:hAnsi="Times New Roman" w:cs="Times New Roman"/>
                <w:color w:val="auto"/>
                <w:sz w:val="24"/>
                <w:highlight w:val="none"/>
              </w:rPr>
              <w:t>收集效率为90%，</w:t>
            </w:r>
            <w:r>
              <w:rPr>
                <w:rFonts w:hint="default" w:ascii="Times New Roman" w:hAnsi="Times New Roman" w:cs="Times New Roman"/>
                <w:bCs/>
                <w:color w:val="auto"/>
                <w:sz w:val="24"/>
                <w:lang w:val="en-US" w:eastAsia="zh-CN"/>
              </w:rPr>
              <w:t>二级活性炭吸附设备</w:t>
            </w:r>
            <w:r>
              <w:rPr>
                <w:rFonts w:hint="eastAsia" w:cs="Times New Roman"/>
                <w:bCs/>
                <w:color w:val="auto"/>
                <w:sz w:val="24"/>
                <w:lang w:val="en-US" w:eastAsia="zh-CN"/>
              </w:rPr>
              <w:t>的</w:t>
            </w:r>
            <w:r>
              <w:rPr>
                <w:rFonts w:hint="default" w:ascii="Times New Roman" w:hAnsi="Times New Roman" w:cs="Times New Roman"/>
                <w:color w:val="auto"/>
                <w:sz w:val="24"/>
                <w:highlight w:val="none"/>
              </w:rPr>
              <w:t>处理效率</w:t>
            </w:r>
            <w:r>
              <w:rPr>
                <w:rFonts w:hint="default" w:ascii="Times New Roman" w:hAnsi="Times New Roman" w:cs="Times New Roman"/>
                <w:bCs/>
                <w:color w:val="auto"/>
                <w:sz w:val="24"/>
                <w:lang w:val="en-US" w:eastAsia="zh-CN"/>
              </w:rPr>
              <w:t>以</w:t>
            </w:r>
            <w:r>
              <w:rPr>
                <w:rFonts w:hint="eastAsia" w:cs="Times New Roman"/>
                <w:bCs/>
                <w:color w:val="auto"/>
                <w:sz w:val="24"/>
                <w:lang w:val="en-US" w:eastAsia="zh-CN"/>
              </w:rPr>
              <w:t>9</w:t>
            </w:r>
            <w:r>
              <w:rPr>
                <w:rFonts w:hint="default" w:ascii="Times New Roman" w:hAnsi="Times New Roman" w:cs="Times New Roman"/>
                <w:bCs/>
                <w:color w:val="auto"/>
                <w:sz w:val="24"/>
                <w:lang w:val="en-US" w:eastAsia="zh-CN"/>
              </w:rPr>
              <w:t>0%计</w:t>
            </w:r>
            <w:r>
              <w:rPr>
                <w:rFonts w:hint="default" w:ascii="Times New Roman" w:hAnsi="Times New Roman" w:cs="Times New Roman"/>
                <w:color w:val="auto"/>
                <w:sz w:val="24"/>
                <w:highlight w:val="none"/>
                <w:lang w:eastAsia="zh-CN"/>
              </w:rPr>
              <w:t>。</w:t>
            </w:r>
          </w:p>
          <w:p>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活性炭吸附装置工作原理：</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活性炭是一种多孔性质的含炭物质，它具有高度发达的孔隙结构，活性炭的多孔结构为其提供了大量的表面积，能与气体（杂质）充分接触，从而赋予了活性炭所特有的吸附功能，使其非常容易达到吸收收集杂质的目的，就像磁力一样，所有的分子间都具有相互引力。正因为如此，活性炭孔壁上的大量的分子可以产生强大的引力，从而达到将有害的杂质吸引到孔径中的目的。</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活性炭具有微晶结构，微晶排列完全不规则，晶体中有微孔、过渡孔（半径20～1000）、大孔（半径1000～100000），使它具有很大的内表面，比表面积为500～1700m</w:t>
            </w:r>
            <w:r>
              <w:rPr>
                <w:rFonts w:hint="default" w:ascii="Times New Roman" w:hAnsi="Times New Roman" w:eastAsia="宋体" w:cs="Times New Roman"/>
                <w:color w:val="auto"/>
                <w:sz w:val="24"/>
                <w:vertAlign w:val="superscript"/>
                <w:lang w:val="en-US" w:eastAsia="zh-CN"/>
              </w:rPr>
              <w:t>2</w:t>
            </w:r>
            <w:r>
              <w:rPr>
                <w:rFonts w:hint="default" w:ascii="Times New Roman" w:hAnsi="Times New Roman" w:eastAsia="宋体" w:cs="Times New Roman"/>
                <w:color w:val="auto"/>
                <w:sz w:val="24"/>
                <w:lang w:val="en-US" w:eastAsia="zh-CN"/>
              </w:rPr>
              <w:t>/g。这决定了活性炭具有良好的吸附性，可以吸附废水和废气中的金属离子、有害气体、有机污染物、色素等。工业上应用活性炭还要求机械强度大、耐磨性能好，它的结构力求稳定，吸附所需能量小，以有利于再生。</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活性炭吸附法适用于大风量、低浓度、温度不高的有机废气治理，其能耗低、工艺成熟，效果可靠，是治理有机废气较为理想的方案。根据《大气中VOCs的污染现状及治理技术研究进展》（环境科学与管理，2012年第37卷第6期，曲茉莉）中数据，活性炭吸附对有机废气等的去除效率可达75%以上。</w:t>
            </w:r>
            <w:r>
              <w:rPr>
                <w:rFonts w:hint="default" w:ascii="Times New Roman" w:hAnsi="Times New Roman" w:cs="Times New Roman"/>
                <w:color w:val="auto"/>
                <w:sz w:val="24"/>
                <w:lang w:val="en-US" w:eastAsia="zh-CN"/>
              </w:rPr>
              <w:t>本项目采用二级活性炭，处理效率可达90%以上。</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依据《省生态环境厅关于深入开展涉VOCs治理重点工作核查的通知》（苏环办</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218号）文件，本项目使用的活性炭常规技术指标如下表所示：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表4-</w:t>
            </w:r>
            <w:r>
              <w:rPr>
                <w:rFonts w:hint="default" w:ascii="Times New Roman" w:hAnsi="Times New Roman" w:cs="Times New Roman"/>
                <w:b/>
                <w:bCs/>
                <w:color w:val="auto"/>
                <w:szCs w:val="21"/>
                <w:lang w:val="en-US" w:eastAsia="zh-CN"/>
              </w:rPr>
              <w:t xml:space="preserve">2 </w:t>
            </w:r>
            <w:r>
              <w:rPr>
                <w:rFonts w:hint="eastAsia" w:ascii="Times New Roman" w:hAnsi="Times New Roman" w:cs="Times New Roman"/>
                <w:b/>
                <w:bCs/>
                <w:color w:val="auto"/>
                <w:szCs w:val="21"/>
                <w:lang w:val="en-US" w:eastAsia="zh-CN"/>
              </w:rPr>
              <w:t xml:space="preserve"> </w:t>
            </w:r>
            <w:r>
              <w:rPr>
                <w:rFonts w:hint="default" w:ascii="Times New Roman" w:hAnsi="Times New Roman" w:cs="Times New Roman"/>
                <w:b/>
                <w:bCs/>
                <w:color w:val="auto"/>
                <w:szCs w:val="21"/>
                <w:lang w:val="en-US" w:eastAsia="zh-CN"/>
              </w:rPr>
              <w:t>工业有机废气治理用活性炭常规技术指标</w:t>
            </w:r>
          </w:p>
          <w:tbl>
            <w:tblPr>
              <w:tblStyle w:val="27"/>
              <w:tblW w:w="485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292"/>
              <w:gridCol w:w="688"/>
              <w:gridCol w:w="1277"/>
              <w:gridCol w:w="1527"/>
              <w:gridCol w:w="13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restart"/>
                  <w:noWrap w:val="0"/>
                  <w:vAlign w:val="center"/>
                </w:tcPr>
                <w:p>
                  <w:pPr>
                    <w:tabs>
                      <w:tab w:val="left" w:pos="1390"/>
                    </w:tabs>
                    <w:jc w:val="center"/>
                    <w:rPr>
                      <w:rFonts w:hint="default" w:ascii="Times New Roman" w:hAnsi="Times New Roman" w:eastAsia="宋体" w:cs="Times New Roman"/>
                      <w:b/>
                      <w:bCs/>
                      <w:color w:val="auto"/>
                      <w:szCs w:val="21"/>
                      <w:lang w:eastAsia="zh-CN"/>
                    </w:rPr>
                  </w:pPr>
                  <w:r>
                    <w:rPr>
                      <w:rFonts w:hint="default" w:ascii="Times New Roman" w:hAnsi="Times New Roman" w:eastAsia="宋体" w:cs="Times New Roman"/>
                      <w:b/>
                      <w:bCs/>
                      <w:color w:val="auto"/>
                      <w:szCs w:val="21"/>
                      <w:lang w:val="en-US" w:eastAsia="zh-CN"/>
                    </w:rPr>
                    <w:t>编号</w:t>
                  </w:r>
                </w:p>
              </w:tc>
              <w:tc>
                <w:tcPr>
                  <w:tcW w:w="1904" w:type="pct"/>
                  <w:gridSpan w:val="2"/>
                  <w:vMerge w:val="restart"/>
                  <w:noWrap w:val="0"/>
                  <w:vAlign w:val="center"/>
                </w:tcPr>
                <w:p>
                  <w:pPr>
                    <w:tabs>
                      <w:tab w:val="left" w:pos="1390"/>
                    </w:tabs>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w:t>
                  </w:r>
                </w:p>
              </w:tc>
              <w:tc>
                <w:tcPr>
                  <w:tcW w:w="2655" w:type="pct"/>
                  <w:gridSpan w:val="3"/>
                  <w:noWrap w:val="0"/>
                  <w:vAlign w:val="center"/>
                </w:tcPr>
                <w:p>
                  <w:pPr>
                    <w:tabs>
                      <w:tab w:val="left" w:pos="1390"/>
                    </w:tabs>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指标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continue"/>
                  <w:noWrap w:val="0"/>
                  <w:vAlign w:val="center"/>
                </w:tcPr>
                <w:p>
                  <w:pPr>
                    <w:jc w:val="center"/>
                    <w:rPr>
                      <w:rFonts w:hint="default" w:ascii="Times New Roman" w:hAnsi="Times New Roman" w:eastAsia="宋体" w:cs="Times New Roman"/>
                      <w:color w:val="auto"/>
                      <w:szCs w:val="21"/>
                    </w:rPr>
                  </w:pPr>
                </w:p>
              </w:tc>
              <w:tc>
                <w:tcPr>
                  <w:tcW w:w="1904" w:type="pct"/>
                  <w:gridSpan w:val="2"/>
                  <w:vMerge w:val="continue"/>
                  <w:noWrap w:val="0"/>
                  <w:vAlign w:val="center"/>
                </w:tcPr>
                <w:p>
                  <w:pPr>
                    <w:jc w:val="center"/>
                    <w:rPr>
                      <w:rFonts w:hint="default" w:ascii="Times New Roman" w:hAnsi="Times New Roman" w:eastAsia="宋体" w:cs="Times New Roman"/>
                      <w:color w:val="auto"/>
                      <w:szCs w:val="21"/>
                    </w:rPr>
                  </w:pPr>
                </w:p>
              </w:tc>
              <w:tc>
                <w:tcPr>
                  <w:tcW w:w="815" w:type="pct"/>
                  <w:noWrap w:val="0"/>
                  <w:vAlign w:val="center"/>
                </w:tcPr>
                <w:p>
                  <w:pPr>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颗粒活性炭</w:t>
                  </w:r>
                </w:p>
              </w:tc>
              <w:tc>
                <w:tcPr>
                  <w:tcW w:w="975" w:type="pct"/>
                  <w:noWrap w:val="0"/>
                  <w:vAlign w:val="center"/>
                </w:tcPr>
                <w:p>
                  <w:pPr>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蜂窝活性炭</w:t>
                  </w:r>
                </w:p>
              </w:tc>
              <w:tc>
                <w:tcPr>
                  <w:tcW w:w="865" w:type="pct"/>
                  <w:noWrap w:val="0"/>
                  <w:vAlign w:val="center"/>
                </w:tcPr>
                <w:p>
                  <w:pPr>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活性炭纤维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1</w:t>
                  </w:r>
                </w:p>
              </w:tc>
              <w:tc>
                <w:tcPr>
                  <w:tcW w:w="146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水分</w:t>
                  </w:r>
                  <w:r>
                    <w:rPr>
                      <w:rFonts w:hint="default" w:ascii="Times New Roman" w:hAnsi="Times New Roman" w:eastAsia="宋体" w:cs="Times New Roman"/>
                      <w:color w:val="auto"/>
                      <w:szCs w:val="21"/>
                      <w:lang w:val="en-US" w:eastAsia="zh-CN"/>
                    </w:rPr>
                    <w:t>含量/（%）</w:t>
                  </w:r>
                </w:p>
              </w:tc>
              <w:tc>
                <w:tcPr>
                  <w:tcW w:w="43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1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w:t>
                  </w:r>
                </w:p>
              </w:tc>
              <w:tc>
                <w:tcPr>
                  <w:tcW w:w="97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w:t>
                  </w:r>
                </w:p>
              </w:tc>
              <w:tc>
                <w:tcPr>
                  <w:tcW w:w="86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2</w:t>
                  </w:r>
                </w:p>
              </w:tc>
              <w:tc>
                <w:tcPr>
                  <w:tcW w:w="146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耐磨强度/（%）</w:t>
                  </w:r>
                </w:p>
              </w:tc>
              <w:tc>
                <w:tcPr>
                  <w:tcW w:w="43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1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90</w:t>
                  </w:r>
                </w:p>
              </w:tc>
              <w:tc>
                <w:tcPr>
                  <w:tcW w:w="97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86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3</w:t>
                  </w:r>
                </w:p>
              </w:tc>
              <w:tc>
                <w:tcPr>
                  <w:tcW w:w="146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抗压强度/（MPa）</w:t>
                  </w:r>
                </w:p>
              </w:tc>
              <w:tc>
                <w:tcPr>
                  <w:tcW w:w="43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1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7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横向：0.9</w:t>
                  </w:r>
                </w:p>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纵向：0.4</w:t>
                  </w:r>
                </w:p>
              </w:tc>
              <w:tc>
                <w:tcPr>
                  <w:tcW w:w="86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4</w:t>
                  </w:r>
                </w:p>
              </w:tc>
              <w:tc>
                <w:tcPr>
                  <w:tcW w:w="146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断裂强力/（N）</w:t>
                  </w:r>
                </w:p>
              </w:tc>
              <w:tc>
                <w:tcPr>
                  <w:tcW w:w="43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1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7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86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5</w:t>
                  </w:r>
                </w:p>
              </w:tc>
              <w:tc>
                <w:tcPr>
                  <w:tcW w:w="1464" w:type="pct"/>
                  <w:vMerge w:val="restar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着火点/（℃）</w:t>
                  </w:r>
                </w:p>
              </w:tc>
              <w:tc>
                <w:tcPr>
                  <w:tcW w:w="439" w:type="pct"/>
                  <w:vMerge w:val="restar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1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400</w:t>
                  </w:r>
                  <w:r>
                    <w:rPr>
                      <w:rFonts w:hint="default" w:ascii="Times New Roman" w:hAnsi="Times New Roman" w:eastAsia="宋体" w:cs="Times New Roman"/>
                      <w:color w:val="auto"/>
                      <w:szCs w:val="21"/>
                      <w:vertAlign w:val="superscript"/>
                      <w:lang w:val="en-US" w:eastAsia="zh-CN"/>
                    </w:rPr>
                    <w:t>①</w:t>
                  </w:r>
                </w:p>
              </w:tc>
              <w:tc>
                <w:tcPr>
                  <w:tcW w:w="975" w:type="pct"/>
                  <w:vMerge w:val="restar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400</w:t>
                  </w:r>
                </w:p>
              </w:tc>
              <w:tc>
                <w:tcPr>
                  <w:tcW w:w="865" w:type="pct"/>
                  <w:vMerge w:val="restar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464" w:type="pct"/>
                  <w:vMerge w:val="continue"/>
                  <w:noWrap w:val="0"/>
                  <w:vAlign w:val="center"/>
                </w:tcPr>
                <w:p>
                  <w:pPr>
                    <w:jc w:val="center"/>
                    <w:rPr>
                      <w:rFonts w:hint="default" w:ascii="Times New Roman" w:hAnsi="Times New Roman" w:eastAsia="宋体" w:cs="Times New Roman"/>
                      <w:color w:val="auto"/>
                      <w:szCs w:val="21"/>
                    </w:rPr>
                  </w:pPr>
                </w:p>
              </w:tc>
              <w:tc>
                <w:tcPr>
                  <w:tcW w:w="439" w:type="pct"/>
                  <w:vMerge w:val="continue"/>
                  <w:noWrap w:val="0"/>
                  <w:vAlign w:val="center"/>
                </w:tcPr>
                <w:p>
                  <w:pPr>
                    <w:jc w:val="center"/>
                    <w:rPr>
                      <w:rFonts w:hint="default" w:ascii="Times New Roman" w:hAnsi="Times New Roman" w:eastAsia="宋体" w:cs="Times New Roman"/>
                      <w:color w:val="auto"/>
                      <w:szCs w:val="21"/>
                    </w:rPr>
                  </w:pPr>
                </w:p>
              </w:tc>
              <w:tc>
                <w:tcPr>
                  <w:tcW w:w="81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350</w:t>
                  </w:r>
                  <w:r>
                    <w:rPr>
                      <w:rFonts w:hint="default" w:ascii="Times New Roman" w:hAnsi="Times New Roman" w:eastAsia="宋体" w:cs="Times New Roman"/>
                      <w:color w:val="auto"/>
                      <w:szCs w:val="21"/>
                      <w:vertAlign w:val="superscript"/>
                      <w:lang w:val="en-US" w:eastAsia="zh-CN"/>
                    </w:rPr>
                    <w:t>②</w:t>
                  </w:r>
                </w:p>
              </w:tc>
              <w:tc>
                <w:tcPr>
                  <w:tcW w:w="975" w:type="pct"/>
                  <w:vMerge w:val="continue"/>
                  <w:noWrap w:val="0"/>
                  <w:vAlign w:val="center"/>
                </w:tcPr>
                <w:p>
                  <w:pPr>
                    <w:jc w:val="center"/>
                    <w:rPr>
                      <w:rFonts w:hint="default" w:ascii="Times New Roman" w:hAnsi="Times New Roman" w:eastAsia="宋体" w:cs="Times New Roman"/>
                      <w:color w:val="auto"/>
                      <w:szCs w:val="21"/>
                      <w:lang w:val="en-US" w:eastAsia="zh-CN"/>
                    </w:rPr>
                  </w:pPr>
                </w:p>
              </w:tc>
              <w:tc>
                <w:tcPr>
                  <w:tcW w:w="865" w:type="pct"/>
                  <w:vMerge w:val="continue"/>
                  <w:noWrap w:val="0"/>
                  <w:vAlign w:val="center"/>
                </w:tcPr>
                <w:p>
                  <w:pPr>
                    <w:jc w:val="center"/>
                    <w:rPr>
                      <w:rFonts w:hint="default" w:ascii="Times New Roman" w:hAnsi="Times New Roman" w:eastAsia="宋体" w:cs="Times New Roman"/>
                      <w:color w:val="auto"/>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6</w:t>
                  </w:r>
                </w:p>
              </w:tc>
              <w:tc>
                <w:tcPr>
                  <w:tcW w:w="146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碘吸附值/（mg/g）</w:t>
                  </w:r>
                </w:p>
              </w:tc>
              <w:tc>
                <w:tcPr>
                  <w:tcW w:w="43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1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800</w:t>
                  </w:r>
                </w:p>
              </w:tc>
              <w:tc>
                <w:tcPr>
                  <w:tcW w:w="97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650</w:t>
                  </w:r>
                </w:p>
              </w:tc>
              <w:tc>
                <w:tcPr>
                  <w:tcW w:w="86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7</w:t>
                  </w:r>
                </w:p>
              </w:tc>
              <w:tc>
                <w:tcPr>
                  <w:tcW w:w="1464"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四氯化碳吸附率/（%）</w:t>
                  </w:r>
                </w:p>
              </w:tc>
              <w:tc>
                <w:tcPr>
                  <w:tcW w:w="439" w:type="pc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81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45</w:t>
                  </w:r>
                </w:p>
              </w:tc>
              <w:tc>
                <w:tcPr>
                  <w:tcW w:w="97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25</w:t>
                  </w:r>
                </w:p>
              </w:tc>
              <w:tc>
                <w:tcPr>
                  <w:tcW w:w="865"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65</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
                <w:bCs/>
                <w:color w:val="auto"/>
                <w:sz w:val="21"/>
                <w:szCs w:val="21"/>
                <w:lang w:val="en-US" w:eastAsia="zh-CN"/>
              </w:rPr>
              <w:t>注：①煤质活性炭执行该要求；②生物质活性炭执行该要求。</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本项目使用</w:t>
            </w:r>
            <w:r>
              <w:rPr>
                <w:rFonts w:hint="default" w:ascii="Times New Roman" w:hAnsi="Times New Roman" w:cs="Times New Roman"/>
                <w:color w:val="auto"/>
                <w:sz w:val="24"/>
                <w:szCs w:val="24"/>
                <w:highlight w:val="none"/>
                <w:lang w:val="en-US" w:eastAsia="zh-CN"/>
              </w:rPr>
              <w:t>蜂窝</w:t>
            </w:r>
            <w:r>
              <w:rPr>
                <w:rFonts w:hint="default" w:ascii="Times New Roman" w:hAnsi="Times New Roman" w:cs="Times New Roman"/>
                <w:color w:val="auto"/>
                <w:sz w:val="24"/>
                <w:szCs w:val="24"/>
                <w:highlight w:val="none"/>
              </w:rPr>
              <w:t>活性炭</w:t>
            </w:r>
            <w:r>
              <w:rPr>
                <w:rFonts w:hint="default" w:ascii="Times New Roman" w:hAnsi="Times New Roman" w:cs="Times New Roman"/>
                <w:color w:val="auto"/>
                <w:sz w:val="24"/>
                <w:szCs w:val="24"/>
              </w:rPr>
              <w:t>，经计算，活性炭吸附设备过风面积</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，过滤风速</w:t>
            </w:r>
            <w:r>
              <w:rPr>
                <w:rFonts w:hint="default" w:ascii="Times New Roman" w:hAnsi="Times New Roman" w:cs="Times New Roman"/>
                <w:color w:val="auto"/>
                <w:sz w:val="24"/>
                <w:szCs w:val="24"/>
                <w:lang w:val="en-US" w:eastAsia="zh-CN"/>
              </w:rPr>
              <w:t>约</w:t>
            </w:r>
            <w:r>
              <w:rPr>
                <w:rFonts w:hint="default" w:ascii="Times New Roman" w:hAnsi="Times New Roman" w:cs="Times New Roman"/>
                <w:color w:val="auto"/>
                <w:sz w:val="24"/>
                <w:szCs w:val="24"/>
              </w:rPr>
              <w:t>为</w:t>
            </w:r>
            <w:r>
              <w:rPr>
                <w:rFonts w:hint="eastAsia" w:ascii="Times New Roman" w:hAnsi="Times New Roman" w:cs="Times New Roman"/>
                <w:color w:val="auto"/>
                <w:sz w:val="24"/>
                <w:szCs w:val="24"/>
                <w:lang w:val="en-US" w:eastAsia="zh-CN"/>
              </w:rPr>
              <w:t>1.94</w:t>
            </w:r>
            <w:r>
              <w:rPr>
                <w:rFonts w:hint="default" w:ascii="Times New Roman" w:hAnsi="Times New Roman" w:cs="Times New Roman"/>
                <w:color w:val="auto"/>
                <w:sz w:val="24"/>
                <w:szCs w:val="24"/>
              </w:rPr>
              <w:t>m/s</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根据《省生态环境厅关于深入开展涉VOCs治理重点工作核查的通知》</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苏环办</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2022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218号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，采用</w:t>
            </w:r>
            <w:r>
              <w:rPr>
                <w:rFonts w:hint="default" w:ascii="Times New Roman" w:hAnsi="Times New Roman" w:cs="Times New Roman"/>
                <w:color w:val="auto"/>
                <w:sz w:val="24"/>
                <w:szCs w:val="24"/>
                <w:lang w:val="en-US" w:eastAsia="zh-CN"/>
              </w:rPr>
              <w:t>蜂窝</w:t>
            </w:r>
            <w:r>
              <w:rPr>
                <w:rFonts w:hint="default" w:ascii="Times New Roman" w:hAnsi="Times New Roman" w:cs="Times New Roman"/>
                <w:color w:val="auto"/>
                <w:sz w:val="24"/>
                <w:szCs w:val="24"/>
              </w:rPr>
              <w:t>活性炭时，气体流速宜低于</w:t>
            </w:r>
            <w:r>
              <w:rPr>
                <w:rFonts w:hint="default"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lang w:val="en-US" w:eastAsia="zh-CN"/>
              </w:rPr>
              <w:t>s。</w:t>
            </w:r>
            <w:r>
              <w:rPr>
                <w:rFonts w:hint="default" w:ascii="Times New Roman" w:hAnsi="Times New Roman" w:cs="Times New Roman"/>
                <w:color w:val="auto"/>
                <w:sz w:val="24"/>
                <w:szCs w:val="24"/>
              </w:rPr>
              <w:t>因此，本项目活性炭处理装置可以满足吸附要求。</w:t>
            </w:r>
          </w:p>
          <w:p>
            <w:pPr>
              <w:adjustRightInd w:val="0"/>
              <w:snapToGrid w:val="0"/>
              <w:spacing w:line="500" w:lineRule="exact"/>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2）无组织废气</w:t>
            </w:r>
          </w:p>
          <w:p>
            <w:pPr>
              <w:adjustRightInd w:val="0"/>
              <w:snapToGrid w:val="0"/>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未捕集废气：</w:t>
            </w:r>
            <w:r>
              <w:rPr>
                <w:rFonts w:hint="eastAsia" w:cs="Times New Roman"/>
                <w:color w:val="auto"/>
                <w:sz w:val="24"/>
                <w:highlight w:val="none"/>
                <w:lang w:val="en-US" w:eastAsia="zh-CN"/>
              </w:rPr>
              <w:t>未收集的</w:t>
            </w:r>
            <w:r>
              <w:rPr>
                <w:rFonts w:hint="eastAsia" w:cs="Times New Roman"/>
                <w:color w:val="auto"/>
                <w:sz w:val="24"/>
                <w:lang w:val="en-US" w:eastAsia="zh-CN"/>
              </w:rPr>
              <w:t>热压</w:t>
            </w:r>
            <w:r>
              <w:rPr>
                <w:rFonts w:hint="eastAsia" w:ascii="Times New Roman" w:hAnsi="Times New Roman" w:eastAsia="宋体" w:cs="Times New Roman"/>
                <w:color w:val="auto"/>
                <w:sz w:val="24"/>
                <w:lang w:val="en-US" w:eastAsia="zh-CN"/>
              </w:rPr>
              <w:t>废气、</w:t>
            </w:r>
            <w:r>
              <w:rPr>
                <w:rFonts w:hint="eastAsia" w:cs="Times New Roman"/>
                <w:color w:val="auto"/>
                <w:sz w:val="24"/>
                <w:lang w:val="en-US" w:eastAsia="zh-CN"/>
              </w:rPr>
              <w:t>混合</w:t>
            </w:r>
            <w:r>
              <w:rPr>
                <w:rFonts w:hint="eastAsia" w:ascii="Times New Roman" w:hAnsi="Times New Roman" w:cs="Times New Roman"/>
                <w:color w:val="auto"/>
                <w:sz w:val="24"/>
                <w:lang w:val="en-US" w:eastAsia="zh-CN"/>
              </w:rPr>
              <w:t>废气</w:t>
            </w:r>
            <w:r>
              <w:rPr>
                <w:rFonts w:hint="eastAsia" w:cs="Times New Roman"/>
                <w:color w:val="auto"/>
                <w:sz w:val="24"/>
                <w:lang w:val="en-US" w:eastAsia="zh-CN"/>
              </w:rPr>
              <w:t>、发泡废气</w:t>
            </w:r>
            <w:r>
              <w:rPr>
                <w:rFonts w:hint="eastAsia" w:ascii="Times New Roman" w:hAnsi="Times New Roman" w:cs="Times New Roman"/>
                <w:color w:val="auto"/>
                <w:sz w:val="24"/>
                <w:lang w:val="en-US" w:eastAsia="zh-CN"/>
              </w:rPr>
              <w:t>和</w:t>
            </w:r>
            <w:r>
              <w:rPr>
                <w:rFonts w:hint="eastAsia" w:cs="Times New Roman"/>
                <w:color w:val="auto"/>
                <w:sz w:val="24"/>
                <w:lang w:val="en-US" w:eastAsia="zh-CN"/>
              </w:rPr>
              <w:t>开模废气</w:t>
            </w:r>
            <w:r>
              <w:rPr>
                <w:rFonts w:hint="eastAsia" w:cs="Times New Roman"/>
                <w:color w:val="auto"/>
                <w:sz w:val="24"/>
                <w:highlight w:val="none"/>
                <w:lang w:val="en-US" w:eastAsia="zh-CN"/>
              </w:rPr>
              <w:t>在车间二无组织排放</w:t>
            </w:r>
            <w:r>
              <w:rPr>
                <w:rFonts w:hint="default" w:ascii="Times New Roman" w:hAnsi="Times New Roman" w:cs="Times New Roman"/>
                <w:color w:val="auto"/>
                <w:sz w:val="24"/>
                <w:highlight w:val="none"/>
              </w:rPr>
              <w:t>。</w:t>
            </w:r>
          </w:p>
          <w:p>
            <w:pPr>
              <w:adjustRightInd w:val="0"/>
              <w:snapToGrid w:val="0"/>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通过采取以下措施减少废气无组织排放：尽量提高生产设施废气产生工段的密闭性，尽可能多的捕集产生的废气以减少无组织的产生量；选用高质量的设备和管件，提高安装质量，定期对设备进行检修维护，保证集气罩边缘控制点的控制风速达到设计要求。</w:t>
            </w:r>
          </w:p>
          <w:p>
            <w:pPr>
              <w:adjustRightInd w:val="0"/>
              <w:snapToGrid w:val="0"/>
              <w:spacing w:line="50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3）技术可行性论证</w:t>
            </w:r>
          </w:p>
          <w:p>
            <w:pPr>
              <w:adjustRightInd w:val="0"/>
              <w:snapToGrid w:val="0"/>
              <w:spacing w:line="500" w:lineRule="exact"/>
              <w:ind w:firstLine="480" w:firstLineChars="200"/>
              <w:rPr>
                <w:rFonts w:hint="default" w:ascii="Times New Roman" w:hAnsi="Times New Roman" w:cs="Times New Roman"/>
                <w:bCs/>
                <w:color w:val="auto"/>
                <w:sz w:val="24"/>
                <w:szCs w:val="22"/>
              </w:rPr>
            </w:pPr>
            <w:r>
              <w:rPr>
                <w:rFonts w:hint="default" w:ascii="Times New Roman" w:hAnsi="Times New Roman" w:eastAsia="宋体" w:cs="Times New Roman"/>
                <w:sz w:val="24"/>
                <w:szCs w:val="24"/>
                <w:lang w:val="en-US" w:eastAsia="zh-CN"/>
              </w:rPr>
              <w:t>参考《排污许可证申请与核发技术规范 橡胶和塑料制品工业》（HJ1122—2020）、《排污许可证申请与核发技术规范 汽车制造业》(HJ 971-2018)中废气污染治理推荐可行技术清单，</w:t>
            </w:r>
            <w:r>
              <w:rPr>
                <w:rFonts w:hint="default" w:ascii="Times New Roman" w:hAnsi="Times New Roman" w:cs="Times New Roman"/>
                <w:color w:val="auto"/>
                <w:sz w:val="24"/>
                <w:highlight w:val="none"/>
                <w:lang w:val="en-US" w:eastAsia="zh-CN"/>
              </w:rPr>
              <w:t>挥发性有机物采用</w:t>
            </w:r>
            <w:r>
              <w:rPr>
                <w:rFonts w:hint="default" w:ascii="Times New Roman" w:hAnsi="Times New Roman" w:cs="Times New Roman"/>
                <w:color w:val="auto"/>
                <w:sz w:val="24"/>
                <w:lang w:val="en-US" w:eastAsia="zh-CN"/>
              </w:rPr>
              <w:t>活性炭吸附，为可行技术。因此</w:t>
            </w:r>
            <w:r>
              <w:rPr>
                <w:rFonts w:hint="default" w:ascii="Times New Roman" w:hAnsi="Times New Roman" w:cs="Times New Roman"/>
                <w:color w:val="auto"/>
                <w:sz w:val="24"/>
              </w:rPr>
              <w:t>，本项目拟采取的废气处理措施是可行的。</w:t>
            </w:r>
          </w:p>
        </w:tc>
      </w:tr>
    </w:tbl>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sectPr>
          <w:footerReference r:id="rId5" w:type="default"/>
          <w:pgSz w:w="11906" w:h="16838"/>
          <w:pgMar w:top="1417" w:right="1417" w:bottom="1417" w:left="1417" w:header="851" w:footer="1134" w:gutter="0"/>
          <w:pgBorders>
            <w:top w:val="none" w:sz="0" w:space="0"/>
            <w:left w:val="none" w:sz="0" w:space="0"/>
            <w:bottom w:val="none" w:sz="0" w:space="0"/>
            <w:right w:val="none" w:sz="0" w:space="0"/>
          </w:pgBorders>
          <w:cols w:space="720" w:num="1"/>
          <w:docGrid w:linePitch="312" w:charSpace="0"/>
        </w:sectPr>
      </w:pPr>
      <w:bookmarkStart w:id="5" w:name="_Toc9211"/>
    </w:p>
    <w:tbl>
      <w:tblPr>
        <w:tblStyle w:val="28"/>
        <w:tblW w:w="13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8" w:hRule="atLeast"/>
          <w:jc w:val="center"/>
        </w:trPr>
        <w:tc>
          <w:tcPr>
            <w:tcW w:w="562" w:type="dxa"/>
            <w:vAlign w:val="center"/>
          </w:tcPr>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期环</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保护</w:t>
            </w:r>
          </w:p>
          <w:p>
            <w:pPr>
              <w:adjustRightInd w:val="0"/>
              <w:snapToGrid w:val="0"/>
              <w:jc w:val="center"/>
              <w:rPr>
                <w:rFonts w:hint="default" w:ascii="Times New Roman" w:hAnsi="Times New Roman" w:eastAsia="黑体" w:cs="Times New Roman"/>
                <w:snapToGrid w:val="0"/>
                <w:color w:val="auto"/>
                <w:sz w:val="30"/>
                <w:szCs w:val="30"/>
                <w:vertAlign w:val="baseline"/>
              </w:rPr>
            </w:pPr>
            <w:r>
              <w:rPr>
                <w:rFonts w:hint="default" w:ascii="Times New Roman" w:hAnsi="Times New Roman" w:cs="Times New Roman"/>
                <w:bCs/>
                <w:color w:val="auto"/>
                <w:sz w:val="24"/>
                <w:szCs w:val="24"/>
              </w:rPr>
              <w:t>措施</w:t>
            </w:r>
          </w:p>
        </w:tc>
        <w:tc>
          <w:tcPr>
            <w:tcW w:w="13175"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color w:val="auto"/>
                <w:sz w:val="24"/>
                <w:lang w:val="en-US"/>
              </w:rPr>
            </w:pPr>
            <w:r>
              <w:rPr>
                <w:rFonts w:hint="eastAsia" w:cs="Times New Roman"/>
                <w:b/>
                <w:bCs/>
                <w:color w:val="auto"/>
                <w:sz w:val="24"/>
                <w:lang w:val="en-US" w:eastAsia="zh-CN"/>
              </w:rPr>
              <w:t>3、</w:t>
            </w:r>
            <w:r>
              <w:rPr>
                <w:rFonts w:hint="default" w:ascii="Times New Roman" w:hAnsi="Times New Roman" w:eastAsia="宋体" w:cs="Times New Roman"/>
                <w:b/>
                <w:bCs/>
                <w:color w:val="auto"/>
                <w:sz w:val="24"/>
                <w:lang w:val="en-US" w:eastAsia="zh-CN"/>
              </w:rPr>
              <w:t>废气</w:t>
            </w:r>
            <w:r>
              <w:rPr>
                <w:rFonts w:hint="default" w:ascii="Times New Roman" w:hAnsi="Times New Roman" w:eastAsia="宋体" w:cs="Times New Roman"/>
                <w:b/>
                <w:bCs/>
                <w:color w:val="auto"/>
                <w:sz w:val="24"/>
              </w:rPr>
              <w:t>排放</w:t>
            </w:r>
            <w:r>
              <w:rPr>
                <w:rFonts w:hint="default" w:ascii="Times New Roman" w:hAnsi="Times New Roman" w:cs="Times New Roman"/>
                <w:b/>
                <w:bCs/>
                <w:color w:val="auto"/>
                <w:sz w:val="24"/>
                <w:lang w:val="en-US" w:eastAsia="zh-CN"/>
              </w:rPr>
              <w:t>情况及达标情况分析</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Cs w:val="21"/>
                <w:lang w:eastAsia="zh-CN"/>
              </w:rPr>
            </w:pPr>
            <w:r>
              <w:rPr>
                <w:rFonts w:hint="default" w:ascii="Times New Roman" w:hAnsi="Times New Roman" w:cs="Times New Roman"/>
                <w:b/>
                <w:bCs/>
                <w:color w:val="auto"/>
                <w:szCs w:val="21"/>
              </w:rPr>
              <w:t>表4-</w:t>
            </w:r>
            <w:r>
              <w:rPr>
                <w:rFonts w:hint="eastAsia" w:cs="Times New Roman"/>
                <w:b/>
                <w:bCs/>
                <w:color w:val="auto"/>
                <w:szCs w:val="21"/>
                <w:lang w:val="en-US" w:eastAsia="zh-CN"/>
              </w:rPr>
              <w:t>3</w:t>
            </w:r>
            <w:r>
              <w:rPr>
                <w:rFonts w:hint="default" w:ascii="Times New Roman" w:hAnsi="Times New Roman" w:cs="Times New Roman"/>
                <w:b/>
                <w:bCs/>
                <w:color w:val="auto"/>
                <w:szCs w:val="21"/>
                <w:lang w:val="en-US" w:eastAsia="zh-CN"/>
              </w:rPr>
              <w:t xml:space="preserve"> </w:t>
            </w:r>
            <w:r>
              <w:rPr>
                <w:rFonts w:hint="eastAsia" w:ascii="Times New Roman" w:hAnsi="Times New Roman" w:cs="Times New Roman"/>
                <w:b/>
                <w:bCs/>
                <w:color w:val="auto"/>
                <w:szCs w:val="21"/>
                <w:lang w:val="en-US" w:eastAsia="zh-CN"/>
              </w:rPr>
              <w:t xml:space="preserve"> </w:t>
            </w:r>
            <w:r>
              <w:rPr>
                <w:rFonts w:hint="default" w:ascii="Times New Roman" w:hAnsi="Times New Roman" w:cs="Times New Roman"/>
                <w:b/>
                <w:bCs/>
                <w:color w:val="auto"/>
                <w:szCs w:val="21"/>
              </w:rPr>
              <w:t>本项目</w:t>
            </w:r>
            <w:r>
              <w:rPr>
                <w:rFonts w:hint="eastAsia" w:ascii="Times New Roman" w:hAnsi="Times New Roman" w:cs="Times New Roman"/>
                <w:b/>
                <w:bCs/>
                <w:color w:val="auto"/>
                <w:szCs w:val="21"/>
                <w:lang w:eastAsia="zh-CN"/>
              </w:rPr>
              <w:t>建成后全厂</w:t>
            </w:r>
            <w:r>
              <w:rPr>
                <w:rFonts w:hint="default" w:ascii="Times New Roman" w:hAnsi="Times New Roman" w:cs="Times New Roman"/>
                <w:b/>
                <w:bCs/>
                <w:color w:val="auto"/>
                <w:szCs w:val="21"/>
              </w:rPr>
              <w:t>有组织</w:t>
            </w:r>
            <w:r>
              <w:rPr>
                <w:rFonts w:hint="default" w:ascii="Times New Roman" w:hAnsi="Times New Roman" w:cs="Times New Roman"/>
                <w:b/>
                <w:bCs/>
                <w:color w:val="auto"/>
                <w:szCs w:val="21"/>
                <w:lang w:val="en-US" w:eastAsia="zh-CN"/>
              </w:rPr>
              <w:t>排放大气污染物源强</w:t>
            </w:r>
            <w:r>
              <w:rPr>
                <w:rFonts w:hint="default" w:ascii="Times New Roman" w:hAnsi="Times New Roman" w:cs="Times New Roman"/>
                <w:b/>
                <w:bCs/>
                <w:color w:val="auto"/>
                <w:szCs w:val="21"/>
              </w:rPr>
              <w:t>及排放</w:t>
            </w:r>
            <w:r>
              <w:rPr>
                <w:rFonts w:hint="default" w:ascii="Times New Roman" w:hAnsi="Times New Roman" w:cs="Times New Roman"/>
                <w:b/>
                <w:bCs/>
                <w:color w:val="auto"/>
                <w:szCs w:val="21"/>
                <w:lang w:val="en-US" w:eastAsia="zh-CN"/>
              </w:rPr>
              <w:t>状况表</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902"/>
              <w:gridCol w:w="925"/>
              <w:gridCol w:w="866"/>
              <w:gridCol w:w="985"/>
              <w:gridCol w:w="938"/>
              <w:gridCol w:w="915"/>
              <w:gridCol w:w="993"/>
              <w:gridCol w:w="596"/>
              <w:gridCol w:w="736"/>
              <w:gridCol w:w="886"/>
              <w:gridCol w:w="1021"/>
              <w:gridCol w:w="1164"/>
              <w:gridCol w:w="1171"/>
              <w:gridCol w:w="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48" w:type="pct"/>
                  <w:vMerge w:val="restart"/>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排气筒编号</w:t>
                  </w:r>
                </w:p>
              </w:tc>
              <w:tc>
                <w:tcPr>
                  <w:tcW w:w="357" w:type="pct"/>
                  <w:vMerge w:val="restart"/>
                  <w:vAlign w:val="center"/>
                </w:tcPr>
                <w:p>
                  <w:pPr>
                    <w:pStyle w:val="24"/>
                    <w:spacing w:after="0" w:line="240" w:lineRule="auto"/>
                    <w:jc w:val="center"/>
                    <w:rPr>
                      <w:rFonts w:hint="default" w:ascii="Times New Roman" w:hAnsi="Times New Roman" w:cs="Times New Roman" w:eastAsiaTheme="minorEastAsia"/>
                      <w:b/>
                      <w:bCs/>
                      <w:color w:val="auto"/>
                      <w:szCs w:val="21"/>
                      <w:lang w:val="en-US" w:eastAsia="zh-CN"/>
                    </w:rPr>
                  </w:pPr>
                  <w:r>
                    <w:rPr>
                      <w:rFonts w:hint="default" w:ascii="Times New Roman" w:hAnsi="Times New Roman" w:cs="Times New Roman" w:eastAsiaTheme="minorEastAsia"/>
                      <w:b/>
                      <w:bCs/>
                      <w:color w:val="auto"/>
                      <w:szCs w:val="21"/>
                      <w:lang w:val="en-US" w:eastAsia="zh-CN"/>
                    </w:rPr>
                    <w:t>产污</w:t>
                  </w:r>
                </w:p>
                <w:p>
                  <w:pPr>
                    <w:pStyle w:val="24"/>
                    <w:spacing w:after="0" w:line="240" w:lineRule="auto"/>
                    <w:jc w:val="center"/>
                    <w:rPr>
                      <w:rFonts w:hint="default" w:ascii="Times New Roman" w:hAnsi="Times New Roman" w:cs="Times New Roman" w:eastAsiaTheme="minorEastAsia"/>
                      <w:b/>
                      <w:bCs/>
                      <w:color w:val="auto"/>
                      <w:szCs w:val="21"/>
                      <w:lang w:eastAsia="zh-CN"/>
                    </w:rPr>
                  </w:pPr>
                  <w:r>
                    <w:rPr>
                      <w:rFonts w:hint="default" w:ascii="Times New Roman" w:hAnsi="Times New Roman" w:cs="Times New Roman" w:eastAsiaTheme="minorEastAsia"/>
                      <w:b/>
                      <w:bCs/>
                      <w:color w:val="auto"/>
                      <w:szCs w:val="21"/>
                      <w:lang w:val="en-US" w:eastAsia="zh-CN"/>
                    </w:rPr>
                    <w:t>环节</w:t>
                  </w:r>
                </w:p>
              </w:tc>
              <w:tc>
                <w:tcPr>
                  <w:tcW w:w="334" w:type="pct"/>
                  <w:vMerge w:val="restart"/>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污染物名称</w:t>
                  </w:r>
                </w:p>
              </w:tc>
              <w:tc>
                <w:tcPr>
                  <w:tcW w:w="1095" w:type="pct"/>
                  <w:gridSpan w:val="3"/>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产生状况</w:t>
                  </w:r>
                </w:p>
              </w:tc>
              <w:tc>
                <w:tcPr>
                  <w:tcW w:w="1239" w:type="pct"/>
                  <w:gridSpan w:val="4"/>
                  <w:vAlign w:val="center"/>
                </w:tcPr>
                <w:p>
                  <w:pPr>
                    <w:pStyle w:val="24"/>
                    <w:spacing w:after="0" w:line="240" w:lineRule="auto"/>
                    <w:jc w:val="center"/>
                    <w:rPr>
                      <w:rFonts w:hint="default" w:ascii="Times New Roman" w:hAnsi="Times New Roman" w:cs="Times New Roman" w:eastAsiaTheme="minorEastAsia"/>
                      <w:b/>
                      <w:bCs/>
                      <w:color w:val="auto"/>
                      <w:szCs w:val="21"/>
                      <w:lang w:val="en-US" w:eastAsia="zh-CN"/>
                    </w:rPr>
                  </w:pPr>
                  <w:r>
                    <w:rPr>
                      <w:rFonts w:hint="default" w:ascii="Times New Roman" w:hAnsi="Times New Roman" w:cs="Times New Roman" w:eastAsiaTheme="minorEastAsia"/>
                      <w:b/>
                      <w:bCs/>
                      <w:color w:val="auto"/>
                      <w:szCs w:val="21"/>
                      <w:lang w:val="en-US" w:eastAsia="zh-CN"/>
                    </w:rPr>
                    <w:t>污染防治措施</w:t>
                  </w:r>
                </w:p>
              </w:tc>
              <w:tc>
                <w:tcPr>
                  <w:tcW w:w="1295" w:type="pct"/>
                  <w:gridSpan w:val="3"/>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排放状况</w:t>
                  </w:r>
                </w:p>
              </w:tc>
              <w:tc>
                <w:tcPr>
                  <w:tcW w:w="330" w:type="pct"/>
                  <w:vMerge w:val="restart"/>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排放</w:t>
                  </w:r>
                </w:p>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40" w:hRule="atLeast"/>
                <w:tblHeader/>
                <w:jc w:val="center"/>
              </w:trPr>
              <w:tc>
                <w:tcPr>
                  <w:tcW w:w="348" w:type="pct"/>
                  <w:vMerge w:val="continue"/>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color w:val="auto"/>
                      <w:szCs w:val="21"/>
                    </w:rPr>
                  </w:pPr>
                </w:p>
              </w:tc>
              <w:tc>
                <w:tcPr>
                  <w:tcW w:w="357" w:type="pct"/>
                  <w:vMerge w:val="continue"/>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color w:val="auto"/>
                      <w:szCs w:val="21"/>
                    </w:rPr>
                  </w:pPr>
                </w:p>
              </w:tc>
              <w:tc>
                <w:tcPr>
                  <w:tcW w:w="334" w:type="pct"/>
                  <w:vMerge w:val="continue"/>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color w:val="auto"/>
                      <w:szCs w:val="21"/>
                    </w:rPr>
                  </w:pPr>
                </w:p>
              </w:tc>
              <w:tc>
                <w:tcPr>
                  <w:tcW w:w="380"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浓度</w:t>
                  </w:r>
                </w:p>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(mg/m</w:t>
                  </w:r>
                  <w:r>
                    <w:rPr>
                      <w:rFonts w:hint="default" w:ascii="Times New Roman" w:hAnsi="Times New Roman" w:cs="Times New Roman" w:eastAsiaTheme="minorEastAsia"/>
                      <w:b/>
                      <w:bCs/>
                      <w:color w:val="auto"/>
                      <w:szCs w:val="21"/>
                      <w:vertAlign w:val="superscript"/>
                    </w:rPr>
                    <w:t>3</w:t>
                  </w:r>
                  <w:r>
                    <w:rPr>
                      <w:rFonts w:hint="default" w:ascii="Times New Roman" w:hAnsi="Times New Roman" w:cs="Times New Roman" w:eastAsiaTheme="minorEastAsia"/>
                      <w:b/>
                      <w:bCs/>
                      <w:color w:val="auto"/>
                      <w:szCs w:val="21"/>
                    </w:rPr>
                    <w:t>)</w:t>
                  </w:r>
                </w:p>
              </w:tc>
              <w:tc>
                <w:tcPr>
                  <w:tcW w:w="362"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速率</w:t>
                  </w:r>
                </w:p>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(kg/h)</w:t>
                  </w:r>
                </w:p>
              </w:tc>
              <w:tc>
                <w:tcPr>
                  <w:tcW w:w="353"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产生量</w:t>
                  </w:r>
                </w:p>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(t/a)</w:t>
                  </w:r>
                </w:p>
              </w:tc>
              <w:tc>
                <w:tcPr>
                  <w:tcW w:w="383"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Cs w:val="21"/>
                      <w:lang w:val="en-US" w:eastAsia="zh-CN"/>
                    </w:rPr>
                    <w:t>设施工艺</w:t>
                  </w:r>
                </w:p>
              </w:tc>
              <w:tc>
                <w:tcPr>
                  <w:tcW w:w="230"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Cs w:val="21"/>
                    </w:rPr>
                    <w:t>去除</w:t>
                  </w:r>
                  <w:r>
                    <w:rPr>
                      <w:rFonts w:hint="default" w:ascii="Times New Roman" w:hAnsi="Times New Roman" w:cs="Times New Roman" w:eastAsiaTheme="minorEastAsia"/>
                      <w:b/>
                      <w:bCs/>
                      <w:color w:val="auto"/>
                      <w:szCs w:val="21"/>
                      <w:lang w:val="en-US" w:eastAsia="zh-CN"/>
                    </w:rPr>
                    <w:t>效</w:t>
                  </w:r>
                  <w:r>
                    <w:rPr>
                      <w:rFonts w:hint="default" w:ascii="Times New Roman" w:hAnsi="Times New Roman" w:cs="Times New Roman" w:eastAsiaTheme="minorEastAsia"/>
                      <w:b/>
                      <w:bCs/>
                      <w:color w:val="auto"/>
                      <w:szCs w:val="21"/>
                    </w:rPr>
                    <w:t>率(%)</w:t>
                  </w:r>
                </w:p>
              </w:tc>
              <w:tc>
                <w:tcPr>
                  <w:tcW w:w="284"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szCs w:val="21"/>
                      <w:lang w:val="en-US" w:eastAsia="zh-CN"/>
                    </w:rPr>
                  </w:pPr>
                  <w:r>
                    <w:rPr>
                      <w:rFonts w:hint="default" w:ascii="Times New Roman" w:hAnsi="Times New Roman" w:cs="Times New Roman" w:eastAsiaTheme="minorEastAsia"/>
                      <w:b/>
                      <w:bCs/>
                      <w:color w:val="auto"/>
                      <w:szCs w:val="21"/>
                      <w:lang w:val="en-US" w:eastAsia="zh-CN"/>
                    </w:rPr>
                    <w:t>处理</w:t>
                  </w:r>
                </w:p>
                <w:p>
                  <w:pPr>
                    <w:pStyle w:val="24"/>
                    <w:spacing w:after="0" w:line="240" w:lineRule="auto"/>
                    <w:jc w:val="center"/>
                    <w:rPr>
                      <w:rFonts w:hint="default" w:ascii="Times New Roman" w:hAnsi="Times New Roman" w:cs="Times New Roman" w:eastAsiaTheme="minorEastAsia"/>
                      <w:b/>
                      <w:bCs/>
                      <w:color w:val="auto"/>
                      <w:szCs w:val="21"/>
                      <w:lang w:eastAsia="zh-CN"/>
                    </w:rPr>
                  </w:pPr>
                  <w:r>
                    <w:rPr>
                      <w:rFonts w:hint="default" w:ascii="Times New Roman" w:hAnsi="Times New Roman" w:cs="Times New Roman" w:eastAsiaTheme="minorEastAsia"/>
                      <w:b/>
                      <w:bCs/>
                      <w:color w:val="auto"/>
                      <w:szCs w:val="21"/>
                      <w:lang w:val="en-US" w:eastAsia="zh-CN"/>
                    </w:rPr>
                    <w:t>能力</w:t>
                  </w:r>
                </w:p>
                <w:p>
                  <w:pPr>
                    <w:pStyle w:val="24"/>
                    <w:spacing w:after="0" w:line="240" w:lineRule="auto"/>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Cs w:val="21"/>
                    </w:rPr>
                    <w:t>(m</w:t>
                  </w:r>
                  <w:r>
                    <w:rPr>
                      <w:rFonts w:hint="default" w:ascii="Times New Roman" w:hAnsi="Times New Roman" w:cs="Times New Roman" w:eastAsiaTheme="minorEastAsia"/>
                      <w:b/>
                      <w:bCs/>
                      <w:color w:val="auto"/>
                      <w:szCs w:val="21"/>
                      <w:vertAlign w:val="superscript"/>
                    </w:rPr>
                    <w:t>3</w:t>
                  </w:r>
                  <w:r>
                    <w:rPr>
                      <w:rFonts w:hint="default" w:ascii="Times New Roman" w:hAnsi="Times New Roman" w:cs="Times New Roman" w:eastAsiaTheme="minorEastAsia"/>
                      <w:b/>
                      <w:bCs/>
                      <w:color w:val="auto"/>
                      <w:szCs w:val="21"/>
                    </w:rPr>
                    <w:t>/h)</w:t>
                  </w:r>
                </w:p>
              </w:tc>
              <w:tc>
                <w:tcPr>
                  <w:tcW w:w="342"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szCs w:val="21"/>
                      <w:lang w:val="en-US" w:eastAsia="zh-CN"/>
                    </w:rPr>
                  </w:pPr>
                  <w:r>
                    <w:rPr>
                      <w:rFonts w:hint="default" w:ascii="Times New Roman" w:hAnsi="Times New Roman" w:cs="Times New Roman" w:eastAsiaTheme="minorEastAsia"/>
                      <w:b/>
                      <w:bCs/>
                      <w:color w:val="auto"/>
                      <w:szCs w:val="21"/>
                      <w:lang w:val="en-US" w:eastAsia="zh-CN"/>
                    </w:rPr>
                    <w:t>是否为可行技术</w:t>
                  </w:r>
                </w:p>
              </w:tc>
              <w:tc>
                <w:tcPr>
                  <w:tcW w:w="394"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浓度</w:t>
                  </w:r>
                </w:p>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(mg/m</w:t>
                  </w:r>
                  <w:r>
                    <w:rPr>
                      <w:rFonts w:hint="default" w:ascii="Times New Roman" w:hAnsi="Times New Roman" w:cs="Times New Roman" w:eastAsiaTheme="minorEastAsia"/>
                      <w:b/>
                      <w:bCs/>
                      <w:color w:val="auto"/>
                      <w:szCs w:val="21"/>
                      <w:vertAlign w:val="superscript"/>
                    </w:rPr>
                    <w:t>3</w:t>
                  </w:r>
                  <w:r>
                    <w:rPr>
                      <w:rFonts w:hint="default" w:ascii="Times New Roman" w:hAnsi="Times New Roman" w:cs="Times New Roman" w:eastAsiaTheme="minorEastAsia"/>
                      <w:b/>
                      <w:bCs/>
                      <w:color w:val="auto"/>
                      <w:szCs w:val="21"/>
                    </w:rPr>
                    <w:t>)</w:t>
                  </w:r>
                </w:p>
              </w:tc>
              <w:tc>
                <w:tcPr>
                  <w:tcW w:w="449"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速率</w:t>
                  </w:r>
                </w:p>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(kg/h)</w:t>
                  </w:r>
                </w:p>
              </w:tc>
              <w:tc>
                <w:tcPr>
                  <w:tcW w:w="451" w:type="pct"/>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排放量</w:t>
                  </w:r>
                </w:p>
                <w:p>
                  <w:pPr>
                    <w:pStyle w:val="24"/>
                    <w:spacing w:after="0" w:line="240" w:lineRule="auto"/>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(t/a)</w:t>
                  </w:r>
                </w:p>
              </w:tc>
              <w:tc>
                <w:tcPr>
                  <w:tcW w:w="330" w:type="pct"/>
                  <w:vMerge w:val="continue"/>
                  <w:tcBorders>
                    <w:bottom w:val="single" w:color="auto" w:sz="4" w:space="0"/>
                  </w:tcBorders>
                  <w:vAlign w:val="center"/>
                </w:tcPr>
                <w:p>
                  <w:pPr>
                    <w:pStyle w:val="24"/>
                    <w:spacing w:after="0" w:line="240" w:lineRule="auto"/>
                    <w:jc w:val="center"/>
                    <w:rPr>
                      <w:rFonts w:hint="default" w:ascii="Times New Roman" w:hAnsi="Times New Roman" w:cs="Times New Roman" w:eastAsiaTheme="minorEastAsia"/>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48" w:type="pct"/>
                  <w:vMerge w:val="restart"/>
                  <w:vAlign w:val="center"/>
                </w:tcPr>
                <w:p>
                  <w:pPr>
                    <w:pStyle w:val="24"/>
                    <w:spacing w:after="0" w:line="240" w:lineRule="auto"/>
                    <w:jc w:val="center"/>
                    <w:rPr>
                      <w:rFonts w:hint="default" w:ascii="Times New Roman" w:hAnsi="Times New Roman" w:cs="Times New Roman" w:eastAsiaTheme="minorEastAsia"/>
                      <w:bCs/>
                      <w:color w:val="auto"/>
                      <w:szCs w:val="22"/>
                      <w:lang w:val="en-US" w:eastAsia="zh-CN"/>
                    </w:rPr>
                  </w:pPr>
                  <w:r>
                    <w:rPr>
                      <w:rFonts w:hint="default" w:ascii="Times New Roman" w:hAnsi="Times New Roman" w:cs="Times New Roman" w:eastAsiaTheme="minorEastAsia"/>
                      <w:bCs/>
                      <w:color w:val="auto"/>
                      <w:szCs w:val="22"/>
                      <w:lang w:val="en-US" w:eastAsia="zh-CN"/>
                    </w:rPr>
                    <w:t>DA00</w:t>
                  </w:r>
                  <w:r>
                    <w:rPr>
                      <w:rFonts w:hint="eastAsia" w:cs="Times New Roman" w:eastAsiaTheme="minorEastAsia"/>
                      <w:bCs/>
                      <w:color w:val="auto"/>
                      <w:szCs w:val="22"/>
                      <w:lang w:val="en-US" w:eastAsia="zh-CN"/>
                    </w:rPr>
                    <w:t>1</w:t>
                  </w:r>
                </w:p>
              </w:tc>
              <w:tc>
                <w:tcPr>
                  <w:tcW w:w="357" w:type="pct"/>
                  <w:vMerge w:val="restart"/>
                  <w:vAlign w:val="center"/>
                </w:tcPr>
                <w:p>
                  <w:pPr>
                    <w:pStyle w:val="24"/>
                    <w:spacing w:after="0" w:line="240" w:lineRule="auto"/>
                    <w:jc w:val="center"/>
                    <w:rPr>
                      <w:rFonts w:hint="eastAsia" w:cs="Times New Roman" w:eastAsiaTheme="minorEastAsia"/>
                      <w:bCs/>
                      <w:color w:val="auto"/>
                      <w:sz w:val="21"/>
                      <w:szCs w:val="21"/>
                      <w:lang w:val="en-US" w:eastAsia="zh-CN"/>
                    </w:rPr>
                  </w:pPr>
                  <w:r>
                    <w:rPr>
                      <w:rFonts w:hint="eastAsia" w:cs="Times New Roman"/>
                      <w:color w:val="auto"/>
                      <w:sz w:val="21"/>
                      <w:szCs w:val="21"/>
                      <w:lang w:val="en-US" w:eastAsia="zh-CN"/>
                    </w:rPr>
                    <w:t>热压</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混合、发泡</w:t>
                  </w:r>
                  <w:r>
                    <w:rPr>
                      <w:rFonts w:hint="eastAsia" w:ascii="Times New Roman" w:hAnsi="Times New Roman" w:cs="Times New Roman"/>
                      <w:color w:val="auto"/>
                      <w:sz w:val="21"/>
                      <w:szCs w:val="21"/>
                      <w:lang w:val="en-US" w:eastAsia="zh-CN"/>
                    </w:rPr>
                    <w:t>和</w:t>
                  </w:r>
                  <w:r>
                    <w:rPr>
                      <w:rFonts w:hint="eastAsia" w:cs="Times New Roman"/>
                      <w:color w:val="auto"/>
                      <w:sz w:val="21"/>
                      <w:szCs w:val="21"/>
                      <w:lang w:val="en-US" w:eastAsia="zh-CN"/>
                    </w:rPr>
                    <w:t>开模</w:t>
                  </w:r>
                </w:p>
              </w:tc>
              <w:tc>
                <w:tcPr>
                  <w:tcW w:w="334" w:type="pct"/>
                  <w:vAlign w:val="center"/>
                </w:tcPr>
                <w:p>
                  <w:pPr>
                    <w:pStyle w:val="24"/>
                    <w:spacing w:after="0" w:line="240" w:lineRule="auto"/>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非甲烷总烃</w:t>
                  </w:r>
                </w:p>
              </w:tc>
              <w:tc>
                <w:tcPr>
                  <w:tcW w:w="380" w:type="pct"/>
                  <w:vAlign w:val="center"/>
                </w:tcPr>
                <w:p>
                  <w:pPr>
                    <w:pStyle w:val="24"/>
                    <w:spacing w:after="0" w:line="240" w:lineRule="auto"/>
                    <w:jc w:val="center"/>
                    <w:rPr>
                      <w:rFonts w:hint="default" w:cs="Times New Roman" w:eastAsiaTheme="minorEastAsia"/>
                      <w:bCs/>
                      <w:color w:val="auto"/>
                      <w:szCs w:val="22"/>
                      <w:lang w:val="en-US" w:eastAsia="zh-CN"/>
                    </w:rPr>
                  </w:pPr>
                  <w:r>
                    <w:rPr>
                      <w:rFonts w:hint="eastAsia" w:cs="Times New Roman" w:eastAsiaTheme="minorEastAsia"/>
                      <w:bCs/>
                      <w:color w:val="auto"/>
                      <w:szCs w:val="22"/>
                      <w:lang w:val="en-US" w:eastAsia="zh-CN"/>
                    </w:rPr>
                    <w:t>36.76</w:t>
                  </w:r>
                </w:p>
              </w:tc>
              <w:tc>
                <w:tcPr>
                  <w:tcW w:w="362" w:type="pct"/>
                  <w:vAlign w:val="center"/>
                </w:tcPr>
                <w:p>
                  <w:pPr>
                    <w:pStyle w:val="24"/>
                    <w:spacing w:after="0" w:line="240" w:lineRule="auto"/>
                    <w:jc w:val="center"/>
                    <w:rPr>
                      <w:rFonts w:hint="default"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0.515</w:t>
                  </w:r>
                </w:p>
              </w:tc>
              <w:tc>
                <w:tcPr>
                  <w:tcW w:w="353" w:type="pct"/>
                  <w:vAlign w:val="center"/>
                </w:tcPr>
                <w:p>
                  <w:pPr>
                    <w:pStyle w:val="24"/>
                    <w:spacing w:after="0" w:line="240" w:lineRule="auto"/>
                    <w:jc w:val="center"/>
                    <w:rPr>
                      <w:rFonts w:hint="default"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1.235</w:t>
                  </w:r>
                </w:p>
              </w:tc>
              <w:tc>
                <w:tcPr>
                  <w:tcW w:w="383" w:type="pct"/>
                  <w:vMerge w:val="restart"/>
                  <w:vAlign w:val="center"/>
                </w:tcPr>
                <w:p>
                  <w:pPr>
                    <w:pStyle w:val="24"/>
                    <w:spacing w:after="0" w:line="240" w:lineRule="auto"/>
                    <w:jc w:val="center"/>
                    <w:rPr>
                      <w:rFonts w:hint="default" w:ascii="Times New Roman" w:hAnsi="Times New Roman" w:cs="Times New Roman" w:eastAsiaTheme="minorEastAsia"/>
                      <w:bCs/>
                      <w:color w:val="auto"/>
                      <w:szCs w:val="22"/>
                      <w:lang w:val="en-US" w:eastAsia="zh-CN"/>
                    </w:rPr>
                  </w:pPr>
                  <w:r>
                    <w:rPr>
                      <w:rFonts w:hint="default" w:ascii="Times New Roman" w:hAnsi="Times New Roman" w:cs="Times New Roman" w:eastAsiaTheme="minorEastAsia"/>
                      <w:bCs/>
                      <w:color w:val="auto"/>
                      <w:szCs w:val="22"/>
                      <w:lang w:val="en-US" w:eastAsia="zh-CN"/>
                    </w:rPr>
                    <w:t>二级活性炭吸附</w:t>
                  </w:r>
                </w:p>
              </w:tc>
              <w:tc>
                <w:tcPr>
                  <w:tcW w:w="230" w:type="pct"/>
                  <w:vAlign w:val="center"/>
                </w:tcPr>
                <w:p>
                  <w:pPr>
                    <w:pStyle w:val="24"/>
                    <w:spacing w:after="0" w:line="240" w:lineRule="auto"/>
                    <w:jc w:val="center"/>
                    <w:rPr>
                      <w:rFonts w:hint="default" w:cs="Times New Roman" w:eastAsiaTheme="minorEastAsia"/>
                      <w:bCs/>
                      <w:color w:val="auto"/>
                      <w:szCs w:val="22"/>
                      <w:lang w:val="en-US" w:eastAsia="zh-CN"/>
                    </w:rPr>
                  </w:pPr>
                  <w:r>
                    <w:rPr>
                      <w:rFonts w:hint="eastAsia" w:cs="Times New Roman" w:eastAsiaTheme="minorEastAsia"/>
                      <w:bCs/>
                      <w:color w:val="auto"/>
                      <w:szCs w:val="22"/>
                      <w:lang w:val="en-US" w:eastAsia="zh-CN"/>
                    </w:rPr>
                    <w:t>90</w:t>
                  </w:r>
                </w:p>
              </w:tc>
              <w:tc>
                <w:tcPr>
                  <w:tcW w:w="284" w:type="pct"/>
                  <w:vMerge w:val="restart"/>
                  <w:vAlign w:val="center"/>
                </w:tcPr>
                <w:p>
                  <w:pPr>
                    <w:pStyle w:val="24"/>
                    <w:spacing w:after="0" w:line="240" w:lineRule="auto"/>
                    <w:jc w:val="center"/>
                    <w:rPr>
                      <w:rFonts w:hint="default" w:cs="Times New Roman" w:eastAsiaTheme="minorEastAsia"/>
                      <w:bCs/>
                      <w:color w:val="auto"/>
                      <w:szCs w:val="22"/>
                      <w:lang w:val="en-US" w:eastAsia="zh-CN"/>
                    </w:rPr>
                  </w:pPr>
                  <w:r>
                    <w:rPr>
                      <w:rFonts w:hint="eastAsia" w:cs="Times New Roman" w:eastAsiaTheme="minorEastAsia"/>
                      <w:bCs/>
                      <w:color w:val="auto"/>
                      <w:szCs w:val="22"/>
                      <w:lang w:val="en-US" w:eastAsia="zh-CN"/>
                    </w:rPr>
                    <w:t>14000</w:t>
                  </w:r>
                </w:p>
              </w:tc>
              <w:tc>
                <w:tcPr>
                  <w:tcW w:w="342" w:type="pct"/>
                  <w:vAlign w:val="center"/>
                </w:tcPr>
                <w:p>
                  <w:pPr>
                    <w:pStyle w:val="24"/>
                    <w:spacing w:after="0" w:line="240" w:lineRule="auto"/>
                    <w:jc w:val="center"/>
                    <w:rPr>
                      <w:rFonts w:hint="default" w:ascii="Times New Roman" w:hAnsi="Times New Roman" w:cs="Times New Roman" w:eastAsiaTheme="minorEastAsia"/>
                      <w:bCs/>
                      <w:color w:val="auto"/>
                      <w:szCs w:val="22"/>
                      <w:lang w:val="en-US" w:eastAsia="zh-CN"/>
                    </w:rPr>
                  </w:pPr>
                  <w:r>
                    <w:rPr>
                      <w:rFonts w:hint="default" w:ascii="Times New Roman" w:hAnsi="Times New Roman" w:cs="Times New Roman" w:eastAsiaTheme="minorEastAsia"/>
                      <w:bCs/>
                      <w:color w:val="auto"/>
                      <w:szCs w:val="22"/>
                      <w:lang w:val="en-US" w:eastAsia="zh-CN"/>
                    </w:rPr>
                    <w:t>是</w:t>
                  </w:r>
                </w:p>
              </w:tc>
              <w:tc>
                <w:tcPr>
                  <w:tcW w:w="394" w:type="pct"/>
                  <w:vAlign w:val="center"/>
                </w:tcPr>
                <w:p>
                  <w:pPr>
                    <w:pStyle w:val="24"/>
                    <w:spacing w:after="0" w:line="240" w:lineRule="auto"/>
                    <w:jc w:val="center"/>
                    <w:rPr>
                      <w:rFonts w:hint="default"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3.68</w:t>
                  </w:r>
                </w:p>
              </w:tc>
              <w:tc>
                <w:tcPr>
                  <w:tcW w:w="449" w:type="pct"/>
                  <w:vAlign w:val="center"/>
                </w:tcPr>
                <w:p>
                  <w:pPr>
                    <w:pStyle w:val="24"/>
                    <w:spacing w:after="0" w:line="240" w:lineRule="auto"/>
                    <w:jc w:val="center"/>
                    <w:rPr>
                      <w:rFonts w:hint="default"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0.052</w:t>
                  </w:r>
                </w:p>
              </w:tc>
              <w:tc>
                <w:tcPr>
                  <w:tcW w:w="451" w:type="pct"/>
                  <w:vAlign w:val="center"/>
                </w:tcPr>
                <w:p>
                  <w:pPr>
                    <w:pStyle w:val="24"/>
                    <w:spacing w:after="0" w:line="240" w:lineRule="auto"/>
                    <w:jc w:val="center"/>
                    <w:rPr>
                      <w:rFonts w:hint="default"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0.124</w:t>
                  </w:r>
                </w:p>
              </w:tc>
              <w:tc>
                <w:tcPr>
                  <w:tcW w:w="330" w:type="pct"/>
                  <w:vMerge w:val="restart"/>
                  <w:vAlign w:val="center"/>
                </w:tcPr>
                <w:p>
                  <w:pPr>
                    <w:pStyle w:val="24"/>
                    <w:spacing w:after="0" w:line="240" w:lineRule="auto"/>
                    <w:jc w:val="center"/>
                    <w:rPr>
                      <w:rFonts w:hint="default" w:ascii="Times New Roman" w:hAnsi="Times New Roman" w:cs="Times New Roman" w:eastAsiaTheme="minorEastAsia"/>
                      <w:bCs/>
                      <w:color w:val="auto"/>
                      <w:szCs w:val="22"/>
                      <w:lang w:val="en-US" w:eastAsia="zh-CN"/>
                    </w:rPr>
                  </w:pPr>
                  <w:r>
                    <w:rPr>
                      <w:rFonts w:hint="default" w:ascii="Times New Roman" w:hAnsi="Times New Roman" w:cs="Times New Roman" w:eastAsiaTheme="minorEastAsia"/>
                      <w:bCs/>
                      <w:color w:val="auto"/>
                      <w:szCs w:val="22"/>
                      <w:lang w:val="en-US" w:eastAsia="zh-CN"/>
                    </w:rPr>
                    <w:t>间歇</w:t>
                  </w:r>
                </w:p>
                <w:p>
                  <w:pPr>
                    <w:pStyle w:val="24"/>
                    <w:spacing w:after="0" w:line="240" w:lineRule="auto"/>
                    <w:jc w:val="center"/>
                    <w:rPr>
                      <w:rFonts w:hint="eastAsia" w:cs="Times New Roman" w:eastAsiaTheme="minorEastAsia"/>
                      <w:bCs/>
                      <w:color w:val="auto"/>
                      <w:szCs w:val="22"/>
                      <w:lang w:val="en-US" w:eastAsia="zh-CN"/>
                    </w:rPr>
                  </w:pPr>
                  <w:r>
                    <w:rPr>
                      <w:rFonts w:hint="eastAsia" w:cs="Times New Roman" w:eastAsiaTheme="minorEastAsia"/>
                      <w:bCs/>
                      <w:color w:val="auto"/>
                      <w:szCs w:val="22"/>
                      <w:lang w:val="en-US" w:eastAsia="zh-CN"/>
                    </w:rPr>
                    <w:t>24</w:t>
                  </w:r>
                  <w:r>
                    <w:rPr>
                      <w:rFonts w:hint="default" w:ascii="Times New Roman" w:hAnsi="Times New Roman" w:cs="Times New Roman" w:eastAsiaTheme="minorEastAsia"/>
                      <w:bCs/>
                      <w:color w:val="auto"/>
                      <w:szCs w:val="22"/>
                      <w:lang w:val="en-US" w:eastAsia="zh-CN"/>
                    </w:rPr>
                    <w:t>00h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48" w:type="pct"/>
                  <w:vMerge w:val="continue"/>
                  <w:vAlign w:val="center"/>
                </w:tcPr>
                <w:p>
                  <w:pPr>
                    <w:pStyle w:val="24"/>
                    <w:spacing w:after="0" w:line="240" w:lineRule="auto"/>
                    <w:jc w:val="center"/>
                    <w:rPr>
                      <w:rFonts w:hint="default" w:ascii="Times New Roman" w:hAnsi="Times New Roman" w:cs="Times New Roman" w:eastAsiaTheme="minorEastAsia"/>
                      <w:bCs/>
                      <w:color w:val="auto"/>
                      <w:szCs w:val="22"/>
                      <w:lang w:val="en-US" w:eastAsia="zh-CN"/>
                    </w:rPr>
                  </w:pPr>
                </w:p>
              </w:tc>
              <w:tc>
                <w:tcPr>
                  <w:tcW w:w="357" w:type="pct"/>
                  <w:vMerge w:val="continue"/>
                  <w:vAlign w:val="center"/>
                </w:tcPr>
                <w:p>
                  <w:pPr>
                    <w:pStyle w:val="24"/>
                    <w:spacing w:after="0" w:line="240" w:lineRule="auto"/>
                    <w:jc w:val="center"/>
                    <w:rPr>
                      <w:rFonts w:hint="eastAsia" w:cs="Times New Roman"/>
                      <w:color w:val="auto"/>
                      <w:sz w:val="21"/>
                      <w:szCs w:val="21"/>
                      <w:lang w:val="en-US" w:eastAsia="zh-CN"/>
                    </w:rPr>
                  </w:pPr>
                </w:p>
              </w:tc>
              <w:tc>
                <w:tcPr>
                  <w:tcW w:w="334" w:type="pct"/>
                  <w:vAlign w:val="center"/>
                </w:tcPr>
                <w:p>
                  <w:pPr>
                    <w:pStyle w:val="24"/>
                    <w:spacing w:after="0" w:line="240" w:lineRule="auto"/>
                    <w:jc w:val="center"/>
                    <w:rPr>
                      <w:rFonts w:hint="default" w:ascii="Times New Roman" w:hAnsi="Times New Roman"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MDI</w:t>
                  </w:r>
                </w:p>
              </w:tc>
              <w:tc>
                <w:tcPr>
                  <w:tcW w:w="380" w:type="pct"/>
                  <w:vAlign w:val="center"/>
                </w:tcPr>
                <w:p>
                  <w:pPr>
                    <w:pStyle w:val="24"/>
                    <w:spacing w:after="0" w:line="240" w:lineRule="auto"/>
                    <w:jc w:val="center"/>
                    <w:rPr>
                      <w:rFonts w:hint="default" w:cs="Times New Roman" w:eastAsiaTheme="minorEastAsia"/>
                      <w:bCs/>
                      <w:color w:val="auto"/>
                      <w:szCs w:val="22"/>
                      <w:lang w:val="en-US" w:eastAsia="zh-CN"/>
                    </w:rPr>
                  </w:pPr>
                  <w:r>
                    <w:rPr>
                      <w:rFonts w:hint="eastAsia" w:cs="Times New Roman" w:eastAsiaTheme="minorEastAsia"/>
                      <w:bCs/>
                      <w:color w:val="auto"/>
                      <w:szCs w:val="22"/>
                      <w:lang w:val="en-US" w:eastAsia="zh-CN"/>
                    </w:rPr>
                    <w:t>0.16</w:t>
                  </w:r>
                </w:p>
              </w:tc>
              <w:tc>
                <w:tcPr>
                  <w:tcW w:w="362" w:type="pct"/>
                  <w:vAlign w:val="center"/>
                </w:tcPr>
                <w:p>
                  <w:pPr>
                    <w:pStyle w:val="24"/>
                    <w:spacing w:after="0" w:line="240" w:lineRule="auto"/>
                    <w:jc w:val="center"/>
                    <w:rPr>
                      <w:rFonts w:hint="eastAsia"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0.002</w:t>
                  </w:r>
                </w:p>
              </w:tc>
              <w:tc>
                <w:tcPr>
                  <w:tcW w:w="353" w:type="pct"/>
                  <w:vAlign w:val="center"/>
                </w:tcPr>
                <w:p>
                  <w:pPr>
                    <w:pStyle w:val="24"/>
                    <w:spacing w:after="0" w:line="240" w:lineRule="auto"/>
                    <w:jc w:val="center"/>
                    <w:rPr>
                      <w:rFonts w:hint="default"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0.0054</w:t>
                  </w:r>
                </w:p>
              </w:tc>
              <w:tc>
                <w:tcPr>
                  <w:tcW w:w="383" w:type="pct"/>
                  <w:vMerge w:val="continue"/>
                  <w:vAlign w:val="center"/>
                </w:tcPr>
                <w:p>
                  <w:pPr>
                    <w:pStyle w:val="24"/>
                    <w:spacing w:after="0" w:line="240" w:lineRule="auto"/>
                    <w:jc w:val="center"/>
                    <w:rPr>
                      <w:rFonts w:hint="default" w:ascii="Times New Roman" w:hAnsi="Times New Roman" w:cs="Times New Roman" w:eastAsiaTheme="minorEastAsia"/>
                      <w:bCs/>
                      <w:color w:val="auto"/>
                      <w:szCs w:val="22"/>
                      <w:lang w:val="en-US" w:eastAsia="zh-CN"/>
                    </w:rPr>
                  </w:pPr>
                </w:p>
              </w:tc>
              <w:tc>
                <w:tcPr>
                  <w:tcW w:w="230" w:type="pct"/>
                  <w:vAlign w:val="center"/>
                </w:tcPr>
                <w:p>
                  <w:pPr>
                    <w:pStyle w:val="24"/>
                    <w:spacing w:after="0" w:line="240" w:lineRule="auto"/>
                    <w:jc w:val="center"/>
                    <w:rPr>
                      <w:rFonts w:hint="default" w:cs="Times New Roman" w:eastAsiaTheme="minorEastAsia"/>
                      <w:bCs/>
                      <w:color w:val="auto"/>
                      <w:szCs w:val="22"/>
                      <w:lang w:val="en-US" w:eastAsia="zh-CN"/>
                    </w:rPr>
                  </w:pPr>
                  <w:r>
                    <w:rPr>
                      <w:rFonts w:hint="eastAsia" w:cs="Times New Roman" w:eastAsiaTheme="minorEastAsia"/>
                      <w:bCs/>
                      <w:color w:val="auto"/>
                      <w:szCs w:val="22"/>
                      <w:lang w:val="en-US" w:eastAsia="zh-CN"/>
                    </w:rPr>
                    <w:t>90</w:t>
                  </w:r>
                </w:p>
              </w:tc>
              <w:tc>
                <w:tcPr>
                  <w:tcW w:w="284" w:type="pct"/>
                  <w:vMerge w:val="continue"/>
                  <w:vAlign w:val="center"/>
                </w:tcPr>
                <w:p>
                  <w:pPr>
                    <w:pStyle w:val="24"/>
                    <w:spacing w:after="0" w:line="240" w:lineRule="auto"/>
                    <w:jc w:val="center"/>
                    <w:rPr>
                      <w:rFonts w:hint="eastAsia" w:cs="Times New Roman" w:eastAsiaTheme="minorEastAsia"/>
                      <w:bCs/>
                      <w:color w:val="auto"/>
                      <w:szCs w:val="22"/>
                      <w:lang w:val="en-US" w:eastAsia="zh-CN"/>
                    </w:rPr>
                  </w:pPr>
                </w:p>
              </w:tc>
              <w:tc>
                <w:tcPr>
                  <w:tcW w:w="342" w:type="pct"/>
                  <w:vAlign w:val="center"/>
                </w:tcPr>
                <w:p>
                  <w:pPr>
                    <w:pStyle w:val="24"/>
                    <w:spacing w:after="0" w:line="240" w:lineRule="auto"/>
                    <w:jc w:val="center"/>
                    <w:rPr>
                      <w:rFonts w:hint="default" w:ascii="Times New Roman" w:hAnsi="Times New Roman" w:cs="Times New Roman" w:eastAsiaTheme="minorEastAsia"/>
                      <w:bCs/>
                      <w:color w:val="auto"/>
                      <w:szCs w:val="22"/>
                      <w:lang w:val="en-US" w:eastAsia="zh-CN"/>
                    </w:rPr>
                  </w:pPr>
                  <w:r>
                    <w:rPr>
                      <w:rFonts w:hint="default" w:ascii="Times New Roman" w:hAnsi="Times New Roman" w:cs="Times New Roman" w:eastAsiaTheme="minorEastAsia"/>
                      <w:bCs/>
                      <w:color w:val="auto"/>
                      <w:szCs w:val="22"/>
                      <w:lang w:val="en-US" w:eastAsia="zh-CN"/>
                    </w:rPr>
                    <w:t>是</w:t>
                  </w:r>
                </w:p>
              </w:tc>
              <w:tc>
                <w:tcPr>
                  <w:tcW w:w="394" w:type="pct"/>
                  <w:vAlign w:val="center"/>
                </w:tcPr>
                <w:p>
                  <w:pPr>
                    <w:pStyle w:val="24"/>
                    <w:spacing w:after="0" w:line="240" w:lineRule="auto"/>
                    <w:jc w:val="center"/>
                    <w:rPr>
                      <w:rFonts w:hint="default"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0.02</w:t>
                  </w:r>
                </w:p>
              </w:tc>
              <w:tc>
                <w:tcPr>
                  <w:tcW w:w="449" w:type="pct"/>
                  <w:vAlign w:val="center"/>
                </w:tcPr>
                <w:p>
                  <w:pPr>
                    <w:pStyle w:val="24"/>
                    <w:spacing w:after="0" w:line="240" w:lineRule="auto"/>
                    <w:jc w:val="center"/>
                    <w:rPr>
                      <w:rFonts w:hint="eastAsia"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0.0002</w:t>
                  </w:r>
                </w:p>
              </w:tc>
              <w:tc>
                <w:tcPr>
                  <w:tcW w:w="451" w:type="pct"/>
                  <w:vAlign w:val="center"/>
                </w:tcPr>
                <w:p>
                  <w:pPr>
                    <w:pStyle w:val="24"/>
                    <w:spacing w:after="0" w:line="240" w:lineRule="auto"/>
                    <w:jc w:val="center"/>
                    <w:rPr>
                      <w:rFonts w:hint="eastAsia"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0.0005</w:t>
                  </w:r>
                </w:p>
              </w:tc>
              <w:tc>
                <w:tcPr>
                  <w:tcW w:w="330" w:type="pct"/>
                  <w:vMerge w:val="continue"/>
                  <w:vAlign w:val="center"/>
                </w:tcPr>
                <w:p>
                  <w:pPr>
                    <w:pStyle w:val="24"/>
                    <w:spacing w:after="0" w:line="240" w:lineRule="auto"/>
                    <w:jc w:val="center"/>
                    <w:rPr>
                      <w:rFonts w:hint="eastAsia" w:cs="Times New Roman" w:eastAsiaTheme="minorEastAsia"/>
                      <w:bCs/>
                      <w:color w:val="auto"/>
                      <w:szCs w:val="22"/>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auto"/>
                <w:szCs w:val="21"/>
                <w:lang w:val="en-US" w:eastAsia="zh-CN"/>
              </w:rPr>
            </w:pPr>
            <w:r>
              <w:rPr>
                <w:rFonts w:hint="default" w:ascii="Times New Roman" w:hAnsi="Times New Roman" w:cs="Times New Roman"/>
                <w:b/>
                <w:bCs/>
                <w:color w:val="auto"/>
                <w:szCs w:val="21"/>
                <w:lang w:val="en-US" w:eastAsia="zh-CN"/>
              </w:rPr>
              <w:t>表4-</w:t>
            </w:r>
            <w:r>
              <w:rPr>
                <w:rFonts w:hint="eastAsia" w:cs="Times New Roman"/>
                <w:b/>
                <w:bCs/>
                <w:color w:val="auto"/>
                <w:szCs w:val="21"/>
                <w:lang w:val="en-US" w:eastAsia="zh-CN"/>
              </w:rPr>
              <w:t>4</w:t>
            </w:r>
            <w:r>
              <w:rPr>
                <w:rFonts w:hint="default" w:ascii="Times New Roman" w:hAnsi="Times New Roman" w:cs="Times New Roman"/>
                <w:b/>
                <w:bCs/>
                <w:color w:val="auto"/>
                <w:szCs w:val="21"/>
                <w:lang w:val="en-US" w:eastAsia="zh-CN"/>
              </w:rPr>
              <w:t xml:space="preserve"> </w:t>
            </w:r>
            <w:r>
              <w:rPr>
                <w:rFonts w:hint="eastAsia" w:ascii="Times New Roman" w:hAnsi="Times New Roman" w:cs="Times New Roman"/>
                <w:b/>
                <w:bCs/>
                <w:color w:val="auto"/>
                <w:szCs w:val="21"/>
                <w:lang w:val="en-US" w:eastAsia="zh-CN"/>
              </w:rPr>
              <w:t xml:space="preserve"> </w:t>
            </w:r>
            <w:r>
              <w:rPr>
                <w:rFonts w:hint="default" w:ascii="Times New Roman" w:hAnsi="Times New Roman" w:cs="Times New Roman"/>
                <w:b/>
                <w:bCs/>
                <w:color w:val="auto"/>
                <w:szCs w:val="21"/>
                <w:lang w:val="en-US" w:eastAsia="zh-CN"/>
              </w:rPr>
              <w:t>本项目</w:t>
            </w:r>
            <w:r>
              <w:rPr>
                <w:rFonts w:hint="eastAsia" w:ascii="Times New Roman" w:hAnsi="Times New Roman" w:cs="Times New Roman"/>
                <w:b/>
                <w:bCs/>
                <w:color w:val="auto"/>
                <w:szCs w:val="21"/>
                <w:lang w:eastAsia="zh-CN"/>
              </w:rPr>
              <w:t>建成后全厂</w:t>
            </w:r>
            <w:r>
              <w:rPr>
                <w:rFonts w:hint="default" w:ascii="Times New Roman" w:hAnsi="Times New Roman" w:cs="Times New Roman"/>
                <w:b/>
                <w:bCs/>
                <w:color w:val="auto"/>
                <w:szCs w:val="21"/>
                <w:lang w:val="en-US" w:eastAsia="zh-CN"/>
              </w:rPr>
              <w:t>无组织废气产生及排放源强表</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1876"/>
              <w:gridCol w:w="2789"/>
              <w:gridCol w:w="2348"/>
              <w:gridCol w:w="1864"/>
              <w:gridCol w:w="2167"/>
              <w:gridCol w:w="19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724"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工作车间</w:t>
                  </w:r>
                </w:p>
              </w:tc>
              <w:tc>
                <w:tcPr>
                  <w:tcW w:w="1076" w:type="pct"/>
                  <w:vAlign w:val="center"/>
                </w:tcPr>
                <w:p>
                  <w:pPr>
                    <w:adjustRightInd w:val="0"/>
                    <w:snapToGrid w:val="0"/>
                    <w:jc w:val="center"/>
                    <w:rPr>
                      <w:rFonts w:hint="default" w:ascii="Times New Roman" w:hAnsi="Times New Roman" w:cs="Times New Roman"/>
                      <w:color w:val="auto"/>
                    </w:rPr>
                  </w:pPr>
                  <w:r>
                    <w:rPr>
                      <w:rFonts w:hint="default" w:ascii="Times New Roman" w:hAnsi="Times New Roman" w:cs="Times New Roman"/>
                      <w:b/>
                      <w:bCs/>
                      <w:color w:val="auto"/>
                      <w:szCs w:val="21"/>
                    </w:rPr>
                    <w:t>产生环节</w:t>
                  </w:r>
                </w:p>
              </w:tc>
              <w:tc>
                <w:tcPr>
                  <w:tcW w:w="906"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污染物名称</w:t>
                  </w:r>
                </w:p>
              </w:tc>
              <w:tc>
                <w:tcPr>
                  <w:tcW w:w="719"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排放量t/a</w:t>
                  </w:r>
                </w:p>
              </w:tc>
              <w:tc>
                <w:tcPr>
                  <w:tcW w:w="836"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面源面积m</w:t>
                  </w:r>
                  <w:r>
                    <w:rPr>
                      <w:rFonts w:hint="default" w:ascii="Times New Roman" w:hAnsi="Times New Roman" w:cs="Times New Roman"/>
                      <w:b/>
                      <w:bCs/>
                      <w:color w:val="auto"/>
                      <w:szCs w:val="21"/>
                      <w:vertAlign w:val="superscript"/>
                    </w:rPr>
                    <w:t>2</w:t>
                  </w:r>
                </w:p>
              </w:tc>
              <w:tc>
                <w:tcPr>
                  <w:tcW w:w="737"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面源高度m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724" w:type="pct"/>
                  <w:vMerge w:val="restart"/>
                  <w:vAlign w:val="center"/>
                </w:tcPr>
                <w:p>
                  <w:pPr>
                    <w:adjustRightInd w:val="0"/>
                    <w:snapToGrid w:val="0"/>
                    <w:jc w:val="center"/>
                    <w:rPr>
                      <w:rFonts w:hint="default" w:ascii="Times New Roman" w:hAnsi="Times New Roman" w:eastAsia="宋体" w:cs="Times New Roman"/>
                      <w:color w:val="auto"/>
                      <w:kern w:val="44"/>
                      <w:szCs w:val="21"/>
                      <w:lang w:val="en-US" w:eastAsia="zh-CN"/>
                    </w:rPr>
                  </w:pPr>
                  <w:r>
                    <w:rPr>
                      <w:rFonts w:hint="eastAsia" w:cs="Times New Roman"/>
                      <w:color w:val="auto"/>
                      <w:kern w:val="44"/>
                      <w:szCs w:val="21"/>
                      <w:lang w:val="en-US" w:eastAsia="zh-CN"/>
                    </w:rPr>
                    <w:t>车间二</w:t>
                  </w:r>
                </w:p>
              </w:tc>
              <w:tc>
                <w:tcPr>
                  <w:tcW w:w="1076" w:type="pct"/>
                  <w:vMerge w:val="restart"/>
                  <w:vAlign w:val="center"/>
                </w:tcPr>
                <w:p>
                  <w:pPr>
                    <w:adjustRightInd w:val="0"/>
                    <w:snapToGrid w:val="0"/>
                    <w:jc w:val="center"/>
                    <w:rPr>
                      <w:rFonts w:hint="default" w:ascii="Times New Roman" w:hAnsi="Times New Roman" w:eastAsia="宋体" w:cs="Times New Roman"/>
                      <w:color w:val="332CEE"/>
                      <w:kern w:val="44"/>
                      <w:szCs w:val="21"/>
                      <w:lang w:val="en-US" w:eastAsia="zh-CN"/>
                    </w:rPr>
                  </w:pPr>
                  <w:r>
                    <w:rPr>
                      <w:rFonts w:hint="eastAsia" w:cs="Times New Roman"/>
                      <w:color w:val="auto"/>
                      <w:sz w:val="21"/>
                      <w:szCs w:val="21"/>
                      <w:lang w:val="en-US" w:eastAsia="zh-CN"/>
                    </w:rPr>
                    <w:t>热压</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混合、发泡</w:t>
                  </w:r>
                  <w:r>
                    <w:rPr>
                      <w:rFonts w:hint="eastAsia" w:ascii="Times New Roman" w:hAnsi="Times New Roman" w:cs="Times New Roman"/>
                      <w:color w:val="auto"/>
                      <w:sz w:val="21"/>
                      <w:szCs w:val="21"/>
                      <w:lang w:val="en-US" w:eastAsia="zh-CN"/>
                    </w:rPr>
                    <w:t>和</w:t>
                  </w:r>
                  <w:r>
                    <w:rPr>
                      <w:rFonts w:hint="eastAsia" w:cs="Times New Roman"/>
                      <w:color w:val="auto"/>
                      <w:sz w:val="21"/>
                      <w:szCs w:val="21"/>
                      <w:lang w:val="en-US" w:eastAsia="zh-CN"/>
                    </w:rPr>
                    <w:t>开模</w:t>
                  </w:r>
                </w:p>
              </w:tc>
              <w:tc>
                <w:tcPr>
                  <w:tcW w:w="906" w:type="pct"/>
                  <w:vAlign w:val="center"/>
                </w:tcPr>
                <w:p>
                  <w:pPr>
                    <w:pStyle w:val="24"/>
                    <w:spacing w:after="0" w:line="240" w:lineRule="auto"/>
                    <w:jc w:val="center"/>
                    <w:rPr>
                      <w:rFonts w:hint="default" w:ascii="Times New Roman" w:hAnsi="Times New Roman" w:cs="Times New Roman"/>
                      <w:color w:val="auto"/>
                      <w:kern w:val="44"/>
                      <w:sz w:val="21"/>
                      <w:szCs w:val="21"/>
                      <w:lang w:val="en-US" w:eastAsia="zh-CN"/>
                    </w:rPr>
                  </w:pPr>
                  <w:r>
                    <w:rPr>
                      <w:rFonts w:hint="default" w:ascii="Times New Roman" w:hAnsi="Times New Roman" w:cs="Times New Roman" w:eastAsiaTheme="minorEastAsia"/>
                      <w:bCs/>
                      <w:color w:val="auto"/>
                      <w:szCs w:val="22"/>
                      <w:lang w:val="en-US" w:eastAsia="zh-CN"/>
                    </w:rPr>
                    <w:t>非甲烷总烃</w:t>
                  </w:r>
                </w:p>
              </w:tc>
              <w:tc>
                <w:tcPr>
                  <w:tcW w:w="719" w:type="pct"/>
                  <w:vAlign w:val="center"/>
                </w:tcPr>
                <w:p>
                  <w:pPr>
                    <w:adjustRightInd w:val="0"/>
                    <w:snapToGrid w:val="0"/>
                    <w:jc w:val="center"/>
                    <w:rPr>
                      <w:rFonts w:hint="default" w:ascii="Times New Roman" w:hAnsi="Times New Roman" w:eastAsia="宋体" w:cs="Times New Roman"/>
                      <w:color w:val="auto"/>
                      <w:kern w:val="44"/>
                      <w:sz w:val="21"/>
                      <w:szCs w:val="21"/>
                      <w:lang w:val="en-US" w:eastAsia="zh-CN"/>
                    </w:rPr>
                  </w:pPr>
                  <w:r>
                    <w:rPr>
                      <w:rFonts w:hint="eastAsia" w:cs="Times New Roman"/>
                      <w:color w:val="auto"/>
                      <w:kern w:val="44"/>
                      <w:sz w:val="21"/>
                      <w:szCs w:val="21"/>
                      <w:lang w:val="en-US" w:eastAsia="zh-CN"/>
                    </w:rPr>
                    <w:t>0.137</w:t>
                  </w:r>
                </w:p>
              </w:tc>
              <w:tc>
                <w:tcPr>
                  <w:tcW w:w="836" w:type="pct"/>
                  <w:vMerge w:val="restart"/>
                  <w:vAlign w:val="center"/>
                </w:tcPr>
                <w:p>
                  <w:pPr>
                    <w:adjustRightInd w:val="0"/>
                    <w:snapToGrid w:val="0"/>
                    <w:jc w:val="center"/>
                    <w:rPr>
                      <w:rFonts w:hint="default" w:ascii="Times New Roman" w:hAnsi="Times New Roman" w:eastAsia="宋体" w:cs="Times New Roman"/>
                      <w:color w:val="auto"/>
                      <w:kern w:val="44"/>
                      <w:sz w:val="21"/>
                      <w:szCs w:val="21"/>
                      <w:lang w:val="en-US" w:eastAsia="zh-CN" w:bidi="ar-SA"/>
                    </w:rPr>
                  </w:pPr>
                  <w:r>
                    <w:rPr>
                      <w:rFonts w:hint="eastAsia" w:cs="Times New Roman"/>
                      <w:color w:val="auto"/>
                      <w:kern w:val="0"/>
                      <w:lang w:val="en-US" w:eastAsia="zh-CN"/>
                    </w:rPr>
                    <w:t>1488</w:t>
                  </w:r>
                </w:p>
              </w:tc>
              <w:tc>
                <w:tcPr>
                  <w:tcW w:w="737" w:type="pct"/>
                  <w:vMerge w:val="restart"/>
                  <w:vAlign w:val="center"/>
                </w:tcPr>
                <w:p>
                  <w:pPr>
                    <w:adjustRightInd w:val="0"/>
                    <w:snapToGrid w:val="0"/>
                    <w:jc w:val="center"/>
                    <w:rPr>
                      <w:rFonts w:hint="default" w:ascii="Times New Roman" w:hAnsi="Times New Roman" w:eastAsia="宋体" w:cs="Times New Roman"/>
                      <w:color w:val="auto"/>
                      <w:kern w:val="44"/>
                      <w:szCs w:val="21"/>
                      <w:lang w:val="en-US" w:eastAsia="zh-CN"/>
                    </w:rPr>
                  </w:pPr>
                  <w:r>
                    <w:rPr>
                      <w:rFonts w:hint="eastAsia" w:ascii="Times New Roman" w:hAnsi="Times New Roman" w:cs="Times New Roman"/>
                      <w:color w:val="auto"/>
                      <w:kern w:val="44"/>
                      <w:szCs w:val="21"/>
                      <w:lang w:val="en-US"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724" w:type="pct"/>
                  <w:vMerge w:val="continue"/>
                  <w:vAlign w:val="center"/>
                </w:tcPr>
                <w:p>
                  <w:pPr>
                    <w:adjustRightInd w:val="0"/>
                    <w:snapToGrid w:val="0"/>
                    <w:jc w:val="center"/>
                    <w:rPr>
                      <w:rFonts w:hint="default" w:ascii="Times New Roman" w:hAnsi="Times New Roman" w:eastAsia="宋体" w:cs="Times New Roman"/>
                      <w:color w:val="auto"/>
                      <w:kern w:val="44"/>
                      <w:szCs w:val="21"/>
                      <w:lang w:val="en-US" w:eastAsia="zh-CN"/>
                    </w:rPr>
                  </w:pPr>
                </w:p>
              </w:tc>
              <w:tc>
                <w:tcPr>
                  <w:tcW w:w="1076" w:type="pct"/>
                  <w:vMerge w:val="continue"/>
                  <w:vAlign w:val="center"/>
                </w:tcPr>
                <w:p>
                  <w:pPr>
                    <w:adjustRightInd w:val="0"/>
                    <w:snapToGrid w:val="0"/>
                    <w:jc w:val="center"/>
                    <w:rPr>
                      <w:rFonts w:hint="default" w:ascii="Times New Roman" w:hAnsi="Times New Roman" w:eastAsia="宋体" w:cs="Times New Roman"/>
                      <w:color w:val="332CEE"/>
                      <w:kern w:val="44"/>
                      <w:szCs w:val="21"/>
                      <w:lang w:val="en-US" w:eastAsia="zh-CN"/>
                    </w:rPr>
                  </w:pPr>
                </w:p>
              </w:tc>
              <w:tc>
                <w:tcPr>
                  <w:tcW w:w="906" w:type="pct"/>
                  <w:vAlign w:val="center"/>
                </w:tcPr>
                <w:p>
                  <w:pPr>
                    <w:pStyle w:val="24"/>
                    <w:spacing w:after="0" w:line="240" w:lineRule="auto"/>
                    <w:jc w:val="center"/>
                    <w:rPr>
                      <w:rFonts w:hint="default" w:ascii="Times New Roman" w:hAnsi="Times New Roman" w:eastAsia="宋体" w:cs="Times New Roman"/>
                      <w:color w:val="332CEE"/>
                      <w:kern w:val="44"/>
                      <w:sz w:val="21"/>
                      <w:szCs w:val="21"/>
                      <w:lang w:val="en-US" w:eastAsia="zh-CN"/>
                    </w:rPr>
                  </w:pPr>
                  <w:r>
                    <w:rPr>
                      <w:rFonts w:hint="eastAsia" w:cs="Times New Roman" w:eastAsiaTheme="minorEastAsia"/>
                      <w:bCs/>
                      <w:color w:val="auto"/>
                      <w:szCs w:val="22"/>
                      <w:lang w:val="en-US" w:eastAsia="zh-CN"/>
                    </w:rPr>
                    <w:t>MDI</w:t>
                  </w:r>
                </w:p>
              </w:tc>
              <w:tc>
                <w:tcPr>
                  <w:tcW w:w="719" w:type="pct"/>
                  <w:vAlign w:val="center"/>
                </w:tcPr>
                <w:p>
                  <w:pPr>
                    <w:adjustRightInd w:val="0"/>
                    <w:snapToGrid w:val="0"/>
                    <w:jc w:val="center"/>
                    <w:rPr>
                      <w:rFonts w:hint="default" w:ascii="Times New Roman" w:hAnsi="Times New Roman" w:eastAsia="宋体" w:cs="Times New Roman"/>
                      <w:color w:val="332CEE"/>
                      <w:kern w:val="44"/>
                      <w:sz w:val="21"/>
                      <w:szCs w:val="21"/>
                      <w:lang w:val="en-US" w:eastAsia="zh-CN"/>
                    </w:rPr>
                  </w:pPr>
                  <w:r>
                    <w:rPr>
                      <w:rFonts w:hint="eastAsia" w:cs="Times New Roman" w:eastAsiaTheme="minorEastAsia"/>
                      <w:bCs/>
                      <w:color w:val="auto"/>
                      <w:kern w:val="2"/>
                      <w:sz w:val="21"/>
                      <w:szCs w:val="22"/>
                      <w:lang w:val="en-US" w:eastAsia="zh-CN" w:bidi="ar-SA"/>
                    </w:rPr>
                    <w:t>0.0006</w:t>
                  </w:r>
                </w:p>
              </w:tc>
              <w:tc>
                <w:tcPr>
                  <w:tcW w:w="836" w:type="pct"/>
                  <w:vMerge w:val="continue"/>
                  <w:vAlign w:val="center"/>
                </w:tcPr>
                <w:p>
                  <w:pPr>
                    <w:adjustRightInd w:val="0"/>
                    <w:snapToGrid w:val="0"/>
                    <w:jc w:val="center"/>
                    <w:rPr>
                      <w:rFonts w:hint="default" w:ascii="Times New Roman" w:hAnsi="Times New Roman" w:eastAsia="宋体" w:cs="Times New Roman"/>
                      <w:color w:val="auto"/>
                      <w:kern w:val="44"/>
                      <w:sz w:val="21"/>
                      <w:szCs w:val="21"/>
                      <w:lang w:val="en-US" w:eastAsia="zh-CN" w:bidi="ar-SA"/>
                    </w:rPr>
                  </w:pPr>
                </w:p>
              </w:tc>
              <w:tc>
                <w:tcPr>
                  <w:tcW w:w="737" w:type="pct"/>
                  <w:vMerge w:val="continue"/>
                  <w:vAlign w:val="center"/>
                </w:tcPr>
                <w:p>
                  <w:pPr>
                    <w:adjustRightInd w:val="0"/>
                    <w:snapToGrid w:val="0"/>
                    <w:jc w:val="center"/>
                    <w:rPr>
                      <w:rFonts w:hint="default" w:ascii="Times New Roman" w:hAnsi="Times New Roman" w:eastAsia="宋体" w:cs="Times New Roman"/>
                      <w:color w:val="auto"/>
                      <w:kern w:val="44"/>
                      <w:szCs w:val="21"/>
                      <w:lang w:val="en-US" w:eastAsia="zh-CN"/>
                    </w:rPr>
                  </w:pPr>
                </w:p>
              </w:tc>
            </w:tr>
          </w:tbl>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cs="Times New Roman"/>
                <w:color w:val="auto"/>
              </w:rPr>
            </w:pPr>
          </w:p>
        </w:tc>
      </w:tr>
    </w:tbl>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sectPr>
          <w:headerReference r:id="rId6" w:type="default"/>
          <w:pgSz w:w="16838" w:h="11906" w:orient="landscape"/>
          <w:pgMar w:top="1417" w:right="1417" w:bottom="1417" w:left="1417" w:header="851" w:footer="851" w:gutter="0"/>
          <w:pgBorders>
            <w:top w:val="none" w:sz="0" w:space="0"/>
            <w:left w:val="none" w:sz="0" w:space="0"/>
            <w:bottom w:val="none" w:sz="0" w:space="0"/>
            <w:right w:val="none" w:sz="0" w:space="0"/>
          </w:pgBorders>
          <w:cols w:space="720" w:num="1"/>
          <w:docGrid w:linePitch="312" w:charSpace="0"/>
        </w:sectPr>
      </w:pPr>
    </w:p>
    <w:tbl>
      <w:tblPr>
        <w:tblStyle w:val="27"/>
        <w:tblpPr w:leftFromText="180" w:rightFromText="180" w:vertAnchor="text" w:tblpXSpec="center" w:tblpY="1"/>
        <w:tblOverlap w:val="never"/>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1" w:hRule="atLeast"/>
        </w:trPr>
        <w:tc>
          <w:tcPr>
            <w:tcW w:w="724" w:type="dxa"/>
            <w:tcMar>
              <w:left w:w="28" w:type="dxa"/>
              <w:right w:w="28" w:type="dxa"/>
            </w:tcMar>
            <w:vAlign w:val="center"/>
          </w:tcPr>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运营</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期环</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境影</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响和</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保护</w:t>
            </w:r>
          </w:p>
          <w:p>
            <w:pPr>
              <w:adjustRightInd w:val="0"/>
              <w:snapToGrid w:val="0"/>
              <w:jc w:val="center"/>
              <w:rPr>
                <w:rFonts w:hint="default" w:ascii="Times New Roman" w:hAnsi="Times New Roman" w:cs="Times New Roman"/>
                <w:bCs/>
                <w:color w:val="auto"/>
                <w:sz w:val="24"/>
              </w:rPr>
            </w:pPr>
            <w:r>
              <w:rPr>
                <w:rFonts w:hint="default" w:ascii="Times New Roman" w:hAnsi="Times New Roman" w:cs="Times New Roman"/>
                <w:bCs/>
                <w:color w:val="auto"/>
                <w:sz w:val="24"/>
              </w:rPr>
              <w:t>措施</w:t>
            </w:r>
          </w:p>
        </w:tc>
        <w:tc>
          <w:tcPr>
            <w:tcW w:w="842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color w:val="auto"/>
                <w:sz w:val="24"/>
              </w:rPr>
            </w:pPr>
            <w:r>
              <w:rPr>
                <w:rFonts w:hint="eastAsia" w:cs="Times New Roman"/>
                <w:b/>
                <w:bCs/>
                <w:color w:val="auto"/>
                <w:sz w:val="24"/>
                <w:lang w:val="en-US" w:eastAsia="zh-CN"/>
              </w:rPr>
              <w:t>4、</w:t>
            </w:r>
            <w:r>
              <w:rPr>
                <w:rFonts w:hint="default" w:ascii="Times New Roman" w:hAnsi="Times New Roman" w:eastAsia="宋体" w:cs="Times New Roman"/>
                <w:b/>
                <w:bCs/>
                <w:color w:val="auto"/>
                <w:sz w:val="24"/>
              </w:rPr>
              <w:t>非正常工况</w:t>
            </w:r>
          </w:p>
          <w:p>
            <w:pPr>
              <w:adjustRightInd w:val="0"/>
              <w:snapToGrid w:val="0"/>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建设项目非正常工况是指生产运行阶段的开、停工及维修或环保设施达不到设计规定指标等工况。</w:t>
            </w:r>
          </w:p>
          <w:p>
            <w:pPr>
              <w:adjustRightInd w:val="0"/>
              <w:snapToGrid w:val="0"/>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本项目设定有开停工管理制度，每班作业开始或结束时严格按照操作规程，基本无废气产生。不正常操作及设备故障的具体原因有意外负荷跳闸，仪表失灵导致操作失控、误操作等，也可因突然断电等引起。发生不正常操作及设备故障时，将视情况及时停产。</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本项目考虑最大风险情况下，废气治理设备出现故障导致有组织废气未经有效处理直接排放</w:t>
            </w:r>
            <w:r>
              <w:rPr>
                <w:rFonts w:hint="default" w:ascii="Times New Roman" w:hAnsi="Times New Roman" w:cs="Times New Roman"/>
                <w:color w:val="auto"/>
                <w:sz w:val="24"/>
                <w:lang w:val="en-US" w:eastAsia="zh-CN"/>
              </w:rPr>
              <w:t>的</w:t>
            </w:r>
            <w:r>
              <w:rPr>
                <w:rFonts w:hint="default" w:ascii="Times New Roman" w:hAnsi="Times New Roman" w:cs="Times New Roman"/>
                <w:color w:val="auto"/>
                <w:sz w:val="24"/>
              </w:rPr>
              <w:t>情况进行分析</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本项目非正常工况时废气源强</w:t>
            </w:r>
            <w:r>
              <w:rPr>
                <w:rFonts w:hint="default" w:ascii="Times New Roman" w:hAnsi="Times New Roman" w:cs="Times New Roman"/>
                <w:color w:val="auto"/>
                <w:sz w:val="24"/>
                <w:lang w:val="en-US" w:eastAsia="zh-CN"/>
              </w:rPr>
              <w:t>如下表</w:t>
            </w:r>
            <w:r>
              <w:rPr>
                <w:rFonts w:hint="default" w:ascii="Times New Roman" w:hAnsi="Times New Roman" w:cs="Times New Roman"/>
                <w:color w:val="auto"/>
                <w:sz w:val="24"/>
              </w:rPr>
              <w:t>所示。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auto"/>
                <w:szCs w:val="21"/>
                <w:lang w:val="en-US" w:eastAsia="zh-CN"/>
              </w:rPr>
            </w:pPr>
            <w:r>
              <w:rPr>
                <w:rFonts w:hint="default" w:ascii="Times New Roman" w:hAnsi="Times New Roman" w:cs="Times New Roman"/>
                <w:b/>
                <w:bCs/>
                <w:color w:val="auto"/>
                <w:szCs w:val="21"/>
                <w:lang w:val="en-US" w:eastAsia="zh-CN"/>
              </w:rPr>
              <w:t>表4-</w:t>
            </w:r>
            <w:r>
              <w:rPr>
                <w:rFonts w:hint="eastAsia" w:cs="Times New Roman"/>
                <w:b/>
                <w:bCs/>
                <w:color w:val="auto"/>
                <w:szCs w:val="21"/>
                <w:lang w:val="en-US" w:eastAsia="zh-CN"/>
              </w:rPr>
              <w:t>5</w:t>
            </w:r>
            <w:r>
              <w:rPr>
                <w:rFonts w:hint="default" w:ascii="Times New Roman" w:hAnsi="Times New Roman" w:cs="Times New Roman"/>
                <w:b/>
                <w:bCs/>
                <w:color w:val="auto"/>
                <w:szCs w:val="21"/>
                <w:lang w:val="en-US" w:eastAsia="zh-CN"/>
              </w:rPr>
              <w:t xml:space="preserve"> </w:t>
            </w:r>
            <w:r>
              <w:rPr>
                <w:rFonts w:hint="eastAsia" w:ascii="Times New Roman" w:hAnsi="Times New Roman" w:cs="Times New Roman"/>
                <w:b/>
                <w:bCs/>
                <w:color w:val="auto"/>
                <w:szCs w:val="21"/>
                <w:lang w:val="en-US" w:eastAsia="zh-CN"/>
              </w:rPr>
              <w:t xml:space="preserve"> </w:t>
            </w:r>
            <w:r>
              <w:rPr>
                <w:rFonts w:hint="default" w:ascii="Times New Roman" w:hAnsi="Times New Roman" w:cs="Times New Roman"/>
                <w:b/>
                <w:bCs/>
                <w:color w:val="auto"/>
                <w:szCs w:val="21"/>
                <w:lang w:val="en-US" w:eastAsia="zh-CN"/>
              </w:rPr>
              <w:t>非正常工况时废气排放情况表</w:t>
            </w:r>
          </w:p>
          <w:tbl>
            <w:tblPr>
              <w:tblStyle w:val="28"/>
              <w:tblW w:w="496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1" w:type="dxa"/>
                <w:bottom w:w="0" w:type="dxa"/>
                <w:right w:w="51" w:type="dxa"/>
              </w:tblCellMar>
            </w:tblPr>
            <w:tblGrid>
              <w:gridCol w:w="727"/>
              <w:gridCol w:w="704"/>
              <w:gridCol w:w="636"/>
              <w:gridCol w:w="798"/>
              <w:gridCol w:w="746"/>
              <w:gridCol w:w="1104"/>
              <w:gridCol w:w="933"/>
              <w:gridCol w:w="644"/>
              <w:gridCol w:w="693"/>
              <w:gridCol w:w="11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446" w:type="pct"/>
                  <w:vMerge w:val="restar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排气筒编号</w:t>
                  </w:r>
                </w:p>
              </w:tc>
              <w:tc>
                <w:tcPr>
                  <w:tcW w:w="431" w:type="pct"/>
                  <w:vMerge w:val="restar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排放工序</w:t>
                  </w:r>
                </w:p>
              </w:tc>
              <w:tc>
                <w:tcPr>
                  <w:tcW w:w="390" w:type="pct"/>
                  <w:vMerge w:val="restart"/>
                  <w:vAlign w:val="center"/>
                </w:tcPr>
                <w:p>
                  <w:pPr>
                    <w:widowControl/>
                    <w:jc w:val="center"/>
                    <w:rPr>
                      <w:rFonts w:hint="default" w:ascii="Times New Roman" w:hAnsi="Times New Roman" w:cs="Times New Roman"/>
                      <w:b/>
                      <w:color w:val="auto"/>
                      <w:szCs w:val="21"/>
                    </w:rPr>
                  </w:pPr>
                  <w:r>
                    <w:rPr>
                      <w:rFonts w:hint="default" w:ascii="Times New Roman" w:hAnsi="Times New Roman" w:eastAsia="CIDFont" w:cs="Times New Roman"/>
                      <w:b/>
                      <w:bCs/>
                      <w:color w:val="auto"/>
                      <w:kern w:val="0"/>
                      <w:szCs w:val="21"/>
                      <w:lang w:bidi="ar"/>
                    </w:rPr>
                    <w:t>非正常排放原因</w:t>
                  </w:r>
                </w:p>
              </w:tc>
              <w:tc>
                <w:tcPr>
                  <w:tcW w:w="489" w:type="pct"/>
                  <w:vMerge w:val="restar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排气量（m</w:t>
                  </w:r>
                  <w:r>
                    <w:rPr>
                      <w:rFonts w:hint="default" w:ascii="Times New Roman" w:hAnsi="Times New Roman" w:cs="Times New Roman"/>
                      <w:b/>
                      <w:color w:val="auto"/>
                      <w:szCs w:val="21"/>
                      <w:vertAlign w:val="superscript"/>
                    </w:rPr>
                    <w:t>3</w:t>
                  </w:r>
                  <w:r>
                    <w:rPr>
                      <w:rFonts w:hint="default" w:ascii="Times New Roman" w:hAnsi="Times New Roman" w:cs="Times New Roman"/>
                      <w:b/>
                      <w:color w:val="auto"/>
                      <w:szCs w:val="21"/>
                    </w:rPr>
                    <w:t>/h）</w:t>
                  </w:r>
                </w:p>
              </w:tc>
              <w:tc>
                <w:tcPr>
                  <w:tcW w:w="457" w:type="pct"/>
                  <w:vMerge w:val="restar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产污及污染物名称</w:t>
                  </w:r>
                </w:p>
              </w:tc>
              <w:tc>
                <w:tcPr>
                  <w:tcW w:w="1249" w:type="pct"/>
                  <w:gridSpan w:val="2"/>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排放情况</w:t>
                  </w:r>
                </w:p>
              </w:tc>
              <w:tc>
                <w:tcPr>
                  <w:tcW w:w="395" w:type="pct"/>
                  <w:vMerge w:val="restart"/>
                  <w:vAlign w:val="center"/>
                </w:tcPr>
                <w:p>
                  <w:pPr>
                    <w:widowControl/>
                    <w:jc w:val="center"/>
                    <w:rPr>
                      <w:rFonts w:hint="default" w:ascii="Times New Roman" w:hAnsi="Times New Roman" w:cs="Times New Roman"/>
                      <w:color w:val="auto"/>
                    </w:rPr>
                  </w:pPr>
                  <w:r>
                    <w:rPr>
                      <w:rFonts w:hint="default" w:ascii="Times New Roman" w:hAnsi="Times New Roman" w:eastAsia="CIDFont" w:cs="Times New Roman"/>
                      <w:b/>
                      <w:bCs/>
                      <w:color w:val="auto"/>
                      <w:kern w:val="0"/>
                      <w:szCs w:val="21"/>
                      <w:lang w:bidi="ar"/>
                    </w:rPr>
                    <w:t>单次持续</w:t>
                  </w:r>
                </w:p>
                <w:p>
                  <w:pPr>
                    <w:widowControl/>
                    <w:jc w:val="center"/>
                    <w:rPr>
                      <w:rFonts w:hint="default" w:ascii="Times New Roman" w:hAnsi="Times New Roman" w:cs="Times New Roman"/>
                      <w:b/>
                      <w:color w:val="auto"/>
                      <w:szCs w:val="21"/>
                    </w:rPr>
                  </w:pPr>
                  <w:r>
                    <w:rPr>
                      <w:rFonts w:hint="default" w:ascii="Times New Roman" w:hAnsi="Times New Roman" w:eastAsia="CIDFont" w:cs="Times New Roman"/>
                      <w:b/>
                      <w:bCs/>
                      <w:color w:val="auto"/>
                      <w:kern w:val="0"/>
                      <w:szCs w:val="21"/>
                      <w:lang w:bidi="ar"/>
                    </w:rPr>
                    <w:t>时间/h</w:t>
                  </w:r>
                </w:p>
              </w:tc>
              <w:tc>
                <w:tcPr>
                  <w:tcW w:w="425" w:type="pct"/>
                  <w:vMerge w:val="restart"/>
                  <w:vAlign w:val="center"/>
                </w:tcPr>
                <w:p>
                  <w:pPr>
                    <w:widowControl/>
                    <w:jc w:val="center"/>
                    <w:rPr>
                      <w:rFonts w:hint="default" w:ascii="Times New Roman" w:hAnsi="Times New Roman" w:cs="Times New Roman"/>
                      <w:color w:val="auto"/>
                    </w:rPr>
                  </w:pPr>
                  <w:r>
                    <w:rPr>
                      <w:rFonts w:hint="default" w:ascii="Times New Roman" w:hAnsi="Times New Roman" w:eastAsia="CIDFont" w:cs="Times New Roman"/>
                      <w:b/>
                      <w:bCs/>
                      <w:color w:val="auto"/>
                      <w:kern w:val="0"/>
                      <w:szCs w:val="21"/>
                      <w:lang w:bidi="ar"/>
                    </w:rPr>
                    <w:t>年发生频</w:t>
                  </w:r>
                </w:p>
                <w:p>
                  <w:pPr>
                    <w:widowControl/>
                    <w:jc w:val="center"/>
                    <w:rPr>
                      <w:rFonts w:hint="default" w:ascii="Times New Roman" w:hAnsi="Times New Roman" w:cs="Times New Roman"/>
                      <w:b/>
                      <w:color w:val="auto"/>
                      <w:szCs w:val="21"/>
                    </w:rPr>
                  </w:pPr>
                  <w:r>
                    <w:rPr>
                      <w:rFonts w:hint="default" w:ascii="Times New Roman" w:hAnsi="Times New Roman" w:eastAsia="CIDFont" w:cs="Times New Roman"/>
                      <w:b/>
                      <w:bCs/>
                      <w:color w:val="auto"/>
                      <w:kern w:val="0"/>
                      <w:szCs w:val="21"/>
                      <w:lang w:bidi="ar"/>
                    </w:rPr>
                    <w:t>次/次</w:t>
                  </w:r>
                </w:p>
              </w:tc>
              <w:tc>
                <w:tcPr>
                  <w:tcW w:w="714" w:type="pct"/>
                  <w:vMerge w:val="restart"/>
                  <w:vAlign w:val="center"/>
                </w:tcPr>
                <w:p>
                  <w:pPr>
                    <w:widowControl/>
                    <w:jc w:val="center"/>
                    <w:rPr>
                      <w:rFonts w:hint="default" w:ascii="Times New Roman" w:hAnsi="Times New Roman" w:cs="Times New Roman"/>
                      <w:b/>
                      <w:color w:val="auto"/>
                      <w:szCs w:val="21"/>
                    </w:rPr>
                  </w:pPr>
                  <w:r>
                    <w:rPr>
                      <w:rFonts w:hint="default" w:ascii="Times New Roman" w:hAnsi="Times New Roman" w:eastAsia="CIDFont" w:cs="Times New Roman"/>
                      <w:b/>
                      <w:bCs/>
                      <w:color w:val="auto"/>
                      <w:kern w:val="0"/>
                      <w:szCs w:val="21"/>
                      <w:lang w:bidi="ar"/>
                    </w:rPr>
                    <w:t>应对措施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446" w:type="pct"/>
                  <w:vMerge w:val="continue"/>
                  <w:vAlign w:val="center"/>
                </w:tcPr>
                <w:p>
                  <w:pPr>
                    <w:adjustRightInd w:val="0"/>
                    <w:snapToGrid w:val="0"/>
                    <w:jc w:val="center"/>
                    <w:rPr>
                      <w:rFonts w:hint="default" w:ascii="Times New Roman" w:hAnsi="Times New Roman" w:cs="Times New Roman"/>
                      <w:b/>
                      <w:color w:val="auto"/>
                      <w:szCs w:val="21"/>
                    </w:rPr>
                  </w:pPr>
                </w:p>
              </w:tc>
              <w:tc>
                <w:tcPr>
                  <w:tcW w:w="431" w:type="pct"/>
                  <w:vMerge w:val="continue"/>
                  <w:vAlign w:val="center"/>
                </w:tcPr>
                <w:p>
                  <w:pPr>
                    <w:adjustRightInd w:val="0"/>
                    <w:snapToGrid w:val="0"/>
                    <w:jc w:val="center"/>
                    <w:rPr>
                      <w:rFonts w:hint="default" w:ascii="Times New Roman" w:hAnsi="Times New Roman" w:cs="Times New Roman"/>
                      <w:b/>
                      <w:color w:val="auto"/>
                      <w:szCs w:val="21"/>
                    </w:rPr>
                  </w:pPr>
                </w:p>
              </w:tc>
              <w:tc>
                <w:tcPr>
                  <w:tcW w:w="390" w:type="pct"/>
                  <w:vMerge w:val="continue"/>
                  <w:vAlign w:val="center"/>
                </w:tcPr>
                <w:p>
                  <w:pPr>
                    <w:widowControl/>
                    <w:jc w:val="center"/>
                    <w:rPr>
                      <w:rFonts w:hint="default" w:ascii="Times New Roman" w:hAnsi="Times New Roman" w:eastAsia="CIDFont" w:cs="Times New Roman"/>
                      <w:b/>
                      <w:bCs/>
                      <w:color w:val="auto"/>
                      <w:kern w:val="0"/>
                      <w:szCs w:val="21"/>
                      <w:lang w:bidi="ar"/>
                    </w:rPr>
                  </w:pPr>
                </w:p>
              </w:tc>
              <w:tc>
                <w:tcPr>
                  <w:tcW w:w="489" w:type="pct"/>
                  <w:vMerge w:val="continue"/>
                  <w:vAlign w:val="center"/>
                </w:tcPr>
                <w:p>
                  <w:pPr>
                    <w:adjustRightInd w:val="0"/>
                    <w:snapToGrid w:val="0"/>
                    <w:jc w:val="center"/>
                    <w:rPr>
                      <w:rFonts w:hint="default" w:ascii="Times New Roman" w:hAnsi="Times New Roman" w:cs="Times New Roman"/>
                      <w:b/>
                      <w:color w:val="auto"/>
                      <w:szCs w:val="21"/>
                    </w:rPr>
                  </w:pPr>
                </w:p>
              </w:tc>
              <w:tc>
                <w:tcPr>
                  <w:tcW w:w="457" w:type="pct"/>
                  <w:vMerge w:val="continue"/>
                  <w:vAlign w:val="center"/>
                </w:tcPr>
                <w:p>
                  <w:pPr>
                    <w:adjustRightInd w:val="0"/>
                    <w:snapToGrid w:val="0"/>
                    <w:jc w:val="center"/>
                    <w:rPr>
                      <w:rFonts w:hint="default" w:ascii="Times New Roman" w:hAnsi="Times New Roman" w:cs="Times New Roman"/>
                      <w:b/>
                      <w:color w:val="auto"/>
                      <w:szCs w:val="21"/>
                    </w:rPr>
                  </w:pPr>
                </w:p>
              </w:tc>
              <w:tc>
                <w:tcPr>
                  <w:tcW w:w="677"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浓度（mg/m</w:t>
                  </w:r>
                  <w:r>
                    <w:rPr>
                      <w:rFonts w:hint="default" w:ascii="Times New Roman" w:hAnsi="Times New Roman" w:cs="Times New Roman"/>
                      <w:b/>
                      <w:color w:val="auto"/>
                      <w:szCs w:val="21"/>
                      <w:vertAlign w:val="superscript"/>
                    </w:rPr>
                    <w:t>3</w:t>
                  </w:r>
                  <w:r>
                    <w:rPr>
                      <w:rFonts w:hint="default" w:ascii="Times New Roman" w:hAnsi="Times New Roman" w:cs="Times New Roman"/>
                      <w:b/>
                      <w:color w:val="auto"/>
                      <w:szCs w:val="21"/>
                    </w:rPr>
                    <w:t>）</w:t>
                  </w:r>
                </w:p>
              </w:tc>
              <w:tc>
                <w:tcPr>
                  <w:tcW w:w="572"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速率（kg/h）</w:t>
                  </w:r>
                </w:p>
              </w:tc>
              <w:tc>
                <w:tcPr>
                  <w:tcW w:w="395" w:type="pct"/>
                  <w:vMerge w:val="continue"/>
                  <w:vAlign w:val="center"/>
                </w:tcPr>
                <w:p>
                  <w:pPr>
                    <w:adjustRightInd w:val="0"/>
                    <w:snapToGrid w:val="0"/>
                    <w:jc w:val="center"/>
                    <w:rPr>
                      <w:rFonts w:hint="default" w:ascii="Times New Roman" w:hAnsi="Times New Roman" w:cs="Times New Roman"/>
                      <w:b/>
                      <w:color w:val="auto"/>
                      <w:szCs w:val="21"/>
                    </w:rPr>
                  </w:pPr>
                </w:p>
              </w:tc>
              <w:tc>
                <w:tcPr>
                  <w:tcW w:w="425" w:type="pct"/>
                  <w:vMerge w:val="continue"/>
                  <w:vAlign w:val="center"/>
                </w:tcPr>
                <w:p>
                  <w:pPr>
                    <w:adjustRightInd w:val="0"/>
                    <w:snapToGrid w:val="0"/>
                    <w:jc w:val="center"/>
                    <w:rPr>
                      <w:rFonts w:hint="default" w:ascii="Times New Roman" w:hAnsi="Times New Roman" w:cs="Times New Roman"/>
                      <w:b/>
                      <w:color w:val="auto"/>
                      <w:szCs w:val="21"/>
                    </w:rPr>
                  </w:pPr>
                </w:p>
              </w:tc>
              <w:tc>
                <w:tcPr>
                  <w:tcW w:w="714" w:type="pct"/>
                  <w:vMerge w:val="continue"/>
                  <w:vAlign w:val="center"/>
                </w:tcPr>
                <w:p>
                  <w:pPr>
                    <w:adjustRightInd w:val="0"/>
                    <w:snapToGrid w:val="0"/>
                    <w:jc w:val="center"/>
                    <w:rPr>
                      <w:rFonts w:hint="default" w:ascii="Times New Roman" w:hAnsi="Times New Roman" w:cs="Times New Roman"/>
                      <w:b/>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446" w:type="pct"/>
                  <w:vMerge w:val="restart"/>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DA00</w:t>
                  </w:r>
                  <w:r>
                    <w:rPr>
                      <w:rFonts w:hint="eastAsia" w:cs="Times New Roman"/>
                      <w:color w:val="auto"/>
                      <w:szCs w:val="21"/>
                      <w:lang w:val="en-US" w:eastAsia="zh-CN"/>
                    </w:rPr>
                    <w:t>1</w:t>
                  </w:r>
                </w:p>
              </w:tc>
              <w:tc>
                <w:tcPr>
                  <w:tcW w:w="431" w:type="pct"/>
                  <w:vMerge w:val="restar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 w:val="21"/>
                      <w:szCs w:val="21"/>
                      <w:lang w:val="en-US" w:eastAsia="zh-CN"/>
                    </w:rPr>
                    <w:t>热压</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混合、发泡</w:t>
                  </w:r>
                  <w:r>
                    <w:rPr>
                      <w:rFonts w:hint="eastAsia" w:ascii="Times New Roman" w:hAnsi="Times New Roman" w:cs="Times New Roman"/>
                      <w:color w:val="auto"/>
                      <w:sz w:val="21"/>
                      <w:szCs w:val="21"/>
                      <w:lang w:val="en-US" w:eastAsia="zh-CN"/>
                    </w:rPr>
                    <w:t>和</w:t>
                  </w:r>
                  <w:r>
                    <w:rPr>
                      <w:rFonts w:hint="eastAsia" w:cs="Times New Roman"/>
                      <w:color w:val="auto"/>
                      <w:sz w:val="21"/>
                      <w:szCs w:val="21"/>
                      <w:lang w:val="en-US" w:eastAsia="zh-CN"/>
                    </w:rPr>
                    <w:t>开模</w:t>
                  </w:r>
                </w:p>
              </w:tc>
              <w:tc>
                <w:tcPr>
                  <w:tcW w:w="390" w:type="pct"/>
                  <w:vMerge w:val="restart"/>
                  <w:vAlign w:val="center"/>
                </w:tcPr>
                <w:p>
                  <w:pPr>
                    <w:widowControl/>
                    <w:jc w:val="center"/>
                    <w:rPr>
                      <w:rFonts w:hint="default" w:ascii="Times New Roman" w:hAnsi="Times New Roman" w:cs="Times New Roman"/>
                      <w:color w:val="auto"/>
                      <w:szCs w:val="21"/>
                    </w:rPr>
                  </w:pPr>
                  <w:r>
                    <w:rPr>
                      <w:rFonts w:hint="default" w:ascii="Times New Roman" w:hAnsi="Times New Roman" w:eastAsia="CIDFont" w:cs="Times New Roman"/>
                      <w:color w:val="auto"/>
                      <w:kern w:val="0"/>
                      <w:szCs w:val="21"/>
                      <w:lang w:bidi="ar"/>
                    </w:rPr>
                    <w:t>废气处理设施故障</w:t>
                  </w:r>
                </w:p>
              </w:tc>
              <w:tc>
                <w:tcPr>
                  <w:tcW w:w="489" w:type="pct"/>
                  <w:vMerge w:val="restar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14000</w:t>
                  </w:r>
                </w:p>
              </w:tc>
              <w:tc>
                <w:tcPr>
                  <w:tcW w:w="457" w:type="pct"/>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非甲烷总烃</w:t>
                  </w:r>
                </w:p>
              </w:tc>
              <w:tc>
                <w:tcPr>
                  <w:tcW w:w="677" w:type="pct"/>
                  <w:vAlign w:val="center"/>
                </w:tcPr>
                <w:p>
                  <w:pPr>
                    <w:pStyle w:val="24"/>
                    <w:spacing w:after="0" w:line="240" w:lineRule="auto"/>
                    <w:jc w:val="center"/>
                    <w:rPr>
                      <w:rFonts w:hint="eastAsia" w:cs="Times New Roman" w:eastAsiaTheme="minorEastAsia"/>
                      <w:bCs/>
                      <w:color w:val="auto"/>
                      <w:szCs w:val="22"/>
                      <w:lang w:val="en-US" w:eastAsia="zh-CN"/>
                    </w:rPr>
                  </w:pPr>
                  <w:r>
                    <w:rPr>
                      <w:rFonts w:hint="eastAsia" w:cs="Times New Roman" w:eastAsiaTheme="minorEastAsia"/>
                      <w:bCs/>
                      <w:color w:val="auto"/>
                      <w:szCs w:val="22"/>
                      <w:lang w:val="en-US" w:eastAsia="zh-CN"/>
                    </w:rPr>
                    <w:t>36.76</w:t>
                  </w:r>
                </w:p>
              </w:tc>
              <w:tc>
                <w:tcPr>
                  <w:tcW w:w="572" w:type="pct"/>
                  <w:vAlign w:val="center"/>
                </w:tcPr>
                <w:p>
                  <w:pPr>
                    <w:pStyle w:val="24"/>
                    <w:spacing w:after="0" w:line="240" w:lineRule="auto"/>
                    <w:jc w:val="center"/>
                    <w:rPr>
                      <w:rFonts w:hint="eastAsia"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0.515</w:t>
                  </w:r>
                </w:p>
              </w:tc>
              <w:tc>
                <w:tcPr>
                  <w:tcW w:w="395" w:type="pct"/>
                  <w:vAlign w:val="center"/>
                </w:tcPr>
                <w:p>
                  <w:pPr>
                    <w:widowControl/>
                    <w:jc w:val="center"/>
                    <w:rPr>
                      <w:rFonts w:hint="default" w:ascii="Times New Roman" w:hAnsi="Times New Roman" w:eastAsia="CIDFont" w:cs="Times New Roman"/>
                      <w:color w:val="auto"/>
                      <w:kern w:val="0"/>
                      <w:szCs w:val="21"/>
                      <w:lang w:bidi="ar"/>
                    </w:rPr>
                  </w:pPr>
                  <w:r>
                    <w:rPr>
                      <w:rFonts w:hint="default" w:ascii="Times New Roman" w:hAnsi="Times New Roman" w:eastAsia="CIDFont" w:cs="Times New Roman"/>
                      <w:color w:val="auto"/>
                      <w:kern w:val="0"/>
                      <w:szCs w:val="21"/>
                      <w:lang w:bidi="ar"/>
                    </w:rPr>
                    <w:t>≤1</w:t>
                  </w:r>
                </w:p>
              </w:tc>
              <w:tc>
                <w:tcPr>
                  <w:tcW w:w="425" w:type="pct"/>
                  <w:vAlign w:val="center"/>
                </w:tcPr>
                <w:p>
                  <w:pPr>
                    <w:widowControl/>
                    <w:jc w:val="center"/>
                    <w:rPr>
                      <w:rFonts w:hint="default" w:ascii="Times New Roman" w:hAnsi="Times New Roman" w:eastAsia="CIDFont" w:cs="Times New Roman"/>
                      <w:color w:val="auto"/>
                      <w:kern w:val="0"/>
                      <w:szCs w:val="21"/>
                      <w:lang w:bidi="ar"/>
                    </w:rPr>
                  </w:pPr>
                  <w:r>
                    <w:rPr>
                      <w:rFonts w:hint="default" w:ascii="Times New Roman" w:hAnsi="Times New Roman" w:eastAsia="CIDFont" w:cs="Times New Roman"/>
                      <w:color w:val="auto"/>
                      <w:kern w:val="0"/>
                      <w:szCs w:val="21"/>
                      <w:lang w:bidi="ar"/>
                    </w:rPr>
                    <w:t>≤1</w:t>
                  </w:r>
                </w:p>
              </w:tc>
              <w:tc>
                <w:tcPr>
                  <w:tcW w:w="714" w:type="pct"/>
                  <w:vMerge w:val="restart"/>
                  <w:vAlign w:val="center"/>
                </w:tcPr>
                <w:p>
                  <w:pPr>
                    <w:widowControl/>
                    <w:jc w:val="center"/>
                    <w:rPr>
                      <w:rFonts w:hint="default" w:ascii="Times New Roman" w:hAnsi="Times New Roman" w:cs="Times New Roman"/>
                      <w:color w:val="auto"/>
                      <w:szCs w:val="21"/>
                    </w:rPr>
                  </w:pPr>
                  <w:r>
                    <w:rPr>
                      <w:rFonts w:hint="default" w:ascii="Times New Roman" w:hAnsi="Times New Roman" w:eastAsia="CIDFont" w:cs="Times New Roman"/>
                      <w:color w:val="auto"/>
                      <w:kern w:val="0"/>
                      <w:szCs w:val="21"/>
                      <w:lang w:bidi="ar"/>
                    </w:rPr>
                    <w:t>加强维护、选用可靠设备，加强管理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446" w:type="pct"/>
                  <w:vMerge w:val="continue"/>
                  <w:vAlign w:val="center"/>
                </w:tcPr>
                <w:p>
                  <w:pPr>
                    <w:adjustRightInd w:val="0"/>
                    <w:snapToGrid w:val="0"/>
                    <w:jc w:val="center"/>
                    <w:rPr>
                      <w:rFonts w:hint="default" w:ascii="Times New Roman" w:hAnsi="Times New Roman" w:eastAsia="宋体" w:cs="Times New Roman"/>
                      <w:color w:val="auto"/>
                      <w:szCs w:val="21"/>
                      <w:lang w:val="en-US" w:eastAsia="zh-CN"/>
                    </w:rPr>
                  </w:pPr>
                </w:p>
              </w:tc>
              <w:tc>
                <w:tcPr>
                  <w:tcW w:w="431" w:type="pct"/>
                  <w:vMerge w:val="continue"/>
                  <w:vAlign w:val="center"/>
                </w:tcPr>
                <w:p>
                  <w:pPr>
                    <w:adjustRightInd w:val="0"/>
                    <w:snapToGrid w:val="0"/>
                    <w:jc w:val="center"/>
                    <w:rPr>
                      <w:rFonts w:hint="default" w:ascii="Times New Roman" w:hAnsi="Times New Roman" w:eastAsia="宋体" w:cs="Times New Roman"/>
                      <w:color w:val="auto"/>
                      <w:szCs w:val="21"/>
                      <w:lang w:val="en-US" w:eastAsia="zh-CN"/>
                    </w:rPr>
                  </w:pPr>
                </w:p>
              </w:tc>
              <w:tc>
                <w:tcPr>
                  <w:tcW w:w="390" w:type="pct"/>
                  <w:vMerge w:val="continue"/>
                  <w:vAlign w:val="center"/>
                </w:tcPr>
                <w:p>
                  <w:pPr>
                    <w:widowControl/>
                    <w:jc w:val="center"/>
                    <w:rPr>
                      <w:rFonts w:hint="default" w:ascii="Times New Roman" w:hAnsi="Times New Roman" w:cs="Times New Roman"/>
                      <w:color w:val="auto"/>
                      <w:szCs w:val="21"/>
                    </w:rPr>
                  </w:pPr>
                </w:p>
              </w:tc>
              <w:tc>
                <w:tcPr>
                  <w:tcW w:w="489" w:type="pct"/>
                  <w:vMerge w:val="continue"/>
                  <w:vAlign w:val="center"/>
                </w:tcPr>
                <w:p>
                  <w:pPr>
                    <w:adjustRightInd w:val="0"/>
                    <w:snapToGrid w:val="0"/>
                    <w:jc w:val="center"/>
                    <w:rPr>
                      <w:rFonts w:hint="default" w:ascii="Times New Roman" w:hAnsi="Times New Roman" w:eastAsia="宋体" w:cs="Times New Roman"/>
                      <w:color w:val="auto"/>
                      <w:szCs w:val="21"/>
                      <w:lang w:val="en-US" w:eastAsia="zh-CN"/>
                    </w:rPr>
                  </w:pPr>
                </w:p>
              </w:tc>
              <w:tc>
                <w:tcPr>
                  <w:tcW w:w="457" w:type="pc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MDI</w:t>
                  </w:r>
                </w:p>
              </w:tc>
              <w:tc>
                <w:tcPr>
                  <w:tcW w:w="677" w:type="pct"/>
                  <w:vAlign w:val="center"/>
                </w:tcPr>
                <w:p>
                  <w:pPr>
                    <w:pStyle w:val="24"/>
                    <w:spacing w:after="0" w:line="240" w:lineRule="auto"/>
                    <w:jc w:val="center"/>
                    <w:rPr>
                      <w:rFonts w:hint="default" w:ascii="Times New Roman" w:hAnsi="Times New Roman" w:cs="Times New Roman" w:eastAsiaTheme="minorEastAsia"/>
                      <w:bCs/>
                      <w:color w:val="auto"/>
                      <w:kern w:val="2"/>
                      <w:sz w:val="21"/>
                      <w:szCs w:val="22"/>
                      <w:lang w:val="en-US" w:eastAsia="zh-CN" w:bidi="ar-SA"/>
                    </w:rPr>
                  </w:pPr>
                  <w:r>
                    <w:rPr>
                      <w:rFonts w:hint="eastAsia" w:cs="Times New Roman" w:eastAsiaTheme="minorEastAsia"/>
                      <w:bCs/>
                      <w:color w:val="auto"/>
                      <w:szCs w:val="22"/>
                      <w:lang w:val="en-US" w:eastAsia="zh-CN"/>
                    </w:rPr>
                    <w:t>0.16</w:t>
                  </w:r>
                </w:p>
              </w:tc>
              <w:tc>
                <w:tcPr>
                  <w:tcW w:w="572" w:type="pct"/>
                  <w:vAlign w:val="center"/>
                </w:tcPr>
                <w:p>
                  <w:pPr>
                    <w:pStyle w:val="24"/>
                    <w:spacing w:after="0" w:line="240" w:lineRule="auto"/>
                    <w:jc w:val="center"/>
                    <w:rPr>
                      <w:rFonts w:hint="default" w:ascii="Times New Roman" w:hAnsi="Times New Roman" w:cs="Times New Roman" w:eastAsiaTheme="minorEastAsia"/>
                      <w:bCs/>
                      <w:color w:val="auto"/>
                      <w:kern w:val="2"/>
                      <w:sz w:val="21"/>
                      <w:szCs w:val="22"/>
                      <w:lang w:val="en-US" w:eastAsia="zh-CN" w:bidi="ar-SA"/>
                    </w:rPr>
                  </w:pPr>
                  <w:r>
                    <w:rPr>
                      <w:rFonts w:hint="eastAsia" w:cs="Times New Roman" w:eastAsiaTheme="minorEastAsia"/>
                      <w:bCs/>
                      <w:color w:val="auto"/>
                      <w:kern w:val="2"/>
                      <w:sz w:val="21"/>
                      <w:szCs w:val="22"/>
                      <w:lang w:val="en-US" w:eastAsia="zh-CN" w:bidi="ar-SA"/>
                    </w:rPr>
                    <w:t>0.002</w:t>
                  </w:r>
                </w:p>
              </w:tc>
              <w:tc>
                <w:tcPr>
                  <w:tcW w:w="395" w:type="pct"/>
                  <w:vAlign w:val="center"/>
                </w:tcPr>
                <w:p>
                  <w:pPr>
                    <w:widowControl/>
                    <w:jc w:val="center"/>
                    <w:rPr>
                      <w:rFonts w:hint="default" w:ascii="Times New Roman" w:hAnsi="Times New Roman" w:cs="Times New Roman"/>
                      <w:color w:val="auto"/>
                      <w:szCs w:val="21"/>
                    </w:rPr>
                  </w:pPr>
                  <w:r>
                    <w:rPr>
                      <w:rFonts w:hint="default" w:ascii="Times New Roman" w:hAnsi="Times New Roman" w:eastAsia="CIDFont" w:cs="Times New Roman"/>
                      <w:color w:val="auto"/>
                      <w:kern w:val="0"/>
                      <w:szCs w:val="21"/>
                      <w:lang w:bidi="ar"/>
                    </w:rPr>
                    <w:t>≤1</w:t>
                  </w:r>
                </w:p>
              </w:tc>
              <w:tc>
                <w:tcPr>
                  <w:tcW w:w="425" w:type="pct"/>
                  <w:vAlign w:val="center"/>
                </w:tcPr>
                <w:p>
                  <w:pPr>
                    <w:widowControl/>
                    <w:jc w:val="center"/>
                    <w:rPr>
                      <w:rFonts w:hint="default" w:ascii="Times New Roman" w:hAnsi="Times New Roman" w:cs="Times New Roman"/>
                      <w:color w:val="auto"/>
                      <w:szCs w:val="21"/>
                    </w:rPr>
                  </w:pPr>
                  <w:r>
                    <w:rPr>
                      <w:rFonts w:hint="default" w:ascii="Times New Roman" w:hAnsi="Times New Roman" w:eastAsia="CIDFont" w:cs="Times New Roman"/>
                      <w:color w:val="auto"/>
                      <w:kern w:val="0"/>
                      <w:szCs w:val="21"/>
                      <w:lang w:bidi="ar"/>
                    </w:rPr>
                    <w:t>≤1</w:t>
                  </w:r>
                </w:p>
              </w:tc>
              <w:tc>
                <w:tcPr>
                  <w:tcW w:w="714" w:type="pct"/>
                  <w:vMerge w:val="continue"/>
                  <w:vAlign w:val="center"/>
                </w:tcPr>
                <w:p>
                  <w:pPr>
                    <w:widowControl/>
                    <w:jc w:val="center"/>
                    <w:rPr>
                      <w:rFonts w:hint="default" w:ascii="Times New Roman" w:hAnsi="Times New Roman" w:cs="Times New Roman"/>
                      <w:color w:val="auto"/>
                      <w:szCs w:val="21"/>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color w:val="auto"/>
                <w:sz w:val="24"/>
              </w:rPr>
            </w:pPr>
            <w:r>
              <w:rPr>
                <w:rFonts w:hint="eastAsia" w:cs="Times New Roman"/>
                <w:b/>
                <w:bCs/>
                <w:color w:val="auto"/>
                <w:sz w:val="24"/>
                <w:lang w:val="en-US" w:eastAsia="zh-CN"/>
              </w:rPr>
              <w:t>5、</w:t>
            </w:r>
            <w:r>
              <w:rPr>
                <w:rFonts w:hint="default" w:ascii="Times New Roman" w:hAnsi="Times New Roman" w:eastAsia="宋体" w:cs="Times New Roman"/>
                <w:b/>
                <w:bCs/>
                <w:color w:val="auto"/>
                <w:sz w:val="24"/>
                <w:lang w:val="en-US" w:eastAsia="zh-CN"/>
              </w:rPr>
              <w:t>废气</w:t>
            </w:r>
            <w:r>
              <w:rPr>
                <w:rFonts w:hint="default" w:ascii="Times New Roman" w:hAnsi="Times New Roman" w:eastAsia="宋体" w:cs="Times New Roman"/>
                <w:b/>
                <w:bCs/>
                <w:color w:val="auto"/>
                <w:sz w:val="24"/>
              </w:rPr>
              <w:t>排放口基本情况</w:t>
            </w:r>
            <w:r>
              <w:rPr>
                <w:rFonts w:hint="default" w:ascii="Times New Roman" w:hAnsi="Times New Roman" w:eastAsia="宋体" w:cs="Times New Roman"/>
                <w:b/>
                <w:bCs/>
                <w:color w:val="auto"/>
                <w:sz w:val="24"/>
                <w:lang w:val="en-US" w:eastAsia="zh-CN"/>
              </w:rPr>
              <w:t>及监测方案</w:t>
            </w:r>
          </w:p>
          <w:p>
            <w:pPr>
              <w:adjustRightInd w:val="0"/>
              <w:snapToGrid w:val="0"/>
              <w:spacing w:line="50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本项目废气排放口基本情况见表4-</w:t>
            </w:r>
            <w:r>
              <w:rPr>
                <w:rFonts w:hint="eastAsia" w:cs="Times New Roman"/>
                <w:color w:val="auto"/>
                <w:sz w:val="24"/>
                <w:lang w:val="en-US" w:eastAsia="zh-CN"/>
              </w:rPr>
              <w:t>6</w:t>
            </w:r>
            <w:r>
              <w:rPr>
                <w:rFonts w:hint="default" w:ascii="Times New Roman" w:hAnsi="Times New Roman" w:eastAsia="宋体" w:cs="Times New Roman"/>
                <w:color w:val="auto"/>
                <w:sz w:val="24"/>
                <w:lang w:val="en-US" w:eastAsia="zh-CN"/>
              </w:rPr>
              <w:t>，监测方案见表4-</w:t>
            </w:r>
            <w:r>
              <w:rPr>
                <w:rFonts w:hint="eastAsia" w:cs="Times New Roman"/>
                <w:color w:val="auto"/>
                <w:sz w:val="24"/>
                <w:lang w:val="en-US" w:eastAsia="zh-CN"/>
              </w:rPr>
              <w:t>7</w:t>
            </w:r>
            <w:r>
              <w:rPr>
                <w:rFonts w:hint="default"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Cs w:val="21"/>
              </w:rPr>
              <w:t>表4-</w:t>
            </w:r>
            <w:r>
              <w:rPr>
                <w:rFonts w:hint="eastAsia" w:cs="Times New Roman"/>
                <w:b/>
                <w:color w:val="auto"/>
                <w:szCs w:val="21"/>
                <w:lang w:val="en-US" w:eastAsia="zh-CN"/>
              </w:rPr>
              <w:t>6</w:t>
            </w:r>
            <w:r>
              <w:rPr>
                <w:rFonts w:hint="default" w:ascii="Times New Roman" w:hAnsi="Times New Roman" w:cs="Times New Roman"/>
                <w:b/>
                <w:color w:val="auto"/>
                <w:szCs w:val="21"/>
              </w:rPr>
              <w:t xml:space="preserve"> </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排放口基本情况表</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75"/>
              <w:gridCol w:w="266"/>
              <w:gridCol w:w="1053"/>
              <w:gridCol w:w="951"/>
              <w:gridCol w:w="652"/>
              <w:gridCol w:w="652"/>
              <w:gridCol w:w="689"/>
              <w:gridCol w:w="638"/>
              <w:gridCol w:w="1260"/>
              <w:gridCol w:w="13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11" w:type="pct"/>
                  <w:vMerge w:val="restart"/>
                  <w:vAlign w:val="center"/>
                </w:tcPr>
                <w:p>
                  <w:pPr>
                    <w:pStyle w:val="7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排气筒编号</w:t>
                  </w:r>
                </w:p>
              </w:tc>
              <w:tc>
                <w:tcPr>
                  <w:tcW w:w="162" w:type="pct"/>
                  <w:vMerge w:val="restart"/>
                  <w:vAlign w:val="center"/>
                </w:tcPr>
                <w:p>
                  <w:pPr>
                    <w:pStyle w:val="7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类型</w:t>
                  </w:r>
                </w:p>
              </w:tc>
              <w:tc>
                <w:tcPr>
                  <w:tcW w:w="1220" w:type="pct"/>
                  <w:gridSpan w:val="2"/>
                  <w:vAlign w:val="center"/>
                </w:tcPr>
                <w:p>
                  <w:pPr>
                    <w:pStyle w:val="7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地理坐标</w:t>
                  </w:r>
                </w:p>
              </w:tc>
              <w:tc>
                <w:tcPr>
                  <w:tcW w:w="397" w:type="pct"/>
                  <w:vMerge w:val="restart"/>
                  <w:vAlign w:val="center"/>
                </w:tcPr>
                <w:p>
                  <w:pPr>
                    <w:pStyle w:val="7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排气筒高度（m）</w:t>
                  </w:r>
                </w:p>
              </w:tc>
              <w:tc>
                <w:tcPr>
                  <w:tcW w:w="397" w:type="pct"/>
                  <w:vMerge w:val="restart"/>
                  <w:vAlign w:val="center"/>
                </w:tcPr>
                <w:p>
                  <w:pPr>
                    <w:pStyle w:val="7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出口内径（m）</w:t>
                  </w:r>
                </w:p>
              </w:tc>
              <w:tc>
                <w:tcPr>
                  <w:tcW w:w="419" w:type="pct"/>
                  <w:vMerge w:val="restart"/>
                  <w:vAlign w:val="center"/>
                </w:tcPr>
                <w:p>
                  <w:pPr>
                    <w:pStyle w:val="7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排气温度（℃）</w:t>
                  </w:r>
                </w:p>
              </w:tc>
              <w:tc>
                <w:tcPr>
                  <w:tcW w:w="388" w:type="pct"/>
                  <w:vMerge w:val="restart"/>
                  <w:vAlign w:val="center"/>
                </w:tcPr>
                <w:p>
                  <w:pPr>
                    <w:jc w:val="center"/>
                    <w:rPr>
                      <w:rFonts w:hint="default" w:ascii="Times New Roman" w:hAnsi="Times New Roman" w:cs="Times New Roman"/>
                      <w:b/>
                      <w:color w:val="auto"/>
                      <w:szCs w:val="21"/>
                    </w:rPr>
                  </w:pPr>
                  <w:r>
                    <w:rPr>
                      <w:rFonts w:hint="default" w:ascii="Times New Roman" w:hAnsi="Times New Roman" w:cs="Times New Roman"/>
                      <w:b/>
                      <w:bCs/>
                      <w:color w:val="auto"/>
                      <w:szCs w:val="21"/>
                    </w:rPr>
                    <w:t>污染物类型</w:t>
                  </w:r>
                </w:p>
              </w:tc>
              <w:tc>
                <w:tcPr>
                  <w:tcW w:w="1603" w:type="pct"/>
                  <w:gridSpan w:val="2"/>
                  <w:vAlign w:val="center"/>
                </w:tcPr>
                <w:p>
                  <w:pPr>
                    <w:pStyle w:val="7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11" w:type="pct"/>
                  <w:vMerge w:val="continue"/>
                  <w:vAlign w:val="center"/>
                </w:tcPr>
                <w:p>
                  <w:pPr>
                    <w:pStyle w:val="70"/>
                    <w:rPr>
                      <w:rFonts w:hint="default" w:ascii="Times New Roman" w:hAnsi="Times New Roman" w:eastAsia="宋体" w:cs="Times New Roman"/>
                      <w:b/>
                      <w:color w:val="auto"/>
                      <w:sz w:val="21"/>
                      <w:szCs w:val="21"/>
                    </w:rPr>
                  </w:pPr>
                </w:p>
              </w:tc>
              <w:tc>
                <w:tcPr>
                  <w:tcW w:w="162" w:type="pct"/>
                  <w:vMerge w:val="continue"/>
                  <w:vAlign w:val="center"/>
                </w:tcPr>
                <w:p>
                  <w:pPr>
                    <w:pStyle w:val="70"/>
                    <w:rPr>
                      <w:rFonts w:hint="default" w:ascii="Times New Roman" w:hAnsi="Times New Roman" w:eastAsia="宋体" w:cs="Times New Roman"/>
                      <w:b/>
                      <w:color w:val="auto"/>
                      <w:sz w:val="21"/>
                      <w:szCs w:val="21"/>
                    </w:rPr>
                  </w:pPr>
                </w:p>
              </w:tc>
              <w:tc>
                <w:tcPr>
                  <w:tcW w:w="641" w:type="pct"/>
                  <w:vAlign w:val="center"/>
                </w:tcPr>
                <w:p>
                  <w:pPr>
                    <w:pStyle w:val="7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经度</w:t>
                  </w:r>
                </w:p>
              </w:tc>
              <w:tc>
                <w:tcPr>
                  <w:tcW w:w="579" w:type="pct"/>
                  <w:vAlign w:val="center"/>
                </w:tcPr>
                <w:p>
                  <w:pPr>
                    <w:pStyle w:val="7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纬度</w:t>
                  </w:r>
                </w:p>
              </w:tc>
              <w:tc>
                <w:tcPr>
                  <w:tcW w:w="397" w:type="pct"/>
                  <w:vMerge w:val="continue"/>
                  <w:vAlign w:val="center"/>
                </w:tcPr>
                <w:p>
                  <w:pPr>
                    <w:pStyle w:val="70"/>
                    <w:rPr>
                      <w:rFonts w:hint="default" w:ascii="Times New Roman" w:hAnsi="Times New Roman" w:eastAsia="宋体" w:cs="Times New Roman"/>
                      <w:b/>
                      <w:color w:val="auto"/>
                      <w:sz w:val="21"/>
                      <w:szCs w:val="21"/>
                    </w:rPr>
                  </w:pPr>
                </w:p>
              </w:tc>
              <w:tc>
                <w:tcPr>
                  <w:tcW w:w="397" w:type="pct"/>
                  <w:vMerge w:val="continue"/>
                  <w:vAlign w:val="center"/>
                </w:tcPr>
                <w:p>
                  <w:pPr>
                    <w:pStyle w:val="70"/>
                    <w:rPr>
                      <w:rFonts w:hint="default" w:ascii="Times New Roman" w:hAnsi="Times New Roman" w:eastAsia="宋体" w:cs="Times New Roman"/>
                      <w:b/>
                      <w:color w:val="auto"/>
                      <w:sz w:val="21"/>
                      <w:szCs w:val="21"/>
                    </w:rPr>
                  </w:pPr>
                </w:p>
              </w:tc>
              <w:tc>
                <w:tcPr>
                  <w:tcW w:w="419" w:type="pct"/>
                  <w:vMerge w:val="continue"/>
                  <w:vAlign w:val="center"/>
                </w:tcPr>
                <w:p>
                  <w:pPr>
                    <w:pStyle w:val="70"/>
                    <w:rPr>
                      <w:rFonts w:hint="default" w:ascii="Times New Roman" w:hAnsi="Times New Roman" w:eastAsia="宋体" w:cs="Times New Roman"/>
                      <w:b/>
                      <w:color w:val="auto"/>
                      <w:sz w:val="21"/>
                      <w:szCs w:val="21"/>
                    </w:rPr>
                  </w:pPr>
                </w:p>
              </w:tc>
              <w:tc>
                <w:tcPr>
                  <w:tcW w:w="388" w:type="pct"/>
                  <w:vMerge w:val="continue"/>
                  <w:vAlign w:val="center"/>
                </w:tcPr>
                <w:p>
                  <w:pPr>
                    <w:pStyle w:val="70"/>
                    <w:rPr>
                      <w:rFonts w:hint="default" w:ascii="Times New Roman" w:hAnsi="Times New Roman" w:cs="Times New Roman"/>
                      <w:b/>
                      <w:color w:val="auto"/>
                      <w:szCs w:val="21"/>
                    </w:rPr>
                  </w:pPr>
                </w:p>
              </w:tc>
              <w:tc>
                <w:tcPr>
                  <w:tcW w:w="767" w:type="pct"/>
                  <w:vAlign w:val="center"/>
                </w:tcPr>
                <w:p>
                  <w:pPr>
                    <w:tabs>
                      <w:tab w:val="left" w:pos="1418"/>
                    </w:tabs>
                    <w:jc w:val="center"/>
                    <w:rPr>
                      <w:rFonts w:hint="default" w:ascii="Times New Roman" w:hAnsi="Times New Roman" w:cs="Times New Roman"/>
                      <w:b/>
                      <w:color w:val="auto"/>
                    </w:rPr>
                  </w:pPr>
                  <w:r>
                    <w:rPr>
                      <w:rFonts w:hint="default" w:ascii="Times New Roman" w:hAnsi="Times New Roman" w:cs="Times New Roman"/>
                      <w:b/>
                      <w:color w:val="auto"/>
                    </w:rPr>
                    <w:t>标准名称</w:t>
                  </w:r>
                </w:p>
              </w:tc>
              <w:tc>
                <w:tcPr>
                  <w:tcW w:w="836" w:type="pct"/>
                  <w:vAlign w:val="center"/>
                </w:tcPr>
                <w:p>
                  <w:pPr>
                    <w:tabs>
                      <w:tab w:val="left" w:pos="1418"/>
                    </w:tabs>
                    <w:jc w:val="center"/>
                    <w:rPr>
                      <w:rFonts w:hint="default" w:ascii="Times New Roman" w:hAnsi="Times New Roman" w:cs="Times New Roman"/>
                      <w:b/>
                      <w:color w:val="auto"/>
                    </w:rPr>
                  </w:pPr>
                  <w:r>
                    <w:rPr>
                      <w:rFonts w:hint="default" w:ascii="Times New Roman" w:hAnsi="Times New Roman" w:cs="Times New Roman"/>
                      <w:b/>
                      <w:color w:val="auto"/>
                    </w:rPr>
                    <w:t>浓度限值</w:t>
                  </w:r>
                  <w:r>
                    <w:rPr>
                      <w:rFonts w:hint="default" w:ascii="Times New Roman" w:hAnsi="Times New Roman" w:cs="Times New Roman"/>
                      <w:b/>
                      <w:color w:val="auto"/>
                      <w:lang w:val="en-US" w:eastAsia="zh-CN"/>
                    </w:rPr>
                    <w:t>(</w:t>
                  </w:r>
                  <w:r>
                    <w:rPr>
                      <w:rFonts w:hint="default" w:ascii="Times New Roman" w:hAnsi="Times New Roman" w:cs="Times New Roman"/>
                      <w:b/>
                      <w:color w:val="auto"/>
                    </w:rPr>
                    <w:t>mg/m</w:t>
                  </w:r>
                  <w:r>
                    <w:rPr>
                      <w:rFonts w:hint="default" w:ascii="Times New Roman" w:hAnsi="Times New Roman" w:cs="Times New Roman"/>
                      <w:b/>
                      <w:color w:val="auto"/>
                      <w:vertAlign w:val="superscript"/>
                    </w:rPr>
                    <w:t>3</w:t>
                  </w:r>
                  <w:r>
                    <w:rPr>
                      <w:rFonts w:hint="default" w:ascii="Times New Roman" w:hAnsi="Times New Roman" w:cs="Times New Roman"/>
                      <w:b/>
                      <w:color w:val="auto"/>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675" w:hRule="atLeast"/>
                <w:jc w:val="center"/>
              </w:trPr>
              <w:tc>
                <w:tcPr>
                  <w:tcW w:w="411" w:type="pct"/>
                  <w:vMerge w:val="restart"/>
                  <w:vAlign w:val="center"/>
                </w:tcPr>
                <w:p>
                  <w:pPr>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DA00</w:t>
                  </w:r>
                  <w:r>
                    <w:rPr>
                      <w:rFonts w:hint="eastAsia" w:cs="Times New Roman"/>
                      <w:color w:val="auto"/>
                      <w:szCs w:val="21"/>
                      <w:lang w:val="en-US" w:eastAsia="zh-CN"/>
                    </w:rPr>
                    <w:t>1</w:t>
                  </w:r>
                </w:p>
              </w:tc>
              <w:tc>
                <w:tcPr>
                  <w:tcW w:w="162" w:type="pct"/>
                  <w:vMerge w:val="restart"/>
                  <w:vAlign w:val="center"/>
                </w:tcPr>
                <w:p>
                  <w:pPr>
                    <w:pStyle w:val="7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一般排放口</w:t>
                  </w:r>
                </w:p>
              </w:tc>
              <w:tc>
                <w:tcPr>
                  <w:tcW w:w="641" w:type="pct"/>
                  <w:vMerge w:val="restart"/>
                  <w:vAlign w:val="center"/>
                </w:tcPr>
                <w:p>
                  <w:pPr>
                    <w:pStyle w:val="7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119.549699</w:t>
                  </w:r>
                </w:p>
              </w:tc>
              <w:tc>
                <w:tcPr>
                  <w:tcW w:w="579" w:type="pct"/>
                  <w:vMerge w:val="restart"/>
                  <w:vAlign w:val="center"/>
                </w:tcPr>
                <w:p>
                  <w:pPr>
                    <w:pStyle w:val="7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31.770172</w:t>
                  </w:r>
                </w:p>
              </w:tc>
              <w:tc>
                <w:tcPr>
                  <w:tcW w:w="397" w:type="pct"/>
                  <w:vMerge w:val="restart"/>
                  <w:vAlign w:val="center"/>
                </w:tcPr>
                <w:p>
                  <w:pPr>
                    <w:pStyle w:val="7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397" w:type="pct"/>
                  <w:vMerge w:val="restart"/>
                  <w:vAlign w:val="center"/>
                </w:tcPr>
                <w:p>
                  <w:pPr>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r>
                    <w:rPr>
                      <w:rFonts w:hint="eastAsia" w:cs="Times New Roman"/>
                      <w:color w:val="auto"/>
                      <w:szCs w:val="21"/>
                      <w:lang w:val="en-US" w:eastAsia="zh-CN"/>
                    </w:rPr>
                    <w:t>6</w:t>
                  </w:r>
                </w:p>
              </w:tc>
              <w:tc>
                <w:tcPr>
                  <w:tcW w:w="419" w:type="pct"/>
                  <w:vMerge w:val="restart"/>
                  <w:vAlign w:val="center"/>
                </w:tcPr>
                <w:p>
                  <w:pPr>
                    <w:pStyle w:val="7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388" w:type="pct"/>
                  <w:vAlign w:val="center"/>
                </w:tcPr>
                <w:p>
                  <w:pPr>
                    <w:pStyle w:val="7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767" w:type="pct"/>
                  <w:vMerge w:val="restart"/>
                  <w:vAlign w:val="center"/>
                </w:tcPr>
                <w:p>
                  <w:pPr>
                    <w:pStyle w:val="6"/>
                    <w:adjustRightInd w:val="0"/>
                    <w:snapToGrid w:val="0"/>
                    <w:ind w:firstLine="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kern w:val="0"/>
                      <w:sz w:val="21"/>
                      <w:szCs w:val="21"/>
                      <w:lang w:val="en-US" w:eastAsia="zh-CN"/>
                    </w:rPr>
                    <w:t>GB31572-2015</w:t>
                  </w:r>
                  <w:r>
                    <w:rPr>
                      <w:rFonts w:hint="default" w:ascii="Times New Roman" w:hAnsi="Times New Roman" w:eastAsia="宋体" w:cs="Times New Roman"/>
                      <w:color w:val="auto"/>
                      <w:sz w:val="21"/>
                      <w:szCs w:val="21"/>
                    </w:rPr>
                    <w:t>表</w:t>
                  </w:r>
                  <w:r>
                    <w:rPr>
                      <w:rFonts w:hint="eastAsia" w:ascii="Times New Roman" w:hAnsi="Times New Roman" w:cs="Times New Roman"/>
                      <w:color w:val="auto"/>
                      <w:sz w:val="21"/>
                      <w:szCs w:val="21"/>
                      <w:lang w:val="en-US" w:eastAsia="zh-CN"/>
                    </w:rPr>
                    <w:t>5</w:t>
                  </w:r>
                </w:p>
              </w:tc>
              <w:tc>
                <w:tcPr>
                  <w:tcW w:w="836" w:type="pct"/>
                  <w:vAlign w:val="center"/>
                </w:tcPr>
                <w:p>
                  <w:pPr>
                    <w:pStyle w:val="6"/>
                    <w:adjustRightInd w:val="0"/>
                    <w:snapToGrid w:val="0"/>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675" w:hRule="atLeast"/>
                <w:jc w:val="center"/>
              </w:trPr>
              <w:tc>
                <w:tcPr>
                  <w:tcW w:w="411" w:type="pct"/>
                  <w:vMerge w:val="continue"/>
                  <w:vAlign w:val="center"/>
                </w:tcPr>
                <w:p>
                  <w:pPr>
                    <w:pStyle w:val="70"/>
                  </w:pPr>
                </w:p>
              </w:tc>
              <w:tc>
                <w:tcPr>
                  <w:tcW w:w="162" w:type="pct"/>
                  <w:vMerge w:val="continue"/>
                  <w:vAlign w:val="center"/>
                </w:tcPr>
                <w:p>
                  <w:pPr>
                    <w:pStyle w:val="70"/>
                  </w:pPr>
                </w:p>
              </w:tc>
              <w:tc>
                <w:tcPr>
                  <w:tcW w:w="641" w:type="pct"/>
                  <w:vMerge w:val="continue"/>
                  <w:vAlign w:val="center"/>
                </w:tcPr>
                <w:p>
                  <w:pPr>
                    <w:pStyle w:val="70"/>
                  </w:pPr>
                </w:p>
              </w:tc>
              <w:tc>
                <w:tcPr>
                  <w:tcW w:w="579" w:type="pct"/>
                  <w:vMerge w:val="continue"/>
                  <w:vAlign w:val="center"/>
                </w:tcPr>
                <w:p>
                  <w:pPr>
                    <w:pStyle w:val="70"/>
                  </w:pPr>
                </w:p>
              </w:tc>
              <w:tc>
                <w:tcPr>
                  <w:tcW w:w="397" w:type="pct"/>
                  <w:vMerge w:val="continue"/>
                  <w:vAlign w:val="center"/>
                </w:tcPr>
                <w:p>
                  <w:pPr>
                    <w:pStyle w:val="70"/>
                  </w:pPr>
                </w:p>
              </w:tc>
              <w:tc>
                <w:tcPr>
                  <w:tcW w:w="397" w:type="pct"/>
                  <w:vMerge w:val="continue"/>
                  <w:vAlign w:val="center"/>
                </w:tcPr>
                <w:p>
                  <w:pPr>
                    <w:pStyle w:val="70"/>
                  </w:pPr>
                </w:p>
              </w:tc>
              <w:tc>
                <w:tcPr>
                  <w:tcW w:w="419" w:type="pct"/>
                  <w:vMerge w:val="continue"/>
                  <w:vAlign w:val="center"/>
                </w:tcPr>
                <w:p>
                  <w:pPr>
                    <w:pStyle w:val="70"/>
                  </w:pPr>
                </w:p>
              </w:tc>
              <w:tc>
                <w:tcPr>
                  <w:tcW w:w="388" w:type="pct"/>
                  <w:vAlign w:val="center"/>
                </w:tcPr>
                <w:p>
                  <w:pPr>
                    <w:pStyle w:val="7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MDI</w:t>
                  </w:r>
                </w:p>
              </w:tc>
              <w:tc>
                <w:tcPr>
                  <w:tcW w:w="767" w:type="pct"/>
                  <w:vMerge w:val="continue"/>
                  <w:vAlign w:val="center"/>
                </w:tcPr>
                <w:p>
                  <w:pPr>
                    <w:pStyle w:val="70"/>
                    <w:rPr>
                      <w:rFonts w:hint="default" w:ascii="Times New Roman" w:hAnsi="Times New Roman" w:eastAsia="宋体" w:cs="Times New Roman"/>
                      <w:color w:val="auto"/>
                      <w:sz w:val="21"/>
                      <w:szCs w:val="21"/>
                      <w:lang w:val="en-US" w:eastAsia="zh-CN"/>
                    </w:rPr>
                  </w:pPr>
                </w:p>
              </w:tc>
              <w:tc>
                <w:tcPr>
                  <w:tcW w:w="836" w:type="pct"/>
                  <w:vAlign w:val="center"/>
                </w:tcPr>
                <w:p>
                  <w:pPr>
                    <w:pStyle w:val="7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bl>
          <w:p>
            <w:pPr>
              <w:adjustRightInd w:val="0"/>
              <w:snapToGrid w:val="0"/>
              <w:spacing w:line="50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参</w:t>
            </w:r>
            <w:r>
              <w:rPr>
                <w:rFonts w:hint="default" w:ascii="Times New Roman" w:hAnsi="Times New Roman" w:eastAsia="宋体" w:cs="Times New Roman"/>
                <w:color w:val="auto"/>
                <w:sz w:val="24"/>
                <w:highlight w:val="none"/>
                <w:lang w:val="en-US" w:eastAsia="zh-CN"/>
              </w:rPr>
              <w:t>照</w:t>
            </w:r>
            <w:r>
              <w:rPr>
                <w:rFonts w:hint="eastAsia" w:ascii="Times New Roman" w:hAnsi="Times New Roman" w:eastAsia="宋体" w:cs="Times New Roman"/>
                <w:color w:val="auto"/>
                <w:sz w:val="24"/>
                <w:highlight w:val="none"/>
                <w:lang w:val="en-US" w:eastAsia="zh-CN"/>
              </w:rPr>
              <w:t>《排污单位自行监测技术指南 总则》（HJ 819-2017）</w:t>
            </w:r>
            <w:r>
              <w:rPr>
                <w:rFonts w:hint="default" w:ascii="Times New Roman" w:hAnsi="Times New Roman" w:eastAsia="宋体" w:cs="Times New Roman"/>
                <w:sz w:val="24"/>
                <w:szCs w:val="24"/>
                <w:lang w:val="en-US" w:eastAsia="zh-CN"/>
              </w:rPr>
              <w:t>、《排污许可证申请与核发技术规范 橡胶和塑料制品工业》（HJ1122—2020）、《排污许可证申请与核发技术规范 汽车制造业》(HJ 971-2018)</w:t>
            </w:r>
            <w:r>
              <w:rPr>
                <w:rFonts w:hint="default" w:ascii="Times New Roman" w:hAnsi="Times New Roman" w:eastAsia="宋体" w:cs="Times New Roman"/>
                <w:color w:val="auto"/>
                <w:sz w:val="24"/>
                <w:highlight w:val="none"/>
                <w:lang w:val="en-US" w:eastAsia="zh-CN"/>
              </w:rPr>
              <w:t>中相关要求。</w:t>
            </w:r>
          </w:p>
          <w:p>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表4-</w:t>
            </w:r>
            <w:r>
              <w:rPr>
                <w:rFonts w:hint="eastAsia" w:cs="Times New Roman"/>
                <w:b/>
                <w:color w:val="auto"/>
                <w:sz w:val="21"/>
                <w:szCs w:val="21"/>
                <w:highlight w:val="none"/>
                <w:lang w:val="en-US" w:eastAsia="zh-CN"/>
              </w:rPr>
              <w:t>7</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lang w:val="en-US" w:eastAsia="zh-CN"/>
              </w:rPr>
              <w:t>本项目</w:t>
            </w:r>
            <w:r>
              <w:rPr>
                <w:rFonts w:hint="default" w:ascii="Times New Roman" w:hAnsi="Times New Roman" w:cs="Times New Roman"/>
                <w:b/>
                <w:color w:val="auto"/>
                <w:sz w:val="21"/>
                <w:szCs w:val="21"/>
                <w:highlight w:val="none"/>
              </w:rPr>
              <w:t>废气</w:t>
            </w:r>
            <w:r>
              <w:rPr>
                <w:rFonts w:hint="default" w:ascii="Times New Roman" w:hAnsi="Times New Roman" w:cs="Times New Roman"/>
                <w:b/>
                <w:color w:val="auto"/>
                <w:sz w:val="21"/>
                <w:szCs w:val="21"/>
                <w:highlight w:val="none"/>
                <w:lang w:val="en-US" w:eastAsia="zh-CN"/>
              </w:rPr>
              <w:t>自行</w:t>
            </w:r>
            <w:r>
              <w:rPr>
                <w:rFonts w:hint="default" w:ascii="Times New Roman" w:hAnsi="Times New Roman" w:cs="Times New Roman"/>
                <w:b/>
                <w:color w:val="auto"/>
                <w:sz w:val="21"/>
                <w:szCs w:val="21"/>
                <w:highlight w:val="none"/>
              </w:rPr>
              <w:t>监测</w:t>
            </w:r>
            <w:r>
              <w:rPr>
                <w:rFonts w:hint="default" w:ascii="Times New Roman" w:hAnsi="Times New Roman" w:cs="Times New Roman"/>
                <w:b/>
                <w:color w:val="auto"/>
                <w:sz w:val="21"/>
                <w:szCs w:val="21"/>
                <w:highlight w:val="none"/>
                <w:lang w:val="en-US" w:eastAsia="zh-CN"/>
              </w:rPr>
              <w:t>方案</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79" w:type="dxa"/>
                <w:bottom w:w="28" w:type="dxa"/>
                <w:right w:w="79" w:type="dxa"/>
              </w:tblCellMar>
            </w:tblPr>
            <w:tblGrid>
              <w:gridCol w:w="1057"/>
              <w:gridCol w:w="2986"/>
              <w:gridCol w:w="2868"/>
              <w:gridCol w:w="12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79" w:type="dxa"/>
                  <w:bottom w:w="28" w:type="dxa"/>
                  <w:right w:w="79" w:type="dxa"/>
                </w:tblCellMar>
              </w:tblPrEx>
              <w:trPr>
                <w:trHeight w:val="340" w:hRule="atLeast"/>
                <w:jc w:val="center"/>
              </w:trPr>
              <w:tc>
                <w:tcPr>
                  <w:tcW w:w="644" w:type="pct"/>
                  <w:vAlign w:val="center"/>
                </w:tcPr>
                <w:p>
                  <w:pPr>
                    <w:adjustRightInd w:val="0"/>
                    <w:snapToGrid w:val="0"/>
                    <w:jc w:val="center"/>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lang w:val="en-US" w:eastAsia="zh-CN"/>
                    </w:rPr>
                    <w:t>类别</w:t>
                  </w:r>
                </w:p>
              </w:tc>
              <w:tc>
                <w:tcPr>
                  <w:tcW w:w="1819"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监测点位</w:t>
                  </w:r>
                </w:p>
              </w:tc>
              <w:tc>
                <w:tcPr>
                  <w:tcW w:w="1747"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监测项目</w:t>
                  </w:r>
                </w:p>
              </w:tc>
              <w:tc>
                <w:tcPr>
                  <w:tcW w:w="789"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监测频率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79" w:type="dxa"/>
                  <w:bottom w:w="28" w:type="dxa"/>
                  <w:right w:w="79" w:type="dxa"/>
                </w:tblCellMar>
              </w:tblPrEx>
              <w:trPr>
                <w:trHeight w:val="340" w:hRule="atLeast"/>
                <w:jc w:val="center"/>
              </w:trPr>
              <w:tc>
                <w:tcPr>
                  <w:tcW w:w="644" w:type="pct"/>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有组织</w:t>
                  </w:r>
                </w:p>
              </w:tc>
              <w:tc>
                <w:tcPr>
                  <w:tcW w:w="1819" w:type="pct"/>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DA00</w:t>
                  </w:r>
                  <w:r>
                    <w:rPr>
                      <w:rFonts w:hint="eastAsia" w:cs="Times New Roman"/>
                      <w:color w:val="auto"/>
                      <w:szCs w:val="21"/>
                      <w:lang w:val="en-US" w:eastAsia="zh-CN"/>
                    </w:rPr>
                    <w:t>1</w:t>
                  </w:r>
                </w:p>
              </w:tc>
              <w:tc>
                <w:tcPr>
                  <w:tcW w:w="1747" w:type="pct"/>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非甲烷总烃、</w:t>
                  </w:r>
                  <w:r>
                    <w:rPr>
                      <w:rFonts w:hint="eastAsia" w:ascii="Times New Roman" w:hAnsi="Times New Roman" w:cs="Times New Roman"/>
                      <w:color w:val="auto"/>
                      <w:szCs w:val="21"/>
                      <w:lang w:val="en-US" w:eastAsia="zh-CN"/>
                    </w:rPr>
                    <w:t>MDI</w:t>
                  </w:r>
                </w:p>
              </w:tc>
              <w:tc>
                <w:tcPr>
                  <w:tcW w:w="789" w:type="pct"/>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1次</w:t>
                  </w:r>
                  <w:r>
                    <w:rPr>
                      <w:rFonts w:hint="eastAsia" w:cs="Times New Roman"/>
                      <w:color w:val="auto"/>
                      <w:szCs w:val="21"/>
                      <w:lang w:val="en-US" w:eastAsia="zh-CN"/>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79" w:type="dxa"/>
                  <w:bottom w:w="28" w:type="dxa"/>
                  <w:right w:w="79" w:type="dxa"/>
                </w:tblCellMar>
              </w:tblPrEx>
              <w:trPr>
                <w:trHeight w:val="340" w:hRule="atLeast"/>
                <w:jc w:val="center"/>
              </w:trPr>
              <w:tc>
                <w:tcPr>
                  <w:tcW w:w="644" w:type="pct"/>
                  <w:vMerge w:val="restar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无组织</w:t>
                  </w:r>
                </w:p>
              </w:tc>
              <w:tc>
                <w:tcPr>
                  <w:tcW w:w="1819" w:type="pct"/>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厂区厂界外2~50m范围</w:t>
                  </w:r>
                </w:p>
              </w:tc>
              <w:tc>
                <w:tcPr>
                  <w:tcW w:w="1747" w:type="pct"/>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非甲烷总烃、</w:t>
                  </w:r>
                  <w:r>
                    <w:rPr>
                      <w:rFonts w:hint="eastAsia" w:ascii="Times New Roman" w:hAnsi="Times New Roman" w:cs="Times New Roman"/>
                      <w:color w:val="auto"/>
                      <w:szCs w:val="21"/>
                      <w:lang w:val="en-US" w:eastAsia="zh-CN"/>
                    </w:rPr>
                    <w:t>MDI</w:t>
                  </w:r>
                </w:p>
              </w:tc>
              <w:tc>
                <w:tcPr>
                  <w:tcW w:w="789" w:type="pc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1次</w:t>
                  </w:r>
                  <w:r>
                    <w:rPr>
                      <w:rFonts w:hint="eastAsia" w:cs="Times New Roman"/>
                      <w:color w:val="auto"/>
                      <w:szCs w:val="21"/>
                      <w:lang w:val="en-US" w:eastAsia="zh-CN"/>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79" w:type="dxa"/>
                  <w:bottom w:w="28" w:type="dxa"/>
                  <w:right w:w="79" w:type="dxa"/>
                </w:tblCellMar>
              </w:tblPrEx>
              <w:trPr>
                <w:trHeight w:val="340" w:hRule="atLeast"/>
                <w:jc w:val="center"/>
              </w:trPr>
              <w:tc>
                <w:tcPr>
                  <w:tcW w:w="644" w:type="pct"/>
                  <w:vMerge w:val="continue"/>
                  <w:vAlign w:val="center"/>
                </w:tcPr>
                <w:p>
                  <w:pPr>
                    <w:adjustRightInd w:val="0"/>
                    <w:snapToGrid w:val="0"/>
                    <w:jc w:val="center"/>
                    <w:rPr>
                      <w:rFonts w:hint="default" w:ascii="Times New Roman" w:hAnsi="Times New Roman" w:cs="Times New Roman"/>
                      <w:color w:val="auto"/>
                      <w:szCs w:val="21"/>
                      <w:lang w:val="en-US" w:eastAsia="zh-CN"/>
                    </w:rPr>
                  </w:pPr>
                </w:p>
              </w:tc>
              <w:tc>
                <w:tcPr>
                  <w:tcW w:w="1819" w:type="pc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厂区内</w:t>
                  </w:r>
                </w:p>
              </w:tc>
              <w:tc>
                <w:tcPr>
                  <w:tcW w:w="1747"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非甲烷总烃</w:t>
                  </w:r>
                </w:p>
              </w:tc>
              <w:tc>
                <w:tcPr>
                  <w:tcW w:w="789" w:type="pct"/>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1次</w:t>
                  </w:r>
                  <w:r>
                    <w:rPr>
                      <w:rFonts w:hint="eastAsia" w:cs="Times New Roman"/>
                      <w:color w:val="auto"/>
                      <w:szCs w:val="21"/>
                      <w:lang w:val="en-US" w:eastAsia="zh-CN"/>
                    </w:rPr>
                    <w:t>/a</w:t>
                  </w:r>
                </w:p>
              </w:tc>
            </w:tr>
          </w:tbl>
          <w:p>
            <w:pPr>
              <w:adjustRightInd w:val="0"/>
              <w:snapToGrid w:val="0"/>
              <w:spacing w:line="500" w:lineRule="exact"/>
              <w:ind w:firstLine="482" w:firstLineChars="200"/>
              <w:rPr>
                <w:rFonts w:hint="default" w:ascii="Times New Roman" w:hAnsi="Times New Roman" w:cs="Times New Roman"/>
                <w:b/>
                <w:color w:val="auto"/>
                <w:sz w:val="24"/>
              </w:rPr>
            </w:pPr>
            <w:r>
              <w:rPr>
                <w:rFonts w:hint="eastAsia" w:cs="Times New Roman"/>
                <w:b/>
                <w:color w:val="auto"/>
                <w:sz w:val="24"/>
                <w:lang w:val="en-US" w:eastAsia="zh-CN"/>
              </w:rPr>
              <w:t>6、</w:t>
            </w:r>
            <w:r>
              <w:rPr>
                <w:rFonts w:hint="default" w:ascii="Times New Roman" w:hAnsi="Times New Roman" w:cs="Times New Roman"/>
                <w:b/>
                <w:color w:val="auto"/>
                <w:sz w:val="24"/>
              </w:rPr>
              <w:t>大气环境影响分析</w:t>
            </w:r>
          </w:p>
          <w:p>
            <w:pPr>
              <w:adjustRightInd w:val="0"/>
              <w:snapToGrid w:val="0"/>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1）大气环境防护距离</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根据分析，本项目未捕集</w:t>
            </w:r>
            <w:r>
              <w:rPr>
                <w:rFonts w:hint="default" w:ascii="Times New Roman" w:hAnsi="Times New Roman" w:cs="Times New Roman"/>
                <w:color w:val="auto"/>
                <w:sz w:val="24"/>
                <w:lang w:val="en-US" w:eastAsia="zh-CN"/>
              </w:rPr>
              <w:t>废气</w:t>
            </w:r>
            <w:r>
              <w:rPr>
                <w:rFonts w:hint="default" w:ascii="Times New Roman" w:hAnsi="Times New Roman" w:cs="Times New Roman"/>
                <w:color w:val="auto"/>
                <w:sz w:val="24"/>
              </w:rPr>
              <w:t>无组织排放，大气环境防护距离计算模式采用环境保护部环境工程评估中心环境质量模拟重点实验室软件，经计算，本项目无组织排放废气计算结果无超标点。本项目不需设定大气环境防护距离。</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2）卫生防护距离</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根据《大气有害物质无组织排放卫生防护距离推导技术导则》(GB/T39499-2020)，各类工业企业卫生防护距离按下式计算：</w:t>
            </w:r>
          </w:p>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position w:val="-30"/>
                <w:sz w:val="24"/>
              </w:rPr>
              <w:object>
                <v:shape id="_x0000_i1025" o:spt="75" type="#_x0000_t75" style="height:38.15pt;width:153.15pt;" o:ole="t" filled="f" coordsize="21600,21600">
                  <v:path/>
                  <v:fill on="f" focussize="0,0"/>
                  <v:stroke/>
                  <v:imagedata r:id="rId21" o:title=""/>
                  <o:lock v:ext="edit" aspectratio="t"/>
                  <w10:wrap type="none"/>
                  <w10:anchorlock/>
                </v:shape>
                <o:OLEObject Type="Embed" ProgID="Equation.3" ShapeID="_x0000_i1025" DrawAspect="Content" ObjectID="_1468075725" r:id="rId20">
                  <o:LockedField>false</o:LockedField>
                </o:OLEObject>
              </w:object>
            </w:r>
          </w:p>
          <w:p>
            <w:pPr>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式中：</w:t>
            </w:r>
          </w:p>
          <w:p>
            <w:pPr>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C</w:t>
            </w:r>
            <w:r>
              <w:rPr>
                <w:rFonts w:hint="default" w:ascii="Times New Roman" w:hAnsi="Times New Roman" w:cs="Times New Roman"/>
                <w:color w:val="auto"/>
                <w:sz w:val="24"/>
                <w:vertAlign w:val="subscript"/>
              </w:rPr>
              <w:t>m</w:t>
            </w:r>
            <w:r>
              <w:rPr>
                <w:rFonts w:hint="default" w:ascii="Times New Roman" w:hAnsi="Times New Roman" w:cs="Times New Roman"/>
                <w:color w:val="auto"/>
                <w:sz w:val="24"/>
              </w:rPr>
              <w:t>—大气有害物质环境空气质量的标准限值，单位为毫克每立方米(mg/m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pPr>
              <w:snapToGrid w:val="0"/>
              <w:spacing w:line="500" w:lineRule="exact"/>
              <w:ind w:firstLine="480" w:firstLineChars="200"/>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L—大气有害物质卫生防护距离初值，单位为米(m)</w:t>
            </w:r>
            <w:r>
              <w:rPr>
                <w:rFonts w:hint="eastAsia" w:cs="Times New Roman"/>
                <w:color w:val="auto"/>
                <w:sz w:val="24"/>
                <w:lang w:eastAsia="zh-CN"/>
              </w:rPr>
              <w:t>；</w:t>
            </w:r>
          </w:p>
          <w:p>
            <w:pPr>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r—大气有害物质无组织排放源所在生产单元的等效半径，单位为米(m)；</w:t>
            </w:r>
          </w:p>
          <w:p>
            <w:pPr>
              <w:snapToGrid w:val="0"/>
              <w:spacing w:line="500" w:lineRule="exact"/>
              <w:ind w:firstLine="480" w:firstLineChars="200"/>
              <w:rPr>
                <w:rFonts w:hint="default" w:ascii="Times New Roman" w:hAnsi="Times New Roman" w:cs="Times New Roman"/>
                <w:b/>
                <w:color w:val="auto"/>
                <w:szCs w:val="21"/>
              </w:rPr>
            </w:pPr>
            <w:r>
              <w:rPr>
                <w:rFonts w:hint="default" w:ascii="Times New Roman" w:hAnsi="Times New Roman" w:cs="Times New Roman"/>
                <w:color w:val="auto"/>
                <w:sz w:val="24"/>
              </w:rPr>
              <w:t>A、B、C、D—卫生防护距离初值计算系数，该地区的平均</w:t>
            </w:r>
            <w:r>
              <w:rPr>
                <w:rFonts w:hint="default" w:ascii="Times New Roman" w:hAnsi="Times New Roman" w:cs="Times New Roman"/>
                <w:color w:val="auto"/>
                <w:sz w:val="24"/>
                <w:szCs w:val="22"/>
              </w:rPr>
              <w:t>风速</w:t>
            </w:r>
            <w:r>
              <w:rPr>
                <w:rFonts w:hint="default" w:ascii="Times New Roman" w:hAnsi="Times New Roman" w:cs="Times New Roman"/>
                <w:color w:val="auto"/>
                <w:sz w:val="24"/>
              </w:rPr>
              <w:t>为2.9m/s，</w:t>
            </w:r>
            <w:r>
              <w:rPr>
                <w:rFonts w:hint="default" w:ascii="Times New Roman" w:hAnsi="Times New Roman" w:cs="Times New Roman"/>
                <w:color w:val="auto"/>
                <w:sz w:val="24"/>
                <w:lang w:val="en-US" w:eastAsia="zh-CN"/>
              </w:rPr>
              <w:t>参数</w:t>
            </w:r>
            <w:r>
              <w:rPr>
                <w:rFonts w:hint="default" w:ascii="Times New Roman" w:hAnsi="Times New Roman" w:cs="Times New Roman"/>
                <w:color w:val="auto"/>
                <w:sz w:val="24"/>
              </w:rPr>
              <w:t>的选取见下表。</w:t>
            </w:r>
          </w:p>
          <w:p>
            <w:pPr>
              <w:adjustRightInd w:val="0"/>
              <w:snapToGrid w:val="0"/>
              <w:spacing w:line="50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表4-</w:t>
            </w:r>
            <w:r>
              <w:rPr>
                <w:rFonts w:hint="eastAsia" w:cs="Times New Roman"/>
                <w:b/>
                <w:color w:val="auto"/>
                <w:szCs w:val="21"/>
                <w:lang w:val="en-US" w:eastAsia="zh-CN"/>
              </w:rPr>
              <w:t>8</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卫生防护距离计算系数</w:t>
            </w:r>
          </w:p>
          <w:tbl>
            <w:tblPr>
              <w:tblStyle w:val="28"/>
              <w:tblW w:w="4883"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4"/>
              <w:gridCol w:w="746"/>
              <w:gridCol w:w="745"/>
              <w:gridCol w:w="746"/>
              <w:gridCol w:w="749"/>
              <w:gridCol w:w="746"/>
              <w:gridCol w:w="746"/>
              <w:gridCol w:w="749"/>
              <w:gridCol w:w="746"/>
              <w:gridCol w:w="746"/>
              <w:gridCol w:w="7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计</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系</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数</w:t>
                  </w:r>
                </w:p>
              </w:tc>
              <w:tc>
                <w:tcPr>
                  <w:tcW w:w="466" w:type="pct"/>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5年平均风速</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m/s</w:t>
                  </w:r>
                </w:p>
              </w:tc>
              <w:tc>
                <w:tcPr>
                  <w:tcW w:w="4187" w:type="pct"/>
                  <w:gridSpan w:val="9"/>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卫生防护距离L，m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jc w:val="center"/>
                    <w:rPr>
                      <w:rFonts w:hint="default" w:ascii="Times New Roman" w:hAnsi="Times New Roman" w:cs="Times New Roman"/>
                      <w:color w:val="auto"/>
                      <w:sz w:val="24"/>
                    </w:rPr>
                  </w:pPr>
                </w:p>
              </w:tc>
              <w:tc>
                <w:tcPr>
                  <w:tcW w:w="466" w:type="pct"/>
                  <w:vMerge w:val="continue"/>
                  <w:vAlign w:val="center"/>
                </w:tcPr>
                <w:p>
                  <w:pPr>
                    <w:jc w:val="center"/>
                    <w:rPr>
                      <w:rFonts w:hint="default" w:ascii="Times New Roman" w:hAnsi="Times New Roman" w:cs="Times New Roman"/>
                      <w:color w:val="auto"/>
                      <w:sz w:val="24"/>
                    </w:rPr>
                  </w:pP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L≤1000</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L≤1000</w:t>
                  </w:r>
                </w:p>
              </w:tc>
              <w:tc>
                <w:tcPr>
                  <w:tcW w:w="1392"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L≤1000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jc w:val="center"/>
                    <w:rPr>
                      <w:rFonts w:hint="default" w:ascii="Times New Roman" w:hAnsi="Times New Roman" w:cs="Times New Roman"/>
                      <w:color w:val="auto"/>
                      <w:sz w:val="24"/>
                    </w:rPr>
                  </w:pPr>
                </w:p>
              </w:tc>
              <w:tc>
                <w:tcPr>
                  <w:tcW w:w="466" w:type="pct"/>
                  <w:vMerge w:val="continue"/>
                  <w:vAlign w:val="center"/>
                </w:tcPr>
                <w:p>
                  <w:pPr>
                    <w:jc w:val="center"/>
                    <w:rPr>
                      <w:rFonts w:hint="default" w:ascii="Times New Roman" w:hAnsi="Times New Roman" w:cs="Times New Roman"/>
                      <w:color w:val="auto"/>
                      <w:sz w:val="24"/>
                    </w:rPr>
                  </w:pPr>
                </w:p>
              </w:tc>
              <w:tc>
                <w:tcPr>
                  <w:tcW w:w="4187" w:type="pct"/>
                  <w:gridSpan w:val="9"/>
                  <w:vAlign w:val="center"/>
                </w:tcPr>
                <w:p>
                  <w:pPr>
                    <w:pStyle w:val="73"/>
                    <w:spacing w:line="240" w:lineRule="auto"/>
                    <w:ind w:firstLine="422"/>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工业大气污染源构成类别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jc w:val="center"/>
                    <w:rPr>
                      <w:rFonts w:hint="default" w:ascii="Times New Roman" w:hAnsi="Times New Roman" w:cs="Times New Roman"/>
                      <w:color w:val="auto"/>
                      <w:sz w:val="24"/>
                    </w:rPr>
                  </w:pPr>
                </w:p>
              </w:tc>
              <w:tc>
                <w:tcPr>
                  <w:tcW w:w="466" w:type="pct"/>
                  <w:vMerge w:val="continue"/>
                  <w:vAlign w:val="center"/>
                </w:tcPr>
                <w:p>
                  <w:pPr>
                    <w:jc w:val="center"/>
                    <w:rPr>
                      <w:rFonts w:hint="default" w:ascii="Times New Roman" w:hAnsi="Times New Roman" w:cs="Times New Roman"/>
                      <w:color w:val="auto"/>
                      <w:sz w:val="24"/>
                    </w:rPr>
                  </w:pP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Ⅰ</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Ⅱ</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Ⅲ</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Ⅰ</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Ⅱ</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Ⅲ</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Ⅰ</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Ⅱ</w:t>
                  </w:r>
                </w:p>
              </w:tc>
              <w:tc>
                <w:tcPr>
                  <w:tcW w:w="46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A</w:t>
                  </w:r>
                </w:p>
              </w:tc>
              <w:tc>
                <w:tcPr>
                  <w:tcW w:w="466"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400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400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400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400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400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400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46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jc w:val="center"/>
                    <w:rPr>
                      <w:rFonts w:hint="default" w:ascii="Times New Roman" w:hAnsi="Times New Roman" w:cs="Times New Roman"/>
                      <w:color w:val="auto"/>
                      <w:sz w:val="24"/>
                    </w:rPr>
                  </w:pPr>
                </w:p>
              </w:tc>
              <w:tc>
                <w:tcPr>
                  <w:tcW w:w="46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Cs w:val="21"/>
                    </w:rPr>
                    <w:t>2～4</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700</w:t>
                  </w:r>
                </w:p>
              </w:tc>
              <w:tc>
                <w:tcPr>
                  <w:tcW w:w="465" w:type="pct"/>
                  <w:shd w:val="clear" w:color="auto" w:fill="F1F1F1" w:themeFill="background1" w:themeFillShade="F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470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350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700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470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350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380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250</w:t>
                  </w:r>
                </w:p>
              </w:tc>
              <w:tc>
                <w:tcPr>
                  <w:tcW w:w="46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jc w:val="center"/>
                    <w:rPr>
                      <w:rFonts w:hint="default" w:ascii="Times New Roman" w:hAnsi="Times New Roman" w:cs="Times New Roman"/>
                      <w:color w:val="auto"/>
                      <w:sz w:val="24"/>
                    </w:rPr>
                  </w:pPr>
                </w:p>
              </w:tc>
              <w:tc>
                <w:tcPr>
                  <w:tcW w:w="46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Cs w:val="21"/>
                    </w:rPr>
                    <w:t>＞4</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530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350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260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530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350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260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290</w:t>
                  </w:r>
                </w:p>
              </w:tc>
              <w:tc>
                <w:tcPr>
                  <w:tcW w:w="465"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190</w:t>
                  </w:r>
                </w:p>
              </w:tc>
              <w:tc>
                <w:tcPr>
                  <w:tcW w:w="460"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B</w:t>
                  </w:r>
                </w:p>
              </w:tc>
              <w:tc>
                <w:tcPr>
                  <w:tcW w:w="466"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0.01</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0.015</w:t>
                  </w:r>
                </w:p>
              </w:tc>
              <w:tc>
                <w:tcPr>
                  <w:tcW w:w="1392"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0.015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jc w:val="center"/>
                    <w:rPr>
                      <w:rFonts w:hint="default" w:ascii="Times New Roman" w:hAnsi="Times New Roman" w:cs="Times New Roman"/>
                      <w:color w:val="auto"/>
                      <w:sz w:val="24"/>
                    </w:rPr>
                  </w:pPr>
                </w:p>
              </w:tc>
              <w:tc>
                <w:tcPr>
                  <w:tcW w:w="46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Cs w:val="21"/>
                    </w:rPr>
                    <w:t>＞2</w:t>
                  </w:r>
                </w:p>
              </w:tc>
              <w:tc>
                <w:tcPr>
                  <w:tcW w:w="1397" w:type="pct"/>
                  <w:gridSpan w:val="3"/>
                  <w:shd w:val="clear" w:color="auto" w:fill="F1F1F1" w:themeFill="background1" w:themeFillShade="F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0.021</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0.036</w:t>
                  </w:r>
                </w:p>
              </w:tc>
              <w:tc>
                <w:tcPr>
                  <w:tcW w:w="1392"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0.036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C</w:t>
                  </w:r>
                </w:p>
              </w:tc>
              <w:tc>
                <w:tcPr>
                  <w:tcW w:w="466"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1.85</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1.79</w:t>
                  </w:r>
                </w:p>
              </w:tc>
              <w:tc>
                <w:tcPr>
                  <w:tcW w:w="1392"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jc w:val="center"/>
                    <w:rPr>
                      <w:rFonts w:hint="default" w:ascii="Times New Roman" w:hAnsi="Times New Roman" w:cs="Times New Roman"/>
                      <w:color w:val="auto"/>
                      <w:sz w:val="24"/>
                    </w:rPr>
                  </w:pPr>
                </w:p>
              </w:tc>
              <w:tc>
                <w:tcPr>
                  <w:tcW w:w="46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Cs w:val="21"/>
                    </w:rPr>
                    <w:t>＞2</w:t>
                  </w:r>
                </w:p>
              </w:tc>
              <w:tc>
                <w:tcPr>
                  <w:tcW w:w="1397" w:type="pct"/>
                  <w:gridSpan w:val="3"/>
                  <w:shd w:val="clear" w:color="auto" w:fill="F1F1F1" w:themeFill="background1" w:themeFillShade="F2"/>
                  <w:vAlign w:val="center"/>
                </w:tcPr>
                <w:p>
                  <w:pPr>
                    <w:shd w:val="clear" w:fill="F1F1F1" w:themeFill="background1" w:themeFillShade="F2"/>
                    <w:jc w:val="center"/>
                    <w:rPr>
                      <w:rFonts w:hint="default" w:ascii="Times New Roman" w:hAnsi="Times New Roman" w:cs="Times New Roman"/>
                      <w:color w:val="auto"/>
                      <w:szCs w:val="21"/>
                    </w:rPr>
                  </w:pPr>
                  <w:r>
                    <w:rPr>
                      <w:rFonts w:hint="default" w:ascii="Times New Roman" w:hAnsi="Times New Roman" w:cs="Times New Roman"/>
                      <w:color w:val="auto"/>
                      <w:szCs w:val="21"/>
                    </w:rPr>
                    <w:t>1.85</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1.77</w:t>
                  </w:r>
                </w:p>
              </w:tc>
              <w:tc>
                <w:tcPr>
                  <w:tcW w:w="1392"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D</w:t>
                  </w:r>
                </w:p>
              </w:tc>
              <w:tc>
                <w:tcPr>
                  <w:tcW w:w="466"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0.78</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0.78</w:t>
                  </w:r>
                </w:p>
              </w:tc>
              <w:tc>
                <w:tcPr>
                  <w:tcW w:w="1392"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pPr>
                    <w:jc w:val="center"/>
                    <w:rPr>
                      <w:rFonts w:hint="default" w:ascii="Times New Roman" w:hAnsi="Times New Roman" w:cs="Times New Roman"/>
                      <w:color w:val="auto"/>
                      <w:sz w:val="24"/>
                    </w:rPr>
                  </w:pPr>
                </w:p>
              </w:tc>
              <w:tc>
                <w:tcPr>
                  <w:tcW w:w="46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Cs w:val="21"/>
                    </w:rPr>
                    <w:t>＞2</w:t>
                  </w:r>
                </w:p>
              </w:tc>
              <w:tc>
                <w:tcPr>
                  <w:tcW w:w="1397" w:type="pct"/>
                  <w:gridSpan w:val="3"/>
                  <w:shd w:val="clear" w:color="auto" w:fill="F1F1F1" w:themeFill="background1" w:themeFillShade="F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0.84</w:t>
                  </w:r>
                </w:p>
              </w:tc>
              <w:tc>
                <w:tcPr>
                  <w:tcW w:w="1397"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0.84</w:t>
                  </w:r>
                </w:p>
              </w:tc>
              <w:tc>
                <w:tcPr>
                  <w:tcW w:w="1392" w:type="pct"/>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0.76</w:t>
                  </w:r>
                </w:p>
              </w:tc>
            </w:tr>
          </w:tbl>
          <w:p>
            <w:pPr>
              <w:adjustRightInd w:val="0"/>
              <w:snapToGrid w:val="0"/>
              <w:spacing w:line="500" w:lineRule="exact"/>
              <w:ind w:firstLine="480" w:firstLineChars="200"/>
              <w:jc w:val="left"/>
              <w:rPr>
                <w:rFonts w:hint="default" w:ascii="Times New Roman" w:hAnsi="Times New Roman" w:cs="Times New Roman"/>
                <w:color w:val="auto"/>
                <w:sz w:val="24"/>
              </w:rPr>
            </w:pPr>
            <w:r>
              <w:rPr>
                <w:rFonts w:hint="default" w:ascii="Times New Roman" w:hAnsi="Times New Roman" w:eastAsia="宋体" w:cs="Times New Roman"/>
                <w:color w:val="auto"/>
                <w:sz w:val="24"/>
                <w:lang w:val="en-US" w:eastAsia="zh-CN"/>
              </w:rPr>
              <w:t>根据《制定地方大气污染物排放标准的技术方法》（GB/T39449-2020），卫生防护距离在100m以内时，级差为50m；超过100m，但小于或等于1000m时，级差为100m；超过1000m时，级差为200m。当按两种或两种以上的有害气体的 Q/Cm值计算的卫生防护距离在同一级别时，该类工业企业的卫生防护距离级别应提高一级。经计算，</w:t>
            </w:r>
            <w:r>
              <w:rPr>
                <w:rFonts w:hint="default" w:ascii="Times New Roman" w:hAnsi="Times New Roman" w:cs="Times New Roman"/>
                <w:color w:val="auto"/>
                <w:sz w:val="24"/>
              </w:rPr>
              <w:t>本项目卫生防护距离计算结果见下表。</w:t>
            </w:r>
          </w:p>
          <w:p>
            <w:pPr>
              <w:adjustRightInd w:val="0"/>
              <w:snapToGrid w:val="0"/>
              <w:spacing w:line="50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表4-</w:t>
            </w:r>
            <w:r>
              <w:rPr>
                <w:rFonts w:hint="eastAsia" w:cs="Times New Roman"/>
                <w:b/>
                <w:color w:val="auto"/>
                <w:szCs w:val="21"/>
                <w:lang w:val="en-US" w:eastAsia="zh-CN"/>
              </w:rPr>
              <w:t>9</w:t>
            </w:r>
            <w:r>
              <w:rPr>
                <w:rFonts w:hint="default" w:ascii="Times New Roman" w:hAnsi="Times New Roman" w:cs="Times New Roman"/>
                <w:b/>
                <w:color w:val="auto"/>
                <w:szCs w:val="21"/>
              </w:rPr>
              <w:t xml:space="preserve"> </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lang w:val="en-US" w:eastAsia="zh-CN"/>
              </w:rPr>
              <w:t>本项目</w:t>
            </w:r>
            <w:r>
              <w:rPr>
                <w:rFonts w:hint="default" w:ascii="Times New Roman" w:hAnsi="Times New Roman" w:cs="Times New Roman"/>
                <w:b/>
                <w:color w:val="auto"/>
                <w:szCs w:val="21"/>
              </w:rPr>
              <w:t>污染物卫生防护距离计算表</w:t>
            </w:r>
          </w:p>
          <w:tbl>
            <w:tblPr>
              <w:tblStyle w:val="28"/>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1" w:type="dxa"/>
                <w:bottom w:w="0" w:type="dxa"/>
                <w:right w:w="51" w:type="dxa"/>
              </w:tblCellMar>
            </w:tblPr>
            <w:tblGrid>
              <w:gridCol w:w="713"/>
              <w:gridCol w:w="811"/>
              <w:gridCol w:w="1115"/>
              <w:gridCol w:w="709"/>
              <w:gridCol w:w="709"/>
              <w:gridCol w:w="709"/>
              <w:gridCol w:w="711"/>
              <w:gridCol w:w="1141"/>
              <w:gridCol w:w="808"/>
              <w:gridCol w:w="7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434" w:type="pct"/>
                  <w:vAlign w:val="center"/>
                </w:tcPr>
                <w:p>
                  <w:pPr>
                    <w:adjustRightInd w:val="0"/>
                    <w:snapToGrid w:val="0"/>
                    <w:jc w:val="center"/>
                    <w:rPr>
                      <w:rFonts w:hint="default" w:ascii="Times New Roman" w:hAnsi="Times New Roman" w:eastAsia="宋体" w:cs="Times New Roman"/>
                      <w:b/>
                      <w:bCs/>
                      <w:color w:val="auto"/>
                      <w:szCs w:val="21"/>
                      <w:lang w:eastAsia="zh-CN"/>
                    </w:rPr>
                  </w:pPr>
                  <w:r>
                    <w:rPr>
                      <w:rFonts w:hint="default" w:ascii="Times New Roman" w:hAnsi="Times New Roman" w:cs="Times New Roman"/>
                      <w:b/>
                      <w:bCs/>
                      <w:color w:val="auto"/>
                      <w:szCs w:val="21"/>
                      <w:lang w:val="en-US" w:eastAsia="zh-CN"/>
                    </w:rPr>
                    <w:t>污染源</w:t>
                  </w:r>
                </w:p>
              </w:tc>
              <w:tc>
                <w:tcPr>
                  <w:tcW w:w="494"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影响因子</w:t>
                  </w:r>
                </w:p>
              </w:tc>
              <w:tc>
                <w:tcPr>
                  <w:tcW w:w="679" w:type="pct"/>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Qc</w:t>
                  </w:r>
                </w:p>
                <w:p>
                  <w:pPr>
                    <w:jc w:val="center"/>
                    <w:rPr>
                      <w:rFonts w:hint="default" w:ascii="Times New Roman" w:hAnsi="Times New Roman" w:cs="Times New Roman"/>
                      <w:b/>
                      <w:color w:val="auto"/>
                    </w:rPr>
                  </w:pPr>
                  <w:r>
                    <w:rPr>
                      <w:rFonts w:hint="default" w:ascii="Times New Roman" w:hAnsi="Times New Roman" w:cs="Times New Roman"/>
                      <w:b/>
                      <w:color w:val="auto"/>
                    </w:rPr>
                    <w:t>（kg/h）</w:t>
                  </w:r>
                </w:p>
              </w:tc>
              <w:tc>
                <w:tcPr>
                  <w:tcW w:w="432" w:type="pct"/>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A</w:t>
                  </w:r>
                </w:p>
              </w:tc>
              <w:tc>
                <w:tcPr>
                  <w:tcW w:w="432" w:type="pct"/>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B</w:t>
                  </w:r>
                </w:p>
              </w:tc>
              <w:tc>
                <w:tcPr>
                  <w:tcW w:w="432" w:type="pct"/>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C</w:t>
                  </w:r>
                </w:p>
              </w:tc>
              <w:tc>
                <w:tcPr>
                  <w:tcW w:w="433" w:type="pct"/>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D</w:t>
                  </w:r>
                </w:p>
              </w:tc>
              <w:tc>
                <w:tcPr>
                  <w:tcW w:w="695" w:type="pct"/>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Cm</w:t>
                  </w:r>
                </w:p>
                <w:p>
                  <w:pPr>
                    <w:jc w:val="center"/>
                    <w:rPr>
                      <w:rFonts w:hint="default" w:ascii="Times New Roman" w:hAnsi="Times New Roman" w:cs="Times New Roman"/>
                      <w:b/>
                      <w:color w:val="auto"/>
                    </w:rPr>
                  </w:pPr>
                  <w:r>
                    <w:rPr>
                      <w:rFonts w:hint="default" w:ascii="Times New Roman" w:hAnsi="Times New Roman" w:cs="Times New Roman"/>
                      <w:b/>
                      <w:color w:val="auto"/>
                    </w:rPr>
                    <w:t>（mg/m</w:t>
                  </w:r>
                  <w:r>
                    <w:rPr>
                      <w:rFonts w:hint="default" w:ascii="Times New Roman" w:hAnsi="Times New Roman" w:cs="Times New Roman"/>
                      <w:b/>
                      <w:color w:val="auto"/>
                      <w:vertAlign w:val="superscript"/>
                    </w:rPr>
                    <w:t>3</w:t>
                  </w:r>
                  <w:r>
                    <w:rPr>
                      <w:rFonts w:hint="default" w:ascii="Times New Roman" w:hAnsi="Times New Roman" w:cs="Times New Roman"/>
                      <w:b/>
                      <w:color w:val="auto"/>
                    </w:rPr>
                    <w:t>）</w:t>
                  </w:r>
                </w:p>
              </w:tc>
              <w:tc>
                <w:tcPr>
                  <w:tcW w:w="492" w:type="pct"/>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L计算</w:t>
                  </w:r>
                </w:p>
                <w:p>
                  <w:pPr>
                    <w:jc w:val="center"/>
                    <w:rPr>
                      <w:rFonts w:hint="default" w:ascii="Times New Roman" w:hAnsi="Times New Roman" w:cs="Times New Roman"/>
                      <w:b/>
                      <w:color w:val="auto"/>
                    </w:rPr>
                  </w:pPr>
                  <w:r>
                    <w:rPr>
                      <w:rFonts w:hint="default" w:ascii="Times New Roman" w:hAnsi="Times New Roman" w:cs="Times New Roman"/>
                      <w:b/>
                      <w:color w:val="auto"/>
                    </w:rPr>
                    <w:t>（m）</w:t>
                  </w:r>
                </w:p>
              </w:tc>
              <w:tc>
                <w:tcPr>
                  <w:tcW w:w="473" w:type="pct"/>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L</w:t>
                  </w:r>
                </w:p>
                <w:p>
                  <w:pPr>
                    <w:jc w:val="center"/>
                    <w:rPr>
                      <w:rFonts w:hint="default" w:ascii="Times New Roman" w:hAnsi="Times New Roman" w:cs="Times New Roman"/>
                      <w:b/>
                      <w:color w:val="auto"/>
                    </w:rPr>
                  </w:pPr>
                  <w:r>
                    <w:rPr>
                      <w:rFonts w:hint="default" w:ascii="Times New Roman" w:hAnsi="Times New Roman" w:cs="Times New Roman"/>
                      <w:b/>
                      <w:color w:val="auto"/>
                    </w:rPr>
                    <w:t>（m）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434" w:type="pct"/>
                  <w:vMerge w:val="restart"/>
                  <w:vAlign w:val="center"/>
                </w:tcPr>
                <w:p>
                  <w:pPr>
                    <w:pStyle w:val="21"/>
                    <w:tabs>
                      <w:tab w:val="clear" w:pos="4153"/>
                      <w:tab w:val="clear" w:pos="8306"/>
                    </w:tabs>
                    <w:adjustRightInd w:val="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车间二</w:t>
                  </w:r>
                </w:p>
              </w:tc>
              <w:tc>
                <w:tcPr>
                  <w:tcW w:w="494" w:type="pct"/>
                  <w:vAlign w:val="center"/>
                </w:tcPr>
                <w:p>
                  <w:pPr>
                    <w:pStyle w:val="21"/>
                    <w:tabs>
                      <w:tab w:val="clear" w:pos="4153"/>
                      <w:tab w:val="clear" w:pos="8306"/>
                    </w:tabs>
                    <w:adjustRightInd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679" w:type="pct"/>
                  <w:vAlign w:val="center"/>
                </w:tcPr>
                <w:p>
                  <w:pPr>
                    <w:pStyle w:val="6"/>
                    <w:adjustRightInd w:val="0"/>
                    <w:snapToGrid w:val="0"/>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eastAsiaTheme="minorEastAsia"/>
                      <w:bCs/>
                      <w:color w:val="auto"/>
                      <w:kern w:val="2"/>
                      <w:sz w:val="21"/>
                      <w:szCs w:val="22"/>
                      <w:lang w:val="en-US" w:eastAsia="zh-CN" w:bidi="ar-SA"/>
                    </w:rPr>
                    <w:t>0.052</w:t>
                  </w:r>
                </w:p>
              </w:tc>
              <w:tc>
                <w:tcPr>
                  <w:tcW w:w="432" w:type="pct"/>
                  <w:vAlign w:val="center"/>
                </w:tcPr>
                <w:p>
                  <w:pPr>
                    <w:pStyle w:val="6"/>
                    <w:adjustRightInd w:val="0"/>
                    <w:snapToGrid w:val="0"/>
                    <w:ind w:firstLine="0" w:firstLineChars="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470</w:t>
                  </w:r>
                </w:p>
              </w:tc>
              <w:tc>
                <w:tcPr>
                  <w:tcW w:w="432" w:type="pct"/>
                  <w:vAlign w:val="center"/>
                </w:tcPr>
                <w:p>
                  <w:pPr>
                    <w:pStyle w:val="6"/>
                    <w:adjustRightInd w:val="0"/>
                    <w:snapToGrid w:val="0"/>
                    <w:ind w:firstLine="0" w:firstLineChars="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0.021</w:t>
                  </w:r>
                </w:p>
              </w:tc>
              <w:tc>
                <w:tcPr>
                  <w:tcW w:w="432" w:type="pct"/>
                  <w:vAlign w:val="center"/>
                </w:tcPr>
                <w:p>
                  <w:pPr>
                    <w:pStyle w:val="6"/>
                    <w:adjustRightInd w:val="0"/>
                    <w:snapToGrid w:val="0"/>
                    <w:ind w:firstLine="0" w:firstLineChars="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1.85</w:t>
                  </w:r>
                </w:p>
              </w:tc>
              <w:tc>
                <w:tcPr>
                  <w:tcW w:w="433" w:type="pct"/>
                  <w:vAlign w:val="center"/>
                </w:tcPr>
                <w:p>
                  <w:pPr>
                    <w:pStyle w:val="6"/>
                    <w:adjustRightInd w:val="0"/>
                    <w:snapToGrid w:val="0"/>
                    <w:ind w:firstLine="0" w:firstLineChars="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0.84</w:t>
                  </w:r>
                </w:p>
              </w:tc>
              <w:tc>
                <w:tcPr>
                  <w:tcW w:w="695" w:type="pct"/>
                  <w:vAlign w:val="center"/>
                </w:tcPr>
                <w:p>
                  <w:pPr>
                    <w:pStyle w:val="6"/>
                    <w:adjustRightInd w:val="0"/>
                    <w:snapToGrid w:val="0"/>
                    <w:ind w:firstLine="0" w:firstLineChars="0"/>
                    <w:jc w:val="center"/>
                    <w:rPr>
                      <w:rFonts w:hint="default" w:ascii="Times New Roman" w:hAnsi="Times New Roman" w:cs="Times New Roman"/>
                      <w:bCs/>
                      <w:color w:val="auto"/>
                      <w:szCs w:val="21"/>
                    </w:rPr>
                  </w:pPr>
                  <w:r>
                    <w:rPr>
                      <w:rFonts w:hint="default" w:ascii="Times New Roman" w:hAnsi="Times New Roman" w:cs="Times New Roman"/>
                      <w:color w:val="auto"/>
                      <w:sz w:val="21"/>
                      <w:szCs w:val="21"/>
                      <w:lang w:val="en-US" w:eastAsia="zh-CN"/>
                    </w:rPr>
                    <w:t>2.0</w:t>
                  </w:r>
                </w:p>
              </w:tc>
              <w:tc>
                <w:tcPr>
                  <w:tcW w:w="492" w:type="pct"/>
                  <w:vAlign w:val="center"/>
                </w:tcPr>
                <w:p>
                  <w:pPr>
                    <w:pStyle w:val="6"/>
                    <w:adjustRightInd w:val="0"/>
                    <w:snapToGrid w:val="0"/>
                    <w:ind w:firstLine="0"/>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&lt;50</w:t>
                  </w:r>
                </w:p>
              </w:tc>
              <w:tc>
                <w:tcPr>
                  <w:tcW w:w="473" w:type="pct"/>
                  <w:vMerge w:val="restart"/>
                  <w:vAlign w:val="center"/>
                </w:tcPr>
                <w:p>
                  <w:pPr>
                    <w:tabs>
                      <w:tab w:val="left" w:pos="1418"/>
                    </w:tabs>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434" w:type="pct"/>
                  <w:vMerge w:val="continue"/>
                  <w:vAlign w:val="center"/>
                </w:tcPr>
                <w:p>
                  <w:pPr>
                    <w:pStyle w:val="21"/>
                    <w:tabs>
                      <w:tab w:val="clear" w:pos="4153"/>
                      <w:tab w:val="clear" w:pos="8306"/>
                    </w:tabs>
                    <w:adjustRightInd w:val="0"/>
                    <w:rPr>
                      <w:rFonts w:hint="eastAsia" w:cs="Times New Roman"/>
                      <w:color w:val="auto"/>
                      <w:sz w:val="21"/>
                      <w:szCs w:val="21"/>
                      <w:lang w:val="en-US" w:eastAsia="zh-CN"/>
                    </w:rPr>
                  </w:pPr>
                </w:p>
              </w:tc>
              <w:tc>
                <w:tcPr>
                  <w:tcW w:w="494" w:type="pct"/>
                  <w:vAlign w:val="center"/>
                </w:tcPr>
                <w:p>
                  <w:pPr>
                    <w:pStyle w:val="21"/>
                    <w:tabs>
                      <w:tab w:val="clear" w:pos="4153"/>
                      <w:tab w:val="clear" w:pos="8306"/>
                    </w:tabs>
                    <w:adjustRightInd w:val="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MDI</w:t>
                  </w:r>
                </w:p>
              </w:tc>
              <w:tc>
                <w:tcPr>
                  <w:tcW w:w="679" w:type="pct"/>
                  <w:vAlign w:val="center"/>
                </w:tcPr>
                <w:p>
                  <w:pPr>
                    <w:pStyle w:val="6"/>
                    <w:adjustRightInd w:val="0"/>
                    <w:snapToGrid w:val="0"/>
                    <w:ind w:firstLine="0" w:firstLineChars="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0.0003</w:t>
                  </w:r>
                </w:p>
              </w:tc>
              <w:tc>
                <w:tcPr>
                  <w:tcW w:w="432" w:type="pct"/>
                  <w:vAlign w:val="center"/>
                </w:tcPr>
                <w:p>
                  <w:pPr>
                    <w:pStyle w:val="6"/>
                    <w:adjustRightInd w:val="0"/>
                    <w:snapToGrid w:val="0"/>
                    <w:ind w:firstLine="0" w:firstLineChars="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470</w:t>
                  </w:r>
                </w:p>
              </w:tc>
              <w:tc>
                <w:tcPr>
                  <w:tcW w:w="432" w:type="pct"/>
                  <w:vAlign w:val="center"/>
                </w:tcPr>
                <w:p>
                  <w:pPr>
                    <w:pStyle w:val="6"/>
                    <w:adjustRightInd w:val="0"/>
                    <w:snapToGrid w:val="0"/>
                    <w:ind w:firstLine="0" w:firstLineChars="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0.021</w:t>
                  </w:r>
                </w:p>
              </w:tc>
              <w:tc>
                <w:tcPr>
                  <w:tcW w:w="432" w:type="pct"/>
                  <w:vAlign w:val="center"/>
                </w:tcPr>
                <w:p>
                  <w:pPr>
                    <w:pStyle w:val="6"/>
                    <w:adjustRightInd w:val="0"/>
                    <w:snapToGrid w:val="0"/>
                    <w:ind w:firstLine="0" w:firstLineChars="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1.85</w:t>
                  </w:r>
                </w:p>
              </w:tc>
              <w:tc>
                <w:tcPr>
                  <w:tcW w:w="433" w:type="pct"/>
                  <w:vAlign w:val="center"/>
                </w:tcPr>
                <w:p>
                  <w:pPr>
                    <w:pStyle w:val="6"/>
                    <w:adjustRightInd w:val="0"/>
                    <w:snapToGrid w:val="0"/>
                    <w:ind w:firstLine="0" w:firstLineChars="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0.84</w:t>
                  </w:r>
                </w:p>
              </w:tc>
              <w:tc>
                <w:tcPr>
                  <w:tcW w:w="695" w:type="pct"/>
                  <w:vAlign w:val="center"/>
                </w:tcPr>
                <w:p>
                  <w:pPr>
                    <w:pStyle w:val="6"/>
                    <w:adjustRightInd w:val="0"/>
                    <w:snapToGrid w:val="0"/>
                    <w:ind w:firstLine="0" w:firstLineChars="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0.1</w:t>
                  </w:r>
                </w:p>
              </w:tc>
              <w:tc>
                <w:tcPr>
                  <w:tcW w:w="492" w:type="pct"/>
                  <w:vAlign w:val="center"/>
                </w:tcPr>
                <w:p>
                  <w:pPr>
                    <w:pStyle w:val="6"/>
                    <w:adjustRightInd w:val="0"/>
                    <w:snapToGrid w:val="0"/>
                    <w:ind w:firstLine="0"/>
                    <w:jc w:val="center"/>
                    <w:rPr>
                      <w:rFonts w:hint="eastAsia"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&lt;50</w:t>
                  </w:r>
                </w:p>
              </w:tc>
              <w:tc>
                <w:tcPr>
                  <w:tcW w:w="473" w:type="pct"/>
                  <w:vMerge w:val="continue"/>
                  <w:vAlign w:val="center"/>
                </w:tcPr>
                <w:p>
                  <w:pPr>
                    <w:tabs>
                      <w:tab w:val="left" w:pos="1418"/>
                    </w:tabs>
                    <w:adjustRightInd w:val="0"/>
                    <w:snapToGrid w:val="0"/>
                    <w:jc w:val="center"/>
                    <w:rPr>
                      <w:rFonts w:hint="default" w:ascii="Times New Roman" w:hAnsi="Times New Roman" w:cs="Times New Roman"/>
                      <w:color w:val="auto"/>
                      <w:szCs w:val="21"/>
                      <w:lang w:val="en-US" w:eastAsia="zh-CN"/>
                    </w:rPr>
                  </w:pPr>
                </w:p>
              </w:tc>
            </w:tr>
          </w:tbl>
          <w:p>
            <w:pPr>
              <w:adjustRightInd w:val="0"/>
              <w:snapToGrid w:val="0"/>
              <w:spacing w:line="500" w:lineRule="exact"/>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color w:val="auto"/>
                <w:sz w:val="24"/>
              </w:rPr>
              <w:t>由上表可知，</w:t>
            </w:r>
            <w:r>
              <w:rPr>
                <w:rFonts w:hint="default" w:ascii="Times New Roman" w:hAnsi="Times New Roman" w:cs="Times New Roman"/>
                <w:color w:val="auto"/>
                <w:sz w:val="24"/>
                <w:highlight w:val="none"/>
              </w:rPr>
              <w:t>本项目建成后，全厂卫生防护距离为</w:t>
            </w:r>
            <w:r>
              <w:rPr>
                <w:rFonts w:hint="eastAsia" w:cs="Times New Roman"/>
                <w:color w:val="auto"/>
                <w:sz w:val="24"/>
                <w:highlight w:val="none"/>
                <w:lang w:eastAsia="zh-CN"/>
              </w:rPr>
              <w:t>车间二</w:t>
            </w:r>
            <w:r>
              <w:rPr>
                <w:rFonts w:hint="default" w:ascii="Times New Roman" w:hAnsi="Times New Roman" w:cs="Times New Roman"/>
                <w:color w:val="auto"/>
                <w:sz w:val="24"/>
                <w:highlight w:val="none"/>
              </w:rPr>
              <w:t>外扩100m形成的包络线区域，经实地勘察，</w:t>
            </w:r>
            <w:r>
              <w:rPr>
                <w:rFonts w:hint="eastAsia" w:cs="Times New Roman"/>
                <w:color w:val="auto"/>
                <w:sz w:val="24"/>
                <w:highlight w:val="none"/>
                <w:lang w:eastAsia="zh-CN"/>
              </w:rPr>
              <w:t>项目附近的环境敏感点元巷小区距离本项目车间二约</w:t>
            </w:r>
            <w:r>
              <w:rPr>
                <w:rFonts w:hint="eastAsia" w:cs="Times New Roman"/>
                <w:color w:val="auto"/>
                <w:sz w:val="24"/>
                <w:highlight w:val="none"/>
                <w:lang w:val="en-US" w:eastAsia="zh-CN"/>
              </w:rPr>
              <w:t>120m，</w:t>
            </w:r>
            <w:r>
              <w:rPr>
                <w:rFonts w:hint="eastAsia" w:cs="Times New Roman"/>
                <w:color w:val="auto"/>
                <w:sz w:val="24"/>
                <w:highlight w:val="none"/>
                <w:lang w:eastAsia="zh-CN"/>
              </w:rPr>
              <w:t>故</w:t>
            </w:r>
            <w:r>
              <w:rPr>
                <w:rFonts w:hint="default" w:ascii="Times New Roman" w:hAnsi="Times New Roman" w:cs="Times New Roman"/>
                <w:color w:val="auto"/>
                <w:sz w:val="24"/>
                <w:highlight w:val="none"/>
              </w:rPr>
              <w:t>项目卫生防护距离内目前无居住、医院、学校等环境敏感点，将来也不得建设环境敏感点，以避免环境纠纷。</w:t>
            </w:r>
          </w:p>
          <w:p>
            <w:pPr>
              <w:tabs>
                <w:tab w:val="left" w:pos="1155"/>
              </w:tabs>
              <w:adjustRightInd w:val="0"/>
              <w:snapToGrid w:val="0"/>
              <w:spacing w:line="500" w:lineRule="exact"/>
              <w:ind w:firstLine="482" w:firstLineChars="200"/>
              <w:rPr>
                <w:rFonts w:hint="default" w:ascii="Times New Roman" w:hAnsi="Times New Roman" w:eastAsia="宋体" w:cs="Times New Roman"/>
                <w:b/>
                <w:bCs/>
                <w:color w:val="auto"/>
                <w:sz w:val="24"/>
                <w:highlight w:val="none"/>
              </w:rPr>
            </w:pPr>
            <w:r>
              <w:rPr>
                <w:rFonts w:hint="eastAsia" w:cs="Times New Roman"/>
                <w:b/>
                <w:bCs/>
                <w:color w:val="auto"/>
                <w:sz w:val="24"/>
                <w:highlight w:val="none"/>
                <w:lang w:val="en-US" w:eastAsia="zh-CN"/>
              </w:rPr>
              <w:t>7、</w:t>
            </w:r>
            <w:r>
              <w:rPr>
                <w:rFonts w:hint="default" w:ascii="Times New Roman" w:hAnsi="Times New Roman" w:eastAsia="宋体" w:cs="Times New Roman"/>
                <w:b/>
                <w:bCs/>
                <w:color w:val="auto"/>
                <w:sz w:val="24"/>
                <w:highlight w:val="none"/>
                <w:lang w:val="en-US" w:eastAsia="zh-CN"/>
              </w:rPr>
              <w:t>排气筒设置合理性分析及相关标识要求</w:t>
            </w:r>
          </w:p>
          <w:p>
            <w:pPr>
              <w:tabs>
                <w:tab w:val="left" w:pos="1155"/>
              </w:tabs>
              <w:adjustRightInd w:val="0"/>
              <w:snapToGrid w:val="0"/>
              <w:spacing w:line="500" w:lineRule="exact"/>
              <w:ind w:firstLine="480" w:firstLineChars="200"/>
              <w:rPr>
                <w:rFonts w:hint="default" w:ascii="Times New Roman" w:hAnsi="Times New Roman" w:eastAsia="宋体" w:cs="Times New Roman"/>
                <w:color w:val="auto"/>
                <w:sz w:val="24"/>
                <w:highlight w:val="none"/>
              </w:rPr>
            </w:pPr>
            <w:r>
              <w:rPr>
                <w:rFonts w:ascii="Times New Roman" w:hAnsi="Times New Roman" w:eastAsia="宋体" w:cs="Times New Roman"/>
                <w:sz w:val="24"/>
              </w:rPr>
              <w:t>本项目</w:t>
            </w:r>
            <w:r>
              <w:rPr>
                <w:rFonts w:hint="eastAsia" w:ascii="Times New Roman" w:hAnsi="Times New Roman" w:eastAsia="宋体" w:cs="Times New Roman"/>
                <w:sz w:val="24"/>
              </w:rPr>
              <w:t>废气产生源和污染物类型与原有项目相同，废气收集处理后依托原有排气筒排放不新增，全厂仍为</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根</w:t>
            </w:r>
            <w:r>
              <w:rPr>
                <w:rFonts w:hint="eastAsia" w:ascii="Times New Roman" w:hAnsi="Times New Roman" w:eastAsia="宋体" w:cs="Times New Roman"/>
                <w:sz w:val="24"/>
                <w:lang w:val="en-US" w:eastAsia="zh-CN"/>
              </w:rPr>
              <w:t>1</w:t>
            </w:r>
            <w:r>
              <w:rPr>
                <w:rFonts w:ascii="Times New Roman" w:hAnsi="Times New Roman" w:eastAsia="宋体" w:cs="Times New Roman"/>
                <w:sz w:val="24"/>
              </w:rPr>
              <w:t>5m高排气筒</w:t>
            </w:r>
            <w:r>
              <w:rPr>
                <w:rFonts w:hint="eastAsia" w:ascii="Times New Roman" w:hAnsi="Times New Roman" w:eastAsia="宋体" w:cs="Times New Roman"/>
                <w:sz w:val="24"/>
              </w:rPr>
              <w:t>，</w:t>
            </w:r>
            <w:r>
              <w:rPr>
                <w:rFonts w:ascii="Times New Roman" w:hAnsi="Times New Roman" w:eastAsia="宋体" w:cs="Times New Roman"/>
                <w:sz w:val="24"/>
              </w:rPr>
              <w:t>上述各排气筒的设置均满足</w:t>
            </w:r>
            <w:r>
              <w:rPr>
                <w:rFonts w:hint="default" w:ascii="Times New Roman" w:hAnsi="Times New Roman" w:eastAsia="宋体" w:cs="Times New Roman"/>
                <w:color w:val="auto"/>
                <w:sz w:val="24"/>
                <w:highlight w:val="none"/>
                <w:lang w:val="en-US" w:eastAsia="zh-CN"/>
              </w:rPr>
              <w:t>相关规定要求。排气筒中各污染物排放浓度及排放速率均能稳定达标，经本报告大气环境影响预测，对周围大气环境影响较小，可确保大气环境质量达标。因此，本项目中排气筒设置合理。</w:t>
            </w:r>
          </w:p>
          <w:p>
            <w:pPr>
              <w:tabs>
                <w:tab w:val="left" w:pos="1155"/>
              </w:tabs>
              <w:adjustRightInd w:val="0"/>
              <w:snapToGrid w:val="0"/>
              <w:spacing w:line="500" w:lineRule="exact"/>
              <w:ind w:firstLine="482" w:firstLineChars="200"/>
              <w:rPr>
                <w:rFonts w:hint="default" w:ascii="Times New Roman" w:hAnsi="Times New Roman" w:eastAsia="宋体" w:cs="Times New Roman"/>
                <w:b/>
                <w:bCs/>
                <w:color w:val="auto"/>
                <w:sz w:val="24"/>
                <w:highlight w:val="none"/>
              </w:rPr>
            </w:pPr>
            <w:r>
              <w:rPr>
                <w:rFonts w:hint="eastAsia" w:cs="Times New Roman"/>
                <w:b/>
                <w:bCs/>
                <w:color w:val="auto"/>
                <w:sz w:val="24"/>
                <w:highlight w:val="none"/>
                <w:lang w:val="en-US" w:eastAsia="zh-CN"/>
              </w:rPr>
              <w:t>8、</w:t>
            </w:r>
            <w:r>
              <w:rPr>
                <w:rFonts w:hint="default" w:ascii="Times New Roman" w:hAnsi="Times New Roman" w:eastAsia="宋体" w:cs="Times New Roman"/>
                <w:b/>
                <w:bCs/>
                <w:color w:val="auto"/>
                <w:sz w:val="24"/>
                <w:highlight w:val="none"/>
                <w:lang w:val="en-US" w:eastAsia="zh-CN"/>
              </w:rPr>
              <w:t>废气排放环境影响分析</w:t>
            </w:r>
          </w:p>
          <w:p>
            <w:pPr>
              <w:adjustRightInd w:val="0"/>
              <w:snapToGrid w:val="0"/>
              <w:spacing w:line="500" w:lineRule="exact"/>
              <w:ind w:firstLine="480" w:firstLineChars="200"/>
              <w:jc w:val="left"/>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常州市目前属于环境空气质量不达标区，为改善大气环境质量，常州市印发、实施了多项改善大气环境质量、强化废气排放管控的方案和举措，在积极采取管控措施后，常州市环境空气质量将得到持续改善。</w:t>
            </w:r>
          </w:p>
          <w:p>
            <w:pPr>
              <w:adjustRightInd w:val="0"/>
              <w:snapToGrid w:val="0"/>
              <w:spacing w:line="500" w:lineRule="exact"/>
              <w:ind w:firstLine="480" w:firstLineChars="200"/>
              <w:rPr>
                <w:rFonts w:hint="default" w:ascii="Times New Roman" w:hAnsi="Times New Roman" w:cs="Times New Roman"/>
                <w:b/>
                <w:bCs/>
                <w:color w:val="auto"/>
                <w:sz w:val="24"/>
              </w:rPr>
            </w:pPr>
            <w:r>
              <w:rPr>
                <w:rFonts w:hint="default" w:ascii="Times New Roman" w:hAnsi="Times New Roman" w:cs="Times New Roman"/>
                <w:bCs/>
                <w:color w:val="auto"/>
                <w:sz w:val="24"/>
                <w:lang w:val="en-US" w:eastAsia="zh-CN"/>
              </w:rPr>
              <w:t>本项目排放的大气污染物为</w:t>
            </w:r>
            <w:r>
              <w:rPr>
                <w:rFonts w:hint="eastAsia" w:cs="Times New Roman"/>
                <w:bCs/>
                <w:color w:val="auto"/>
                <w:sz w:val="24"/>
                <w:lang w:val="en-US" w:eastAsia="zh-CN"/>
              </w:rPr>
              <w:t>MDI、</w:t>
            </w:r>
            <w:r>
              <w:rPr>
                <w:rFonts w:hint="default" w:ascii="Times New Roman" w:hAnsi="Times New Roman" w:cs="Times New Roman"/>
                <w:bCs/>
                <w:color w:val="auto"/>
                <w:sz w:val="24"/>
                <w:lang w:val="en-US" w:eastAsia="zh-CN"/>
              </w:rPr>
              <w:t>非甲烷总烃，针对各产污环节，均采取了合适可行的污染治理措施，经收集处理后的污染物排放强度较低，且本项目</w:t>
            </w:r>
            <w:r>
              <w:rPr>
                <w:rFonts w:hint="default" w:ascii="Times New Roman" w:hAnsi="Times New Roman" w:cs="Times New Roman"/>
                <w:bCs/>
                <w:color w:val="auto"/>
                <w:sz w:val="24"/>
                <w:highlight w:val="none"/>
              </w:rPr>
              <w:t>满足</w:t>
            </w:r>
            <w:r>
              <w:rPr>
                <w:rFonts w:hint="default" w:ascii="Times New Roman" w:hAnsi="Times New Roman" w:cs="Times New Roman"/>
                <w:bCs/>
                <w:color w:val="auto"/>
                <w:sz w:val="24"/>
                <w:highlight w:val="none"/>
                <w:lang w:val="en-US" w:eastAsia="zh-CN"/>
              </w:rPr>
              <w:t>大气</w:t>
            </w:r>
            <w:r>
              <w:rPr>
                <w:rFonts w:hint="default" w:ascii="Times New Roman" w:hAnsi="Times New Roman" w:cs="Times New Roman"/>
                <w:bCs/>
                <w:color w:val="auto"/>
                <w:sz w:val="24"/>
                <w:highlight w:val="none"/>
              </w:rPr>
              <w:t>卫生防护距离设置要求</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故</w:t>
            </w:r>
            <w:r>
              <w:rPr>
                <w:rFonts w:hint="default" w:ascii="Times New Roman" w:hAnsi="Times New Roman" w:cs="Times New Roman"/>
                <w:bCs/>
                <w:color w:val="auto"/>
                <w:sz w:val="24"/>
                <w:szCs w:val="22"/>
              </w:rPr>
              <w:t>本项目废气</w:t>
            </w:r>
            <w:r>
              <w:rPr>
                <w:rFonts w:hint="default" w:ascii="Times New Roman" w:hAnsi="Times New Roman" w:cs="Times New Roman"/>
                <w:bCs/>
                <w:color w:val="auto"/>
                <w:sz w:val="24"/>
                <w:szCs w:val="22"/>
                <w:lang w:val="en-US" w:eastAsia="zh-CN"/>
              </w:rPr>
              <w:t>排放的</w:t>
            </w:r>
            <w:r>
              <w:rPr>
                <w:rFonts w:hint="default" w:ascii="Times New Roman" w:hAnsi="Times New Roman" w:cs="Times New Roman"/>
                <w:bCs/>
                <w:color w:val="auto"/>
                <w:sz w:val="24"/>
                <w:szCs w:val="22"/>
              </w:rPr>
              <w:t>环境影响较小。</w:t>
            </w:r>
          </w:p>
          <w:p>
            <w:pPr>
              <w:adjustRightInd w:val="0"/>
              <w:snapToGrid w:val="0"/>
              <w:spacing w:line="500" w:lineRule="exact"/>
              <w:rPr>
                <w:rFonts w:hint="default" w:ascii="Times New Roman" w:hAnsi="Times New Roman" w:cs="Times New Roman"/>
                <w:b/>
                <w:color w:val="auto"/>
                <w:sz w:val="24"/>
              </w:rPr>
            </w:pPr>
            <w:r>
              <w:rPr>
                <w:rFonts w:hint="eastAsia" w:cs="Times New Roman"/>
                <w:b/>
                <w:color w:val="auto"/>
                <w:sz w:val="24"/>
                <w:lang w:eastAsia="zh-CN"/>
              </w:rPr>
              <w:t>二</w:t>
            </w:r>
            <w:r>
              <w:rPr>
                <w:rFonts w:hint="default" w:ascii="Times New Roman" w:hAnsi="Times New Roman" w:cs="Times New Roman"/>
                <w:b/>
                <w:color w:val="auto"/>
                <w:sz w:val="24"/>
              </w:rPr>
              <w:t>、废水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b w:val="0"/>
                <w:bCs/>
                <w:color w:val="auto"/>
                <w:sz w:val="24"/>
              </w:rPr>
            </w:pPr>
            <w:r>
              <w:rPr>
                <w:rFonts w:hint="eastAsia" w:cs="Times New Roman"/>
                <w:b w:val="0"/>
                <w:bCs/>
                <w:color w:val="auto"/>
                <w:sz w:val="24"/>
                <w:lang w:val="en-US" w:eastAsia="zh-CN"/>
              </w:rPr>
              <w:t>1、</w:t>
            </w:r>
            <w:r>
              <w:rPr>
                <w:rFonts w:hint="default" w:ascii="Times New Roman" w:hAnsi="Times New Roman" w:cs="Times New Roman"/>
                <w:b w:val="0"/>
                <w:bCs/>
                <w:color w:val="auto"/>
                <w:sz w:val="24"/>
                <w:lang w:val="en-US" w:eastAsia="zh-CN"/>
              </w:rPr>
              <w:t>废水</w:t>
            </w:r>
            <w:r>
              <w:rPr>
                <w:rFonts w:hint="default" w:ascii="Times New Roman" w:hAnsi="Times New Roman" w:cs="Times New Roman"/>
                <w:b w:val="0"/>
                <w:bCs/>
                <w:color w:val="auto"/>
                <w:sz w:val="24"/>
              </w:rPr>
              <w:t>产</w:t>
            </w:r>
            <w:r>
              <w:rPr>
                <w:rFonts w:hint="default" w:ascii="Times New Roman" w:hAnsi="Times New Roman" w:cs="Times New Roman"/>
                <w:b w:val="0"/>
                <w:bCs/>
                <w:color w:val="auto"/>
                <w:sz w:val="24"/>
                <w:lang w:val="en-US" w:eastAsia="zh-CN"/>
              </w:rPr>
              <w:t>生</w:t>
            </w:r>
            <w:r>
              <w:rPr>
                <w:rFonts w:hint="default" w:ascii="Times New Roman" w:hAnsi="Times New Roman" w:cs="Times New Roman"/>
                <w:b w:val="0"/>
                <w:bCs/>
                <w:color w:val="auto"/>
                <w:sz w:val="24"/>
              </w:rPr>
              <w:t>情况</w:t>
            </w:r>
          </w:p>
          <w:p>
            <w:pPr>
              <w:pStyle w:val="13"/>
              <w:keepNext w:val="0"/>
              <w:keepLines w:val="0"/>
              <w:pageBreakBefore w:val="0"/>
              <w:widowControl w:val="0"/>
              <w:kinsoku/>
              <w:wordWrap/>
              <w:overflowPunct/>
              <w:topLinePunct w:val="0"/>
              <w:autoSpaceDE/>
              <w:autoSpaceDN/>
              <w:bidi w:val="0"/>
              <w:adjustRightInd w:val="0"/>
              <w:snapToGrid w:val="0"/>
              <w:spacing w:after="0" w:line="500" w:lineRule="exact"/>
              <w:ind w:left="482" w:leftChars="0" w:right="147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生活用水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
                <w:bCs/>
                <w:color w:val="auto"/>
                <w:szCs w:val="21"/>
              </w:rPr>
            </w:pPr>
            <w:r>
              <w:rPr>
                <w:color w:val="auto"/>
                <w:sz w:val="24"/>
              </w:rPr>
              <w:t>本项目</w:t>
            </w:r>
            <w:r>
              <w:rPr>
                <w:rFonts w:hint="eastAsia"/>
                <w:color w:val="auto"/>
                <w:sz w:val="24"/>
                <w:lang w:eastAsia="zh-CN"/>
              </w:rPr>
              <w:t>建成后全厂</w:t>
            </w:r>
            <w:r>
              <w:rPr>
                <w:color w:val="auto"/>
                <w:sz w:val="24"/>
              </w:rPr>
              <w:t>共有职工</w:t>
            </w:r>
            <w:r>
              <w:rPr>
                <w:rFonts w:hint="eastAsia"/>
                <w:color w:val="auto"/>
                <w:sz w:val="24"/>
                <w:lang w:val="en-US" w:eastAsia="zh-CN"/>
              </w:rPr>
              <w:t>30</w:t>
            </w:r>
            <w:r>
              <w:rPr>
                <w:color w:val="auto"/>
                <w:sz w:val="24"/>
              </w:rPr>
              <w:t>人，年工作</w:t>
            </w:r>
            <w:r>
              <w:rPr>
                <w:rFonts w:hint="default" w:ascii="Times New Roman" w:hAnsi="Times New Roman" w:cs="Times New Roman"/>
                <w:color w:val="auto"/>
                <w:sz w:val="24"/>
              </w:rPr>
              <w:t>3</w:t>
            </w:r>
            <w:r>
              <w:rPr>
                <w:rFonts w:hint="eastAsia" w:cs="Times New Roman"/>
                <w:color w:val="auto"/>
                <w:sz w:val="24"/>
                <w:lang w:val="en-US" w:eastAsia="zh-CN"/>
              </w:rPr>
              <w:t>0</w:t>
            </w:r>
            <w:r>
              <w:rPr>
                <w:rFonts w:hint="default" w:ascii="Times New Roman" w:hAnsi="Times New Roman" w:cs="Times New Roman"/>
                <w:color w:val="auto"/>
                <w:sz w:val="24"/>
              </w:rPr>
              <w:t>0</w:t>
            </w:r>
            <w:r>
              <w:rPr>
                <w:color w:val="auto"/>
                <w:sz w:val="24"/>
              </w:rPr>
              <w:t>天，不设食堂、宿舍和浴室。人均生活用水定额按</w:t>
            </w:r>
            <w:r>
              <w:rPr>
                <w:rFonts w:hint="eastAsia"/>
                <w:color w:val="auto"/>
                <w:sz w:val="24"/>
                <w:lang w:val="en-US" w:eastAsia="zh-CN"/>
              </w:rPr>
              <w:t>10</w:t>
            </w:r>
            <w:r>
              <w:rPr>
                <w:rFonts w:hint="eastAsia"/>
                <w:color w:val="auto"/>
                <w:sz w:val="24"/>
              </w:rPr>
              <w:t>0</w:t>
            </w:r>
            <w:r>
              <w:rPr>
                <w:color w:val="auto"/>
                <w:sz w:val="24"/>
              </w:rPr>
              <w:t>L/（人·天）计，则生活用水量为</w:t>
            </w:r>
            <w:r>
              <w:rPr>
                <w:rFonts w:hint="eastAsia"/>
                <w:color w:val="auto"/>
                <w:sz w:val="24"/>
                <w:lang w:val="en-US" w:eastAsia="zh-CN"/>
              </w:rPr>
              <w:t>90</w:t>
            </w:r>
            <w:r>
              <w:rPr>
                <w:rFonts w:hint="eastAsia"/>
                <w:color w:val="auto"/>
                <w:sz w:val="24"/>
              </w:rPr>
              <w:t>0</w:t>
            </w:r>
            <w:r>
              <w:rPr>
                <w:color w:val="auto"/>
                <w:sz w:val="24"/>
              </w:rPr>
              <w:t>t/a，排污系数为0.8，则生活污水量排放量为</w:t>
            </w:r>
            <w:r>
              <w:rPr>
                <w:rFonts w:hint="eastAsia"/>
                <w:color w:val="auto"/>
                <w:sz w:val="24"/>
                <w:lang w:val="en-US" w:eastAsia="zh-CN"/>
              </w:rPr>
              <w:t>720</w:t>
            </w:r>
            <w:r>
              <w:rPr>
                <w:color w:val="auto"/>
                <w:sz w:val="24"/>
              </w:rPr>
              <w:t>t/a，主要污染物为：COD、SS、氨氮、</w:t>
            </w:r>
            <w:r>
              <w:rPr>
                <w:rFonts w:hint="eastAsia"/>
                <w:color w:val="auto"/>
                <w:sz w:val="24"/>
              </w:rPr>
              <w:t>TN</w:t>
            </w:r>
            <w:r>
              <w:rPr>
                <w:color w:val="auto"/>
                <w:sz w:val="24"/>
              </w:rPr>
              <w:t>、</w:t>
            </w:r>
            <w:r>
              <w:rPr>
                <w:rFonts w:hint="eastAsia"/>
                <w:color w:val="auto"/>
                <w:sz w:val="24"/>
              </w:rPr>
              <w:t>TP</w:t>
            </w:r>
            <w:r>
              <w:rPr>
                <w:color w:val="auto"/>
                <w:sz w:val="24"/>
              </w:rPr>
              <w:t>产生浓度分别为400mg/L、</w:t>
            </w:r>
            <w:r>
              <w:rPr>
                <w:rFonts w:hint="eastAsia"/>
                <w:color w:val="auto"/>
                <w:sz w:val="24"/>
              </w:rPr>
              <w:t>2</w:t>
            </w:r>
            <w:r>
              <w:rPr>
                <w:rFonts w:hint="eastAsia"/>
                <w:color w:val="auto"/>
                <w:sz w:val="24"/>
                <w:lang w:val="en-US" w:eastAsia="zh-CN"/>
              </w:rPr>
              <w:t>0</w:t>
            </w:r>
            <w:r>
              <w:rPr>
                <w:color w:val="auto"/>
                <w:sz w:val="24"/>
              </w:rPr>
              <w:t>0mg/L、3</w:t>
            </w:r>
            <w:r>
              <w:rPr>
                <w:rFonts w:hint="eastAsia"/>
                <w:color w:val="auto"/>
                <w:sz w:val="24"/>
              </w:rPr>
              <w:t>0</w:t>
            </w:r>
            <w:r>
              <w:rPr>
                <w:color w:val="auto"/>
                <w:sz w:val="24"/>
              </w:rPr>
              <w:t>mg/L、</w:t>
            </w:r>
            <w:r>
              <w:rPr>
                <w:rFonts w:hint="eastAsia"/>
                <w:color w:val="auto"/>
                <w:sz w:val="24"/>
                <w:lang w:val="en-US" w:eastAsia="zh-CN"/>
              </w:rPr>
              <w:t>40</w:t>
            </w:r>
            <w:r>
              <w:rPr>
                <w:color w:val="auto"/>
                <w:sz w:val="24"/>
              </w:rPr>
              <w:t>mg/L、</w:t>
            </w:r>
            <w:r>
              <w:rPr>
                <w:rFonts w:hint="eastAsia"/>
                <w:color w:val="auto"/>
                <w:sz w:val="24"/>
                <w:lang w:val="en-US" w:eastAsia="zh-CN"/>
              </w:rPr>
              <w:t>3</w:t>
            </w:r>
            <w:r>
              <w:rPr>
                <w:color w:val="auto"/>
                <w:sz w:val="24"/>
              </w:rPr>
              <w:t>mg/L。</w:t>
            </w:r>
          </w:p>
          <w:p>
            <w:pPr>
              <w:pStyle w:val="13"/>
              <w:keepNext w:val="0"/>
              <w:keepLines w:val="0"/>
              <w:pageBreakBefore w:val="0"/>
              <w:widowControl w:val="0"/>
              <w:kinsoku/>
              <w:wordWrap/>
              <w:overflowPunct/>
              <w:topLinePunct w:val="0"/>
              <w:autoSpaceDE/>
              <w:autoSpaceDN/>
              <w:bidi w:val="0"/>
              <w:adjustRightInd w:val="0"/>
              <w:snapToGrid w:val="0"/>
              <w:spacing w:after="0" w:line="500" w:lineRule="exact"/>
              <w:ind w:left="0" w:leftChars="0" w:right="1470" w:firstLine="480" w:firstLineChars="20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生产用水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rPr>
            </w:pPr>
            <w:r>
              <w:rPr>
                <w:rFonts w:hint="eastAsia" w:ascii="Times New Roman" w:hAnsi="Times New Roman" w:eastAsia="宋体" w:cs="Times New Roman"/>
                <w:color w:val="auto"/>
                <w:sz w:val="24"/>
                <w:lang w:val="en-US" w:eastAsia="zh-CN"/>
              </w:rPr>
              <w:t>项目</w:t>
            </w:r>
            <w:r>
              <w:rPr>
                <w:rFonts w:hint="eastAsia" w:cs="Times New Roman"/>
                <w:color w:val="auto"/>
                <w:sz w:val="24"/>
                <w:lang w:val="en-US" w:eastAsia="zh-CN"/>
              </w:rPr>
              <w:t>液压机</w:t>
            </w:r>
            <w:r>
              <w:rPr>
                <w:rFonts w:hint="eastAsia" w:ascii="Times New Roman" w:hAnsi="Times New Roman" w:eastAsia="宋体" w:cs="Times New Roman"/>
                <w:color w:val="auto"/>
                <w:sz w:val="24"/>
                <w:lang w:val="en-US" w:eastAsia="zh-CN"/>
              </w:rPr>
              <w:t>模具需要循环冷却水冷却，</w:t>
            </w:r>
            <w:r>
              <w:rPr>
                <w:rFonts w:hint="eastAsia" w:cs="Times New Roman"/>
                <w:color w:val="auto"/>
                <w:sz w:val="24"/>
                <w:lang w:val="en-US" w:eastAsia="zh-CN"/>
              </w:rPr>
              <w:t>项目设有1个冷却水塔，</w:t>
            </w:r>
            <w:r>
              <w:rPr>
                <w:rFonts w:hint="eastAsia" w:ascii="Times New Roman" w:hAnsi="Times New Roman" w:eastAsia="宋体" w:cs="Times New Roman"/>
                <w:color w:val="auto"/>
                <w:sz w:val="24"/>
                <w:lang w:val="en-US" w:eastAsia="zh-CN"/>
              </w:rPr>
              <w:t>循环量为</w:t>
            </w:r>
            <w:r>
              <w:rPr>
                <w:rFonts w:hint="eastAsia" w:cs="Times New Roman"/>
                <w:color w:val="auto"/>
                <w:sz w:val="24"/>
                <w:lang w:val="en-US" w:eastAsia="zh-CN"/>
              </w:rPr>
              <w:t>5</w:t>
            </w:r>
            <w:r>
              <w:rPr>
                <w:rFonts w:hint="default" w:ascii="Times New Roman" w:hAnsi="Times New Roman" w:eastAsia="宋体" w:cs="Times New Roman"/>
                <w:color w:val="auto"/>
                <w:sz w:val="24"/>
                <w:lang w:val="en-US" w:eastAsia="zh-CN"/>
              </w:rPr>
              <w:t>t/h</w:t>
            </w:r>
            <w:r>
              <w:rPr>
                <w:rFonts w:hint="eastAsia" w:ascii="Times New Roman" w:hAnsi="Times New Roman" w:eastAsia="宋体" w:cs="Times New Roman"/>
                <w:color w:val="auto"/>
                <w:sz w:val="24"/>
                <w:lang w:val="en-US" w:eastAsia="zh-CN"/>
              </w:rPr>
              <w:t>，则循环水量为</w:t>
            </w:r>
            <w:r>
              <w:rPr>
                <w:rFonts w:hint="eastAsia" w:cs="Times New Roman"/>
                <w:color w:val="auto"/>
                <w:sz w:val="24"/>
                <w:lang w:val="en-US" w:eastAsia="zh-CN"/>
              </w:rPr>
              <w:t>120</w:t>
            </w:r>
            <w:r>
              <w:rPr>
                <w:rFonts w:hint="eastAsia"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lang w:val="en-US" w:eastAsia="zh-CN"/>
              </w:rPr>
              <w:t>0t/a</w:t>
            </w:r>
            <w:r>
              <w:rPr>
                <w:rFonts w:hint="eastAsia" w:ascii="Times New Roman" w:hAnsi="Times New Roman" w:eastAsia="宋体" w:cs="Times New Roman"/>
                <w:color w:val="auto"/>
                <w:sz w:val="24"/>
                <w:lang w:val="en-US" w:eastAsia="zh-CN"/>
              </w:rPr>
              <w:t>。冷却水蒸发量为</w:t>
            </w:r>
            <w:r>
              <w:rPr>
                <w:rFonts w:hint="eastAsia" w:cs="Times New Roman"/>
                <w:color w:val="auto"/>
                <w:sz w:val="24"/>
                <w:lang w:val="en-US" w:eastAsia="zh-CN"/>
              </w:rPr>
              <w:t>5</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，则损耗量为</w:t>
            </w:r>
            <w:r>
              <w:rPr>
                <w:rFonts w:hint="eastAsia" w:cs="Times New Roman"/>
                <w:color w:val="auto"/>
                <w:sz w:val="24"/>
                <w:lang w:val="en-US" w:eastAsia="zh-CN"/>
              </w:rPr>
              <w:t>60</w:t>
            </w:r>
            <w:r>
              <w:rPr>
                <w:rFonts w:hint="default" w:ascii="Times New Roman" w:hAnsi="Times New Roman" w:eastAsia="宋体" w:cs="Times New Roman"/>
                <w:color w:val="auto"/>
                <w:sz w:val="24"/>
                <w:lang w:val="en-US" w:eastAsia="zh-CN"/>
              </w:rPr>
              <w:t>0t/a</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本</w:t>
            </w:r>
            <w:r>
              <w:rPr>
                <w:rFonts w:hint="default" w:ascii="Times New Roman" w:hAnsi="Times New Roman" w:cs="Times New Roman"/>
                <w:color w:val="auto"/>
                <w:sz w:val="24"/>
              </w:rPr>
              <w:t>项目冷却水循环使用，不外排。</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b/>
                <w:bCs/>
                <w:color w:val="auto"/>
                <w:sz w:val="24"/>
              </w:rPr>
            </w:pPr>
            <w:r>
              <w:rPr>
                <w:rFonts w:hint="eastAsia"/>
                <w:b/>
                <w:bCs/>
                <w:color w:val="auto"/>
                <w:sz w:val="24"/>
                <w:lang w:val="en-US" w:eastAsia="zh-CN"/>
              </w:rPr>
              <w:t>2、</w:t>
            </w:r>
            <w:r>
              <w:rPr>
                <w:b/>
                <w:bCs/>
                <w:color w:val="auto"/>
                <w:sz w:val="24"/>
              </w:rPr>
              <w:t>污染防治措施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rPr>
            </w:pPr>
            <w:r>
              <w:rPr>
                <w:color w:val="auto"/>
                <w:sz w:val="24"/>
              </w:rPr>
              <w:t>厂区实现雨污分流。本项目生活污水依托</w:t>
            </w:r>
            <w:r>
              <w:rPr>
                <w:rFonts w:hint="eastAsia"/>
                <w:color w:val="auto"/>
                <w:sz w:val="24"/>
                <w:lang w:eastAsia="zh-CN"/>
              </w:rPr>
              <w:t>厂区现有</w:t>
            </w:r>
            <w:r>
              <w:rPr>
                <w:color w:val="auto"/>
                <w:sz w:val="24"/>
              </w:rPr>
              <w:t>污水管道接管进入</w:t>
            </w:r>
            <w:r>
              <w:rPr>
                <w:rFonts w:hint="eastAsia"/>
                <w:color w:val="auto"/>
                <w:sz w:val="24"/>
              </w:rPr>
              <w:t>金坛第二污水处理厂</w:t>
            </w:r>
            <w:r>
              <w:rPr>
                <w:color w:val="auto"/>
                <w:sz w:val="24"/>
              </w:rPr>
              <w:t>集中处理。</w:t>
            </w:r>
            <w:r>
              <w:rPr>
                <w:color w:val="auto"/>
                <w:sz w:val="24"/>
              </w:rPr>
              <w:br w:type="textWrapping"/>
            </w:r>
            <w:r>
              <w:rPr>
                <w:rFonts w:hint="eastAsia"/>
                <w:color w:val="auto"/>
                <w:sz w:val="24"/>
              </w:rPr>
              <w:t xml:space="preserve">  </w:t>
            </w:r>
            <w:r>
              <w:rPr>
                <w:rFonts w:hint="eastAsia"/>
                <w:color w:val="auto"/>
                <w:sz w:val="24"/>
                <w:lang w:val="en-US" w:eastAsia="zh-CN"/>
              </w:rPr>
              <w:t xml:space="preserve"> </w:t>
            </w:r>
            <w:r>
              <w:rPr>
                <w:rFonts w:hint="eastAsia"/>
                <w:b/>
                <w:bCs/>
                <w:color w:val="auto"/>
                <w:sz w:val="24"/>
              </w:rPr>
              <w:t xml:space="preserve"> </w:t>
            </w:r>
            <w:r>
              <w:rPr>
                <w:rFonts w:hint="eastAsia"/>
                <w:b/>
                <w:bCs/>
                <w:color w:val="auto"/>
                <w:sz w:val="24"/>
                <w:lang w:val="en-US" w:eastAsia="zh-CN"/>
              </w:rPr>
              <w:t>3、</w:t>
            </w:r>
            <w:r>
              <w:rPr>
                <w:b/>
                <w:bCs/>
                <w:color w:val="auto"/>
                <w:sz w:val="24"/>
              </w:rPr>
              <w:t>接管可行性分析</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kern w:val="0"/>
                <w:sz w:val="24"/>
              </w:rPr>
            </w:pPr>
            <w:r>
              <w:rPr>
                <w:rFonts w:hint="eastAsia"/>
                <w:color w:val="auto"/>
                <w:kern w:val="0"/>
                <w:sz w:val="24"/>
                <w:lang w:eastAsia="zh-CN"/>
              </w:rPr>
              <w:t>（</w:t>
            </w:r>
            <w:r>
              <w:rPr>
                <w:rFonts w:hint="eastAsia"/>
                <w:color w:val="auto"/>
                <w:kern w:val="0"/>
                <w:sz w:val="24"/>
                <w:lang w:val="en-US" w:eastAsia="zh-CN"/>
              </w:rPr>
              <w:t>1</w:t>
            </w:r>
            <w:r>
              <w:rPr>
                <w:rFonts w:hint="eastAsia"/>
                <w:color w:val="auto"/>
                <w:kern w:val="0"/>
                <w:sz w:val="24"/>
                <w:lang w:eastAsia="zh-CN"/>
              </w:rPr>
              <w:t>）</w:t>
            </w:r>
            <w:r>
              <w:rPr>
                <w:color w:val="auto"/>
                <w:kern w:val="0"/>
                <w:sz w:val="24"/>
              </w:rPr>
              <w:t>管网建设情况</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kern w:val="0"/>
                <w:sz w:val="24"/>
              </w:rPr>
            </w:pPr>
            <w:r>
              <w:rPr>
                <w:color w:val="auto"/>
                <w:kern w:val="0"/>
                <w:sz w:val="24"/>
              </w:rPr>
              <w:t>常州金坛区第二污水处理厂的服务范围为</w:t>
            </w:r>
            <w:r>
              <w:rPr>
                <w:rFonts w:hint="eastAsia"/>
                <w:color w:val="auto"/>
                <w:kern w:val="0"/>
                <w:sz w:val="24"/>
              </w:rPr>
              <w:t>金坛</w:t>
            </w:r>
            <w:r>
              <w:rPr>
                <w:color w:val="auto"/>
                <w:kern w:val="0"/>
                <w:sz w:val="24"/>
              </w:rPr>
              <w:t>东环二路以东市区范围区域，包括金坛市经济开发区控制性详细规划中的主要建设区域（东至省道203，南至站前路，西至金湖路和丹金溧漕河，北至开发区行政界线）和河东居住区部分范围，总面积约为70.9km</w:t>
            </w:r>
            <w:r>
              <w:rPr>
                <w:color w:val="auto"/>
                <w:kern w:val="0"/>
                <w:sz w:val="24"/>
                <w:vertAlign w:val="superscript"/>
              </w:rPr>
              <w:t>2</w:t>
            </w:r>
            <w:r>
              <w:rPr>
                <w:color w:val="auto"/>
                <w:kern w:val="0"/>
                <w:sz w:val="24"/>
              </w:rPr>
              <w:t>。根据区域规划，本项目在常州金坛区第二污水处理厂接收范围之内。</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kern w:val="0"/>
                <w:sz w:val="24"/>
              </w:rPr>
            </w:pPr>
            <w:r>
              <w:rPr>
                <w:rFonts w:hint="eastAsia"/>
                <w:color w:val="auto"/>
                <w:kern w:val="0"/>
                <w:sz w:val="24"/>
                <w:lang w:eastAsia="zh-CN"/>
              </w:rPr>
              <w:t>（</w:t>
            </w:r>
            <w:r>
              <w:rPr>
                <w:rFonts w:hint="eastAsia"/>
                <w:color w:val="auto"/>
                <w:kern w:val="0"/>
                <w:sz w:val="24"/>
                <w:lang w:val="en-US" w:eastAsia="zh-CN"/>
              </w:rPr>
              <w:t>2</w:t>
            </w:r>
            <w:r>
              <w:rPr>
                <w:rFonts w:hint="eastAsia"/>
                <w:color w:val="auto"/>
                <w:kern w:val="0"/>
                <w:sz w:val="24"/>
                <w:lang w:eastAsia="zh-CN"/>
              </w:rPr>
              <w:t>）</w:t>
            </w:r>
            <w:r>
              <w:rPr>
                <w:color w:val="auto"/>
                <w:kern w:val="0"/>
                <w:sz w:val="24"/>
              </w:rPr>
              <w:t>污水处理厂简介</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kern w:val="0"/>
                <w:sz w:val="24"/>
              </w:rPr>
            </w:pPr>
            <w:r>
              <w:rPr>
                <w:color w:val="auto"/>
                <w:kern w:val="0"/>
                <w:sz w:val="24"/>
              </w:rPr>
              <w:t>常州金坛区第二污水处理厂位于</w:t>
            </w:r>
            <w:r>
              <w:rPr>
                <w:rFonts w:hint="eastAsia"/>
                <w:color w:val="auto"/>
                <w:kern w:val="0"/>
                <w:sz w:val="24"/>
              </w:rPr>
              <w:t>江苏省金坛经济开发区</w:t>
            </w:r>
            <w:r>
              <w:rPr>
                <w:color w:val="auto"/>
                <w:kern w:val="0"/>
                <w:sz w:val="24"/>
              </w:rPr>
              <w:t>内，华城东路与新常金公路交汇处以北100m。2013年年平均处理水量约为3.1万m</w:t>
            </w:r>
            <w:r>
              <w:rPr>
                <w:color w:val="auto"/>
                <w:kern w:val="0"/>
                <w:sz w:val="24"/>
                <w:vertAlign w:val="superscript"/>
              </w:rPr>
              <w:t>3</w:t>
            </w:r>
            <w:r>
              <w:rPr>
                <w:color w:val="auto"/>
                <w:kern w:val="0"/>
                <w:sz w:val="24"/>
              </w:rPr>
              <w:t>/d（处理负荷为77.5%），接管工业废水约1.57万t/d，接管生活污水约1.53万t/d，二污厂现状工业废水与生活污水之比约为1:1。2014年4月8日《金坛市城市污水处理有限公司金坛市第二污水处理厂扩建工程项目环境影响报告书》通过金坛市环境保护局审批，规划扩建工程规模为2.0万m</w:t>
            </w:r>
            <w:r>
              <w:rPr>
                <w:color w:val="auto"/>
                <w:kern w:val="0"/>
                <w:sz w:val="24"/>
                <w:vertAlign w:val="superscript"/>
              </w:rPr>
              <w:t>3</w:t>
            </w:r>
            <w:r>
              <w:rPr>
                <w:color w:val="auto"/>
                <w:kern w:val="0"/>
                <w:sz w:val="24"/>
              </w:rPr>
              <w:t>/d，远期规划规模达16万m</w:t>
            </w:r>
            <w:r>
              <w:rPr>
                <w:color w:val="auto"/>
                <w:kern w:val="0"/>
                <w:sz w:val="24"/>
                <w:vertAlign w:val="superscript"/>
              </w:rPr>
              <w:t>3</w:t>
            </w:r>
            <w:r>
              <w:rPr>
                <w:color w:val="auto"/>
                <w:kern w:val="0"/>
                <w:sz w:val="24"/>
              </w:rPr>
              <w:t>/d，该项目已于2017年1月3日通过常州市金坛区环境保护局验收，并正式投入运营。</w:t>
            </w:r>
          </w:p>
          <w:p>
            <w:pPr>
              <w:adjustRightInd w:val="0"/>
              <w:snapToGrid w:val="0"/>
              <w:spacing w:line="500" w:lineRule="exact"/>
              <w:ind w:firstLine="480" w:firstLineChars="200"/>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（3）</w:t>
            </w:r>
            <w:r>
              <w:rPr>
                <w:rFonts w:hint="default" w:ascii="Times New Roman" w:hAnsi="Times New Roman" w:eastAsia="宋体" w:cs="Times New Roman"/>
                <w:bCs/>
                <w:color w:val="auto"/>
                <w:sz w:val="24"/>
                <w:highlight w:val="none"/>
                <w:lang w:val="en-US" w:eastAsia="zh-CN"/>
              </w:rPr>
              <w:t>接管水量可行性</w:t>
            </w:r>
          </w:p>
          <w:p>
            <w:pPr>
              <w:adjustRightInd w:val="0"/>
              <w:snapToGrid w:val="0"/>
              <w:spacing w:line="500" w:lineRule="exact"/>
              <w:ind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常州金坛区第二污水处理厂目前实际处理量约</w:t>
            </w:r>
            <w:r>
              <w:rPr>
                <w:rFonts w:hint="eastAsia" w:ascii="Times New Roman" w:hAnsi="Times New Roman" w:eastAsia="宋体" w:cs="Times New Roman"/>
                <w:bCs/>
                <w:color w:val="auto"/>
                <w:sz w:val="24"/>
                <w:highlight w:val="none"/>
                <w:lang w:val="en-US" w:eastAsia="zh-CN"/>
              </w:rPr>
              <w:t>5.8</w:t>
            </w:r>
            <w:r>
              <w:rPr>
                <w:rFonts w:hint="default" w:ascii="Times New Roman" w:hAnsi="Times New Roman" w:eastAsia="宋体" w:cs="Times New Roman"/>
                <w:bCs/>
                <w:color w:val="auto"/>
                <w:sz w:val="24"/>
                <w:highlight w:val="none"/>
                <w:lang w:val="en-US" w:eastAsia="zh-CN"/>
              </w:rPr>
              <w:t>万吨/日，还有余量</w:t>
            </w:r>
            <w:r>
              <w:rPr>
                <w:rFonts w:hint="eastAsia" w:ascii="Times New Roman" w:hAnsi="Times New Roman" w:eastAsia="宋体" w:cs="Times New Roman"/>
                <w:bCs/>
                <w:color w:val="auto"/>
                <w:sz w:val="24"/>
                <w:highlight w:val="none"/>
                <w:lang w:val="en-US" w:eastAsia="zh-CN"/>
              </w:rPr>
              <w:t>0.2</w:t>
            </w:r>
            <w:r>
              <w:rPr>
                <w:rFonts w:hint="default" w:ascii="Times New Roman" w:hAnsi="Times New Roman" w:eastAsia="宋体" w:cs="Times New Roman"/>
                <w:bCs/>
                <w:color w:val="auto"/>
                <w:sz w:val="24"/>
                <w:highlight w:val="none"/>
                <w:lang w:val="en-US" w:eastAsia="zh-CN"/>
              </w:rPr>
              <w:t>万吨/日。本项目废水排放总量约为</w:t>
            </w:r>
            <w:r>
              <w:rPr>
                <w:rFonts w:hint="eastAsia" w:cs="Times New Roman"/>
                <w:bCs/>
                <w:color w:val="auto"/>
                <w:sz w:val="24"/>
                <w:highlight w:val="none"/>
                <w:lang w:val="en-US" w:eastAsia="zh-CN"/>
              </w:rPr>
              <w:t>720</w:t>
            </w:r>
            <w:r>
              <w:rPr>
                <w:rFonts w:hint="default" w:ascii="Times New Roman" w:hAnsi="Times New Roman" w:eastAsia="宋体" w:cs="Times New Roman"/>
                <w:bCs/>
                <w:color w:val="auto"/>
                <w:sz w:val="24"/>
                <w:highlight w:val="none"/>
                <w:lang w:val="en-US" w:eastAsia="zh-CN"/>
              </w:rPr>
              <w:t>t/a（</w:t>
            </w:r>
            <w:r>
              <w:rPr>
                <w:rFonts w:hint="eastAsia" w:ascii="Times New Roman" w:hAnsi="Times New Roman" w:eastAsia="宋体" w:cs="Times New Roman"/>
                <w:bCs/>
                <w:color w:val="auto"/>
                <w:sz w:val="24"/>
                <w:highlight w:val="none"/>
                <w:lang w:val="en-US" w:eastAsia="zh-CN"/>
              </w:rPr>
              <w:t>2</w:t>
            </w:r>
            <w:r>
              <w:rPr>
                <w:rFonts w:hint="eastAsia"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val="en-US" w:eastAsia="zh-CN"/>
              </w:rPr>
              <w:t>t/d），占常州金坛区第二污水处理厂日处理余量的比例极小，常州金坛区第二污水处理厂完全有能力接纳本项目污水。</w:t>
            </w:r>
          </w:p>
          <w:p>
            <w:pPr>
              <w:adjustRightInd w:val="0"/>
              <w:snapToGrid w:val="0"/>
              <w:spacing w:line="500" w:lineRule="exact"/>
              <w:ind w:firstLine="480" w:firstLineChars="200"/>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val="en-US" w:eastAsia="zh-CN"/>
              </w:rPr>
              <w:t>接管水质可行性</w:t>
            </w:r>
          </w:p>
          <w:p>
            <w:pPr>
              <w:adjustRightInd w:val="0"/>
              <w:snapToGrid w:val="0"/>
              <w:spacing w:line="500" w:lineRule="exact"/>
              <w:ind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本项目建成后</w:t>
            </w:r>
            <w:r>
              <w:rPr>
                <w:rFonts w:hint="eastAsia" w:ascii="Times New Roman" w:hAnsi="Times New Roman" w:eastAsia="宋体" w:cs="Times New Roman"/>
                <w:bCs/>
                <w:color w:val="auto"/>
                <w:sz w:val="24"/>
                <w:highlight w:val="none"/>
                <w:lang w:val="en-US" w:eastAsia="zh-CN"/>
              </w:rPr>
              <w:t>接管废水为生活污水，废水排放浓度低、水量小、水质简单，不会对污水处理厂运行产生冲击负荷，不影响污水处理厂出水水质</w:t>
            </w:r>
            <w:r>
              <w:rPr>
                <w:rFonts w:hint="default" w:ascii="Times New Roman" w:hAnsi="Times New Roman" w:eastAsia="宋体" w:cs="Times New Roman"/>
                <w:bCs/>
                <w:color w:val="auto"/>
                <w:sz w:val="24"/>
                <w:highlight w:val="none"/>
                <w:lang w:val="en-US" w:eastAsia="zh-CN"/>
              </w:rPr>
              <w:t>。</w:t>
            </w:r>
          </w:p>
          <w:p>
            <w:pPr>
              <w:adjustRightInd w:val="0"/>
              <w:snapToGrid w:val="0"/>
              <w:spacing w:line="500" w:lineRule="exact"/>
              <w:ind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综上所述，本项目污水管网均已铺设完毕，从接管时间、服务范围、处理工艺以及水量水质来看，本项目运营后污水接入金坛第二污水处理厂处理是可行的。</w:t>
            </w:r>
          </w:p>
          <w:p>
            <w:pPr>
              <w:adjustRightInd w:val="0"/>
              <w:snapToGrid w:val="0"/>
              <w:spacing w:line="500" w:lineRule="exact"/>
              <w:ind w:firstLine="482" w:firstLineChars="200"/>
              <w:rPr>
                <w:rFonts w:hint="default" w:ascii="Times New Roman" w:hAnsi="Times New Roman" w:eastAsia="宋体" w:cs="Times New Roman"/>
                <w:b/>
                <w:bCs w:val="0"/>
                <w:color w:val="auto"/>
                <w:sz w:val="24"/>
                <w:highlight w:val="none"/>
                <w:lang w:val="en-US" w:eastAsia="zh-CN"/>
              </w:rPr>
            </w:pPr>
            <w:r>
              <w:rPr>
                <w:rFonts w:hint="eastAsia" w:cs="Times New Roman"/>
                <w:b/>
                <w:bCs w:val="0"/>
                <w:color w:val="auto"/>
                <w:sz w:val="24"/>
                <w:highlight w:val="none"/>
                <w:lang w:val="en-US" w:eastAsia="zh-CN"/>
              </w:rPr>
              <w:t>4、</w:t>
            </w:r>
            <w:r>
              <w:rPr>
                <w:rFonts w:hint="default" w:ascii="Times New Roman" w:hAnsi="Times New Roman" w:eastAsia="宋体" w:cs="Times New Roman"/>
                <w:b/>
                <w:bCs w:val="0"/>
                <w:color w:val="auto"/>
                <w:sz w:val="24"/>
                <w:highlight w:val="none"/>
                <w:lang w:val="en-US" w:eastAsia="zh-CN"/>
              </w:rPr>
              <w:t>废水排放情况</w:t>
            </w:r>
          </w:p>
          <w:p>
            <w:pPr>
              <w:adjustRightInd w:val="0"/>
              <w:snapToGrid w:val="0"/>
              <w:spacing w:line="500" w:lineRule="exact"/>
              <w:ind w:firstLine="480" w:firstLineChars="200"/>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（1）</w:t>
            </w:r>
            <w:r>
              <w:rPr>
                <w:rFonts w:hint="default" w:ascii="Times New Roman" w:hAnsi="Times New Roman" w:eastAsia="宋体" w:cs="Times New Roman"/>
                <w:bCs/>
                <w:color w:val="auto"/>
                <w:sz w:val="24"/>
                <w:highlight w:val="none"/>
                <w:lang w:val="en-US" w:eastAsia="zh-CN"/>
              </w:rPr>
              <w:t>废水排放情况汇总</w:t>
            </w:r>
          </w:p>
          <w:p>
            <w:pPr>
              <w:adjustRightInd w:val="0"/>
              <w:snapToGrid w:val="0"/>
              <w:spacing w:line="500" w:lineRule="exact"/>
              <w:ind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本项目生活污水经</w:t>
            </w:r>
            <w:r>
              <w:rPr>
                <w:rFonts w:hint="eastAsia" w:ascii="Times New Roman" w:hAnsi="Times New Roman" w:eastAsia="宋体" w:cs="Times New Roman"/>
                <w:bCs/>
                <w:color w:val="auto"/>
                <w:sz w:val="24"/>
                <w:highlight w:val="none"/>
                <w:lang w:val="en-US" w:eastAsia="zh-CN"/>
              </w:rPr>
              <w:t>化粪池预处理后</w:t>
            </w:r>
            <w:r>
              <w:rPr>
                <w:rFonts w:hint="default" w:ascii="Times New Roman" w:hAnsi="Times New Roman" w:eastAsia="宋体" w:cs="Times New Roman"/>
                <w:bCs/>
                <w:color w:val="auto"/>
                <w:sz w:val="24"/>
                <w:highlight w:val="none"/>
                <w:lang w:val="en-US" w:eastAsia="zh-CN"/>
              </w:rPr>
              <w:t>接管进入</w:t>
            </w:r>
            <w:r>
              <w:rPr>
                <w:rFonts w:hint="eastAsia" w:ascii="Times New Roman" w:hAnsi="Times New Roman" w:eastAsia="宋体" w:cs="Times New Roman"/>
                <w:bCs/>
                <w:color w:val="auto"/>
                <w:sz w:val="24"/>
                <w:highlight w:val="none"/>
                <w:lang w:val="en-US" w:eastAsia="zh-CN"/>
              </w:rPr>
              <w:t>金坛第二污水处理厂</w:t>
            </w:r>
            <w:r>
              <w:rPr>
                <w:rFonts w:hint="default" w:ascii="Times New Roman" w:hAnsi="Times New Roman" w:eastAsia="宋体" w:cs="Times New Roman"/>
                <w:bCs/>
                <w:color w:val="auto"/>
                <w:sz w:val="24"/>
                <w:highlight w:val="none"/>
                <w:lang w:val="en-US" w:eastAsia="zh-CN"/>
              </w:rPr>
              <w:t>集中处理</w:t>
            </w:r>
            <w:r>
              <w:rPr>
                <w:rFonts w:hint="eastAsia" w:ascii="Times New Roman" w:hAnsi="Times New Roman" w:eastAsia="宋体" w:cs="Times New Roman"/>
                <w:bCs/>
                <w:color w:val="auto"/>
                <w:sz w:val="24"/>
                <w:highlight w:val="none"/>
                <w:lang w:val="en-US" w:eastAsia="zh-CN"/>
              </w:rPr>
              <w:t>，</w:t>
            </w:r>
            <w:r>
              <w:rPr>
                <w:rFonts w:hint="default" w:ascii="Times New Roman" w:hAnsi="Times New Roman" w:eastAsia="宋体" w:cs="Times New Roman"/>
                <w:bCs/>
                <w:color w:val="auto"/>
                <w:sz w:val="24"/>
                <w:highlight w:val="none"/>
                <w:lang w:val="en-US" w:eastAsia="zh-CN"/>
              </w:rPr>
              <w:t>废水产生及排放情况见</w:t>
            </w:r>
            <w:r>
              <w:rPr>
                <w:rFonts w:hint="eastAsia" w:ascii="Times New Roman" w:hAnsi="Times New Roman" w:eastAsia="宋体" w:cs="Times New Roman"/>
                <w:bCs/>
                <w:color w:val="auto"/>
                <w:sz w:val="24"/>
                <w:highlight w:val="none"/>
                <w:lang w:val="en-US" w:eastAsia="zh-CN"/>
              </w:rPr>
              <w:t>下</w:t>
            </w:r>
            <w:r>
              <w:rPr>
                <w:rFonts w:hint="default" w:ascii="Times New Roman" w:hAnsi="Times New Roman" w:eastAsia="宋体" w:cs="Times New Roman"/>
                <w:bCs/>
                <w:color w:val="auto"/>
                <w:sz w:val="24"/>
                <w:highlight w:val="none"/>
                <w:lang w:val="en-US" w:eastAsia="zh-CN"/>
              </w:rPr>
              <w:t>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b/>
                <w:bCs/>
                <w:color w:val="auto"/>
                <w:szCs w:val="21"/>
              </w:rPr>
            </w:pPr>
            <w:r>
              <w:rPr>
                <w:b/>
                <w:bCs/>
                <w:color w:val="auto"/>
                <w:szCs w:val="21"/>
              </w:rPr>
              <w:t>表4-</w:t>
            </w:r>
            <w:r>
              <w:rPr>
                <w:rFonts w:hint="eastAsia"/>
                <w:b/>
                <w:bCs/>
                <w:color w:val="auto"/>
                <w:szCs w:val="21"/>
                <w:lang w:val="en-US" w:eastAsia="zh-CN"/>
              </w:rPr>
              <w:t>10</w:t>
            </w:r>
            <w:r>
              <w:rPr>
                <w:rFonts w:hint="eastAsia"/>
                <w:b/>
                <w:bCs/>
                <w:color w:val="auto"/>
                <w:szCs w:val="21"/>
              </w:rPr>
              <w:t xml:space="preserve"> </w:t>
            </w:r>
            <w:r>
              <w:rPr>
                <w:b/>
                <w:bCs/>
                <w:color w:val="auto"/>
                <w:szCs w:val="21"/>
              </w:rPr>
              <w:t>本项目废水污染物排放情况表</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32"/>
              <w:gridCol w:w="778"/>
              <w:gridCol w:w="778"/>
              <w:gridCol w:w="782"/>
              <w:gridCol w:w="1025"/>
              <w:gridCol w:w="586"/>
              <w:gridCol w:w="663"/>
              <w:gridCol w:w="663"/>
              <w:gridCol w:w="726"/>
              <w:gridCol w:w="733"/>
              <w:gridCol w:w="8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85" w:type="pct"/>
                  <w:vMerge w:val="restart"/>
                  <w:vAlign w:val="center"/>
                </w:tcPr>
                <w:p>
                  <w:pPr>
                    <w:tabs>
                      <w:tab w:val="left" w:pos="6840"/>
                    </w:tabs>
                    <w:spacing w:line="270" w:lineRule="exact"/>
                    <w:jc w:val="center"/>
                    <w:rPr>
                      <w:b/>
                      <w:bCs/>
                      <w:color w:val="auto"/>
                      <w:szCs w:val="21"/>
                    </w:rPr>
                  </w:pPr>
                  <w:r>
                    <w:rPr>
                      <w:b/>
                      <w:bCs/>
                      <w:color w:val="auto"/>
                      <w:szCs w:val="21"/>
                    </w:rPr>
                    <w:t>废水产生源</w:t>
                  </w:r>
                </w:p>
              </w:tc>
              <w:tc>
                <w:tcPr>
                  <w:tcW w:w="1424" w:type="pct"/>
                  <w:gridSpan w:val="3"/>
                  <w:vAlign w:val="center"/>
                </w:tcPr>
                <w:p>
                  <w:pPr>
                    <w:tabs>
                      <w:tab w:val="left" w:pos="6840"/>
                    </w:tabs>
                    <w:spacing w:line="270" w:lineRule="exact"/>
                    <w:jc w:val="center"/>
                    <w:rPr>
                      <w:b/>
                      <w:bCs/>
                      <w:color w:val="auto"/>
                      <w:szCs w:val="21"/>
                    </w:rPr>
                  </w:pPr>
                  <w:r>
                    <w:rPr>
                      <w:b/>
                      <w:bCs/>
                      <w:color w:val="auto"/>
                      <w:szCs w:val="21"/>
                    </w:rPr>
                    <w:t>污染物产生情况</w:t>
                  </w:r>
                </w:p>
              </w:tc>
              <w:tc>
                <w:tcPr>
                  <w:tcW w:w="624" w:type="pct"/>
                  <w:vMerge w:val="restart"/>
                  <w:vAlign w:val="center"/>
                </w:tcPr>
                <w:p>
                  <w:pPr>
                    <w:tabs>
                      <w:tab w:val="left" w:pos="6840"/>
                    </w:tabs>
                    <w:spacing w:line="270" w:lineRule="exact"/>
                    <w:jc w:val="center"/>
                    <w:rPr>
                      <w:b/>
                      <w:bCs/>
                      <w:color w:val="auto"/>
                      <w:szCs w:val="21"/>
                    </w:rPr>
                  </w:pPr>
                  <w:r>
                    <w:rPr>
                      <w:b/>
                      <w:bCs/>
                      <w:color w:val="auto"/>
                      <w:szCs w:val="21"/>
                    </w:rPr>
                    <w:t>拟采取</w:t>
                  </w:r>
                </w:p>
                <w:p>
                  <w:pPr>
                    <w:tabs>
                      <w:tab w:val="left" w:pos="6840"/>
                    </w:tabs>
                    <w:spacing w:line="270" w:lineRule="exact"/>
                    <w:jc w:val="center"/>
                    <w:rPr>
                      <w:b/>
                      <w:bCs/>
                      <w:color w:val="auto"/>
                      <w:szCs w:val="21"/>
                    </w:rPr>
                  </w:pPr>
                  <w:r>
                    <w:rPr>
                      <w:b/>
                      <w:bCs/>
                      <w:color w:val="auto"/>
                      <w:szCs w:val="21"/>
                    </w:rPr>
                    <w:t>措施</w:t>
                  </w:r>
                </w:p>
              </w:tc>
              <w:tc>
                <w:tcPr>
                  <w:tcW w:w="357" w:type="pct"/>
                  <w:vMerge w:val="restart"/>
                  <w:vAlign w:val="center"/>
                </w:tcPr>
                <w:p>
                  <w:pPr>
                    <w:tabs>
                      <w:tab w:val="left" w:pos="6840"/>
                    </w:tabs>
                    <w:spacing w:line="270" w:lineRule="exact"/>
                    <w:jc w:val="center"/>
                    <w:rPr>
                      <w:b/>
                      <w:bCs/>
                      <w:color w:val="auto"/>
                      <w:szCs w:val="21"/>
                    </w:rPr>
                  </w:pPr>
                  <w:r>
                    <w:rPr>
                      <w:b/>
                      <w:bCs/>
                      <w:color w:val="auto"/>
                      <w:szCs w:val="21"/>
                    </w:rPr>
                    <w:t>废水排放源</w:t>
                  </w:r>
                </w:p>
              </w:tc>
              <w:tc>
                <w:tcPr>
                  <w:tcW w:w="1250" w:type="pct"/>
                  <w:gridSpan w:val="3"/>
                  <w:vAlign w:val="center"/>
                </w:tcPr>
                <w:p>
                  <w:pPr>
                    <w:tabs>
                      <w:tab w:val="left" w:pos="6840"/>
                    </w:tabs>
                    <w:spacing w:line="270" w:lineRule="exact"/>
                    <w:jc w:val="center"/>
                    <w:rPr>
                      <w:b/>
                      <w:bCs/>
                      <w:color w:val="auto"/>
                      <w:szCs w:val="21"/>
                    </w:rPr>
                  </w:pPr>
                  <w:r>
                    <w:rPr>
                      <w:b/>
                      <w:bCs/>
                      <w:color w:val="auto"/>
                      <w:szCs w:val="21"/>
                    </w:rPr>
                    <w:t>污染物排放情况</w:t>
                  </w:r>
                </w:p>
              </w:tc>
              <w:tc>
                <w:tcPr>
                  <w:tcW w:w="446" w:type="pct"/>
                  <w:vMerge w:val="restart"/>
                  <w:vAlign w:val="center"/>
                </w:tcPr>
                <w:p>
                  <w:pPr>
                    <w:tabs>
                      <w:tab w:val="left" w:pos="6840"/>
                    </w:tabs>
                    <w:spacing w:line="270" w:lineRule="exact"/>
                    <w:jc w:val="center"/>
                    <w:rPr>
                      <w:b/>
                      <w:bCs/>
                      <w:color w:val="auto"/>
                      <w:szCs w:val="21"/>
                    </w:rPr>
                  </w:pPr>
                  <w:r>
                    <w:rPr>
                      <w:rFonts w:hint="eastAsia"/>
                      <w:b/>
                      <w:bCs/>
                      <w:color w:val="auto"/>
                      <w:szCs w:val="21"/>
                    </w:rPr>
                    <w:t>浓度</w:t>
                  </w:r>
                </w:p>
                <w:p>
                  <w:pPr>
                    <w:tabs>
                      <w:tab w:val="left" w:pos="6840"/>
                    </w:tabs>
                    <w:spacing w:line="270" w:lineRule="exact"/>
                    <w:jc w:val="center"/>
                    <w:rPr>
                      <w:b/>
                      <w:bCs/>
                      <w:color w:val="auto"/>
                      <w:szCs w:val="21"/>
                    </w:rPr>
                  </w:pPr>
                  <w:r>
                    <w:rPr>
                      <w:rFonts w:hint="eastAsia"/>
                      <w:b/>
                      <w:bCs/>
                      <w:color w:val="auto"/>
                      <w:szCs w:val="21"/>
                    </w:rPr>
                    <w:t>标准</w:t>
                  </w:r>
                  <w:r>
                    <w:rPr>
                      <w:b/>
                      <w:bCs/>
                      <w:color w:val="auto"/>
                      <w:szCs w:val="21"/>
                    </w:rPr>
                    <w:t>(mg/L)</w:t>
                  </w:r>
                </w:p>
              </w:tc>
              <w:tc>
                <w:tcPr>
                  <w:tcW w:w="511" w:type="pct"/>
                  <w:vMerge w:val="restart"/>
                  <w:vAlign w:val="center"/>
                </w:tcPr>
                <w:p>
                  <w:pPr>
                    <w:tabs>
                      <w:tab w:val="left" w:pos="6840"/>
                    </w:tabs>
                    <w:spacing w:line="270" w:lineRule="exact"/>
                    <w:jc w:val="center"/>
                    <w:rPr>
                      <w:b/>
                      <w:bCs/>
                      <w:color w:val="auto"/>
                      <w:szCs w:val="21"/>
                    </w:rPr>
                  </w:pPr>
                  <w:r>
                    <w:rPr>
                      <w:b/>
                      <w:bCs/>
                      <w:color w:val="auto"/>
                      <w:szCs w:val="21"/>
                    </w:rPr>
                    <w:t>排放方式与去向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85" w:type="pct"/>
                  <w:vMerge w:val="continue"/>
                  <w:vAlign w:val="center"/>
                </w:tcPr>
                <w:p>
                  <w:pPr>
                    <w:tabs>
                      <w:tab w:val="left" w:pos="6840"/>
                    </w:tabs>
                    <w:spacing w:line="270" w:lineRule="exact"/>
                    <w:jc w:val="center"/>
                    <w:rPr>
                      <w:b/>
                      <w:bCs/>
                      <w:color w:val="auto"/>
                      <w:szCs w:val="21"/>
                    </w:rPr>
                  </w:pPr>
                </w:p>
              </w:tc>
              <w:tc>
                <w:tcPr>
                  <w:tcW w:w="474" w:type="pct"/>
                  <w:vAlign w:val="center"/>
                </w:tcPr>
                <w:p>
                  <w:pPr>
                    <w:tabs>
                      <w:tab w:val="left" w:pos="6840"/>
                    </w:tabs>
                    <w:spacing w:line="270" w:lineRule="exact"/>
                    <w:jc w:val="center"/>
                    <w:rPr>
                      <w:b/>
                      <w:bCs/>
                      <w:color w:val="auto"/>
                      <w:szCs w:val="21"/>
                    </w:rPr>
                  </w:pPr>
                  <w:r>
                    <w:rPr>
                      <w:b/>
                      <w:bCs/>
                      <w:color w:val="auto"/>
                      <w:szCs w:val="21"/>
                    </w:rPr>
                    <w:t>污染物</w:t>
                  </w:r>
                </w:p>
                <w:p>
                  <w:pPr>
                    <w:tabs>
                      <w:tab w:val="left" w:pos="6840"/>
                    </w:tabs>
                    <w:spacing w:line="270" w:lineRule="exact"/>
                    <w:jc w:val="center"/>
                    <w:rPr>
                      <w:b/>
                      <w:bCs/>
                      <w:color w:val="auto"/>
                      <w:szCs w:val="21"/>
                    </w:rPr>
                  </w:pPr>
                  <w:r>
                    <w:rPr>
                      <w:b/>
                      <w:bCs/>
                      <w:color w:val="auto"/>
                      <w:szCs w:val="21"/>
                    </w:rPr>
                    <w:t>名称</w:t>
                  </w:r>
                </w:p>
              </w:tc>
              <w:tc>
                <w:tcPr>
                  <w:tcW w:w="474" w:type="pct"/>
                  <w:vAlign w:val="center"/>
                </w:tcPr>
                <w:p>
                  <w:pPr>
                    <w:tabs>
                      <w:tab w:val="left" w:pos="6840"/>
                    </w:tabs>
                    <w:spacing w:line="270" w:lineRule="exact"/>
                    <w:jc w:val="center"/>
                    <w:rPr>
                      <w:b/>
                      <w:bCs/>
                      <w:color w:val="auto"/>
                      <w:szCs w:val="21"/>
                    </w:rPr>
                  </w:pPr>
                  <w:r>
                    <w:rPr>
                      <w:b/>
                      <w:bCs/>
                      <w:color w:val="auto"/>
                      <w:szCs w:val="21"/>
                    </w:rPr>
                    <w:t>浓度</w:t>
                  </w:r>
                </w:p>
                <w:p>
                  <w:pPr>
                    <w:tabs>
                      <w:tab w:val="left" w:pos="6840"/>
                    </w:tabs>
                    <w:spacing w:line="270" w:lineRule="exact"/>
                    <w:jc w:val="center"/>
                    <w:rPr>
                      <w:b/>
                      <w:bCs/>
                      <w:color w:val="auto"/>
                      <w:szCs w:val="21"/>
                    </w:rPr>
                  </w:pPr>
                  <w:r>
                    <w:rPr>
                      <w:b/>
                      <w:bCs/>
                      <w:color w:val="auto"/>
                      <w:szCs w:val="21"/>
                    </w:rPr>
                    <w:t>mg/L</w:t>
                  </w:r>
                </w:p>
              </w:tc>
              <w:tc>
                <w:tcPr>
                  <w:tcW w:w="475" w:type="pct"/>
                  <w:vAlign w:val="center"/>
                </w:tcPr>
                <w:p>
                  <w:pPr>
                    <w:tabs>
                      <w:tab w:val="left" w:pos="6840"/>
                    </w:tabs>
                    <w:spacing w:line="270" w:lineRule="exact"/>
                    <w:jc w:val="center"/>
                    <w:rPr>
                      <w:b/>
                      <w:bCs/>
                      <w:color w:val="auto"/>
                      <w:szCs w:val="21"/>
                    </w:rPr>
                  </w:pPr>
                  <w:r>
                    <w:rPr>
                      <w:b/>
                      <w:bCs/>
                      <w:color w:val="auto"/>
                      <w:szCs w:val="21"/>
                    </w:rPr>
                    <w:t>产生量</w:t>
                  </w:r>
                </w:p>
                <w:p>
                  <w:pPr>
                    <w:tabs>
                      <w:tab w:val="left" w:pos="6840"/>
                    </w:tabs>
                    <w:spacing w:line="270" w:lineRule="exact"/>
                    <w:jc w:val="center"/>
                    <w:rPr>
                      <w:b/>
                      <w:bCs/>
                      <w:color w:val="auto"/>
                      <w:szCs w:val="21"/>
                    </w:rPr>
                  </w:pPr>
                  <w:r>
                    <w:rPr>
                      <w:b/>
                      <w:bCs/>
                      <w:color w:val="auto"/>
                      <w:szCs w:val="21"/>
                    </w:rPr>
                    <w:t>t/a</w:t>
                  </w:r>
                </w:p>
              </w:tc>
              <w:tc>
                <w:tcPr>
                  <w:tcW w:w="624" w:type="pct"/>
                  <w:vMerge w:val="continue"/>
                  <w:vAlign w:val="center"/>
                </w:tcPr>
                <w:p>
                  <w:pPr>
                    <w:tabs>
                      <w:tab w:val="left" w:pos="6840"/>
                    </w:tabs>
                    <w:spacing w:line="270" w:lineRule="exact"/>
                    <w:jc w:val="center"/>
                    <w:rPr>
                      <w:b/>
                      <w:bCs/>
                      <w:color w:val="auto"/>
                      <w:szCs w:val="21"/>
                    </w:rPr>
                  </w:pPr>
                </w:p>
              </w:tc>
              <w:tc>
                <w:tcPr>
                  <w:tcW w:w="357" w:type="pct"/>
                  <w:vMerge w:val="continue"/>
                  <w:vAlign w:val="center"/>
                </w:tcPr>
                <w:p>
                  <w:pPr>
                    <w:tabs>
                      <w:tab w:val="left" w:pos="6840"/>
                    </w:tabs>
                    <w:spacing w:line="270" w:lineRule="exact"/>
                    <w:jc w:val="center"/>
                    <w:rPr>
                      <w:b/>
                      <w:bCs/>
                      <w:color w:val="auto"/>
                      <w:szCs w:val="21"/>
                    </w:rPr>
                  </w:pPr>
                </w:p>
              </w:tc>
              <w:tc>
                <w:tcPr>
                  <w:tcW w:w="404" w:type="pct"/>
                  <w:vAlign w:val="center"/>
                </w:tcPr>
                <w:p>
                  <w:pPr>
                    <w:tabs>
                      <w:tab w:val="left" w:pos="6840"/>
                    </w:tabs>
                    <w:spacing w:line="270" w:lineRule="exact"/>
                    <w:jc w:val="center"/>
                    <w:rPr>
                      <w:b/>
                      <w:bCs/>
                      <w:color w:val="auto"/>
                      <w:szCs w:val="21"/>
                    </w:rPr>
                  </w:pPr>
                  <w:r>
                    <w:rPr>
                      <w:b/>
                      <w:bCs/>
                      <w:color w:val="auto"/>
                      <w:szCs w:val="21"/>
                    </w:rPr>
                    <w:t>污染物</w:t>
                  </w:r>
                </w:p>
                <w:p>
                  <w:pPr>
                    <w:tabs>
                      <w:tab w:val="left" w:pos="6840"/>
                    </w:tabs>
                    <w:spacing w:line="270" w:lineRule="exact"/>
                    <w:jc w:val="center"/>
                    <w:rPr>
                      <w:b/>
                      <w:bCs/>
                      <w:color w:val="auto"/>
                      <w:szCs w:val="21"/>
                    </w:rPr>
                  </w:pPr>
                  <w:r>
                    <w:rPr>
                      <w:b/>
                      <w:bCs/>
                      <w:color w:val="auto"/>
                      <w:szCs w:val="21"/>
                    </w:rPr>
                    <w:t>名称</w:t>
                  </w:r>
                </w:p>
              </w:tc>
              <w:tc>
                <w:tcPr>
                  <w:tcW w:w="404" w:type="pct"/>
                  <w:vAlign w:val="center"/>
                </w:tcPr>
                <w:p>
                  <w:pPr>
                    <w:tabs>
                      <w:tab w:val="left" w:pos="6840"/>
                    </w:tabs>
                    <w:spacing w:line="270" w:lineRule="exact"/>
                    <w:jc w:val="center"/>
                    <w:rPr>
                      <w:b/>
                      <w:bCs/>
                      <w:color w:val="auto"/>
                      <w:szCs w:val="21"/>
                    </w:rPr>
                  </w:pPr>
                  <w:r>
                    <w:rPr>
                      <w:b/>
                      <w:bCs/>
                      <w:color w:val="auto"/>
                      <w:szCs w:val="21"/>
                    </w:rPr>
                    <w:t>浓度</w:t>
                  </w:r>
                </w:p>
                <w:p>
                  <w:pPr>
                    <w:tabs>
                      <w:tab w:val="left" w:pos="6840"/>
                    </w:tabs>
                    <w:spacing w:line="270" w:lineRule="exact"/>
                    <w:jc w:val="center"/>
                    <w:rPr>
                      <w:b/>
                      <w:bCs/>
                      <w:color w:val="auto"/>
                      <w:szCs w:val="21"/>
                    </w:rPr>
                  </w:pPr>
                  <w:r>
                    <w:rPr>
                      <w:b/>
                      <w:bCs/>
                      <w:color w:val="auto"/>
                      <w:szCs w:val="21"/>
                    </w:rPr>
                    <w:t>mg/L</w:t>
                  </w:r>
                </w:p>
              </w:tc>
              <w:tc>
                <w:tcPr>
                  <w:tcW w:w="440" w:type="pct"/>
                  <w:vAlign w:val="center"/>
                </w:tcPr>
                <w:p>
                  <w:pPr>
                    <w:tabs>
                      <w:tab w:val="left" w:pos="6840"/>
                    </w:tabs>
                    <w:spacing w:line="270" w:lineRule="exact"/>
                    <w:jc w:val="center"/>
                    <w:rPr>
                      <w:b/>
                      <w:bCs/>
                      <w:color w:val="auto"/>
                      <w:szCs w:val="21"/>
                    </w:rPr>
                  </w:pPr>
                  <w:r>
                    <w:rPr>
                      <w:b/>
                      <w:bCs/>
                      <w:color w:val="auto"/>
                      <w:szCs w:val="21"/>
                    </w:rPr>
                    <w:t>排放量</w:t>
                  </w:r>
                </w:p>
                <w:p>
                  <w:pPr>
                    <w:tabs>
                      <w:tab w:val="left" w:pos="6840"/>
                    </w:tabs>
                    <w:spacing w:line="270" w:lineRule="exact"/>
                    <w:jc w:val="center"/>
                    <w:rPr>
                      <w:b/>
                      <w:bCs/>
                      <w:color w:val="auto"/>
                      <w:szCs w:val="21"/>
                    </w:rPr>
                  </w:pPr>
                  <w:r>
                    <w:rPr>
                      <w:b/>
                      <w:bCs/>
                      <w:color w:val="auto"/>
                      <w:szCs w:val="21"/>
                    </w:rPr>
                    <w:t>t/a</w:t>
                  </w:r>
                </w:p>
              </w:tc>
              <w:tc>
                <w:tcPr>
                  <w:tcW w:w="446" w:type="pct"/>
                  <w:vMerge w:val="continue"/>
                  <w:vAlign w:val="center"/>
                </w:tcPr>
                <w:p>
                  <w:pPr>
                    <w:tabs>
                      <w:tab w:val="left" w:pos="6840"/>
                    </w:tabs>
                    <w:spacing w:line="270" w:lineRule="exact"/>
                    <w:jc w:val="center"/>
                    <w:rPr>
                      <w:color w:val="auto"/>
                      <w:szCs w:val="21"/>
                    </w:rPr>
                  </w:pPr>
                </w:p>
              </w:tc>
              <w:tc>
                <w:tcPr>
                  <w:tcW w:w="511" w:type="pct"/>
                  <w:vMerge w:val="continue"/>
                  <w:vAlign w:val="center"/>
                </w:tcPr>
                <w:p>
                  <w:pPr>
                    <w:tabs>
                      <w:tab w:val="left" w:pos="6840"/>
                    </w:tabs>
                    <w:spacing w:line="27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85" w:type="pct"/>
                  <w:vMerge w:val="restart"/>
                  <w:vAlign w:val="center"/>
                </w:tcPr>
                <w:p>
                  <w:pPr>
                    <w:tabs>
                      <w:tab w:val="left" w:pos="6840"/>
                    </w:tabs>
                    <w:spacing w:line="270" w:lineRule="exact"/>
                    <w:jc w:val="center"/>
                    <w:rPr>
                      <w:rFonts w:hint="eastAsia" w:eastAsia="宋体"/>
                      <w:color w:val="auto"/>
                      <w:sz w:val="21"/>
                      <w:szCs w:val="21"/>
                      <w:lang w:eastAsia="zh-CN"/>
                    </w:rPr>
                  </w:pPr>
                  <w:r>
                    <w:rPr>
                      <w:color w:val="auto"/>
                      <w:szCs w:val="21"/>
                    </w:rPr>
                    <w:t>生活</w:t>
                  </w:r>
                  <w:r>
                    <w:rPr>
                      <w:color w:val="auto"/>
                      <w:sz w:val="21"/>
                      <w:szCs w:val="21"/>
                    </w:rPr>
                    <w:t>污水</w:t>
                  </w:r>
                  <w:r>
                    <w:rPr>
                      <w:rFonts w:hint="eastAsia"/>
                      <w:color w:val="auto"/>
                      <w:sz w:val="21"/>
                      <w:szCs w:val="21"/>
                      <w:lang w:val="en-US" w:eastAsia="zh-CN"/>
                    </w:rPr>
                    <w:t>720</w:t>
                  </w:r>
                </w:p>
                <w:p>
                  <w:pPr>
                    <w:tabs>
                      <w:tab w:val="left" w:pos="6840"/>
                    </w:tabs>
                    <w:spacing w:line="270" w:lineRule="exact"/>
                    <w:jc w:val="center"/>
                    <w:rPr>
                      <w:color w:val="auto"/>
                      <w:szCs w:val="21"/>
                    </w:rPr>
                  </w:pPr>
                  <w:r>
                    <w:rPr>
                      <w:color w:val="auto"/>
                      <w:sz w:val="21"/>
                      <w:szCs w:val="21"/>
                    </w:rPr>
                    <w:t>t/a</w:t>
                  </w:r>
                </w:p>
              </w:tc>
              <w:tc>
                <w:tcPr>
                  <w:tcW w:w="474" w:type="pct"/>
                  <w:vAlign w:val="center"/>
                </w:tcPr>
                <w:p>
                  <w:pPr>
                    <w:tabs>
                      <w:tab w:val="left" w:pos="6840"/>
                    </w:tabs>
                    <w:spacing w:line="270" w:lineRule="exact"/>
                    <w:jc w:val="center"/>
                    <w:rPr>
                      <w:color w:val="auto"/>
                      <w:szCs w:val="21"/>
                    </w:rPr>
                  </w:pPr>
                  <w:r>
                    <w:rPr>
                      <w:color w:val="auto"/>
                      <w:szCs w:val="21"/>
                    </w:rPr>
                    <w:t>COD</w:t>
                  </w:r>
                </w:p>
              </w:tc>
              <w:tc>
                <w:tcPr>
                  <w:tcW w:w="474" w:type="pct"/>
                  <w:vAlign w:val="center"/>
                </w:tcPr>
                <w:p>
                  <w:pPr>
                    <w:tabs>
                      <w:tab w:val="left" w:pos="6840"/>
                    </w:tabs>
                    <w:spacing w:line="270" w:lineRule="exact"/>
                    <w:jc w:val="center"/>
                    <w:rPr>
                      <w:color w:val="auto"/>
                      <w:szCs w:val="21"/>
                    </w:rPr>
                  </w:pPr>
                  <w:r>
                    <w:rPr>
                      <w:color w:val="auto"/>
                      <w:szCs w:val="21"/>
                    </w:rPr>
                    <w:t>400</w:t>
                  </w:r>
                </w:p>
              </w:tc>
              <w:tc>
                <w:tcPr>
                  <w:tcW w:w="475" w:type="pct"/>
                  <w:vAlign w:val="center"/>
                </w:tcPr>
                <w:p>
                  <w:pPr>
                    <w:jc w:val="center"/>
                    <w:rPr>
                      <w:rFonts w:hint="default" w:eastAsia="宋体"/>
                      <w:color w:val="auto"/>
                      <w:szCs w:val="21"/>
                      <w:lang w:val="en-US" w:eastAsia="zh-CN"/>
                    </w:rPr>
                  </w:pPr>
                  <w:r>
                    <w:rPr>
                      <w:rFonts w:hint="eastAsia"/>
                      <w:color w:val="auto"/>
                      <w:szCs w:val="21"/>
                      <w:lang w:val="en-US" w:eastAsia="zh-CN"/>
                    </w:rPr>
                    <w:t>0.288</w:t>
                  </w:r>
                </w:p>
              </w:tc>
              <w:tc>
                <w:tcPr>
                  <w:tcW w:w="624" w:type="pct"/>
                  <w:vMerge w:val="restart"/>
                  <w:vAlign w:val="center"/>
                </w:tcPr>
                <w:p>
                  <w:pPr>
                    <w:tabs>
                      <w:tab w:val="left" w:pos="6840"/>
                    </w:tabs>
                    <w:spacing w:line="270" w:lineRule="exact"/>
                    <w:jc w:val="center"/>
                    <w:rPr>
                      <w:rFonts w:hint="eastAsia" w:eastAsia="宋体"/>
                      <w:color w:val="auto"/>
                      <w:szCs w:val="21"/>
                      <w:lang w:eastAsia="zh-CN"/>
                    </w:rPr>
                  </w:pPr>
                  <w:r>
                    <w:rPr>
                      <w:rFonts w:hint="eastAsia"/>
                      <w:color w:val="auto"/>
                      <w:szCs w:val="21"/>
                      <w:lang w:eastAsia="zh-CN"/>
                    </w:rPr>
                    <w:t>化粪池</w:t>
                  </w:r>
                </w:p>
              </w:tc>
              <w:tc>
                <w:tcPr>
                  <w:tcW w:w="357" w:type="pct"/>
                  <w:vMerge w:val="restart"/>
                  <w:vAlign w:val="center"/>
                </w:tcPr>
                <w:p>
                  <w:pPr>
                    <w:tabs>
                      <w:tab w:val="left" w:pos="6840"/>
                    </w:tabs>
                    <w:spacing w:line="270" w:lineRule="exact"/>
                    <w:jc w:val="center"/>
                    <w:rPr>
                      <w:rFonts w:hint="eastAsia" w:eastAsia="宋体"/>
                      <w:color w:val="auto"/>
                      <w:szCs w:val="21"/>
                      <w:lang w:eastAsia="zh-CN"/>
                    </w:rPr>
                  </w:pPr>
                  <w:r>
                    <w:rPr>
                      <w:color w:val="auto"/>
                      <w:szCs w:val="21"/>
                    </w:rPr>
                    <w:t>生活污水</w:t>
                  </w:r>
                  <w:r>
                    <w:rPr>
                      <w:rFonts w:hint="eastAsia"/>
                      <w:color w:val="auto"/>
                      <w:szCs w:val="21"/>
                      <w:lang w:eastAsia="zh-CN"/>
                    </w:rPr>
                    <w:t>480</w:t>
                  </w:r>
                </w:p>
                <w:p>
                  <w:pPr>
                    <w:tabs>
                      <w:tab w:val="left" w:pos="6840"/>
                    </w:tabs>
                    <w:spacing w:line="270" w:lineRule="exact"/>
                    <w:jc w:val="center"/>
                    <w:rPr>
                      <w:color w:val="auto"/>
                      <w:szCs w:val="21"/>
                    </w:rPr>
                  </w:pPr>
                  <w:r>
                    <w:rPr>
                      <w:color w:val="auto"/>
                      <w:szCs w:val="21"/>
                    </w:rPr>
                    <w:t>t/a</w:t>
                  </w:r>
                </w:p>
              </w:tc>
              <w:tc>
                <w:tcPr>
                  <w:tcW w:w="404" w:type="pct"/>
                  <w:vAlign w:val="center"/>
                </w:tcPr>
                <w:p>
                  <w:pPr>
                    <w:tabs>
                      <w:tab w:val="left" w:pos="6840"/>
                    </w:tabs>
                    <w:spacing w:line="270" w:lineRule="exact"/>
                    <w:jc w:val="center"/>
                    <w:rPr>
                      <w:color w:val="auto"/>
                      <w:szCs w:val="21"/>
                    </w:rPr>
                  </w:pPr>
                  <w:r>
                    <w:rPr>
                      <w:color w:val="auto"/>
                      <w:szCs w:val="21"/>
                    </w:rPr>
                    <w:t>COD</w:t>
                  </w:r>
                </w:p>
              </w:tc>
              <w:tc>
                <w:tcPr>
                  <w:tcW w:w="404" w:type="pct"/>
                  <w:vAlign w:val="center"/>
                </w:tcPr>
                <w:p>
                  <w:pPr>
                    <w:tabs>
                      <w:tab w:val="left" w:pos="6840"/>
                    </w:tabs>
                    <w:spacing w:line="270" w:lineRule="exact"/>
                    <w:jc w:val="center"/>
                    <w:rPr>
                      <w:color w:val="auto"/>
                      <w:szCs w:val="21"/>
                    </w:rPr>
                  </w:pPr>
                  <w:r>
                    <w:rPr>
                      <w:color w:val="auto"/>
                      <w:szCs w:val="21"/>
                    </w:rPr>
                    <w:t>400</w:t>
                  </w:r>
                </w:p>
              </w:tc>
              <w:tc>
                <w:tcPr>
                  <w:tcW w:w="754" w:type="dxa"/>
                  <w:vAlign w:val="center"/>
                </w:tcPr>
                <w:p>
                  <w:pPr>
                    <w:jc w:val="center"/>
                    <w:rPr>
                      <w:color w:val="auto"/>
                      <w:szCs w:val="21"/>
                    </w:rPr>
                  </w:pPr>
                  <w:r>
                    <w:rPr>
                      <w:rFonts w:hint="eastAsia"/>
                      <w:color w:val="auto"/>
                      <w:szCs w:val="21"/>
                      <w:lang w:val="en-US" w:eastAsia="zh-CN"/>
                    </w:rPr>
                    <w:t>0.288</w:t>
                  </w:r>
                </w:p>
              </w:tc>
              <w:tc>
                <w:tcPr>
                  <w:tcW w:w="446" w:type="pct"/>
                  <w:vAlign w:val="center"/>
                </w:tcPr>
                <w:p>
                  <w:pPr>
                    <w:adjustRightInd w:val="0"/>
                    <w:snapToGrid w:val="0"/>
                    <w:jc w:val="center"/>
                    <w:rPr>
                      <w:color w:val="auto"/>
                      <w:szCs w:val="21"/>
                    </w:rPr>
                  </w:pPr>
                  <w:r>
                    <w:rPr>
                      <w:color w:val="auto"/>
                      <w:szCs w:val="21"/>
                    </w:rPr>
                    <w:t>500</w:t>
                  </w:r>
                </w:p>
              </w:tc>
              <w:tc>
                <w:tcPr>
                  <w:tcW w:w="511" w:type="pct"/>
                  <w:vMerge w:val="restart"/>
                  <w:vAlign w:val="center"/>
                </w:tcPr>
                <w:p>
                  <w:pPr>
                    <w:tabs>
                      <w:tab w:val="left" w:pos="6840"/>
                    </w:tabs>
                    <w:spacing w:line="270" w:lineRule="exact"/>
                    <w:jc w:val="center"/>
                    <w:rPr>
                      <w:color w:val="auto"/>
                      <w:szCs w:val="21"/>
                    </w:rPr>
                  </w:pPr>
                  <w:r>
                    <w:rPr>
                      <w:color w:val="auto"/>
                      <w:szCs w:val="21"/>
                    </w:rPr>
                    <w:t>接管进入产生</w:t>
                  </w:r>
                  <w:r>
                    <w:rPr>
                      <w:rFonts w:hint="eastAsia"/>
                      <w:color w:val="auto"/>
                      <w:szCs w:val="21"/>
                    </w:rPr>
                    <w:t>金坛第二污水处理厂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85" w:type="pct"/>
                  <w:vMerge w:val="continue"/>
                  <w:vAlign w:val="center"/>
                </w:tcPr>
                <w:p>
                  <w:pPr>
                    <w:tabs>
                      <w:tab w:val="left" w:pos="6840"/>
                    </w:tabs>
                    <w:spacing w:line="270" w:lineRule="exact"/>
                    <w:jc w:val="center"/>
                    <w:rPr>
                      <w:color w:val="auto"/>
                      <w:szCs w:val="21"/>
                    </w:rPr>
                  </w:pPr>
                </w:p>
              </w:tc>
              <w:tc>
                <w:tcPr>
                  <w:tcW w:w="474" w:type="pct"/>
                  <w:vAlign w:val="center"/>
                </w:tcPr>
                <w:p>
                  <w:pPr>
                    <w:tabs>
                      <w:tab w:val="left" w:pos="6840"/>
                    </w:tabs>
                    <w:spacing w:line="270" w:lineRule="exact"/>
                    <w:jc w:val="center"/>
                    <w:rPr>
                      <w:color w:val="auto"/>
                      <w:szCs w:val="21"/>
                    </w:rPr>
                  </w:pPr>
                  <w:r>
                    <w:rPr>
                      <w:color w:val="auto"/>
                      <w:szCs w:val="21"/>
                    </w:rPr>
                    <w:t>SS</w:t>
                  </w:r>
                </w:p>
              </w:tc>
              <w:tc>
                <w:tcPr>
                  <w:tcW w:w="474" w:type="pct"/>
                  <w:vAlign w:val="center"/>
                </w:tcPr>
                <w:p>
                  <w:pPr>
                    <w:tabs>
                      <w:tab w:val="left" w:pos="6840"/>
                    </w:tabs>
                    <w:spacing w:line="270" w:lineRule="exact"/>
                    <w:jc w:val="center"/>
                    <w:rPr>
                      <w:color w:val="auto"/>
                      <w:szCs w:val="21"/>
                    </w:rPr>
                  </w:pPr>
                  <w:r>
                    <w:rPr>
                      <w:rFonts w:hint="eastAsia"/>
                      <w:color w:val="auto"/>
                      <w:szCs w:val="21"/>
                    </w:rPr>
                    <w:t>2</w:t>
                  </w:r>
                  <w:r>
                    <w:rPr>
                      <w:rFonts w:hint="eastAsia"/>
                      <w:color w:val="auto"/>
                      <w:szCs w:val="21"/>
                      <w:lang w:val="en-US" w:eastAsia="zh-CN"/>
                    </w:rPr>
                    <w:t>0</w:t>
                  </w:r>
                  <w:r>
                    <w:rPr>
                      <w:color w:val="auto"/>
                      <w:szCs w:val="21"/>
                    </w:rPr>
                    <w:t>0</w:t>
                  </w:r>
                </w:p>
              </w:tc>
              <w:tc>
                <w:tcPr>
                  <w:tcW w:w="475" w:type="pct"/>
                  <w:vAlign w:val="center"/>
                </w:tcPr>
                <w:p>
                  <w:pPr>
                    <w:jc w:val="center"/>
                    <w:rPr>
                      <w:rFonts w:hint="default" w:eastAsia="宋体"/>
                      <w:color w:val="auto"/>
                      <w:szCs w:val="21"/>
                      <w:lang w:val="en-US" w:eastAsia="zh-CN"/>
                    </w:rPr>
                  </w:pPr>
                  <w:r>
                    <w:rPr>
                      <w:rFonts w:hint="eastAsia"/>
                      <w:color w:val="auto"/>
                      <w:szCs w:val="21"/>
                      <w:lang w:val="en-US" w:eastAsia="zh-CN"/>
                    </w:rPr>
                    <w:t>0.144</w:t>
                  </w:r>
                </w:p>
              </w:tc>
              <w:tc>
                <w:tcPr>
                  <w:tcW w:w="624" w:type="pct"/>
                  <w:vMerge w:val="continue"/>
                  <w:vAlign w:val="center"/>
                </w:tcPr>
                <w:p>
                  <w:pPr>
                    <w:tabs>
                      <w:tab w:val="left" w:pos="6840"/>
                    </w:tabs>
                    <w:spacing w:line="270" w:lineRule="exact"/>
                    <w:jc w:val="center"/>
                    <w:rPr>
                      <w:color w:val="auto"/>
                      <w:szCs w:val="21"/>
                    </w:rPr>
                  </w:pPr>
                </w:p>
              </w:tc>
              <w:tc>
                <w:tcPr>
                  <w:tcW w:w="357" w:type="pct"/>
                  <w:vMerge w:val="continue"/>
                  <w:vAlign w:val="center"/>
                </w:tcPr>
                <w:p>
                  <w:pPr>
                    <w:tabs>
                      <w:tab w:val="left" w:pos="6840"/>
                    </w:tabs>
                    <w:spacing w:line="270" w:lineRule="exact"/>
                    <w:jc w:val="center"/>
                    <w:rPr>
                      <w:color w:val="auto"/>
                      <w:szCs w:val="21"/>
                    </w:rPr>
                  </w:pPr>
                </w:p>
              </w:tc>
              <w:tc>
                <w:tcPr>
                  <w:tcW w:w="404" w:type="pct"/>
                  <w:vAlign w:val="center"/>
                </w:tcPr>
                <w:p>
                  <w:pPr>
                    <w:tabs>
                      <w:tab w:val="left" w:pos="6840"/>
                    </w:tabs>
                    <w:spacing w:line="270" w:lineRule="exact"/>
                    <w:jc w:val="center"/>
                    <w:rPr>
                      <w:color w:val="auto"/>
                      <w:szCs w:val="21"/>
                    </w:rPr>
                  </w:pPr>
                  <w:r>
                    <w:rPr>
                      <w:color w:val="auto"/>
                      <w:szCs w:val="21"/>
                    </w:rPr>
                    <w:t>SS</w:t>
                  </w:r>
                </w:p>
              </w:tc>
              <w:tc>
                <w:tcPr>
                  <w:tcW w:w="404" w:type="pct"/>
                  <w:vAlign w:val="center"/>
                </w:tcPr>
                <w:p>
                  <w:pPr>
                    <w:tabs>
                      <w:tab w:val="left" w:pos="6840"/>
                    </w:tabs>
                    <w:spacing w:line="270" w:lineRule="exact"/>
                    <w:jc w:val="center"/>
                    <w:rPr>
                      <w:color w:val="auto"/>
                      <w:szCs w:val="21"/>
                    </w:rPr>
                  </w:pPr>
                  <w:r>
                    <w:rPr>
                      <w:rFonts w:hint="eastAsia"/>
                      <w:color w:val="auto"/>
                      <w:szCs w:val="21"/>
                    </w:rPr>
                    <w:t>2</w:t>
                  </w:r>
                  <w:r>
                    <w:rPr>
                      <w:rFonts w:hint="eastAsia"/>
                      <w:color w:val="auto"/>
                      <w:szCs w:val="21"/>
                      <w:lang w:val="en-US" w:eastAsia="zh-CN"/>
                    </w:rPr>
                    <w:t>0</w:t>
                  </w:r>
                  <w:r>
                    <w:rPr>
                      <w:color w:val="auto"/>
                      <w:szCs w:val="21"/>
                    </w:rPr>
                    <w:t>0</w:t>
                  </w:r>
                </w:p>
              </w:tc>
              <w:tc>
                <w:tcPr>
                  <w:tcW w:w="754" w:type="dxa"/>
                  <w:vAlign w:val="center"/>
                </w:tcPr>
                <w:p>
                  <w:pPr>
                    <w:jc w:val="center"/>
                    <w:rPr>
                      <w:color w:val="auto"/>
                      <w:szCs w:val="21"/>
                    </w:rPr>
                  </w:pPr>
                  <w:r>
                    <w:rPr>
                      <w:rFonts w:hint="eastAsia"/>
                      <w:color w:val="auto"/>
                      <w:szCs w:val="21"/>
                      <w:lang w:val="en-US" w:eastAsia="zh-CN"/>
                    </w:rPr>
                    <w:t>0.144</w:t>
                  </w:r>
                </w:p>
              </w:tc>
              <w:tc>
                <w:tcPr>
                  <w:tcW w:w="446" w:type="pct"/>
                  <w:vAlign w:val="center"/>
                </w:tcPr>
                <w:p>
                  <w:pPr>
                    <w:adjustRightInd w:val="0"/>
                    <w:snapToGrid w:val="0"/>
                    <w:jc w:val="center"/>
                    <w:rPr>
                      <w:color w:val="auto"/>
                      <w:szCs w:val="21"/>
                    </w:rPr>
                  </w:pPr>
                  <w:r>
                    <w:rPr>
                      <w:color w:val="auto"/>
                      <w:szCs w:val="21"/>
                    </w:rPr>
                    <w:t>250</w:t>
                  </w:r>
                </w:p>
              </w:tc>
              <w:tc>
                <w:tcPr>
                  <w:tcW w:w="511" w:type="pct"/>
                  <w:vMerge w:val="continue"/>
                  <w:vAlign w:val="center"/>
                </w:tcPr>
                <w:p>
                  <w:pPr>
                    <w:tabs>
                      <w:tab w:val="left" w:pos="6840"/>
                    </w:tabs>
                    <w:spacing w:line="27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85" w:type="pct"/>
                  <w:vMerge w:val="continue"/>
                  <w:vAlign w:val="center"/>
                </w:tcPr>
                <w:p>
                  <w:pPr>
                    <w:tabs>
                      <w:tab w:val="left" w:pos="6840"/>
                    </w:tabs>
                    <w:spacing w:line="270" w:lineRule="exact"/>
                    <w:jc w:val="center"/>
                    <w:rPr>
                      <w:color w:val="auto"/>
                      <w:szCs w:val="21"/>
                    </w:rPr>
                  </w:pPr>
                </w:p>
              </w:tc>
              <w:tc>
                <w:tcPr>
                  <w:tcW w:w="474" w:type="pct"/>
                  <w:vAlign w:val="center"/>
                </w:tcPr>
                <w:p>
                  <w:pPr>
                    <w:tabs>
                      <w:tab w:val="left" w:pos="6840"/>
                    </w:tabs>
                    <w:spacing w:line="270" w:lineRule="exact"/>
                    <w:jc w:val="center"/>
                    <w:rPr>
                      <w:color w:val="auto"/>
                      <w:szCs w:val="21"/>
                    </w:rPr>
                  </w:pPr>
                  <w:r>
                    <w:rPr>
                      <w:color w:val="auto"/>
                      <w:szCs w:val="21"/>
                    </w:rPr>
                    <w:t>NH</w:t>
                  </w:r>
                  <w:r>
                    <w:rPr>
                      <w:color w:val="auto"/>
                      <w:szCs w:val="21"/>
                      <w:vertAlign w:val="subscript"/>
                    </w:rPr>
                    <w:t>3</w:t>
                  </w:r>
                  <w:r>
                    <w:rPr>
                      <w:color w:val="auto"/>
                      <w:szCs w:val="21"/>
                    </w:rPr>
                    <w:t>-N</w:t>
                  </w:r>
                </w:p>
              </w:tc>
              <w:tc>
                <w:tcPr>
                  <w:tcW w:w="474" w:type="pct"/>
                  <w:vAlign w:val="center"/>
                </w:tcPr>
                <w:p>
                  <w:pPr>
                    <w:tabs>
                      <w:tab w:val="left" w:pos="6840"/>
                    </w:tabs>
                    <w:spacing w:line="270" w:lineRule="exact"/>
                    <w:jc w:val="center"/>
                    <w:rPr>
                      <w:color w:val="auto"/>
                      <w:szCs w:val="21"/>
                    </w:rPr>
                  </w:pPr>
                  <w:r>
                    <w:rPr>
                      <w:rFonts w:hint="eastAsia"/>
                      <w:color w:val="auto"/>
                      <w:szCs w:val="21"/>
                    </w:rPr>
                    <w:t>30</w:t>
                  </w:r>
                </w:p>
              </w:tc>
              <w:tc>
                <w:tcPr>
                  <w:tcW w:w="475" w:type="pct"/>
                  <w:vAlign w:val="center"/>
                </w:tcPr>
                <w:p>
                  <w:pPr>
                    <w:jc w:val="center"/>
                    <w:rPr>
                      <w:rFonts w:hint="default" w:eastAsia="宋体"/>
                      <w:color w:val="auto"/>
                      <w:szCs w:val="21"/>
                      <w:lang w:val="en-US" w:eastAsia="zh-CN"/>
                    </w:rPr>
                  </w:pPr>
                  <w:r>
                    <w:rPr>
                      <w:rFonts w:hint="eastAsia"/>
                      <w:color w:val="auto"/>
                      <w:szCs w:val="21"/>
                      <w:lang w:val="en-US" w:eastAsia="zh-CN"/>
                    </w:rPr>
                    <w:t>0.022</w:t>
                  </w:r>
                </w:p>
              </w:tc>
              <w:tc>
                <w:tcPr>
                  <w:tcW w:w="624" w:type="pct"/>
                  <w:vMerge w:val="continue"/>
                  <w:vAlign w:val="center"/>
                </w:tcPr>
                <w:p>
                  <w:pPr>
                    <w:tabs>
                      <w:tab w:val="left" w:pos="6840"/>
                    </w:tabs>
                    <w:spacing w:line="270" w:lineRule="exact"/>
                    <w:jc w:val="center"/>
                    <w:rPr>
                      <w:color w:val="auto"/>
                      <w:szCs w:val="21"/>
                    </w:rPr>
                  </w:pPr>
                </w:p>
              </w:tc>
              <w:tc>
                <w:tcPr>
                  <w:tcW w:w="357" w:type="pct"/>
                  <w:vMerge w:val="continue"/>
                  <w:vAlign w:val="center"/>
                </w:tcPr>
                <w:p>
                  <w:pPr>
                    <w:tabs>
                      <w:tab w:val="left" w:pos="6840"/>
                    </w:tabs>
                    <w:spacing w:line="270" w:lineRule="exact"/>
                    <w:jc w:val="center"/>
                    <w:rPr>
                      <w:color w:val="auto"/>
                      <w:szCs w:val="21"/>
                    </w:rPr>
                  </w:pPr>
                </w:p>
              </w:tc>
              <w:tc>
                <w:tcPr>
                  <w:tcW w:w="404" w:type="pct"/>
                  <w:vAlign w:val="center"/>
                </w:tcPr>
                <w:p>
                  <w:pPr>
                    <w:tabs>
                      <w:tab w:val="left" w:pos="6840"/>
                    </w:tabs>
                    <w:spacing w:line="270" w:lineRule="exact"/>
                    <w:jc w:val="center"/>
                    <w:rPr>
                      <w:color w:val="auto"/>
                      <w:szCs w:val="21"/>
                    </w:rPr>
                  </w:pPr>
                  <w:r>
                    <w:rPr>
                      <w:color w:val="auto"/>
                      <w:szCs w:val="21"/>
                    </w:rPr>
                    <w:t>NH</w:t>
                  </w:r>
                  <w:r>
                    <w:rPr>
                      <w:color w:val="auto"/>
                      <w:szCs w:val="21"/>
                      <w:vertAlign w:val="subscript"/>
                    </w:rPr>
                    <w:t>3</w:t>
                  </w:r>
                  <w:r>
                    <w:rPr>
                      <w:color w:val="auto"/>
                      <w:szCs w:val="21"/>
                    </w:rPr>
                    <w:t>-N</w:t>
                  </w:r>
                </w:p>
              </w:tc>
              <w:tc>
                <w:tcPr>
                  <w:tcW w:w="404" w:type="pct"/>
                  <w:vAlign w:val="center"/>
                </w:tcPr>
                <w:p>
                  <w:pPr>
                    <w:tabs>
                      <w:tab w:val="left" w:pos="6840"/>
                    </w:tabs>
                    <w:spacing w:line="270" w:lineRule="exact"/>
                    <w:jc w:val="center"/>
                    <w:rPr>
                      <w:color w:val="auto"/>
                      <w:szCs w:val="21"/>
                    </w:rPr>
                  </w:pPr>
                  <w:r>
                    <w:rPr>
                      <w:rFonts w:hint="eastAsia"/>
                      <w:color w:val="auto"/>
                      <w:szCs w:val="21"/>
                    </w:rPr>
                    <w:t>30</w:t>
                  </w:r>
                </w:p>
              </w:tc>
              <w:tc>
                <w:tcPr>
                  <w:tcW w:w="754" w:type="dxa"/>
                  <w:vAlign w:val="center"/>
                </w:tcPr>
                <w:p>
                  <w:pPr>
                    <w:jc w:val="center"/>
                    <w:rPr>
                      <w:color w:val="auto"/>
                      <w:szCs w:val="21"/>
                    </w:rPr>
                  </w:pPr>
                  <w:r>
                    <w:rPr>
                      <w:rFonts w:hint="eastAsia"/>
                      <w:color w:val="auto"/>
                      <w:szCs w:val="21"/>
                      <w:lang w:val="en-US" w:eastAsia="zh-CN"/>
                    </w:rPr>
                    <w:t>0.022</w:t>
                  </w:r>
                </w:p>
              </w:tc>
              <w:tc>
                <w:tcPr>
                  <w:tcW w:w="446" w:type="pct"/>
                  <w:vAlign w:val="center"/>
                </w:tcPr>
                <w:p>
                  <w:pPr>
                    <w:adjustRightInd w:val="0"/>
                    <w:snapToGrid w:val="0"/>
                    <w:jc w:val="center"/>
                    <w:rPr>
                      <w:color w:val="auto"/>
                      <w:szCs w:val="21"/>
                    </w:rPr>
                  </w:pPr>
                  <w:r>
                    <w:rPr>
                      <w:color w:val="auto"/>
                      <w:szCs w:val="21"/>
                    </w:rPr>
                    <w:t>35</w:t>
                  </w:r>
                </w:p>
              </w:tc>
              <w:tc>
                <w:tcPr>
                  <w:tcW w:w="511" w:type="pct"/>
                  <w:vMerge w:val="continue"/>
                  <w:vAlign w:val="center"/>
                </w:tcPr>
                <w:p>
                  <w:pPr>
                    <w:tabs>
                      <w:tab w:val="left" w:pos="6840"/>
                    </w:tabs>
                    <w:spacing w:line="27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85" w:type="pct"/>
                  <w:vMerge w:val="continue"/>
                  <w:vAlign w:val="center"/>
                </w:tcPr>
                <w:p>
                  <w:pPr>
                    <w:tabs>
                      <w:tab w:val="left" w:pos="6840"/>
                    </w:tabs>
                    <w:spacing w:line="270" w:lineRule="exact"/>
                    <w:jc w:val="center"/>
                    <w:rPr>
                      <w:color w:val="auto"/>
                      <w:szCs w:val="21"/>
                    </w:rPr>
                  </w:pPr>
                </w:p>
              </w:tc>
              <w:tc>
                <w:tcPr>
                  <w:tcW w:w="474" w:type="pct"/>
                  <w:vAlign w:val="center"/>
                </w:tcPr>
                <w:p>
                  <w:pPr>
                    <w:tabs>
                      <w:tab w:val="left" w:pos="6840"/>
                    </w:tabs>
                    <w:spacing w:line="270" w:lineRule="exact"/>
                    <w:jc w:val="center"/>
                    <w:rPr>
                      <w:color w:val="auto"/>
                      <w:szCs w:val="21"/>
                    </w:rPr>
                  </w:pPr>
                  <w:r>
                    <w:rPr>
                      <w:color w:val="auto"/>
                      <w:szCs w:val="21"/>
                    </w:rPr>
                    <w:t>TN</w:t>
                  </w:r>
                </w:p>
              </w:tc>
              <w:tc>
                <w:tcPr>
                  <w:tcW w:w="474" w:type="pct"/>
                  <w:vAlign w:val="center"/>
                </w:tcPr>
                <w:p>
                  <w:pPr>
                    <w:jc w:val="center"/>
                    <w:rPr>
                      <w:rFonts w:hint="default" w:eastAsia="宋体"/>
                      <w:color w:val="auto"/>
                      <w:szCs w:val="21"/>
                      <w:lang w:val="en-US" w:eastAsia="zh-CN"/>
                    </w:rPr>
                  </w:pPr>
                  <w:r>
                    <w:rPr>
                      <w:rFonts w:hint="eastAsia"/>
                      <w:color w:val="auto"/>
                      <w:szCs w:val="21"/>
                      <w:lang w:val="en-US" w:eastAsia="zh-CN"/>
                    </w:rPr>
                    <w:t>40</w:t>
                  </w:r>
                </w:p>
              </w:tc>
              <w:tc>
                <w:tcPr>
                  <w:tcW w:w="475" w:type="pct"/>
                  <w:vAlign w:val="center"/>
                </w:tcPr>
                <w:p>
                  <w:pPr>
                    <w:jc w:val="center"/>
                    <w:rPr>
                      <w:rFonts w:hint="default" w:eastAsia="宋体"/>
                      <w:color w:val="auto"/>
                      <w:szCs w:val="21"/>
                      <w:lang w:val="en-US" w:eastAsia="zh-CN"/>
                    </w:rPr>
                  </w:pPr>
                  <w:r>
                    <w:rPr>
                      <w:rFonts w:hint="eastAsia"/>
                      <w:color w:val="auto"/>
                      <w:szCs w:val="21"/>
                      <w:lang w:val="en-US" w:eastAsia="zh-CN"/>
                    </w:rPr>
                    <w:t>0.029</w:t>
                  </w:r>
                </w:p>
              </w:tc>
              <w:tc>
                <w:tcPr>
                  <w:tcW w:w="624" w:type="pct"/>
                  <w:vMerge w:val="continue"/>
                  <w:vAlign w:val="center"/>
                </w:tcPr>
                <w:p>
                  <w:pPr>
                    <w:tabs>
                      <w:tab w:val="left" w:pos="6840"/>
                    </w:tabs>
                    <w:spacing w:line="270" w:lineRule="exact"/>
                    <w:jc w:val="center"/>
                    <w:rPr>
                      <w:color w:val="auto"/>
                      <w:szCs w:val="21"/>
                    </w:rPr>
                  </w:pPr>
                </w:p>
              </w:tc>
              <w:tc>
                <w:tcPr>
                  <w:tcW w:w="357" w:type="pct"/>
                  <w:vMerge w:val="continue"/>
                  <w:vAlign w:val="center"/>
                </w:tcPr>
                <w:p>
                  <w:pPr>
                    <w:tabs>
                      <w:tab w:val="left" w:pos="6840"/>
                    </w:tabs>
                    <w:spacing w:line="270" w:lineRule="exact"/>
                    <w:jc w:val="center"/>
                    <w:rPr>
                      <w:color w:val="auto"/>
                      <w:szCs w:val="21"/>
                    </w:rPr>
                  </w:pPr>
                </w:p>
              </w:tc>
              <w:tc>
                <w:tcPr>
                  <w:tcW w:w="404" w:type="pct"/>
                  <w:vAlign w:val="center"/>
                </w:tcPr>
                <w:p>
                  <w:pPr>
                    <w:tabs>
                      <w:tab w:val="left" w:pos="6840"/>
                    </w:tabs>
                    <w:spacing w:line="270" w:lineRule="exact"/>
                    <w:jc w:val="center"/>
                    <w:rPr>
                      <w:color w:val="auto"/>
                      <w:szCs w:val="21"/>
                    </w:rPr>
                  </w:pPr>
                  <w:r>
                    <w:rPr>
                      <w:color w:val="auto"/>
                      <w:szCs w:val="21"/>
                    </w:rPr>
                    <w:t>TN</w:t>
                  </w:r>
                </w:p>
              </w:tc>
              <w:tc>
                <w:tcPr>
                  <w:tcW w:w="404" w:type="pct"/>
                  <w:vAlign w:val="center"/>
                </w:tcPr>
                <w:p>
                  <w:pPr>
                    <w:jc w:val="center"/>
                    <w:rPr>
                      <w:rFonts w:hint="default" w:eastAsia="宋体"/>
                      <w:color w:val="auto"/>
                      <w:szCs w:val="21"/>
                      <w:lang w:val="en-US" w:eastAsia="zh-CN"/>
                    </w:rPr>
                  </w:pPr>
                  <w:r>
                    <w:rPr>
                      <w:rFonts w:hint="eastAsia"/>
                      <w:color w:val="auto"/>
                      <w:szCs w:val="21"/>
                      <w:lang w:val="en-US" w:eastAsia="zh-CN"/>
                    </w:rPr>
                    <w:t>40</w:t>
                  </w:r>
                </w:p>
              </w:tc>
              <w:tc>
                <w:tcPr>
                  <w:tcW w:w="754" w:type="dxa"/>
                  <w:vAlign w:val="center"/>
                </w:tcPr>
                <w:p>
                  <w:pPr>
                    <w:jc w:val="center"/>
                    <w:rPr>
                      <w:rFonts w:hint="default"/>
                      <w:color w:val="auto"/>
                      <w:szCs w:val="21"/>
                      <w:lang w:val="en-US"/>
                    </w:rPr>
                  </w:pPr>
                  <w:r>
                    <w:rPr>
                      <w:rFonts w:hint="eastAsia"/>
                      <w:color w:val="auto"/>
                      <w:szCs w:val="21"/>
                      <w:lang w:val="en-US" w:eastAsia="zh-CN"/>
                    </w:rPr>
                    <w:t>0.029</w:t>
                  </w:r>
                </w:p>
              </w:tc>
              <w:tc>
                <w:tcPr>
                  <w:tcW w:w="446" w:type="pct"/>
                  <w:vAlign w:val="center"/>
                </w:tcPr>
                <w:p>
                  <w:pPr>
                    <w:adjustRightInd w:val="0"/>
                    <w:snapToGrid w:val="0"/>
                    <w:jc w:val="center"/>
                    <w:rPr>
                      <w:color w:val="auto"/>
                      <w:szCs w:val="21"/>
                    </w:rPr>
                  </w:pPr>
                  <w:r>
                    <w:rPr>
                      <w:color w:val="auto"/>
                      <w:szCs w:val="21"/>
                    </w:rPr>
                    <w:t>50</w:t>
                  </w:r>
                </w:p>
              </w:tc>
              <w:tc>
                <w:tcPr>
                  <w:tcW w:w="511" w:type="pct"/>
                  <w:vMerge w:val="continue"/>
                  <w:vAlign w:val="center"/>
                </w:tcPr>
                <w:p>
                  <w:pPr>
                    <w:tabs>
                      <w:tab w:val="left" w:pos="6840"/>
                    </w:tabs>
                    <w:spacing w:line="27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85" w:type="pct"/>
                  <w:vMerge w:val="continue"/>
                  <w:vAlign w:val="center"/>
                </w:tcPr>
                <w:p>
                  <w:pPr>
                    <w:tabs>
                      <w:tab w:val="left" w:pos="6840"/>
                    </w:tabs>
                    <w:spacing w:line="270" w:lineRule="exact"/>
                    <w:jc w:val="center"/>
                    <w:rPr>
                      <w:color w:val="auto"/>
                      <w:szCs w:val="21"/>
                    </w:rPr>
                  </w:pPr>
                </w:p>
              </w:tc>
              <w:tc>
                <w:tcPr>
                  <w:tcW w:w="474" w:type="pct"/>
                  <w:vAlign w:val="center"/>
                </w:tcPr>
                <w:p>
                  <w:pPr>
                    <w:tabs>
                      <w:tab w:val="left" w:pos="6840"/>
                    </w:tabs>
                    <w:spacing w:line="270" w:lineRule="exact"/>
                    <w:jc w:val="center"/>
                    <w:rPr>
                      <w:color w:val="auto"/>
                      <w:szCs w:val="21"/>
                    </w:rPr>
                  </w:pPr>
                  <w:r>
                    <w:rPr>
                      <w:color w:val="auto"/>
                      <w:szCs w:val="21"/>
                    </w:rPr>
                    <w:t>TP</w:t>
                  </w:r>
                </w:p>
              </w:tc>
              <w:tc>
                <w:tcPr>
                  <w:tcW w:w="474" w:type="pct"/>
                  <w:vAlign w:val="center"/>
                </w:tcPr>
                <w:p>
                  <w:pPr>
                    <w:jc w:val="center"/>
                    <w:rPr>
                      <w:rFonts w:hint="eastAsia" w:eastAsia="宋体"/>
                      <w:color w:val="auto"/>
                      <w:szCs w:val="21"/>
                      <w:lang w:eastAsia="zh-CN"/>
                    </w:rPr>
                  </w:pPr>
                  <w:r>
                    <w:rPr>
                      <w:rFonts w:hint="eastAsia"/>
                      <w:color w:val="auto"/>
                      <w:szCs w:val="21"/>
                      <w:lang w:val="en-US" w:eastAsia="zh-CN"/>
                    </w:rPr>
                    <w:t>3</w:t>
                  </w:r>
                </w:p>
              </w:tc>
              <w:tc>
                <w:tcPr>
                  <w:tcW w:w="475" w:type="pct"/>
                  <w:vAlign w:val="center"/>
                </w:tcPr>
                <w:p>
                  <w:pPr>
                    <w:jc w:val="center"/>
                    <w:rPr>
                      <w:rFonts w:hint="default" w:eastAsia="宋体"/>
                      <w:color w:val="auto"/>
                      <w:szCs w:val="21"/>
                      <w:lang w:val="en-US" w:eastAsia="zh-CN"/>
                    </w:rPr>
                  </w:pPr>
                  <w:r>
                    <w:rPr>
                      <w:rFonts w:hint="eastAsia"/>
                      <w:color w:val="auto"/>
                      <w:szCs w:val="21"/>
                      <w:lang w:val="en-US" w:eastAsia="zh-CN"/>
                    </w:rPr>
                    <w:t>0.002</w:t>
                  </w:r>
                </w:p>
              </w:tc>
              <w:tc>
                <w:tcPr>
                  <w:tcW w:w="624" w:type="pct"/>
                  <w:vMerge w:val="continue"/>
                  <w:vAlign w:val="center"/>
                </w:tcPr>
                <w:p>
                  <w:pPr>
                    <w:tabs>
                      <w:tab w:val="left" w:pos="6840"/>
                    </w:tabs>
                    <w:spacing w:line="270" w:lineRule="exact"/>
                    <w:jc w:val="center"/>
                    <w:rPr>
                      <w:color w:val="auto"/>
                      <w:szCs w:val="21"/>
                    </w:rPr>
                  </w:pPr>
                </w:p>
              </w:tc>
              <w:tc>
                <w:tcPr>
                  <w:tcW w:w="357" w:type="pct"/>
                  <w:vMerge w:val="continue"/>
                  <w:vAlign w:val="center"/>
                </w:tcPr>
                <w:p>
                  <w:pPr>
                    <w:tabs>
                      <w:tab w:val="left" w:pos="6840"/>
                    </w:tabs>
                    <w:spacing w:line="270" w:lineRule="exact"/>
                    <w:jc w:val="center"/>
                    <w:rPr>
                      <w:color w:val="auto"/>
                      <w:szCs w:val="21"/>
                    </w:rPr>
                  </w:pPr>
                </w:p>
              </w:tc>
              <w:tc>
                <w:tcPr>
                  <w:tcW w:w="404" w:type="pct"/>
                  <w:vAlign w:val="center"/>
                </w:tcPr>
                <w:p>
                  <w:pPr>
                    <w:tabs>
                      <w:tab w:val="left" w:pos="6840"/>
                    </w:tabs>
                    <w:spacing w:line="270" w:lineRule="exact"/>
                    <w:jc w:val="center"/>
                    <w:rPr>
                      <w:color w:val="auto"/>
                      <w:szCs w:val="21"/>
                    </w:rPr>
                  </w:pPr>
                  <w:r>
                    <w:rPr>
                      <w:color w:val="auto"/>
                      <w:szCs w:val="21"/>
                    </w:rPr>
                    <w:t>TP</w:t>
                  </w:r>
                </w:p>
              </w:tc>
              <w:tc>
                <w:tcPr>
                  <w:tcW w:w="404" w:type="pct"/>
                  <w:vAlign w:val="center"/>
                </w:tcPr>
                <w:p>
                  <w:pPr>
                    <w:jc w:val="center"/>
                    <w:rPr>
                      <w:rFonts w:hint="eastAsia" w:eastAsia="宋体"/>
                      <w:color w:val="auto"/>
                      <w:szCs w:val="21"/>
                      <w:lang w:eastAsia="zh-CN"/>
                    </w:rPr>
                  </w:pPr>
                  <w:r>
                    <w:rPr>
                      <w:rFonts w:hint="eastAsia"/>
                      <w:color w:val="auto"/>
                      <w:szCs w:val="21"/>
                      <w:lang w:val="en-US" w:eastAsia="zh-CN"/>
                    </w:rPr>
                    <w:t>3</w:t>
                  </w:r>
                </w:p>
              </w:tc>
              <w:tc>
                <w:tcPr>
                  <w:tcW w:w="754" w:type="dxa"/>
                  <w:vAlign w:val="center"/>
                </w:tcPr>
                <w:p>
                  <w:pPr>
                    <w:jc w:val="center"/>
                    <w:rPr>
                      <w:color w:val="auto"/>
                      <w:szCs w:val="21"/>
                    </w:rPr>
                  </w:pPr>
                  <w:r>
                    <w:rPr>
                      <w:rFonts w:hint="eastAsia"/>
                      <w:color w:val="auto"/>
                      <w:szCs w:val="21"/>
                      <w:lang w:val="en-US" w:eastAsia="zh-CN"/>
                    </w:rPr>
                    <w:t>0.002</w:t>
                  </w:r>
                </w:p>
              </w:tc>
              <w:tc>
                <w:tcPr>
                  <w:tcW w:w="446" w:type="pct"/>
                  <w:vAlign w:val="center"/>
                </w:tcPr>
                <w:p>
                  <w:pPr>
                    <w:adjustRightInd w:val="0"/>
                    <w:snapToGrid w:val="0"/>
                    <w:jc w:val="center"/>
                    <w:rPr>
                      <w:color w:val="auto"/>
                      <w:szCs w:val="21"/>
                    </w:rPr>
                  </w:pPr>
                  <w:r>
                    <w:rPr>
                      <w:color w:val="auto"/>
                      <w:szCs w:val="21"/>
                    </w:rPr>
                    <w:t>3</w:t>
                  </w:r>
                </w:p>
              </w:tc>
              <w:tc>
                <w:tcPr>
                  <w:tcW w:w="511" w:type="pct"/>
                  <w:vMerge w:val="continue"/>
                  <w:vAlign w:val="center"/>
                </w:tcPr>
                <w:p>
                  <w:pPr>
                    <w:tabs>
                      <w:tab w:val="left" w:pos="6840"/>
                    </w:tabs>
                    <w:spacing w:line="270" w:lineRule="exact"/>
                    <w:jc w:val="center"/>
                    <w:rPr>
                      <w:color w:val="auto"/>
                      <w:szCs w:val="21"/>
                    </w:rPr>
                  </w:pPr>
                </w:p>
              </w:tc>
            </w:tr>
          </w:tbl>
          <w:p>
            <w:pPr>
              <w:adjustRightInd w:val="0"/>
              <w:snapToGrid w:val="0"/>
              <w:spacing w:line="500" w:lineRule="exact"/>
              <w:ind w:firstLine="480" w:firstLineChars="200"/>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lang w:val="en-US" w:eastAsia="zh-CN"/>
              </w:rPr>
              <w:t>排放口基本信息</w:t>
            </w:r>
          </w:p>
          <w:p>
            <w:pPr>
              <w:adjustRightInd w:val="0"/>
              <w:snapToGrid w:val="0"/>
              <w:jc w:val="center"/>
              <w:rPr>
                <w:b/>
                <w:bCs/>
                <w:color w:val="auto"/>
                <w:szCs w:val="21"/>
              </w:rPr>
            </w:pPr>
            <w:r>
              <w:rPr>
                <w:b/>
                <w:bCs/>
                <w:color w:val="auto"/>
                <w:szCs w:val="21"/>
              </w:rPr>
              <w:t>表4-</w:t>
            </w:r>
            <w:r>
              <w:rPr>
                <w:rFonts w:hint="eastAsia"/>
                <w:b/>
                <w:bCs/>
                <w:color w:val="auto"/>
                <w:szCs w:val="21"/>
              </w:rPr>
              <w:t>1</w:t>
            </w:r>
            <w:r>
              <w:rPr>
                <w:rFonts w:hint="eastAsia"/>
                <w:b/>
                <w:bCs/>
                <w:color w:val="auto"/>
                <w:szCs w:val="21"/>
                <w:lang w:val="en-US" w:eastAsia="zh-CN"/>
              </w:rPr>
              <w:t>1</w:t>
            </w:r>
            <w:r>
              <w:rPr>
                <w:rFonts w:hint="eastAsia"/>
                <w:b/>
                <w:bCs/>
                <w:color w:val="auto"/>
                <w:szCs w:val="21"/>
              </w:rPr>
              <w:t xml:space="preserve"> </w:t>
            </w:r>
            <w:r>
              <w:rPr>
                <w:b/>
                <w:bCs/>
                <w:color w:val="auto"/>
                <w:szCs w:val="21"/>
              </w:rPr>
              <w:t>废水间接排放口基本情况表</w:t>
            </w:r>
          </w:p>
          <w:tbl>
            <w:tblPr>
              <w:tblStyle w:val="27"/>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64"/>
              <w:gridCol w:w="777"/>
              <w:gridCol w:w="795"/>
              <w:gridCol w:w="722"/>
              <w:gridCol w:w="732"/>
              <w:gridCol w:w="1024"/>
              <w:gridCol w:w="614"/>
              <w:gridCol w:w="657"/>
              <w:gridCol w:w="842"/>
              <w:gridCol w:w="1189"/>
              <w:gridCol w:w="5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 w:type="pct"/>
                  <w:vMerge w:val="restart"/>
                  <w:vAlign w:val="center"/>
                </w:tcPr>
                <w:p>
                  <w:pPr>
                    <w:tabs>
                      <w:tab w:val="left" w:pos="6840"/>
                    </w:tabs>
                    <w:spacing w:line="270" w:lineRule="exact"/>
                    <w:jc w:val="center"/>
                    <w:rPr>
                      <w:b/>
                      <w:bCs/>
                      <w:color w:val="auto"/>
                      <w:szCs w:val="21"/>
                    </w:rPr>
                  </w:pPr>
                  <w:r>
                    <w:rPr>
                      <w:b/>
                      <w:bCs/>
                      <w:color w:val="auto"/>
                      <w:szCs w:val="21"/>
                    </w:rPr>
                    <w:t>序号</w:t>
                  </w:r>
                </w:p>
              </w:tc>
              <w:tc>
                <w:tcPr>
                  <w:tcW w:w="473" w:type="pct"/>
                  <w:vMerge w:val="restart"/>
                  <w:vAlign w:val="center"/>
                </w:tcPr>
                <w:p>
                  <w:pPr>
                    <w:tabs>
                      <w:tab w:val="left" w:pos="6840"/>
                    </w:tabs>
                    <w:spacing w:line="270" w:lineRule="exact"/>
                    <w:jc w:val="center"/>
                    <w:rPr>
                      <w:b/>
                      <w:bCs/>
                      <w:color w:val="auto"/>
                      <w:szCs w:val="21"/>
                    </w:rPr>
                  </w:pPr>
                  <w:r>
                    <w:rPr>
                      <w:b/>
                      <w:bCs/>
                      <w:color w:val="auto"/>
                      <w:szCs w:val="21"/>
                    </w:rPr>
                    <w:t>排放口</w:t>
                  </w:r>
                </w:p>
                <w:p>
                  <w:pPr>
                    <w:tabs>
                      <w:tab w:val="left" w:pos="6840"/>
                    </w:tabs>
                    <w:spacing w:line="270" w:lineRule="exact"/>
                    <w:jc w:val="center"/>
                    <w:rPr>
                      <w:b/>
                      <w:bCs/>
                      <w:color w:val="auto"/>
                      <w:szCs w:val="21"/>
                    </w:rPr>
                  </w:pPr>
                  <w:r>
                    <w:rPr>
                      <w:b/>
                      <w:bCs/>
                      <w:color w:val="auto"/>
                      <w:szCs w:val="21"/>
                    </w:rPr>
                    <w:t>编号</w:t>
                  </w:r>
                </w:p>
              </w:tc>
              <w:tc>
                <w:tcPr>
                  <w:tcW w:w="924" w:type="pct"/>
                  <w:gridSpan w:val="2"/>
                  <w:vAlign w:val="center"/>
                </w:tcPr>
                <w:p>
                  <w:pPr>
                    <w:tabs>
                      <w:tab w:val="left" w:pos="6840"/>
                    </w:tabs>
                    <w:spacing w:line="270" w:lineRule="exact"/>
                    <w:jc w:val="center"/>
                    <w:rPr>
                      <w:b/>
                      <w:bCs/>
                      <w:color w:val="auto"/>
                      <w:szCs w:val="21"/>
                    </w:rPr>
                  </w:pPr>
                  <w:r>
                    <w:rPr>
                      <w:b/>
                      <w:bCs/>
                      <w:color w:val="auto"/>
                      <w:szCs w:val="21"/>
                    </w:rPr>
                    <w:t>地理坐标</w:t>
                  </w:r>
                </w:p>
              </w:tc>
              <w:tc>
                <w:tcPr>
                  <w:tcW w:w="446" w:type="pct"/>
                  <w:vMerge w:val="restart"/>
                  <w:vAlign w:val="center"/>
                </w:tcPr>
                <w:p>
                  <w:pPr>
                    <w:tabs>
                      <w:tab w:val="left" w:pos="6840"/>
                    </w:tabs>
                    <w:spacing w:line="270" w:lineRule="exact"/>
                    <w:jc w:val="center"/>
                    <w:rPr>
                      <w:b/>
                      <w:bCs/>
                      <w:color w:val="auto"/>
                      <w:szCs w:val="21"/>
                    </w:rPr>
                  </w:pPr>
                  <w:r>
                    <w:rPr>
                      <w:b/>
                      <w:bCs/>
                      <w:color w:val="auto"/>
                      <w:szCs w:val="21"/>
                    </w:rPr>
                    <w:t>排放</w:t>
                  </w:r>
                </w:p>
                <w:p>
                  <w:pPr>
                    <w:tabs>
                      <w:tab w:val="left" w:pos="6840"/>
                    </w:tabs>
                    <w:spacing w:line="270" w:lineRule="exact"/>
                    <w:jc w:val="center"/>
                    <w:rPr>
                      <w:b/>
                      <w:bCs/>
                      <w:color w:val="auto"/>
                      <w:szCs w:val="21"/>
                    </w:rPr>
                  </w:pPr>
                  <w:r>
                    <w:rPr>
                      <w:b/>
                      <w:bCs/>
                      <w:color w:val="auto"/>
                      <w:szCs w:val="21"/>
                    </w:rPr>
                    <w:t>去向</w:t>
                  </w:r>
                </w:p>
              </w:tc>
              <w:tc>
                <w:tcPr>
                  <w:tcW w:w="624" w:type="pct"/>
                  <w:vMerge w:val="restart"/>
                  <w:vAlign w:val="center"/>
                </w:tcPr>
                <w:p>
                  <w:pPr>
                    <w:tabs>
                      <w:tab w:val="left" w:pos="6840"/>
                    </w:tabs>
                    <w:spacing w:line="270" w:lineRule="exact"/>
                    <w:jc w:val="center"/>
                    <w:rPr>
                      <w:b/>
                      <w:bCs/>
                      <w:color w:val="auto"/>
                      <w:szCs w:val="21"/>
                    </w:rPr>
                  </w:pPr>
                  <w:r>
                    <w:rPr>
                      <w:b/>
                      <w:bCs/>
                      <w:color w:val="auto"/>
                      <w:szCs w:val="21"/>
                    </w:rPr>
                    <w:t>排放</w:t>
                  </w:r>
                </w:p>
                <w:p>
                  <w:pPr>
                    <w:tabs>
                      <w:tab w:val="left" w:pos="6840"/>
                    </w:tabs>
                    <w:spacing w:line="270" w:lineRule="exact"/>
                    <w:jc w:val="center"/>
                    <w:rPr>
                      <w:b/>
                      <w:bCs/>
                      <w:color w:val="auto"/>
                      <w:szCs w:val="21"/>
                    </w:rPr>
                  </w:pPr>
                  <w:r>
                    <w:rPr>
                      <w:b/>
                      <w:bCs/>
                      <w:color w:val="auto"/>
                      <w:szCs w:val="21"/>
                    </w:rPr>
                    <w:t>规律</w:t>
                  </w:r>
                </w:p>
              </w:tc>
              <w:tc>
                <w:tcPr>
                  <w:tcW w:w="374" w:type="pct"/>
                  <w:vMerge w:val="restart"/>
                  <w:vAlign w:val="center"/>
                </w:tcPr>
                <w:p>
                  <w:pPr>
                    <w:tabs>
                      <w:tab w:val="left" w:pos="6840"/>
                    </w:tabs>
                    <w:spacing w:line="270" w:lineRule="exact"/>
                    <w:jc w:val="center"/>
                    <w:rPr>
                      <w:b/>
                      <w:bCs/>
                      <w:color w:val="auto"/>
                      <w:szCs w:val="21"/>
                    </w:rPr>
                  </w:pPr>
                  <w:r>
                    <w:rPr>
                      <w:b/>
                      <w:bCs/>
                      <w:color w:val="auto"/>
                      <w:szCs w:val="21"/>
                    </w:rPr>
                    <w:t>间歇排放时段</w:t>
                  </w:r>
                </w:p>
              </w:tc>
              <w:tc>
                <w:tcPr>
                  <w:tcW w:w="1637" w:type="pct"/>
                  <w:gridSpan w:val="3"/>
                  <w:vAlign w:val="center"/>
                </w:tcPr>
                <w:p>
                  <w:pPr>
                    <w:tabs>
                      <w:tab w:val="left" w:pos="6840"/>
                    </w:tabs>
                    <w:spacing w:line="270" w:lineRule="exact"/>
                    <w:jc w:val="center"/>
                    <w:rPr>
                      <w:b/>
                      <w:bCs/>
                      <w:color w:val="auto"/>
                      <w:szCs w:val="21"/>
                    </w:rPr>
                  </w:pPr>
                  <w:r>
                    <w:rPr>
                      <w:b/>
                      <w:bCs/>
                      <w:color w:val="auto"/>
                      <w:szCs w:val="21"/>
                    </w:rPr>
                    <w:t>受纳污水处理厂信息</w:t>
                  </w:r>
                </w:p>
              </w:tc>
              <w:tc>
                <w:tcPr>
                  <w:tcW w:w="356" w:type="pct"/>
                  <w:vMerge w:val="restart"/>
                  <w:vAlign w:val="center"/>
                </w:tcPr>
                <w:p>
                  <w:pPr>
                    <w:tabs>
                      <w:tab w:val="left" w:pos="6840"/>
                    </w:tabs>
                    <w:spacing w:line="270" w:lineRule="exact"/>
                    <w:jc w:val="center"/>
                    <w:rPr>
                      <w:b/>
                      <w:bCs/>
                      <w:color w:val="auto"/>
                      <w:szCs w:val="21"/>
                    </w:rPr>
                  </w:pPr>
                  <w:r>
                    <w:rPr>
                      <w:rFonts w:hint="eastAsia"/>
                      <w:b/>
                      <w:bCs/>
                      <w:color w:val="auto"/>
                      <w:szCs w:val="21"/>
                    </w:rPr>
                    <w:t>排放口类型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 w:type="pct"/>
                  <w:vMerge w:val="continue"/>
                  <w:vAlign w:val="center"/>
                </w:tcPr>
                <w:p>
                  <w:pPr>
                    <w:tabs>
                      <w:tab w:val="left" w:pos="6840"/>
                    </w:tabs>
                    <w:spacing w:line="270" w:lineRule="exact"/>
                    <w:jc w:val="center"/>
                    <w:rPr>
                      <w:b/>
                      <w:bCs/>
                      <w:color w:val="auto"/>
                      <w:szCs w:val="21"/>
                    </w:rPr>
                  </w:pPr>
                </w:p>
              </w:tc>
              <w:tc>
                <w:tcPr>
                  <w:tcW w:w="473" w:type="pct"/>
                  <w:vMerge w:val="continue"/>
                  <w:vAlign w:val="center"/>
                </w:tcPr>
                <w:p>
                  <w:pPr>
                    <w:tabs>
                      <w:tab w:val="left" w:pos="6840"/>
                    </w:tabs>
                    <w:spacing w:line="270" w:lineRule="exact"/>
                    <w:jc w:val="center"/>
                    <w:rPr>
                      <w:b/>
                      <w:bCs/>
                      <w:color w:val="auto"/>
                      <w:szCs w:val="21"/>
                    </w:rPr>
                  </w:pPr>
                </w:p>
              </w:tc>
              <w:tc>
                <w:tcPr>
                  <w:tcW w:w="484" w:type="pct"/>
                  <w:vAlign w:val="center"/>
                </w:tcPr>
                <w:p>
                  <w:pPr>
                    <w:tabs>
                      <w:tab w:val="left" w:pos="6840"/>
                    </w:tabs>
                    <w:spacing w:line="270" w:lineRule="exact"/>
                    <w:jc w:val="center"/>
                    <w:rPr>
                      <w:b/>
                      <w:bCs/>
                      <w:color w:val="auto"/>
                      <w:szCs w:val="21"/>
                    </w:rPr>
                  </w:pPr>
                  <w:r>
                    <w:rPr>
                      <w:b/>
                      <w:bCs/>
                      <w:color w:val="auto"/>
                      <w:szCs w:val="21"/>
                    </w:rPr>
                    <w:t>经度</w:t>
                  </w:r>
                </w:p>
              </w:tc>
              <w:tc>
                <w:tcPr>
                  <w:tcW w:w="439" w:type="pct"/>
                  <w:vAlign w:val="center"/>
                </w:tcPr>
                <w:p>
                  <w:pPr>
                    <w:tabs>
                      <w:tab w:val="left" w:pos="6840"/>
                    </w:tabs>
                    <w:spacing w:line="270" w:lineRule="exact"/>
                    <w:jc w:val="center"/>
                    <w:rPr>
                      <w:b/>
                      <w:bCs/>
                      <w:color w:val="auto"/>
                      <w:szCs w:val="21"/>
                    </w:rPr>
                  </w:pPr>
                  <w:r>
                    <w:rPr>
                      <w:b/>
                      <w:bCs/>
                      <w:color w:val="auto"/>
                      <w:szCs w:val="21"/>
                    </w:rPr>
                    <w:t>纬度</w:t>
                  </w:r>
                </w:p>
              </w:tc>
              <w:tc>
                <w:tcPr>
                  <w:tcW w:w="446" w:type="pct"/>
                  <w:vMerge w:val="continue"/>
                  <w:vAlign w:val="center"/>
                </w:tcPr>
                <w:p>
                  <w:pPr>
                    <w:tabs>
                      <w:tab w:val="left" w:pos="6840"/>
                    </w:tabs>
                    <w:spacing w:line="270" w:lineRule="exact"/>
                    <w:jc w:val="center"/>
                    <w:rPr>
                      <w:b/>
                      <w:bCs/>
                      <w:color w:val="auto"/>
                      <w:szCs w:val="21"/>
                    </w:rPr>
                  </w:pPr>
                </w:p>
              </w:tc>
              <w:tc>
                <w:tcPr>
                  <w:tcW w:w="624" w:type="pct"/>
                  <w:vMerge w:val="continue"/>
                  <w:vAlign w:val="center"/>
                </w:tcPr>
                <w:p>
                  <w:pPr>
                    <w:tabs>
                      <w:tab w:val="left" w:pos="6840"/>
                    </w:tabs>
                    <w:spacing w:line="270" w:lineRule="exact"/>
                    <w:jc w:val="center"/>
                    <w:rPr>
                      <w:b/>
                      <w:bCs/>
                      <w:color w:val="auto"/>
                      <w:szCs w:val="21"/>
                    </w:rPr>
                  </w:pPr>
                </w:p>
              </w:tc>
              <w:tc>
                <w:tcPr>
                  <w:tcW w:w="374" w:type="pct"/>
                  <w:vMerge w:val="continue"/>
                  <w:vAlign w:val="center"/>
                </w:tcPr>
                <w:p>
                  <w:pPr>
                    <w:tabs>
                      <w:tab w:val="left" w:pos="6840"/>
                    </w:tabs>
                    <w:spacing w:line="270" w:lineRule="exact"/>
                    <w:jc w:val="center"/>
                    <w:rPr>
                      <w:b/>
                      <w:bCs/>
                      <w:color w:val="auto"/>
                      <w:szCs w:val="21"/>
                    </w:rPr>
                  </w:pPr>
                </w:p>
              </w:tc>
              <w:tc>
                <w:tcPr>
                  <w:tcW w:w="400" w:type="pct"/>
                  <w:vAlign w:val="center"/>
                </w:tcPr>
                <w:p>
                  <w:pPr>
                    <w:tabs>
                      <w:tab w:val="left" w:pos="6840"/>
                    </w:tabs>
                    <w:spacing w:line="270" w:lineRule="exact"/>
                    <w:jc w:val="center"/>
                    <w:rPr>
                      <w:b/>
                      <w:bCs/>
                      <w:color w:val="auto"/>
                      <w:szCs w:val="21"/>
                    </w:rPr>
                  </w:pPr>
                  <w:r>
                    <w:rPr>
                      <w:b/>
                      <w:bCs/>
                      <w:color w:val="auto"/>
                      <w:szCs w:val="21"/>
                    </w:rPr>
                    <w:t>名称</w:t>
                  </w:r>
                </w:p>
              </w:tc>
              <w:tc>
                <w:tcPr>
                  <w:tcW w:w="513" w:type="pct"/>
                  <w:vAlign w:val="center"/>
                </w:tcPr>
                <w:p>
                  <w:pPr>
                    <w:tabs>
                      <w:tab w:val="left" w:pos="6840"/>
                    </w:tabs>
                    <w:spacing w:line="270" w:lineRule="exact"/>
                    <w:jc w:val="center"/>
                    <w:rPr>
                      <w:b/>
                      <w:bCs/>
                      <w:color w:val="auto"/>
                      <w:szCs w:val="21"/>
                    </w:rPr>
                  </w:pPr>
                  <w:r>
                    <w:rPr>
                      <w:b/>
                      <w:bCs/>
                      <w:color w:val="auto"/>
                      <w:szCs w:val="21"/>
                    </w:rPr>
                    <w:t>污染物</w:t>
                  </w:r>
                </w:p>
                <w:p>
                  <w:pPr>
                    <w:tabs>
                      <w:tab w:val="left" w:pos="6840"/>
                    </w:tabs>
                    <w:spacing w:line="270" w:lineRule="exact"/>
                    <w:jc w:val="center"/>
                    <w:rPr>
                      <w:b/>
                      <w:bCs/>
                      <w:color w:val="auto"/>
                      <w:szCs w:val="21"/>
                    </w:rPr>
                  </w:pPr>
                  <w:r>
                    <w:rPr>
                      <w:b/>
                      <w:bCs/>
                      <w:color w:val="auto"/>
                      <w:szCs w:val="21"/>
                    </w:rPr>
                    <w:t>种类</w:t>
                  </w:r>
                </w:p>
              </w:tc>
              <w:tc>
                <w:tcPr>
                  <w:tcW w:w="723" w:type="pct"/>
                  <w:vAlign w:val="center"/>
                </w:tcPr>
                <w:p>
                  <w:pPr>
                    <w:jc w:val="center"/>
                    <w:rPr>
                      <w:b/>
                      <w:bCs/>
                      <w:color w:val="auto"/>
                      <w:kern w:val="0"/>
                      <w:szCs w:val="21"/>
                    </w:rPr>
                  </w:pPr>
                  <w:r>
                    <w:rPr>
                      <w:b/>
                      <w:bCs/>
                      <w:color w:val="auto"/>
                      <w:kern w:val="0"/>
                      <w:szCs w:val="21"/>
                    </w:rPr>
                    <w:t>国家或地方污染物排放标准标准浓度限值</w:t>
                  </w:r>
                </w:p>
                <w:p>
                  <w:pPr>
                    <w:jc w:val="center"/>
                    <w:rPr>
                      <w:b/>
                      <w:bCs/>
                      <w:color w:val="auto"/>
                      <w:kern w:val="0"/>
                      <w:szCs w:val="21"/>
                    </w:rPr>
                  </w:pPr>
                  <w:r>
                    <w:rPr>
                      <w:b/>
                      <w:bCs/>
                      <w:color w:val="auto"/>
                      <w:kern w:val="0"/>
                      <w:szCs w:val="21"/>
                    </w:rPr>
                    <w:t>（mg/L）</w:t>
                  </w:r>
                </w:p>
              </w:tc>
              <w:tc>
                <w:tcPr>
                  <w:tcW w:w="356" w:type="pct"/>
                  <w:vMerge w:val="continue"/>
                  <w:vAlign w:val="center"/>
                </w:tcPr>
                <w:p>
                  <w:pPr>
                    <w:tabs>
                      <w:tab w:val="left" w:pos="6840"/>
                    </w:tabs>
                    <w:spacing w:line="270" w:lineRule="exact"/>
                    <w:jc w:val="center"/>
                    <w:rPr>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 w:type="pct"/>
                  <w:vMerge w:val="restart"/>
                  <w:vAlign w:val="center"/>
                </w:tcPr>
                <w:p>
                  <w:pPr>
                    <w:tabs>
                      <w:tab w:val="left" w:pos="6840"/>
                    </w:tabs>
                    <w:spacing w:line="270" w:lineRule="exact"/>
                    <w:jc w:val="center"/>
                    <w:rPr>
                      <w:color w:val="auto"/>
                      <w:szCs w:val="21"/>
                    </w:rPr>
                  </w:pPr>
                  <w:r>
                    <w:rPr>
                      <w:color w:val="auto"/>
                      <w:szCs w:val="21"/>
                    </w:rPr>
                    <w:t>1</w:t>
                  </w:r>
                </w:p>
              </w:tc>
              <w:tc>
                <w:tcPr>
                  <w:tcW w:w="473" w:type="pct"/>
                  <w:vMerge w:val="restart"/>
                  <w:vAlign w:val="center"/>
                </w:tcPr>
                <w:p>
                  <w:pPr>
                    <w:tabs>
                      <w:tab w:val="left" w:pos="6840"/>
                    </w:tabs>
                    <w:spacing w:line="270" w:lineRule="exact"/>
                    <w:jc w:val="center"/>
                    <w:rPr>
                      <w:color w:val="auto"/>
                      <w:szCs w:val="21"/>
                    </w:rPr>
                  </w:pPr>
                  <w:r>
                    <w:rPr>
                      <w:color w:val="auto"/>
                      <w:szCs w:val="21"/>
                    </w:rPr>
                    <w:t>DW001</w:t>
                  </w:r>
                </w:p>
              </w:tc>
              <w:tc>
                <w:tcPr>
                  <w:tcW w:w="484" w:type="pct"/>
                  <w:vMerge w:val="restart"/>
                  <w:vAlign w:val="center"/>
                </w:tcPr>
                <w:p>
                  <w:pPr>
                    <w:tabs>
                      <w:tab w:val="left" w:pos="6840"/>
                    </w:tabs>
                    <w:spacing w:line="27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119.554458</w:t>
                  </w:r>
                </w:p>
              </w:tc>
              <w:tc>
                <w:tcPr>
                  <w:tcW w:w="439" w:type="pct"/>
                  <w:vMerge w:val="restart"/>
                  <w:vAlign w:val="center"/>
                </w:tcPr>
                <w:p>
                  <w:pPr>
                    <w:tabs>
                      <w:tab w:val="left" w:pos="6840"/>
                    </w:tabs>
                    <w:spacing w:line="27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31.767015</w:t>
                  </w:r>
                </w:p>
              </w:tc>
              <w:tc>
                <w:tcPr>
                  <w:tcW w:w="446" w:type="pct"/>
                  <w:vMerge w:val="restart"/>
                  <w:vAlign w:val="center"/>
                </w:tcPr>
                <w:p>
                  <w:pPr>
                    <w:tabs>
                      <w:tab w:val="left" w:pos="6840"/>
                    </w:tabs>
                    <w:spacing w:line="270" w:lineRule="exact"/>
                    <w:jc w:val="center"/>
                    <w:rPr>
                      <w:color w:val="auto"/>
                      <w:szCs w:val="21"/>
                    </w:rPr>
                  </w:pPr>
                  <w:r>
                    <w:rPr>
                      <w:color w:val="auto"/>
                      <w:szCs w:val="21"/>
                    </w:rPr>
                    <w:t>进入城市污水处理厂</w:t>
                  </w:r>
                </w:p>
              </w:tc>
              <w:tc>
                <w:tcPr>
                  <w:tcW w:w="624" w:type="pct"/>
                  <w:vMerge w:val="restart"/>
                  <w:vAlign w:val="center"/>
                </w:tcPr>
                <w:p>
                  <w:pPr>
                    <w:tabs>
                      <w:tab w:val="left" w:pos="6840"/>
                    </w:tabs>
                    <w:spacing w:line="270" w:lineRule="exact"/>
                    <w:jc w:val="center"/>
                    <w:rPr>
                      <w:color w:val="auto"/>
                      <w:szCs w:val="21"/>
                    </w:rPr>
                  </w:pPr>
                  <w:r>
                    <w:rPr>
                      <w:color w:val="auto"/>
                      <w:szCs w:val="21"/>
                    </w:rPr>
                    <w:t>间断排放，排放期间流量不稳定且无规律，但不属于冲击型排放</w:t>
                  </w:r>
                </w:p>
              </w:tc>
              <w:tc>
                <w:tcPr>
                  <w:tcW w:w="374" w:type="pct"/>
                  <w:vMerge w:val="restart"/>
                  <w:vAlign w:val="center"/>
                </w:tcPr>
                <w:p>
                  <w:pPr>
                    <w:tabs>
                      <w:tab w:val="left" w:pos="6840"/>
                    </w:tabs>
                    <w:spacing w:line="270" w:lineRule="exact"/>
                    <w:jc w:val="center"/>
                    <w:rPr>
                      <w:color w:val="auto"/>
                      <w:szCs w:val="21"/>
                    </w:rPr>
                  </w:pPr>
                  <w:r>
                    <w:rPr>
                      <w:color w:val="auto"/>
                      <w:szCs w:val="21"/>
                    </w:rPr>
                    <w:t>/</w:t>
                  </w:r>
                </w:p>
              </w:tc>
              <w:tc>
                <w:tcPr>
                  <w:tcW w:w="400" w:type="pct"/>
                  <w:vMerge w:val="restart"/>
                  <w:vAlign w:val="center"/>
                </w:tcPr>
                <w:p>
                  <w:pPr>
                    <w:tabs>
                      <w:tab w:val="left" w:pos="6840"/>
                    </w:tabs>
                    <w:spacing w:line="270" w:lineRule="exact"/>
                    <w:jc w:val="center"/>
                    <w:rPr>
                      <w:color w:val="auto"/>
                      <w:szCs w:val="21"/>
                    </w:rPr>
                  </w:pPr>
                  <w:r>
                    <w:rPr>
                      <w:rFonts w:hint="eastAsia"/>
                      <w:color w:val="auto"/>
                      <w:szCs w:val="21"/>
                    </w:rPr>
                    <w:t>金坛第二污水处理厂</w:t>
                  </w:r>
                </w:p>
              </w:tc>
              <w:tc>
                <w:tcPr>
                  <w:tcW w:w="513" w:type="pct"/>
                  <w:vAlign w:val="center"/>
                </w:tcPr>
                <w:p>
                  <w:pPr>
                    <w:tabs>
                      <w:tab w:val="left" w:pos="6840"/>
                    </w:tabs>
                    <w:spacing w:line="270" w:lineRule="exact"/>
                    <w:jc w:val="center"/>
                    <w:rPr>
                      <w:color w:val="auto"/>
                      <w:szCs w:val="21"/>
                    </w:rPr>
                  </w:pPr>
                  <w:r>
                    <w:rPr>
                      <w:color w:val="auto"/>
                      <w:szCs w:val="21"/>
                    </w:rPr>
                    <w:t>pH</w:t>
                  </w:r>
                </w:p>
              </w:tc>
              <w:tc>
                <w:tcPr>
                  <w:tcW w:w="723" w:type="pct"/>
                  <w:vAlign w:val="center"/>
                </w:tcPr>
                <w:p>
                  <w:pPr>
                    <w:tabs>
                      <w:tab w:val="left" w:pos="6840"/>
                    </w:tabs>
                    <w:spacing w:line="270" w:lineRule="exact"/>
                    <w:jc w:val="center"/>
                    <w:rPr>
                      <w:color w:val="auto"/>
                      <w:szCs w:val="21"/>
                    </w:rPr>
                  </w:pPr>
                  <w:r>
                    <w:rPr>
                      <w:color w:val="auto"/>
                      <w:szCs w:val="21"/>
                    </w:rPr>
                    <w:t>6~9</w:t>
                  </w:r>
                </w:p>
              </w:tc>
              <w:tc>
                <w:tcPr>
                  <w:tcW w:w="356" w:type="pct"/>
                  <w:vMerge w:val="restart"/>
                  <w:vAlign w:val="center"/>
                </w:tcPr>
                <w:p>
                  <w:pPr>
                    <w:tabs>
                      <w:tab w:val="left" w:pos="6840"/>
                    </w:tabs>
                    <w:spacing w:line="270" w:lineRule="exact"/>
                    <w:jc w:val="center"/>
                    <w:rPr>
                      <w:color w:val="auto"/>
                      <w:szCs w:val="21"/>
                    </w:rPr>
                  </w:pPr>
                  <w:r>
                    <w:rPr>
                      <w:rFonts w:hint="eastAsia"/>
                      <w:color w:val="auto"/>
                      <w:szCs w:val="21"/>
                    </w:rPr>
                    <w:t>生活污水排放口-一般排放口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 w:type="pct"/>
                  <w:vMerge w:val="continue"/>
                  <w:vAlign w:val="center"/>
                </w:tcPr>
                <w:p>
                  <w:pPr>
                    <w:tabs>
                      <w:tab w:val="left" w:pos="6840"/>
                    </w:tabs>
                    <w:spacing w:line="270" w:lineRule="exact"/>
                    <w:jc w:val="center"/>
                    <w:rPr>
                      <w:color w:val="auto"/>
                      <w:szCs w:val="21"/>
                    </w:rPr>
                  </w:pPr>
                </w:p>
              </w:tc>
              <w:tc>
                <w:tcPr>
                  <w:tcW w:w="473" w:type="pct"/>
                  <w:vMerge w:val="continue"/>
                  <w:vAlign w:val="center"/>
                </w:tcPr>
                <w:p>
                  <w:pPr>
                    <w:tabs>
                      <w:tab w:val="left" w:pos="6840"/>
                    </w:tabs>
                    <w:spacing w:line="270" w:lineRule="exact"/>
                    <w:jc w:val="center"/>
                    <w:rPr>
                      <w:color w:val="auto"/>
                      <w:szCs w:val="21"/>
                    </w:rPr>
                  </w:pPr>
                </w:p>
              </w:tc>
              <w:tc>
                <w:tcPr>
                  <w:tcW w:w="484" w:type="pct"/>
                  <w:vMerge w:val="continue"/>
                  <w:vAlign w:val="center"/>
                </w:tcPr>
                <w:p>
                  <w:pPr>
                    <w:tabs>
                      <w:tab w:val="left" w:pos="6840"/>
                    </w:tabs>
                    <w:spacing w:line="270" w:lineRule="exact"/>
                    <w:jc w:val="center"/>
                    <w:rPr>
                      <w:color w:val="auto"/>
                      <w:szCs w:val="21"/>
                    </w:rPr>
                  </w:pPr>
                </w:p>
              </w:tc>
              <w:tc>
                <w:tcPr>
                  <w:tcW w:w="439" w:type="pct"/>
                  <w:vMerge w:val="continue"/>
                  <w:vAlign w:val="center"/>
                </w:tcPr>
                <w:p>
                  <w:pPr>
                    <w:tabs>
                      <w:tab w:val="left" w:pos="6840"/>
                    </w:tabs>
                    <w:spacing w:line="270" w:lineRule="exact"/>
                    <w:jc w:val="center"/>
                    <w:rPr>
                      <w:color w:val="auto"/>
                      <w:szCs w:val="21"/>
                    </w:rPr>
                  </w:pPr>
                </w:p>
              </w:tc>
              <w:tc>
                <w:tcPr>
                  <w:tcW w:w="446" w:type="pct"/>
                  <w:vMerge w:val="continue"/>
                  <w:vAlign w:val="center"/>
                </w:tcPr>
                <w:p>
                  <w:pPr>
                    <w:tabs>
                      <w:tab w:val="left" w:pos="6840"/>
                    </w:tabs>
                    <w:spacing w:line="270" w:lineRule="exact"/>
                    <w:jc w:val="center"/>
                    <w:rPr>
                      <w:color w:val="auto"/>
                      <w:szCs w:val="21"/>
                    </w:rPr>
                  </w:pPr>
                </w:p>
              </w:tc>
              <w:tc>
                <w:tcPr>
                  <w:tcW w:w="624" w:type="pct"/>
                  <w:vMerge w:val="continue"/>
                  <w:vAlign w:val="center"/>
                </w:tcPr>
                <w:p>
                  <w:pPr>
                    <w:tabs>
                      <w:tab w:val="left" w:pos="6840"/>
                    </w:tabs>
                    <w:spacing w:line="270" w:lineRule="exact"/>
                    <w:jc w:val="center"/>
                    <w:rPr>
                      <w:color w:val="auto"/>
                      <w:szCs w:val="21"/>
                    </w:rPr>
                  </w:pPr>
                </w:p>
              </w:tc>
              <w:tc>
                <w:tcPr>
                  <w:tcW w:w="374" w:type="pct"/>
                  <w:vMerge w:val="continue"/>
                  <w:vAlign w:val="center"/>
                </w:tcPr>
                <w:p>
                  <w:pPr>
                    <w:tabs>
                      <w:tab w:val="left" w:pos="6840"/>
                    </w:tabs>
                    <w:spacing w:line="270" w:lineRule="exact"/>
                    <w:jc w:val="center"/>
                    <w:rPr>
                      <w:color w:val="auto"/>
                      <w:szCs w:val="21"/>
                    </w:rPr>
                  </w:pPr>
                </w:p>
              </w:tc>
              <w:tc>
                <w:tcPr>
                  <w:tcW w:w="400" w:type="pct"/>
                  <w:vMerge w:val="continue"/>
                  <w:vAlign w:val="center"/>
                </w:tcPr>
                <w:p>
                  <w:pPr>
                    <w:tabs>
                      <w:tab w:val="left" w:pos="6840"/>
                    </w:tabs>
                    <w:spacing w:line="270" w:lineRule="exact"/>
                    <w:jc w:val="center"/>
                    <w:rPr>
                      <w:color w:val="auto"/>
                      <w:szCs w:val="21"/>
                    </w:rPr>
                  </w:pPr>
                </w:p>
              </w:tc>
              <w:tc>
                <w:tcPr>
                  <w:tcW w:w="513" w:type="pct"/>
                  <w:vAlign w:val="center"/>
                </w:tcPr>
                <w:p>
                  <w:pPr>
                    <w:tabs>
                      <w:tab w:val="left" w:pos="6840"/>
                    </w:tabs>
                    <w:spacing w:line="270" w:lineRule="exact"/>
                    <w:jc w:val="center"/>
                    <w:rPr>
                      <w:color w:val="auto"/>
                      <w:szCs w:val="21"/>
                    </w:rPr>
                  </w:pPr>
                  <w:r>
                    <w:rPr>
                      <w:color w:val="auto"/>
                      <w:szCs w:val="21"/>
                    </w:rPr>
                    <w:t>COD</w:t>
                  </w:r>
                </w:p>
              </w:tc>
              <w:tc>
                <w:tcPr>
                  <w:tcW w:w="723" w:type="pct"/>
                  <w:vAlign w:val="center"/>
                </w:tcPr>
                <w:p>
                  <w:pPr>
                    <w:tabs>
                      <w:tab w:val="left" w:pos="6840"/>
                    </w:tabs>
                    <w:spacing w:line="270" w:lineRule="exact"/>
                    <w:jc w:val="center"/>
                    <w:rPr>
                      <w:color w:val="auto"/>
                      <w:szCs w:val="21"/>
                    </w:rPr>
                  </w:pPr>
                  <w:r>
                    <w:rPr>
                      <w:rFonts w:hint="eastAsia"/>
                      <w:color w:val="auto"/>
                      <w:szCs w:val="21"/>
                    </w:rPr>
                    <w:t>50</w:t>
                  </w:r>
                </w:p>
              </w:tc>
              <w:tc>
                <w:tcPr>
                  <w:tcW w:w="356" w:type="pct"/>
                  <w:vMerge w:val="continue"/>
                  <w:vAlign w:val="center"/>
                </w:tcPr>
                <w:p>
                  <w:pPr>
                    <w:tabs>
                      <w:tab w:val="left" w:pos="6840"/>
                    </w:tabs>
                    <w:spacing w:line="27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 w:type="pct"/>
                  <w:vMerge w:val="continue"/>
                  <w:vAlign w:val="center"/>
                </w:tcPr>
                <w:p>
                  <w:pPr>
                    <w:tabs>
                      <w:tab w:val="left" w:pos="6840"/>
                    </w:tabs>
                    <w:spacing w:line="270" w:lineRule="exact"/>
                    <w:jc w:val="center"/>
                    <w:rPr>
                      <w:color w:val="auto"/>
                      <w:szCs w:val="21"/>
                    </w:rPr>
                  </w:pPr>
                </w:p>
              </w:tc>
              <w:tc>
                <w:tcPr>
                  <w:tcW w:w="473" w:type="pct"/>
                  <w:vMerge w:val="continue"/>
                  <w:vAlign w:val="center"/>
                </w:tcPr>
                <w:p>
                  <w:pPr>
                    <w:tabs>
                      <w:tab w:val="left" w:pos="6840"/>
                    </w:tabs>
                    <w:spacing w:line="270" w:lineRule="exact"/>
                    <w:jc w:val="center"/>
                    <w:rPr>
                      <w:color w:val="auto"/>
                      <w:szCs w:val="21"/>
                    </w:rPr>
                  </w:pPr>
                </w:p>
              </w:tc>
              <w:tc>
                <w:tcPr>
                  <w:tcW w:w="484" w:type="pct"/>
                  <w:vMerge w:val="continue"/>
                  <w:vAlign w:val="center"/>
                </w:tcPr>
                <w:p>
                  <w:pPr>
                    <w:tabs>
                      <w:tab w:val="left" w:pos="6840"/>
                    </w:tabs>
                    <w:spacing w:line="270" w:lineRule="exact"/>
                    <w:jc w:val="center"/>
                    <w:rPr>
                      <w:color w:val="auto"/>
                      <w:szCs w:val="21"/>
                    </w:rPr>
                  </w:pPr>
                </w:p>
              </w:tc>
              <w:tc>
                <w:tcPr>
                  <w:tcW w:w="439" w:type="pct"/>
                  <w:vMerge w:val="continue"/>
                  <w:vAlign w:val="center"/>
                </w:tcPr>
                <w:p>
                  <w:pPr>
                    <w:tabs>
                      <w:tab w:val="left" w:pos="6840"/>
                    </w:tabs>
                    <w:spacing w:line="270" w:lineRule="exact"/>
                    <w:jc w:val="center"/>
                    <w:rPr>
                      <w:color w:val="auto"/>
                      <w:szCs w:val="21"/>
                    </w:rPr>
                  </w:pPr>
                </w:p>
              </w:tc>
              <w:tc>
                <w:tcPr>
                  <w:tcW w:w="446" w:type="pct"/>
                  <w:vMerge w:val="continue"/>
                  <w:vAlign w:val="center"/>
                </w:tcPr>
                <w:p>
                  <w:pPr>
                    <w:tabs>
                      <w:tab w:val="left" w:pos="6840"/>
                    </w:tabs>
                    <w:spacing w:line="270" w:lineRule="exact"/>
                    <w:jc w:val="center"/>
                    <w:rPr>
                      <w:color w:val="auto"/>
                      <w:szCs w:val="21"/>
                    </w:rPr>
                  </w:pPr>
                </w:p>
              </w:tc>
              <w:tc>
                <w:tcPr>
                  <w:tcW w:w="624" w:type="pct"/>
                  <w:vMerge w:val="continue"/>
                  <w:vAlign w:val="center"/>
                </w:tcPr>
                <w:p>
                  <w:pPr>
                    <w:tabs>
                      <w:tab w:val="left" w:pos="6840"/>
                    </w:tabs>
                    <w:spacing w:line="270" w:lineRule="exact"/>
                    <w:jc w:val="center"/>
                    <w:rPr>
                      <w:color w:val="auto"/>
                      <w:szCs w:val="21"/>
                    </w:rPr>
                  </w:pPr>
                </w:p>
              </w:tc>
              <w:tc>
                <w:tcPr>
                  <w:tcW w:w="374" w:type="pct"/>
                  <w:vMerge w:val="continue"/>
                  <w:vAlign w:val="center"/>
                </w:tcPr>
                <w:p>
                  <w:pPr>
                    <w:tabs>
                      <w:tab w:val="left" w:pos="6840"/>
                    </w:tabs>
                    <w:spacing w:line="270" w:lineRule="exact"/>
                    <w:jc w:val="center"/>
                    <w:rPr>
                      <w:color w:val="auto"/>
                      <w:szCs w:val="21"/>
                    </w:rPr>
                  </w:pPr>
                </w:p>
              </w:tc>
              <w:tc>
                <w:tcPr>
                  <w:tcW w:w="400" w:type="pct"/>
                  <w:vMerge w:val="continue"/>
                  <w:vAlign w:val="center"/>
                </w:tcPr>
                <w:p>
                  <w:pPr>
                    <w:tabs>
                      <w:tab w:val="left" w:pos="6840"/>
                    </w:tabs>
                    <w:spacing w:line="270" w:lineRule="exact"/>
                    <w:jc w:val="center"/>
                    <w:rPr>
                      <w:color w:val="auto"/>
                      <w:szCs w:val="21"/>
                    </w:rPr>
                  </w:pPr>
                </w:p>
              </w:tc>
              <w:tc>
                <w:tcPr>
                  <w:tcW w:w="513" w:type="pct"/>
                  <w:vAlign w:val="center"/>
                </w:tcPr>
                <w:p>
                  <w:pPr>
                    <w:tabs>
                      <w:tab w:val="left" w:pos="6840"/>
                    </w:tabs>
                    <w:spacing w:line="270" w:lineRule="exact"/>
                    <w:jc w:val="center"/>
                    <w:rPr>
                      <w:color w:val="auto"/>
                      <w:szCs w:val="21"/>
                    </w:rPr>
                  </w:pPr>
                  <w:r>
                    <w:rPr>
                      <w:color w:val="auto"/>
                      <w:szCs w:val="21"/>
                    </w:rPr>
                    <w:t>SS</w:t>
                  </w:r>
                </w:p>
              </w:tc>
              <w:tc>
                <w:tcPr>
                  <w:tcW w:w="723" w:type="pct"/>
                  <w:vAlign w:val="center"/>
                </w:tcPr>
                <w:p>
                  <w:pPr>
                    <w:tabs>
                      <w:tab w:val="left" w:pos="6840"/>
                    </w:tabs>
                    <w:spacing w:line="270" w:lineRule="exact"/>
                    <w:jc w:val="center"/>
                    <w:rPr>
                      <w:color w:val="auto"/>
                      <w:szCs w:val="21"/>
                    </w:rPr>
                  </w:pPr>
                  <w:r>
                    <w:rPr>
                      <w:rFonts w:hint="eastAsia"/>
                      <w:color w:val="auto"/>
                      <w:szCs w:val="21"/>
                    </w:rPr>
                    <w:t>10</w:t>
                  </w:r>
                </w:p>
              </w:tc>
              <w:tc>
                <w:tcPr>
                  <w:tcW w:w="356" w:type="pct"/>
                  <w:vMerge w:val="continue"/>
                  <w:vAlign w:val="center"/>
                </w:tcPr>
                <w:p>
                  <w:pPr>
                    <w:tabs>
                      <w:tab w:val="left" w:pos="6840"/>
                    </w:tabs>
                    <w:spacing w:line="27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 w:type="pct"/>
                  <w:vMerge w:val="continue"/>
                  <w:vAlign w:val="center"/>
                </w:tcPr>
                <w:p>
                  <w:pPr>
                    <w:tabs>
                      <w:tab w:val="left" w:pos="6840"/>
                    </w:tabs>
                    <w:spacing w:line="270" w:lineRule="exact"/>
                    <w:jc w:val="center"/>
                    <w:rPr>
                      <w:color w:val="auto"/>
                      <w:szCs w:val="21"/>
                    </w:rPr>
                  </w:pPr>
                </w:p>
              </w:tc>
              <w:tc>
                <w:tcPr>
                  <w:tcW w:w="473" w:type="pct"/>
                  <w:vMerge w:val="continue"/>
                  <w:vAlign w:val="center"/>
                </w:tcPr>
                <w:p>
                  <w:pPr>
                    <w:tabs>
                      <w:tab w:val="left" w:pos="6840"/>
                    </w:tabs>
                    <w:spacing w:line="270" w:lineRule="exact"/>
                    <w:jc w:val="center"/>
                    <w:rPr>
                      <w:color w:val="auto"/>
                      <w:szCs w:val="21"/>
                    </w:rPr>
                  </w:pPr>
                </w:p>
              </w:tc>
              <w:tc>
                <w:tcPr>
                  <w:tcW w:w="484" w:type="pct"/>
                  <w:vMerge w:val="continue"/>
                  <w:vAlign w:val="center"/>
                </w:tcPr>
                <w:p>
                  <w:pPr>
                    <w:tabs>
                      <w:tab w:val="left" w:pos="6840"/>
                    </w:tabs>
                    <w:spacing w:line="270" w:lineRule="exact"/>
                    <w:jc w:val="center"/>
                    <w:rPr>
                      <w:color w:val="auto"/>
                      <w:szCs w:val="21"/>
                    </w:rPr>
                  </w:pPr>
                </w:p>
              </w:tc>
              <w:tc>
                <w:tcPr>
                  <w:tcW w:w="439" w:type="pct"/>
                  <w:vMerge w:val="continue"/>
                  <w:vAlign w:val="center"/>
                </w:tcPr>
                <w:p>
                  <w:pPr>
                    <w:tabs>
                      <w:tab w:val="left" w:pos="6840"/>
                    </w:tabs>
                    <w:spacing w:line="270" w:lineRule="exact"/>
                    <w:jc w:val="center"/>
                    <w:rPr>
                      <w:color w:val="auto"/>
                      <w:szCs w:val="21"/>
                    </w:rPr>
                  </w:pPr>
                </w:p>
              </w:tc>
              <w:tc>
                <w:tcPr>
                  <w:tcW w:w="446" w:type="pct"/>
                  <w:vMerge w:val="continue"/>
                  <w:vAlign w:val="center"/>
                </w:tcPr>
                <w:p>
                  <w:pPr>
                    <w:tabs>
                      <w:tab w:val="left" w:pos="6840"/>
                    </w:tabs>
                    <w:spacing w:line="270" w:lineRule="exact"/>
                    <w:jc w:val="center"/>
                    <w:rPr>
                      <w:color w:val="auto"/>
                      <w:szCs w:val="21"/>
                    </w:rPr>
                  </w:pPr>
                </w:p>
              </w:tc>
              <w:tc>
                <w:tcPr>
                  <w:tcW w:w="624" w:type="pct"/>
                  <w:vMerge w:val="continue"/>
                  <w:vAlign w:val="center"/>
                </w:tcPr>
                <w:p>
                  <w:pPr>
                    <w:tabs>
                      <w:tab w:val="left" w:pos="6840"/>
                    </w:tabs>
                    <w:spacing w:line="270" w:lineRule="exact"/>
                    <w:jc w:val="center"/>
                    <w:rPr>
                      <w:color w:val="auto"/>
                      <w:szCs w:val="21"/>
                    </w:rPr>
                  </w:pPr>
                </w:p>
              </w:tc>
              <w:tc>
                <w:tcPr>
                  <w:tcW w:w="374" w:type="pct"/>
                  <w:vMerge w:val="continue"/>
                  <w:vAlign w:val="center"/>
                </w:tcPr>
                <w:p>
                  <w:pPr>
                    <w:tabs>
                      <w:tab w:val="left" w:pos="6840"/>
                    </w:tabs>
                    <w:spacing w:line="270" w:lineRule="exact"/>
                    <w:jc w:val="center"/>
                    <w:rPr>
                      <w:color w:val="auto"/>
                      <w:szCs w:val="21"/>
                    </w:rPr>
                  </w:pPr>
                </w:p>
              </w:tc>
              <w:tc>
                <w:tcPr>
                  <w:tcW w:w="400" w:type="pct"/>
                  <w:vMerge w:val="continue"/>
                  <w:vAlign w:val="center"/>
                </w:tcPr>
                <w:p>
                  <w:pPr>
                    <w:tabs>
                      <w:tab w:val="left" w:pos="6840"/>
                    </w:tabs>
                    <w:spacing w:line="270" w:lineRule="exact"/>
                    <w:jc w:val="center"/>
                    <w:rPr>
                      <w:color w:val="auto"/>
                      <w:szCs w:val="21"/>
                    </w:rPr>
                  </w:pPr>
                </w:p>
              </w:tc>
              <w:tc>
                <w:tcPr>
                  <w:tcW w:w="513" w:type="pct"/>
                  <w:vAlign w:val="center"/>
                </w:tcPr>
                <w:p>
                  <w:pPr>
                    <w:tabs>
                      <w:tab w:val="left" w:pos="6840"/>
                    </w:tabs>
                    <w:spacing w:line="270" w:lineRule="exact"/>
                    <w:jc w:val="center"/>
                    <w:rPr>
                      <w:color w:val="auto"/>
                      <w:szCs w:val="21"/>
                    </w:rPr>
                  </w:pPr>
                  <w:r>
                    <w:rPr>
                      <w:color w:val="auto"/>
                      <w:szCs w:val="21"/>
                    </w:rPr>
                    <w:t>NH</w:t>
                  </w:r>
                  <w:r>
                    <w:rPr>
                      <w:color w:val="auto"/>
                      <w:szCs w:val="21"/>
                      <w:vertAlign w:val="subscript"/>
                    </w:rPr>
                    <w:t>3</w:t>
                  </w:r>
                  <w:r>
                    <w:rPr>
                      <w:color w:val="auto"/>
                      <w:szCs w:val="21"/>
                    </w:rPr>
                    <w:t>-N</w:t>
                  </w:r>
                </w:p>
              </w:tc>
              <w:tc>
                <w:tcPr>
                  <w:tcW w:w="723" w:type="pct"/>
                  <w:vAlign w:val="center"/>
                </w:tcPr>
                <w:p>
                  <w:pPr>
                    <w:tabs>
                      <w:tab w:val="left" w:pos="6840"/>
                    </w:tabs>
                    <w:spacing w:line="270" w:lineRule="exact"/>
                    <w:jc w:val="center"/>
                    <w:rPr>
                      <w:color w:val="auto"/>
                      <w:szCs w:val="21"/>
                    </w:rPr>
                  </w:pPr>
                  <w:r>
                    <w:rPr>
                      <w:rFonts w:hint="eastAsia"/>
                      <w:color w:val="auto"/>
                      <w:szCs w:val="21"/>
                    </w:rPr>
                    <w:t>4</w:t>
                  </w:r>
                </w:p>
              </w:tc>
              <w:tc>
                <w:tcPr>
                  <w:tcW w:w="356" w:type="pct"/>
                  <w:vMerge w:val="continue"/>
                  <w:vAlign w:val="center"/>
                </w:tcPr>
                <w:p>
                  <w:pPr>
                    <w:tabs>
                      <w:tab w:val="left" w:pos="6840"/>
                    </w:tabs>
                    <w:spacing w:line="27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 w:type="pct"/>
                  <w:vMerge w:val="continue"/>
                  <w:vAlign w:val="center"/>
                </w:tcPr>
                <w:p>
                  <w:pPr>
                    <w:tabs>
                      <w:tab w:val="left" w:pos="6840"/>
                    </w:tabs>
                    <w:spacing w:line="270" w:lineRule="exact"/>
                    <w:jc w:val="center"/>
                    <w:rPr>
                      <w:color w:val="auto"/>
                      <w:szCs w:val="21"/>
                    </w:rPr>
                  </w:pPr>
                </w:p>
              </w:tc>
              <w:tc>
                <w:tcPr>
                  <w:tcW w:w="473" w:type="pct"/>
                  <w:vMerge w:val="continue"/>
                  <w:vAlign w:val="center"/>
                </w:tcPr>
                <w:p>
                  <w:pPr>
                    <w:tabs>
                      <w:tab w:val="left" w:pos="6840"/>
                    </w:tabs>
                    <w:spacing w:line="270" w:lineRule="exact"/>
                    <w:jc w:val="center"/>
                    <w:rPr>
                      <w:color w:val="auto"/>
                      <w:szCs w:val="21"/>
                    </w:rPr>
                  </w:pPr>
                </w:p>
              </w:tc>
              <w:tc>
                <w:tcPr>
                  <w:tcW w:w="484" w:type="pct"/>
                  <w:vMerge w:val="continue"/>
                  <w:vAlign w:val="center"/>
                </w:tcPr>
                <w:p>
                  <w:pPr>
                    <w:tabs>
                      <w:tab w:val="left" w:pos="6840"/>
                    </w:tabs>
                    <w:spacing w:line="270" w:lineRule="exact"/>
                    <w:jc w:val="center"/>
                    <w:rPr>
                      <w:color w:val="auto"/>
                      <w:szCs w:val="21"/>
                    </w:rPr>
                  </w:pPr>
                </w:p>
              </w:tc>
              <w:tc>
                <w:tcPr>
                  <w:tcW w:w="439" w:type="pct"/>
                  <w:vMerge w:val="continue"/>
                  <w:vAlign w:val="center"/>
                </w:tcPr>
                <w:p>
                  <w:pPr>
                    <w:tabs>
                      <w:tab w:val="left" w:pos="6840"/>
                    </w:tabs>
                    <w:spacing w:line="270" w:lineRule="exact"/>
                    <w:jc w:val="center"/>
                    <w:rPr>
                      <w:color w:val="auto"/>
                      <w:szCs w:val="21"/>
                    </w:rPr>
                  </w:pPr>
                </w:p>
              </w:tc>
              <w:tc>
                <w:tcPr>
                  <w:tcW w:w="446" w:type="pct"/>
                  <w:vMerge w:val="continue"/>
                  <w:vAlign w:val="center"/>
                </w:tcPr>
                <w:p>
                  <w:pPr>
                    <w:tabs>
                      <w:tab w:val="left" w:pos="6840"/>
                    </w:tabs>
                    <w:spacing w:line="270" w:lineRule="exact"/>
                    <w:jc w:val="center"/>
                    <w:rPr>
                      <w:color w:val="auto"/>
                      <w:szCs w:val="21"/>
                    </w:rPr>
                  </w:pPr>
                </w:p>
              </w:tc>
              <w:tc>
                <w:tcPr>
                  <w:tcW w:w="624" w:type="pct"/>
                  <w:vMerge w:val="continue"/>
                  <w:vAlign w:val="center"/>
                </w:tcPr>
                <w:p>
                  <w:pPr>
                    <w:tabs>
                      <w:tab w:val="left" w:pos="6840"/>
                    </w:tabs>
                    <w:spacing w:line="270" w:lineRule="exact"/>
                    <w:jc w:val="center"/>
                    <w:rPr>
                      <w:color w:val="auto"/>
                      <w:szCs w:val="21"/>
                    </w:rPr>
                  </w:pPr>
                </w:p>
              </w:tc>
              <w:tc>
                <w:tcPr>
                  <w:tcW w:w="374" w:type="pct"/>
                  <w:vMerge w:val="continue"/>
                  <w:vAlign w:val="center"/>
                </w:tcPr>
                <w:p>
                  <w:pPr>
                    <w:tabs>
                      <w:tab w:val="left" w:pos="6840"/>
                    </w:tabs>
                    <w:spacing w:line="270" w:lineRule="exact"/>
                    <w:jc w:val="center"/>
                    <w:rPr>
                      <w:color w:val="auto"/>
                      <w:szCs w:val="21"/>
                    </w:rPr>
                  </w:pPr>
                </w:p>
              </w:tc>
              <w:tc>
                <w:tcPr>
                  <w:tcW w:w="400" w:type="pct"/>
                  <w:vMerge w:val="continue"/>
                  <w:vAlign w:val="center"/>
                </w:tcPr>
                <w:p>
                  <w:pPr>
                    <w:tabs>
                      <w:tab w:val="left" w:pos="6840"/>
                    </w:tabs>
                    <w:spacing w:line="270" w:lineRule="exact"/>
                    <w:jc w:val="center"/>
                    <w:rPr>
                      <w:color w:val="auto"/>
                      <w:szCs w:val="21"/>
                    </w:rPr>
                  </w:pPr>
                </w:p>
              </w:tc>
              <w:tc>
                <w:tcPr>
                  <w:tcW w:w="513" w:type="pct"/>
                  <w:vAlign w:val="center"/>
                </w:tcPr>
                <w:p>
                  <w:pPr>
                    <w:tabs>
                      <w:tab w:val="left" w:pos="6840"/>
                    </w:tabs>
                    <w:spacing w:line="270" w:lineRule="exact"/>
                    <w:jc w:val="center"/>
                    <w:rPr>
                      <w:color w:val="auto"/>
                      <w:szCs w:val="21"/>
                    </w:rPr>
                  </w:pPr>
                  <w:r>
                    <w:rPr>
                      <w:color w:val="auto"/>
                      <w:szCs w:val="21"/>
                    </w:rPr>
                    <w:t>TP</w:t>
                  </w:r>
                </w:p>
              </w:tc>
              <w:tc>
                <w:tcPr>
                  <w:tcW w:w="723" w:type="pct"/>
                  <w:vAlign w:val="center"/>
                </w:tcPr>
                <w:p>
                  <w:pPr>
                    <w:tabs>
                      <w:tab w:val="left" w:pos="6840"/>
                    </w:tabs>
                    <w:spacing w:line="270" w:lineRule="exact"/>
                    <w:jc w:val="center"/>
                    <w:rPr>
                      <w:color w:val="auto"/>
                      <w:szCs w:val="21"/>
                    </w:rPr>
                  </w:pPr>
                  <w:r>
                    <w:rPr>
                      <w:rFonts w:hint="eastAsia"/>
                      <w:color w:val="auto"/>
                      <w:szCs w:val="21"/>
                    </w:rPr>
                    <w:t>0.5</w:t>
                  </w:r>
                </w:p>
              </w:tc>
              <w:tc>
                <w:tcPr>
                  <w:tcW w:w="356" w:type="pct"/>
                  <w:vMerge w:val="continue"/>
                  <w:vAlign w:val="center"/>
                </w:tcPr>
                <w:p>
                  <w:pPr>
                    <w:tabs>
                      <w:tab w:val="left" w:pos="6840"/>
                    </w:tabs>
                    <w:spacing w:line="27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vMerge w:val="continue"/>
                  <w:vAlign w:val="center"/>
                </w:tcPr>
                <w:p>
                  <w:pPr>
                    <w:tabs>
                      <w:tab w:val="left" w:pos="6840"/>
                    </w:tabs>
                    <w:spacing w:line="270" w:lineRule="exact"/>
                    <w:jc w:val="center"/>
                    <w:rPr>
                      <w:color w:val="auto"/>
                      <w:szCs w:val="21"/>
                    </w:rPr>
                  </w:pPr>
                </w:p>
              </w:tc>
              <w:tc>
                <w:tcPr>
                  <w:tcW w:w="473" w:type="pct"/>
                  <w:vMerge w:val="continue"/>
                  <w:vAlign w:val="center"/>
                </w:tcPr>
                <w:p>
                  <w:pPr>
                    <w:tabs>
                      <w:tab w:val="left" w:pos="6840"/>
                    </w:tabs>
                    <w:spacing w:line="270" w:lineRule="exact"/>
                    <w:jc w:val="center"/>
                    <w:rPr>
                      <w:color w:val="auto"/>
                      <w:szCs w:val="21"/>
                    </w:rPr>
                  </w:pPr>
                </w:p>
              </w:tc>
              <w:tc>
                <w:tcPr>
                  <w:tcW w:w="484" w:type="pct"/>
                  <w:vMerge w:val="continue"/>
                  <w:vAlign w:val="center"/>
                </w:tcPr>
                <w:p>
                  <w:pPr>
                    <w:tabs>
                      <w:tab w:val="left" w:pos="6840"/>
                    </w:tabs>
                    <w:spacing w:line="270" w:lineRule="exact"/>
                    <w:jc w:val="center"/>
                    <w:rPr>
                      <w:color w:val="auto"/>
                      <w:szCs w:val="21"/>
                    </w:rPr>
                  </w:pPr>
                </w:p>
              </w:tc>
              <w:tc>
                <w:tcPr>
                  <w:tcW w:w="439" w:type="pct"/>
                  <w:vMerge w:val="continue"/>
                  <w:vAlign w:val="center"/>
                </w:tcPr>
                <w:p>
                  <w:pPr>
                    <w:tabs>
                      <w:tab w:val="left" w:pos="6840"/>
                    </w:tabs>
                    <w:spacing w:line="270" w:lineRule="exact"/>
                    <w:jc w:val="center"/>
                    <w:rPr>
                      <w:color w:val="auto"/>
                      <w:szCs w:val="21"/>
                    </w:rPr>
                  </w:pPr>
                </w:p>
              </w:tc>
              <w:tc>
                <w:tcPr>
                  <w:tcW w:w="446" w:type="pct"/>
                  <w:vMerge w:val="continue"/>
                  <w:vAlign w:val="center"/>
                </w:tcPr>
                <w:p>
                  <w:pPr>
                    <w:tabs>
                      <w:tab w:val="left" w:pos="6840"/>
                    </w:tabs>
                    <w:spacing w:line="270" w:lineRule="exact"/>
                    <w:jc w:val="center"/>
                    <w:rPr>
                      <w:color w:val="auto"/>
                      <w:szCs w:val="21"/>
                    </w:rPr>
                  </w:pPr>
                </w:p>
              </w:tc>
              <w:tc>
                <w:tcPr>
                  <w:tcW w:w="624" w:type="pct"/>
                  <w:vMerge w:val="continue"/>
                  <w:vAlign w:val="center"/>
                </w:tcPr>
                <w:p>
                  <w:pPr>
                    <w:tabs>
                      <w:tab w:val="left" w:pos="6840"/>
                    </w:tabs>
                    <w:spacing w:line="270" w:lineRule="exact"/>
                    <w:jc w:val="center"/>
                    <w:rPr>
                      <w:color w:val="auto"/>
                      <w:szCs w:val="21"/>
                    </w:rPr>
                  </w:pPr>
                </w:p>
              </w:tc>
              <w:tc>
                <w:tcPr>
                  <w:tcW w:w="374" w:type="pct"/>
                  <w:vMerge w:val="continue"/>
                  <w:vAlign w:val="center"/>
                </w:tcPr>
                <w:p>
                  <w:pPr>
                    <w:tabs>
                      <w:tab w:val="left" w:pos="6840"/>
                    </w:tabs>
                    <w:spacing w:line="270" w:lineRule="exact"/>
                    <w:jc w:val="center"/>
                    <w:rPr>
                      <w:color w:val="auto"/>
                      <w:szCs w:val="21"/>
                    </w:rPr>
                  </w:pPr>
                </w:p>
              </w:tc>
              <w:tc>
                <w:tcPr>
                  <w:tcW w:w="400" w:type="pct"/>
                  <w:vMerge w:val="continue"/>
                  <w:vAlign w:val="center"/>
                </w:tcPr>
                <w:p>
                  <w:pPr>
                    <w:tabs>
                      <w:tab w:val="left" w:pos="6840"/>
                    </w:tabs>
                    <w:spacing w:line="270" w:lineRule="exact"/>
                    <w:jc w:val="center"/>
                    <w:rPr>
                      <w:color w:val="auto"/>
                      <w:szCs w:val="21"/>
                    </w:rPr>
                  </w:pPr>
                </w:p>
              </w:tc>
              <w:tc>
                <w:tcPr>
                  <w:tcW w:w="513" w:type="pct"/>
                  <w:vAlign w:val="center"/>
                </w:tcPr>
                <w:p>
                  <w:pPr>
                    <w:tabs>
                      <w:tab w:val="left" w:pos="6840"/>
                    </w:tabs>
                    <w:spacing w:line="270" w:lineRule="exact"/>
                    <w:jc w:val="center"/>
                    <w:rPr>
                      <w:color w:val="auto"/>
                      <w:szCs w:val="21"/>
                    </w:rPr>
                  </w:pPr>
                  <w:r>
                    <w:rPr>
                      <w:color w:val="auto"/>
                      <w:szCs w:val="21"/>
                    </w:rPr>
                    <w:t>TN</w:t>
                  </w:r>
                </w:p>
              </w:tc>
              <w:tc>
                <w:tcPr>
                  <w:tcW w:w="723" w:type="pct"/>
                  <w:vAlign w:val="center"/>
                </w:tcPr>
                <w:p>
                  <w:pPr>
                    <w:tabs>
                      <w:tab w:val="left" w:pos="6840"/>
                    </w:tabs>
                    <w:spacing w:line="270" w:lineRule="exact"/>
                    <w:jc w:val="center"/>
                    <w:rPr>
                      <w:color w:val="auto"/>
                      <w:szCs w:val="21"/>
                    </w:rPr>
                  </w:pPr>
                  <w:r>
                    <w:rPr>
                      <w:rFonts w:hint="eastAsia"/>
                      <w:color w:val="auto"/>
                      <w:szCs w:val="21"/>
                    </w:rPr>
                    <w:t>12</w:t>
                  </w:r>
                </w:p>
              </w:tc>
              <w:tc>
                <w:tcPr>
                  <w:tcW w:w="356" w:type="pct"/>
                  <w:vMerge w:val="continue"/>
                  <w:vAlign w:val="center"/>
                </w:tcPr>
                <w:p>
                  <w:pPr>
                    <w:tabs>
                      <w:tab w:val="left" w:pos="6840"/>
                    </w:tabs>
                    <w:spacing w:line="270" w:lineRule="exact"/>
                    <w:jc w:val="center"/>
                    <w:rPr>
                      <w:color w:val="auto"/>
                      <w:szCs w:val="21"/>
                    </w:rPr>
                  </w:pPr>
                </w:p>
              </w:tc>
            </w:tr>
          </w:tbl>
          <w:p>
            <w:pPr>
              <w:spacing w:before="120" w:beforeLines="50"/>
              <w:ind w:firstLine="422" w:firstLineChars="200"/>
              <w:jc w:val="center"/>
              <w:rPr>
                <w:b/>
                <w:bCs/>
                <w:color w:val="auto"/>
                <w:kern w:val="0"/>
                <w:szCs w:val="21"/>
              </w:rPr>
            </w:pPr>
            <w:r>
              <w:rPr>
                <w:b/>
                <w:bCs/>
                <w:color w:val="auto"/>
                <w:kern w:val="0"/>
                <w:szCs w:val="21"/>
              </w:rPr>
              <w:t>表4-</w:t>
            </w:r>
            <w:r>
              <w:rPr>
                <w:rFonts w:hint="eastAsia"/>
                <w:b/>
                <w:bCs/>
                <w:color w:val="auto"/>
                <w:kern w:val="0"/>
                <w:szCs w:val="21"/>
              </w:rPr>
              <w:t>1</w:t>
            </w:r>
            <w:r>
              <w:rPr>
                <w:rFonts w:hint="eastAsia"/>
                <w:b/>
                <w:bCs/>
                <w:color w:val="auto"/>
                <w:kern w:val="0"/>
                <w:szCs w:val="21"/>
                <w:lang w:val="en-US" w:eastAsia="zh-CN"/>
              </w:rPr>
              <w:t>2</w:t>
            </w:r>
            <w:r>
              <w:rPr>
                <w:rFonts w:hint="eastAsia"/>
                <w:b/>
                <w:bCs/>
                <w:color w:val="auto"/>
                <w:kern w:val="0"/>
                <w:szCs w:val="21"/>
              </w:rPr>
              <w:t xml:space="preserve">  </w:t>
            </w:r>
            <w:r>
              <w:rPr>
                <w:b/>
                <w:bCs/>
                <w:color w:val="auto"/>
                <w:kern w:val="0"/>
                <w:szCs w:val="21"/>
              </w:rPr>
              <w:t>废水污染物排放执行标准表</w:t>
            </w:r>
          </w:p>
          <w:tbl>
            <w:tblPr>
              <w:tblStyle w:val="27"/>
              <w:tblW w:w="4998" w:type="pct"/>
              <w:tblInd w:w="5"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66"/>
              <w:gridCol w:w="842"/>
              <w:gridCol w:w="1251"/>
              <w:gridCol w:w="3373"/>
              <w:gridCol w:w="1382"/>
              <w:gridCol w:w="692"/>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6" w:type="pct"/>
                  <w:vMerge w:val="restart"/>
                  <w:tcBorders>
                    <w:tl2br w:val="nil"/>
                    <w:tr2bl w:val="nil"/>
                  </w:tcBorders>
                  <w:vAlign w:val="center"/>
                </w:tcPr>
                <w:p>
                  <w:pPr>
                    <w:jc w:val="center"/>
                    <w:rPr>
                      <w:b/>
                      <w:bCs/>
                      <w:color w:val="auto"/>
                      <w:kern w:val="0"/>
                      <w:szCs w:val="21"/>
                    </w:rPr>
                  </w:pPr>
                  <w:r>
                    <w:rPr>
                      <w:b/>
                      <w:bCs/>
                      <w:color w:val="auto"/>
                      <w:kern w:val="0"/>
                      <w:szCs w:val="21"/>
                    </w:rPr>
                    <w:t>序号</w:t>
                  </w:r>
                </w:p>
              </w:tc>
              <w:tc>
                <w:tcPr>
                  <w:tcW w:w="513" w:type="pct"/>
                  <w:vMerge w:val="restart"/>
                  <w:tcBorders>
                    <w:tl2br w:val="nil"/>
                    <w:tr2bl w:val="nil"/>
                  </w:tcBorders>
                  <w:vAlign w:val="center"/>
                </w:tcPr>
                <w:p>
                  <w:pPr>
                    <w:jc w:val="center"/>
                    <w:rPr>
                      <w:b/>
                      <w:bCs/>
                      <w:color w:val="auto"/>
                      <w:kern w:val="0"/>
                      <w:szCs w:val="21"/>
                    </w:rPr>
                  </w:pPr>
                  <w:r>
                    <w:rPr>
                      <w:b/>
                      <w:bCs/>
                      <w:color w:val="auto"/>
                      <w:kern w:val="0"/>
                      <w:szCs w:val="21"/>
                    </w:rPr>
                    <w:t>排放口编号</w:t>
                  </w:r>
                </w:p>
              </w:tc>
              <w:tc>
                <w:tcPr>
                  <w:tcW w:w="762" w:type="pct"/>
                  <w:vMerge w:val="restart"/>
                  <w:tcBorders>
                    <w:tl2br w:val="nil"/>
                    <w:tr2bl w:val="nil"/>
                  </w:tcBorders>
                  <w:vAlign w:val="center"/>
                </w:tcPr>
                <w:p>
                  <w:pPr>
                    <w:jc w:val="center"/>
                    <w:rPr>
                      <w:b/>
                      <w:bCs/>
                      <w:color w:val="auto"/>
                      <w:kern w:val="0"/>
                      <w:szCs w:val="21"/>
                    </w:rPr>
                  </w:pPr>
                </w:p>
                <w:p>
                  <w:pPr>
                    <w:jc w:val="center"/>
                    <w:rPr>
                      <w:b/>
                      <w:bCs/>
                      <w:color w:val="auto"/>
                      <w:kern w:val="0"/>
                      <w:szCs w:val="21"/>
                    </w:rPr>
                  </w:pPr>
                  <w:r>
                    <w:rPr>
                      <w:b/>
                      <w:bCs/>
                      <w:color w:val="auto"/>
                      <w:kern w:val="0"/>
                      <w:szCs w:val="21"/>
                    </w:rPr>
                    <w:t>污染物种类</w:t>
                  </w:r>
                </w:p>
              </w:tc>
              <w:tc>
                <w:tcPr>
                  <w:tcW w:w="3318" w:type="pct"/>
                  <w:gridSpan w:val="3"/>
                  <w:tcBorders>
                    <w:tl2br w:val="nil"/>
                    <w:tr2bl w:val="nil"/>
                  </w:tcBorders>
                  <w:vAlign w:val="center"/>
                </w:tcPr>
                <w:p>
                  <w:pPr>
                    <w:jc w:val="center"/>
                    <w:rPr>
                      <w:b/>
                      <w:bCs/>
                      <w:color w:val="auto"/>
                      <w:kern w:val="0"/>
                      <w:szCs w:val="21"/>
                    </w:rPr>
                  </w:pPr>
                  <w:r>
                    <w:rPr>
                      <w:b/>
                      <w:bCs/>
                      <w:color w:val="auto"/>
                      <w:kern w:val="0"/>
                      <w:szCs w:val="21"/>
                    </w:rPr>
                    <w:t>国家或地方排放标准及其他按规定商议的排放协议</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6" w:type="pct"/>
                  <w:vMerge w:val="continue"/>
                  <w:tcBorders>
                    <w:tl2br w:val="nil"/>
                    <w:tr2bl w:val="nil"/>
                  </w:tcBorders>
                  <w:vAlign w:val="center"/>
                </w:tcPr>
                <w:p>
                  <w:pPr>
                    <w:jc w:val="center"/>
                    <w:rPr>
                      <w:b/>
                      <w:bCs/>
                      <w:color w:val="auto"/>
                      <w:kern w:val="0"/>
                      <w:szCs w:val="21"/>
                    </w:rPr>
                  </w:pPr>
                </w:p>
              </w:tc>
              <w:tc>
                <w:tcPr>
                  <w:tcW w:w="513" w:type="pct"/>
                  <w:vMerge w:val="continue"/>
                  <w:tcBorders>
                    <w:tl2br w:val="nil"/>
                    <w:tr2bl w:val="nil"/>
                  </w:tcBorders>
                  <w:vAlign w:val="center"/>
                </w:tcPr>
                <w:p>
                  <w:pPr>
                    <w:jc w:val="center"/>
                    <w:rPr>
                      <w:b/>
                      <w:bCs/>
                      <w:color w:val="auto"/>
                      <w:kern w:val="0"/>
                      <w:szCs w:val="21"/>
                    </w:rPr>
                  </w:pPr>
                </w:p>
              </w:tc>
              <w:tc>
                <w:tcPr>
                  <w:tcW w:w="762" w:type="pct"/>
                  <w:vMerge w:val="continue"/>
                  <w:tcBorders>
                    <w:tl2br w:val="nil"/>
                    <w:tr2bl w:val="nil"/>
                  </w:tcBorders>
                  <w:vAlign w:val="center"/>
                </w:tcPr>
                <w:p>
                  <w:pPr>
                    <w:jc w:val="center"/>
                    <w:rPr>
                      <w:b/>
                      <w:bCs/>
                      <w:color w:val="auto"/>
                      <w:kern w:val="0"/>
                      <w:szCs w:val="21"/>
                    </w:rPr>
                  </w:pPr>
                </w:p>
              </w:tc>
              <w:tc>
                <w:tcPr>
                  <w:tcW w:w="2055" w:type="pct"/>
                  <w:tcBorders>
                    <w:tl2br w:val="nil"/>
                    <w:tr2bl w:val="nil"/>
                  </w:tcBorders>
                  <w:vAlign w:val="center"/>
                </w:tcPr>
                <w:p>
                  <w:pPr>
                    <w:jc w:val="center"/>
                    <w:rPr>
                      <w:b/>
                      <w:bCs/>
                      <w:color w:val="auto"/>
                      <w:kern w:val="0"/>
                      <w:szCs w:val="21"/>
                    </w:rPr>
                  </w:pPr>
                  <w:r>
                    <w:rPr>
                      <w:b/>
                      <w:bCs/>
                      <w:color w:val="auto"/>
                      <w:kern w:val="0"/>
                      <w:szCs w:val="21"/>
                    </w:rPr>
                    <w:t>名称</w:t>
                  </w:r>
                </w:p>
              </w:tc>
              <w:tc>
                <w:tcPr>
                  <w:tcW w:w="1263" w:type="pct"/>
                  <w:gridSpan w:val="2"/>
                  <w:tcBorders>
                    <w:tl2br w:val="nil"/>
                    <w:tr2bl w:val="nil"/>
                  </w:tcBorders>
                  <w:vAlign w:val="center"/>
                </w:tcPr>
                <w:p>
                  <w:pPr>
                    <w:jc w:val="center"/>
                    <w:rPr>
                      <w:b/>
                      <w:bCs/>
                      <w:color w:val="auto"/>
                      <w:kern w:val="0"/>
                      <w:szCs w:val="21"/>
                    </w:rPr>
                  </w:pPr>
                  <w:r>
                    <w:rPr>
                      <w:b/>
                      <w:bCs/>
                      <w:color w:val="auto"/>
                      <w:kern w:val="0"/>
                      <w:szCs w:val="21"/>
                    </w:rPr>
                    <w:t>浓度限值（mg/L）</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6" w:type="pct"/>
                  <w:vMerge w:val="restart"/>
                  <w:tcBorders>
                    <w:tl2br w:val="nil"/>
                    <w:tr2bl w:val="nil"/>
                  </w:tcBorders>
                  <w:vAlign w:val="center"/>
                </w:tcPr>
                <w:p>
                  <w:pPr>
                    <w:jc w:val="center"/>
                    <w:rPr>
                      <w:color w:val="auto"/>
                      <w:kern w:val="0"/>
                      <w:szCs w:val="21"/>
                    </w:rPr>
                  </w:pPr>
                  <w:r>
                    <w:rPr>
                      <w:color w:val="auto"/>
                      <w:kern w:val="0"/>
                      <w:szCs w:val="21"/>
                    </w:rPr>
                    <w:t>1</w:t>
                  </w:r>
                </w:p>
              </w:tc>
              <w:tc>
                <w:tcPr>
                  <w:tcW w:w="513" w:type="pct"/>
                  <w:vMerge w:val="restart"/>
                  <w:tcBorders>
                    <w:tl2br w:val="nil"/>
                    <w:tr2bl w:val="nil"/>
                  </w:tcBorders>
                  <w:vAlign w:val="center"/>
                </w:tcPr>
                <w:p>
                  <w:pPr>
                    <w:jc w:val="center"/>
                    <w:rPr>
                      <w:color w:val="auto"/>
                      <w:kern w:val="0"/>
                      <w:szCs w:val="21"/>
                    </w:rPr>
                  </w:pPr>
                  <w:r>
                    <w:rPr>
                      <w:color w:val="auto"/>
                      <w:kern w:val="0"/>
                      <w:szCs w:val="21"/>
                    </w:rPr>
                    <w:t>DW</w:t>
                  </w:r>
                  <w:r>
                    <w:rPr>
                      <w:rFonts w:hint="eastAsia"/>
                      <w:color w:val="auto"/>
                      <w:kern w:val="0"/>
                      <w:szCs w:val="21"/>
                    </w:rPr>
                    <w:t>0</w:t>
                  </w:r>
                  <w:r>
                    <w:rPr>
                      <w:color w:val="auto"/>
                      <w:kern w:val="0"/>
                      <w:szCs w:val="21"/>
                    </w:rPr>
                    <w:t>01</w:t>
                  </w:r>
                </w:p>
              </w:tc>
              <w:tc>
                <w:tcPr>
                  <w:tcW w:w="762" w:type="pct"/>
                  <w:vMerge w:val="restart"/>
                  <w:tcBorders>
                    <w:tl2br w:val="nil"/>
                    <w:tr2bl w:val="nil"/>
                  </w:tcBorders>
                  <w:vAlign w:val="center"/>
                </w:tcPr>
                <w:p>
                  <w:pPr>
                    <w:jc w:val="center"/>
                    <w:rPr>
                      <w:color w:val="auto"/>
                      <w:kern w:val="0"/>
                      <w:szCs w:val="21"/>
                    </w:rPr>
                  </w:pPr>
                  <w:r>
                    <w:rPr>
                      <w:rFonts w:hint="eastAsia"/>
                      <w:color w:val="auto"/>
                      <w:kern w:val="0"/>
                      <w:szCs w:val="21"/>
                    </w:rPr>
                    <w:t>pH、</w:t>
                  </w:r>
                  <w:r>
                    <w:rPr>
                      <w:color w:val="auto"/>
                      <w:kern w:val="0"/>
                      <w:szCs w:val="21"/>
                    </w:rPr>
                    <w:t>COD、SS、NH</w:t>
                  </w:r>
                  <w:r>
                    <w:rPr>
                      <w:color w:val="auto"/>
                      <w:kern w:val="0"/>
                      <w:szCs w:val="21"/>
                      <w:vertAlign w:val="subscript"/>
                    </w:rPr>
                    <w:t>3</w:t>
                  </w:r>
                  <w:r>
                    <w:rPr>
                      <w:color w:val="auto"/>
                      <w:kern w:val="0"/>
                      <w:szCs w:val="21"/>
                    </w:rPr>
                    <w:t>-N、TP、TN</w:t>
                  </w:r>
                </w:p>
              </w:tc>
              <w:tc>
                <w:tcPr>
                  <w:tcW w:w="2055" w:type="pct"/>
                  <w:vMerge w:val="restart"/>
                  <w:tcBorders>
                    <w:tl2br w:val="nil"/>
                    <w:tr2bl w:val="nil"/>
                  </w:tcBorders>
                  <w:vAlign w:val="center"/>
                </w:tcPr>
                <w:p>
                  <w:pPr>
                    <w:jc w:val="center"/>
                    <w:rPr>
                      <w:color w:val="auto"/>
                      <w:kern w:val="0"/>
                      <w:szCs w:val="21"/>
                    </w:rPr>
                  </w:pPr>
                  <w:r>
                    <w:rPr>
                      <w:color w:val="auto"/>
                      <w:kern w:val="0"/>
                      <w:szCs w:val="21"/>
                    </w:rPr>
                    <w:t>金坛第二污水处理厂接管标准</w:t>
                  </w:r>
                </w:p>
              </w:tc>
              <w:tc>
                <w:tcPr>
                  <w:tcW w:w="842" w:type="pct"/>
                  <w:tcBorders>
                    <w:tl2br w:val="nil"/>
                    <w:tr2bl w:val="nil"/>
                  </w:tcBorders>
                  <w:vAlign w:val="center"/>
                </w:tcPr>
                <w:p>
                  <w:pPr>
                    <w:jc w:val="center"/>
                    <w:rPr>
                      <w:color w:val="auto"/>
                      <w:kern w:val="0"/>
                      <w:szCs w:val="21"/>
                    </w:rPr>
                  </w:pPr>
                  <w:r>
                    <w:rPr>
                      <w:rFonts w:hint="eastAsia"/>
                      <w:color w:val="auto"/>
                      <w:kern w:val="0"/>
                      <w:szCs w:val="21"/>
                    </w:rPr>
                    <w:t>pH</w:t>
                  </w:r>
                </w:p>
              </w:tc>
              <w:tc>
                <w:tcPr>
                  <w:tcW w:w="421" w:type="pct"/>
                  <w:tcBorders>
                    <w:tl2br w:val="nil"/>
                    <w:tr2bl w:val="nil"/>
                  </w:tcBorders>
                  <w:vAlign w:val="center"/>
                </w:tcPr>
                <w:p>
                  <w:pPr>
                    <w:jc w:val="center"/>
                    <w:rPr>
                      <w:color w:val="auto"/>
                      <w:kern w:val="0"/>
                      <w:szCs w:val="21"/>
                    </w:rPr>
                  </w:pPr>
                  <w:r>
                    <w:rPr>
                      <w:rFonts w:hint="eastAsia"/>
                      <w:color w:val="auto"/>
                      <w:kern w:val="0"/>
                      <w:szCs w:val="21"/>
                    </w:rPr>
                    <w:t>6~9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6" w:type="pct"/>
                  <w:vMerge w:val="continue"/>
                  <w:tcBorders>
                    <w:tl2br w:val="nil"/>
                    <w:tr2bl w:val="nil"/>
                  </w:tcBorders>
                  <w:vAlign w:val="center"/>
                </w:tcPr>
                <w:p>
                  <w:pPr>
                    <w:jc w:val="center"/>
                    <w:rPr>
                      <w:color w:val="auto"/>
                      <w:kern w:val="0"/>
                      <w:szCs w:val="21"/>
                    </w:rPr>
                  </w:pPr>
                </w:p>
              </w:tc>
              <w:tc>
                <w:tcPr>
                  <w:tcW w:w="513" w:type="pct"/>
                  <w:vMerge w:val="continue"/>
                  <w:tcBorders>
                    <w:tl2br w:val="nil"/>
                    <w:tr2bl w:val="nil"/>
                  </w:tcBorders>
                  <w:vAlign w:val="center"/>
                </w:tcPr>
                <w:p>
                  <w:pPr>
                    <w:jc w:val="center"/>
                    <w:rPr>
                      <w:color w:val="auto"/>
                      <w:kern w:val="0"/>
                      <w:szCs w:val="21"/>
                    </w:rPr>
                  </w:pPr>
                </w:p>
              </w:tc>
              <w:tc>
                <w:tcPr>
                  <w:tcW w:w="762" w:type="pct"/>
                  <w:vMerge w:val="continue"/>
                  <w:tcBorders>
                    <w:tl2br w:val="nil"/>
                    <w:tr2bl w:val="nil"/>
                  </w:tcBorders>
                  <w:vAlign w:val="center"/>
                </w:tcPr>
                <w:p>
                  <w:pPr>
                    <w:jc w:val="center"/>
                    <w:rPr>
                      <w:color w:val="auto"/>
                      <w:kern w:val="0"/>
                      <w:szCs w:val="21"/>
                    </w:rPr>
                  </w:pPr>
                </w:p>
              </w:tc>
              <w:tc>
                <w:tcPr>
                  <w:tcW w:w="2055" w:type="pct"/>
                  <w:vMerge w:val="continue"/>
                  <w:tcBorders>
                    <w:tl2br w:val="nil"/>
                    <w:tr2bl w:val="nil"/>
                  </w:tcBorders>
                  <w:vAlign w:val="center"/>
                </w:tcPr>
                <w:p>
                  <w:pPr>
                    <w:jc w:val="center"/>
                    <w:rPr>
                      <w:color w:val="auto"/>
                      <w:kern w:val="0"/>
                      <w:szCs w:val="21"/>
                    </w:rPr>
                  </w:pPr>
                </w:p>
              </w:tc>
              <w:tc>
                <w:tcPr>
                  <w:tcW w:w="842" w:type="pct"/>
                  <w:tcBorders>
                    <w:tl2br w:val="nil"/>
                    <w:tr2bl w:val="nil"/>
                  </w:tcBorders>
                  <w:vAlign w:val="center"/>
                </w:tcPr>
                <w:p>
                  <w:pPr>
                    <w:jc w:val="center"/>
                    <w:rPr>
                      <w:color w:val="auto"/>
                      <w:kern w:val="0"/>
                      <w:szCs w:val="21"/>
                    </w:rPr>
                  </w:pPr>
                  <w:r>
                    <w:rPr>
                      <w:color w:val="auto"/>
                      <w:kern w:val="0"/>
                      <w:szCs w:val="21"/>
                    </w:rPr>
                    <w:t>COD</w:t>
                  </w:r>
                </w:p>
              </w:tc>
              <w:tc>
                <w:tcPr>
                  <w:tcW w:w="696" w:type="dxa"/>
                  <w:tcBorders>
                    <w:tl2br w:val="nil"/>
                    <w:tr2bl w:val="nil"/>
                  </w:tcBorders>
                  <w:vAlign w:val="center"/>
                </w:tcPr>
                <w:p>
                  <w:pPr>
                    <w:adjustRightInd w:val="0"/>
                    <w:snapToGrid w:val="0"/>
                    <w:jc w:val="center"/>
                    <w:rPr>
                      <w:color w:val="auto"/>
                      <w:kern w:val="0"/>
                      <w:szCs w:val="21"/>
                    </w:rPr>
                  </w:pPr>
                  <w:r>
                    <w:rPr>
                      <w:color w:val="auto"/>
                      <w:szCs w:val="21"/>
                    </w:rPr>
                    <w:t>500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6" w:type="pct"/>
                  <w:vMerge w:val="continue"/>
                  <w:tcBorders>
                    <w:tl2br w:val="nil"/>
                    <w:tr2bl w:val="nil"/>
                  </w:tcBorders>
                  <w:vAlign w:val="center"/>
                </w:tcPr>
                <w:p>
                  <w:pPr>
                    <w:jc w:val="center"/>
                    <w:rPr>
                      <w:color w:val="auto"/>
                      <w:kern w:val="0"/>
                      <w:szCs w:val="21"/>
                    </w:rPr>
                  </w:pPr>
                </w:p>
              </w:tc>
              <w:tc>
                <w:tcPr>
                  <w:tcW w:w="513" w:type="pct"/>
                  <w:vMerge w:val="continue"/>
                  <w:tcBorders>
                    <w:tl2br w:val="nil"/>
                    <w:tr2bl w:val="nil"/>
                  </w:tcBorders>
                  <w:vAlign w:val="center"/>
                </w:tcPr>
                <w:p>
                  <w:pPr>
                    <w:jc w:val="center"/>
                    <w:rPr>
                      <w:color w:val="auto"/>
                      <w:kern w:val="0"/>
                      <w:szCs w:val="21"/>
                    </w:rPr>
                  </w:pPr>
                </w:p>
              </w:tc>
              <w:tc>
                <w:tcPr>
                  <w:tcW w:w="762" w:type="pct"/>
                  <w:vMerge w:val="continue"/>
                  <w:tcBorders>
                    <w:tl2br w:val="nil"/>
                    <w:tr2bl w:val="nil"/>
                  </w:tcBorders>
                  <w:vAlign w:val="center"/>
                </w:tcPr>
                <w:p>
                  <w:pPr>
                    <w:jc w:val="center"/>
                    <w:rPr>
                      <w:color w:val="auto"/>
                      <w:kern w:val="0"/>
                      <w:szCs w:val="21"/>
                    </w:rPr>
                  </w:pPr>
                </w:p>
              </w:tc>
              <w:tc>
                <w:tcPr>
                  <w:tcW w:w="2055" w:type="pct"/>
                  <w:vMerge w:val="continue"/>
                  <w:tcBorders>
                    <w:tl2br w:val="nil"/>
                    <w:tr2bl w:val="nil"/>
                  </w:tcBorders>
                  <w:vAlign w:val="center"/>
                </w:tcPr>
                <w:p>
                  <w:pPr>
                    <w:jc w:val="center"/>
                    <w:rPr>
                      <w:color w:val="auto"/>
                      <w:kern w:val="0"/>
                      <w:szCs w:val="21"/>
                    </w:rPr>
                  </w:pPr>
                </w:p>
              </w:tc>
              <w:tc>
                <w:tcPr>
                  <w:tcW w:w="842" w:type="pct"/>
                  <w:tcBorders>
                    <w:tl2br w:val="nil"/>
                    <w:tr2bl w:val="nil"/>
                  </w:tcBorders>
                  <w:vAlign w:val="center"/>
                </w:tcPr>
                <w:p>
                  <w:pPr>
                    <w:jc w:val="center"/>
                    <w:rPr>
                      <w:color w:val="auto"/>
                      <w:kern w:val="0"/>
                      <w:szCs w:val="21"/>
                    </w:rPr>
                  </w:pPr>
                  <w:r>
                    <w:rPr>
                      <w:color w:val="auto"/>
                      <w:kern w:val="0"/>
                      <w:szCs w:val="21"/>
                    </w:rPr>
                    <w:t>SS</w:t>
                  </w:r>
                </w:p>
              </w:tc>
              <w:tc>
                <w:tcPr>
                  <w:tcW w:w="696" w:type="dxa"/>
                  <w:tcBorders>
                    <w:tl2br w:val="nil"/>
                    <w:tr2bl w:val="nil"/>
                  </w:tcBorders>
                  <w:vAlign w:val="center"/>
                </w:tcPr>
                <w:p>
                  <w:pPr>
                    <w:adjustRightInd w:val="0"/>
                    <w:snapToGrid w:val="0"/>
                    <w:jc w:val="center"/>
                    <w:rPr>
                      <w:color w:val="auto"/>
                      <w:kern w:val="0"/>
                      <w:szCs w:val="21"/>
                    </w:rPr>
                  </w:pPr>
                  <w:r>
                    <w:rPr>
                      <w:color w:val="auto"/>
                      <w:szCs w:val="21"/>
                    </w:rPr>
                    <w:t>250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6" w:type="pct"/>
                  <w:vMerge w:val="continue"/>
                  <w:tcBorders>
                    <w:tl2br w:val="nil"/>
                    <w:tr2bl w:val="nil"/>
                  </w:tcBorders>
                  <w:vAlign w:val="center"/>
                </w:tcPr>
                <w:p>
                  <w:pPr>
                    <w:jc w:val="center"/>
                    <w:rPr>
                      <w:color w:val="auto"/>
                      <w:kern w:val="0"/>
                      <w:szCs w:val="21"/>
                    </w:rPr>
                  </w:pPr>
                </w:p>
              </w:tc>
              <w:tc>
                <w:tcPr>
                  <w:tcW w:w="513" w:type="pct"/>
                  <w:vMerge w:val="continue"/>
                  <w:tcBorders>
                    <w:tl2br w:val="nil"/>
                    <w:tr2bl w:val="nil"/>
                  </w:tcBorders>
                  <w:vAlign w:val="center"/>
                </w:tcPr>
                <w:p>
                  <w:pPr>
                    <w:jc w:val="center"/>
                    <w:rPr>
                      <w:color w:val="auto"/>
                      <w:kern w:val="0"/>
                      <w:szCs w:val="21"/>
                    </w:rPr>
                  </w:pPr>
                </w:p>
              </w:tc>
              <w:tc>
                <w:tcPr>
                  <w:tcW w:w="762" w:type="pct"/>
                  <w:vMerge w:val="continue"/>
                  <w:tcBorders>
                    <w:tl2br w:val="nil"/>
                    <w:tr2bl w:val="nil"/>
                  </w:tcBorders>
                  <w:vAlign w:val="center"/>
                </w:tcPr>
                <w:p>
                  <w:pPr>
                    <w:jc w:val="center"/>
                    <w:rPr>
                      <w:color w:val="auto"/>
                      <w:kern w:val="0"/>
                      <w:szCs w:val="21"/>
                    </w:rPr>
                  </w:pPr>
                </w:p>
              </w:tc>
              <w:tc>
                <w:tcPr>
                  <w:tcW w:w="2055" w:type="pct"/>
                  <w:vMerge w:val="continue"/>
                  <w:tcBorders>
                    <w:tl2br w:val="nil"/>
                    <w:tr2bl w:val="nil"/>
                  </w:tcBorders>
                  <w:vAlign w:val="center"/>
                </w:tcPr>
                <w:p>
                  <w:pPr>
                    <w:jc w:val="center"/>
                    <w:rPr>
                      <w:color w:val="auto"/>
                      <w:kern w:val="0"/>
                      <w:szCs w:val="21"/>
                    </w:rPr>
                  </w:pPr>
                </w:p>
              </w:tc>
              <w:tc>
                <w:tcPr>
                  <w:tcW w:w="842" w:type="pct"/>
                  <w:tcBorders>
                    <w:tl2br w:val="nil"/>
                    <w:tr2bl w:val="nil"/>
                  </w:tcBorders>
                  <w:vAlign w:val="center"/>
                </w:tcPr>
                <w:p>
                  <w:pPr>
                    <w:jc w:val="center"/>
                    <w:rPr>
                      <w:color w:val="auto"/>
                      <w:kern w:val="0"/>
                      <w:szCs w:val="21"/>
                    </w:rPr>
                  </w:pPr>
                  <w:r>
                    <w:rPr>
                      <w:color w:val="auto"/>
                      <w:kern w:val="0"/>
                      <w:szCs w:val="21"/>
                    </w:rPr>
                    <w:t>NH</w:t>
                  </w:r>
                  <w:r>
                    <w:rPr>
                      <w:color w:val="auto"/>
                      <w:kern w:val="0"/>
                      <w:szCs w:val="21"/>
                      <w:vertAlign w:val="subscript"/>
                    </w:rPr>
                    <w:t>3</w:t>
                  </w:r>
                  <w:r>
                    <w:rPr>
                      <w:color w:val="auto"/>
                      <w:kern w:val="0"/>
                      <w:szCs w:val="21"/>
                    </w:rPr>
                    <w:t>-N</w:t>
                  </w:r>
                </w:p>
              </w:tc>
              <w:tc>
                <w:tcPr>
                  <w:tcW w:w="696" w:type="dxa"/>
                  <w:tcBorders>
                    <w:tl2br w:val="nil"/>
                    <w:tr2bl w:val="nil"/>
                  </w:tcBorders>
                  <w:vAlign w:val="center"/>
                </w:tcPr>
                <w:p>
                  <w:pPr>
                    <w:adjustRightInd w:val="0"/>
                    <w:snapToGrid w:val="0"/>
                    <w:jc w:val="center"/>
                    <w:rPr>
                      <w:color w:val="auto"/>
                      <w:kern w:val="0"/>
                      <w:szCs w:val="21"/>
                    </w:rPr>
                  </w:pPr>
                  <w:r>
                    <w:rPr>
                      <w:color w:val="auto"/>
                      <w:szCs w:val="21"/>
                    </w:rPr>
                    <w:t>35</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06" w:type="pct"/>
                  <w:vMerge w:val="continue"/>
                  <w:tcBorders>
                    <w:tl2br w:val="nil"/>
                    <w:tr2bl w:val="nil"/>
                  </w:tcBorders>
                  <w:vAlign w:val="center"/>
                </w:tcPr>
                <w:p>
                  <w:pPr>
                    <w:jc w:val="center"/>
                    <w:rPr>
                      <w:color w:val="auto"/>
                      <w:kern w:val="0"/>
                      <w:szCs w:val="21"/>
                    </w:rPr>
                  </w:pPr>
                </w:p>
              </w:tc>
              <w:tc>
                <w:tcPr>
                  <w:tcW w:w="513" w:type="pct"/>
                  <w:vMerge w:val="continue"/>
                  <w:tcBorders>
                    <w:tl2br w:val="nil"/>
                    <w:tr2bl w:val="nil"/>
                  </w:tcBorders>
                  <w:vAlign w:val="center"/>
                </w:tcPr>
                <w:p>
                  <w:pPr>
                    <w:jc w:val="center"/>
                    <w:rPr>
                      <w:color w:val="auto"/>
                      <w:kern w:val="0"/>
                      <w:szCs w:val="21"/>
                    </w:rPr>
                  </w:pPr>
                </w:p>
              </w:tc>
              <w:tc>
                <w:tcPr>
                  <w:tcW w:w="762" w:type="pct"/>
                  <w:vMerge w:val="continue"/>
                  <w:tcBorders>
                    <w:tl2br w:val="nil"/>
                    <w:tr2bl w:val="nil"/>
                  </w:tcBorders>
                  <w:vAlign w:val="center"/>
                </w:tcPr>
                <w:p>
                  <w:pPr>
                    <w:jc w:val="center"/>
                    <w:rPr>
                      <w:color w:val="auto"/>
                      <w:kern w:val="0"/>
                      <w:szCs w:val="21"/>
                    </w:rPr>
                  </w:pPr>
                </w:p>
              </w:tc>
              <w:tc>
                <w:tcPr>
                  <w:tcW w:w="2055" w:type="pct"/>
                  <w:vMerge w:val="continue"/>
                  <w:tcBorders>
                    <w:tl2br w:val="nil"/>
                    <w:tr2bl w:val="nil"/>
                  </w:tcBorders>
                  <w:vAlign w:val="center"/>
                </w:tcPr>
                <w:p>
                  <w:pPr>
                    <w:jc w:val="center"/>
                    <w:rPr>
                      <w:color w:val="auto"/>
                      <w:kern w:val="0"/>
                      <w:szCs w:val="21"/>
                    </w:rPr>
                  </w:pPr>
                </w:p>
              </w:tc>
              <w:tc>
                <w:tcPr>
                  <w:tcW w:w="842" w:type="pct"/>
                  <w:tcBorders>
                    <w:tl2br w:val="nil"/>
                    <w:tr2bl w:val="nil"/>
                  </w:tcBorders>
                  <w:vAlign w:val="center"/>
                </w:tcPr>
                <w:p>
                  <w:pPr>
                    <w:jc w:val="center"/>
                    <w:rPr>
                      <w:color w:val="auto"/>
                      <w:kern w:val="0"/>
                      <w:szCs w:val="21"/>
                    </w:rPr>
                  </w:pPr>
                  <w:r>
                    <w:rPr>
                      <w:color w:val="auto"/>
                      <w:kern w:val="0"/>
                      <w:szCs w:val="21"/>
                    </w:rPr>
                    <w:t>TN</w:t>
                  </w:r>
                </w:p>
              </w:tc>
              <w:tc>
                <w:tcPr>
                  <w:tcW w:w="696" w:type="dxa"/>
                  <w:tcBorders>
                    <w:tl2br w:val="nil"/>
                    <w:tr2bl w:val="nil"/>
                  </w:tcBorders>
                  <w:vAlign w:val="center"/>
                </w:tcPr>
                <w:p>
                  <w:pPr>
                    <w:adjustRightInd w:val="0"/>
                    <w:snapToGrid w:val="0"/>
                    <w:jc w:val="center"/>
                    <w:rPr>
                      <w:color w:val="auto"/>
                      <w:kern w:val="0"/>
                      <w:szCs w:val="21"/>
                    </w:rPr>
                  </w:pPr>
                  <w:r>
                    <w:rPr>
                      <w:color w:val="auto"/>
                      <w:szCs w:val="21"/>
                    </w:rPr>
                    <w:t>50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6" w:type="pct"/>
                  <w:vMerge w:val="continue"/>
                  <w:tcBorders>
                    <w:tl2br w:val="nil"/>
                    <w:tr2bl w:val="nil"/>
                  </w:tcBorders>
                  <w:vAlign w:val="center"/>
                </w:tcPr>
                <w:p>
                  <w:pPr>
                    <w:jc w:val="center"/>
                    <w:rPr>
                      <w:color w:val="auto"/>
                      <w:kern w:val="0"/>
                      <w:szCs w:val="21"/>
                    </w:rPr>
                  </w:pPr>
                </w:p>
              </w:tc>
              <w:tc>
                <w:tcPr>
                  <w:tcW w:w="513" w:type="pct"/>
                  <w:vMerge w:val="continue"/>
                  <w:tcBorders>
                    <w:tl2br w:val="nil"/>
                    <w:tr2bl w:val="nil"/>
                  </w:tcBorders>
                  <w:vAlign w:val="center"/>
                </w:tcPr>
                <w:p>
                  <w:pPr>
                    <w:jc w:val="center"/>
                    <w:rPr>
                      <w:color w:val="auto"/>
                      <w:kern w:val="0"/>
                      <w:szCs w:val="21"/>
                    </w:rPr>
                  </w:pPr>
                </w:p>
              </w:tc>
              <w:tc>
                <w:tcPr>
                  <w:tcW w:w="762" w:type="pct"/>
                  <w:vMerge w:val="continue"/>
                  <w:tcBorders>
                    <w:tl2br w:val="nil"/>
                    <w:tr2bl w:val="nil"/>
                  </w:tcBorders>
                  <w:vAlign w:val="center"/>
                </w:tcPr>
                <w:p>
                  <w:pPr>
                    <w:jc w:val="center"/>
                    <w:rPr>
                      <w:color w:val="auto"/>
                      <w:kern w:val="0"/>
                      <w:szCs w:val="21"/>
                    </w:rPr>
                  </w:pPr>
                </w:p>
              </w:tc>
              <w:tc>
                <w:tcPr>
                  <w:tcW w:w="2055" w:type="pct"/>
                  <w:vMerge w:val="continue"/>
                  <w:tcBorders>
                    <w:tl2br w:val="nil"/>
                    <w:tr2bl w:val="nil"/>
                  </w:tcBorders>
                  <w:vAlign w:val="center"/>
                </w:tcPr>
                <w:p>
                  <w:pPr>
                    <w:jc w:val="center"/>
                    <w:rPr>
                      <w:color w:val="auto"/>
                      <w:kern w:val="0"/>
                      <w:szCs w:val="21"/>
                    </w:rPr>
                  </w:pPr>
                </w:p>
              </w:tc>
              <w:tc>
                <w:tcPr>
                  <w:tcW w:w="842" w:type="pct"/>
                  <w:tcBorders>
                    <w:tl2br w:val="nil"/>
                    <w:tr2bl w:val="nil"/>
                  </w:tcBorders>
                  <w:vAlign w:val="center"/>
                </w:tcPr>
                <w:p>
                  <w:pPr>
                    <w:jc w:val="center"/>
                    <w:rPr>
                      <w:color w:val="auto"/>
                      <w:kern w:val="0"/>
                      <w:szCs w:val="21"/>
                    </w:rPr>
                  </w:pPr>
                  <w:r>
                    <w:rPr>
                      <w:color w:val="auto"/>
                      <w:kern w:val="0"/>
                      <w:szCs w:val="21"/>
                    </w:rPr>
                    <w:t>TP</w:t>
                  </w:r>
                </w:p>
              </w:tc>
              <w:tc>
                <w:tcPr>
                  <w:tcW w:w="696" w:type="dxa"/>
                  <w:tcBorders>
                    <w:tl2br w:val="nil"/>
                    <w:tr2bl w:val="nil"/>
                  </w:tcBorders>
                  <w:vAlign w:val="center"/>
                </w:tcPr>
                <w:p>
                  <w:pPr>
                    <w:adjustRightInd w:val="0"/>
                    <w:snapToGrid w:val="0"/>
                    <w:jc w:val="center"/>
                    <w:rPr>
                      <w:color w:val="auto"/>
                      <w:kern w:val="0"/>
                      <w:szCs w:val="21"/>
                    </w:rPr>
                  </w:pPr>
                  <w:r>
                    <w:rPr>
                      <w:color w:val="auto"/>
                      <w:szCs w:val="21"/>
                    </w:rPr>
                    <w:t>3</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b/>
                <w:bCs/>
                <w:color w:val="auto"/>
                <w:sz w:val="24"/>
              </w:rPr>
            </w:pPr>
            <w:r>
              <w:rPr>
                <w:rFonts w:hint="eastAsia"/>
                <w:b/>
                <w:bCs/>
                <w:color w:val="auto"/>
                <w:sz w:val="24"/>
                <w:lang w:val="en-US" w:eastAsia="zh-CN"/>
              </w:rPr>
              <w:t>5、</w:t>
            </w:r>
            <w:r>
              <w:rPr>
                <w:b/>
                <w:bCs/>
                <w:color w:val="auto"/>
                <w:sz w:val="24"/>
              </w:rPr>
              <w:t>监测要求</w:t>
            </w:r>
          </w:p>
          <w:p>
            <w:pPr>
              <w:pStyle w:val="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根据</w:t>
            </w:r>
            <w:r>
              <w:rPr>
                <w:rFonts w:hint="default" w:ascii="Times New Roman" w:hAnsi="Times New Roman" w:eastAsia="宋体" w:cs="Times New Roman"/>
                <w:bCs/>
                <w:color w:val="auto"/>
                <w:kern w:val="2"/>
                <w:sz w:val="24"/>
                <w:szCs w:val="24"/>
                <w:highlight w:val="none"/>
                <w:lang w:val="en-US" w:eastAsia="zh-CN" w:bidi="ar-SA"/>
              </w:rPr>
              <w:t>《排污许可证申请与核发技术规范 橡胶和塑料制品工业 》（HJ1122—2020）</w:t>
            </w:r>
            <w:r>
              <w:rPr>
                <w:rFonts w:hint="eastAsia" w:ascii="Times New Roman" w:hAnsi="Times New Roman" w:eastAsia="宋体" w:cs="Times New Roman"/>
                <w:bCs/>
                <w:color w:val="auto"/>
                <w:kern w:val="2"/>
                <w:sz w:val="24"/>
                <w:szCs w:val="24"/>
                <w:highlight w:val="none"/>
                <w:lang w:val="en-US" w:eastAsia="zh-CN" w:bidi="ar-SA"/>
              </w:rPr>
              <w:t>要求，生活污水接管排放的不要求开展自行监测。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eastAsia" w:cs="Times New Roman"/>
                <w:b/>
                <w:bCs w:val="0"/>
                <w:color w:val="auto"/>
                <w:sz w:val="24"/>
                <w:highlight w:val="none"/>
                <w:lang w:val="en-US" w:eastAsia="zh-CN"/>
              </w:rPr>
              <w:t>6、</w:t>
            </w:r>
            <w:r>
              <w:rPr>
                <w:rFonts w:hint="eastAsia" w:ascii="Times New Roman" w:hAnsi="Times New Roman" w:eastAsia="宋体" w:cs="Times New Roman"/>
                <w:b/>
                <w:bCs w:val="0"/>
                <w:color w:val="auto"/>
                <w:sz w:val="24"/>
                <w:highlight w:val="none"/>
                <w:lang w:val="en-US" w:eastAsia="zh-CN"/>
              </w:rPr>
              <w:t>排污口规范化设置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本项目依托现有</w:t>
            </w:r>
            <w:r>
              <w:rPr>
                <w:rFonts w:hint="eastAsia" w:cs="Times New Roman"/>
                <w:bCs/>
                <w:color w:val="auto"/>
                <w:sz w:val="24"/>
                <w:highlight w:val="none"/>
                <w:lang w:val="en-US" w:eastAsia="zh-CN"/>
              </w:rPr>
              <w:t>项目</w:t>
            </w:r>
            <w:r>
              <w:rPr>
                <w:rFonts w:hint="eastAsia" w:ascii="Times New Roman" w:hAnsi="Times New Roman" w:eastAsia="宋体" w:cs="Times New Roman"/>
                <w:bCs/>
                <w:color w:val="auto"/>
                <w:sz w:val="24"/>
                <w:highlight w:val="none"/>
                <w:lang w:val="en-US" w:eastAsia="zh-CN"/>
              </w:rPr>
              <w:t>雨水和污水排放口，不改变现有排水系统。目前项目所在地地块内已实施“雨污分流”，并设置规范化雨水排放口、污水接管口各1个，具备采样、监测条件，接管口附近应树立环保图形标志牌。</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eastAsia" w:cs="Times New Roman"/>
                <w:b/>
                <w:bCs w:val="0"/>
                <w:color w:val="auto"/>
                <w:sz w:val="24"/>
                <w:highlight w:val="none"/>
                <w:lang w:val="en-US" w:eastAsia="zh-CN"/>
              </w:rPr>
              <w:t>7、</w:t>
            </w:r>
            <w:r>
              <w:rPr>
                <w:rFonts w:hint="default" w:ascii="Times New Roman" w:hAnsi="Times New Roman" w:eastAsia="宋体" w:cs="Times New Roman"/>
                <w:b/>
                <w:bCs w:val="0"/>
                <w:color w:val="auto"/>
                <w:sz w:val="24"/>
                <w:highlight w:val="none"/>
                <w:lang w:val="en-US" w:eastAsia="zh-CN"/>
              </w:rPr>
              <w:t>环境影响分析小结</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本项目生活污水可达标接入市政污水管网进</w:t>
            </w:r>
            <w:r>
              <w:rPr>
                <w:rFonts w:hint="eastAsia" w:ascii="Times New Roman" w:hAnsi="Times New Roman" w:eastAsia="宋体" w:cs="Times New Roman"/>
                <w:bCs/>
                <w:color w:val="auto"/>
                <w:sz w:val="24"/>
                <w:highlight w:val="none"/>
                <w:lang w:val="en-US" w:eastAsia="zh-CN"/>
              </w:rPr>
              <w:t>金坛第二污水处理厂</w:t>
            </w:r>
            <w:r>
              <w:rPr>
                <w:rFonts w:hint="default" w:ascii="Times New Roman" w:hAnsi="Times New Roman" w:eastAsia="宋体" w:cs="Times New Roman"/>
                <w:bCs/>
                <w:color w:val="auto"/>
                <w:sz w:val="24"/>
                <w:highlight w:val="none"/>
                <w:lang w:val="en-US" w:eastAsia="zh-CN"/>
              </w:rPr>
              <w:t>集中处理，尾水排入</w:t>
            </w:r>
            <w:r>
              <w:rPr>
                <w:rFonts w:hint="eastAsia" w:ascii="Times New Roman" w:hAnsi="Times New Roman" w:eastAsia="宋体" w:cs="Times New Roman"/>
                <w:bCs/>
                <w:color w:val="auto"/>
                <w:sz w:val="24"/>
                <w:highlight w:val="none"/>
                <w:lang w:val="en-US" w:eastAsia="zh-CN"/>
              </w:rPr>
              <w:t>尧塘河</w:t>
            </w:r>
            <w:r>
              <w:rPr>
                <w:rFonts w:hint="default" w:ascii="Times New Roman" w:hAnsi="Times New Roman" w:eastAsia="宋体" w:cs="Times New Roman"/>
                <w:bCs/>
                <w:color w:val="auto"/>
                <w:sz w:val="24"/>
                <w:highlight w:val="none"/>
                <w:lang w:val="en-US" w:eastAsia="zh-CN"/>
              </w:rPr>
              <w:t>。故本项目废水排放对地表水环境影响很小，是可以接受的。</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cs="Times New Roman"/>
                <w:b/>
                <w:bCs/>
                <w:color w:val="auto"/>
                <w:sz w:val="24"/>
                <w:highlight w:val="none"/>
              </w:rPr>
            </w:pPr>
            <w:r>
              <w:rPr>
                <w:rFonts w:hint="eastAsia" w:cs="Times New Roman"/>
                <w:b/>
                <w:color w:val="auto"/>
                <w:sz w:val="24"/>
                <w:highlight w:val="none"/>
                <w:lang w:eastAsia="zh-CN"/>
              </w:rPr>
              <w:t>三</w:t>
            </w:r>
            <w:r>
              <w:rPr>
                <w:rFonts w:hint="default" w:ascii="Times New Roman" w:hAnsi="Times New Roman" w:cs="Times New Roman"/>
                <w:b/>
                <w:color w:val="auto"/>
                <w:sz w:val="24"/>
                <w:highlight w:val="none"/>
              </w:rPr>
              <w:t>、噪声</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val="0"/>
                <w:color w:val="auto"/>
                <w:sz w:val="24"/>
                <w:highlight w:val="none"/>
              </w:rPr>
            </w:pPr>
            <w:r>
              <w:rPr>
                <w:rFonts w:hint="eastAsia" w:cs="Times New Roman"/>
                <w:b/>
                <w:bCs w:val="0"/>
                <w:color w:val="auto"/>
                <w:sz w:val="24"/>
                <w:highlight w:val="none"/>
                <w:lang w:val="en-US" w:eastAsia="zh-CN"/>
              </w:rPr>
              <w:t>1、</w:t>
            </w:r>
            <w:r>
              <w:rPr>
                <w:rFonts w:hint="default" w:ascii="Times New Roman" w:hAnsi="Times New Roman" w:eastAsia="宋体" w:cs="Times New Roman"/>
                <w:b/>
                <w:bCs w:val="0"/>
                <w:color w:val="auto"/>
                <w:sz w:val="24"/>
                <w:highlight w:val="none"/>
                <w:lang w:val="en-US" w:eastAsia="zh-CN"/>
              </w:rPr>
              <w:t>噪声产生及排放情况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本项目高噪声源</w:t>
            </w:r>
            <w:r>
              <w:rPr>
                <w:rFonts w:hint="default" w:ascii="Times New Roman" w:hAnsi="Times New Roman" w:eastAsia="宋体" w:cs="Times New Roman"/>
                <w:bCs/>
                <w:color w:val="auto"/>
                <w:sz w:val="24"/>
                <w:szCs w:val="24"/>
                <w:highlight w:val="none"/>
                <w:lang w:val="en-US" w:eastAsia="zh-CN"/>
              </w:rPr>
              <w:t>主要为</w:t>
            </w:r>
            <w:r>
              <w:rPr>
                <w:rFonts w:hint="eastAsia" w:ascii="Times New Roman" w:hAnsi="Times New Roman" w:eastAsia="宋体" w:cs="Times New Roman"/>
                <w:sz w:val="24"/>
                <w:szCs w:val="24"/>
                <w:lang w:val="en-US" w:eastAsia="zh-CN"/>
              </w:rPr>
              <w:t>液压机</w:t>
            </w: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sz w:val="24"/>
                <w:szCs w:val="24"/>
                <w:lang w:val="en-US" w:eastAsia="zh-CN"/>
              </w:rPr>
              <w:t>高压发泡机</w:t>
            </w: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sz w:val="24"/>
                <w:szCs w:val="24"/>
                <w:lang w:val="en-US" w:eastAsia="zh-CN"/>
              </w:rPr>
              <w:t>机器人切割流水线</w:t>
            </w:r>
            <w:r>
              <w:rPr>
                <w:rFonts w:hint="default" w:ascii="Times New Roman" w:hAnsi="Times New Roman" w:eastAsia="宋体" w:cs="Times New Roman"/>
                <w:bCs/>
                <w:color w:val="auto"/>
                <w:sz w:val="24"/>
                <w:szCs w:val="24"/>
                <w:highlight w:val="none"/>
                <w:lang w:val="en-US" w:eastAsia="zh-CN"/>
              </w:rPr>
              <w:t>等设备，项目噪声源距离1米处声压级在75~</w:t>
            </w:r>
            <w:r>
              <w:rPr>
                <w:rFonts w:hint="eastAsia" w:cs="Times New Roman"/>
                <w:bCs/>
                <w:color w:val="auto"/>
                <w:sz w:val="24"/>
                <w:szCs w:val="24"/>
                <w:highlight w:val="none"/>
                <w:lang w:val="en-US" w:eastAsia="zh-CN"/>
              </w:rPr>
              <w:t>85</w:t>
            </w:r>
            <w:r>
              <w:rPr>
                <w:rFonts w:hint="default" w:ascii="Times New Roman" w:hAnsi="Times New Roman" w:eastAsia="宋体" w:cs="Times New Roman"/>
                <w:bCs/>
                <w:color w:val="auto"/>
                <w:sz w:val="24"/>
                <w:szCs w:val="24"/>
                <w:highlight w:val="none"/>
                <w:lang w:val="en-US" w:eastAsia="zh-CN"/>
              </w:rPr>
              <w:t>dB(A)之间。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val="en-US" w:eastAsia="zh-CN"/>
              </w:rPr>
              <w:t>项目采取的主要治理措施有：合理布局，充分利用厂区建筑物隔声、降噪；在高噪声、高振动设备底部设置减振垫铁；设备加强日常的维护，确保设备的正常运行，避免产生异常噪声。项目主要噪声源产生及排放情况如下表所示。</w:t>
            </w:r>
          </w:p>
          <w:p>
            <w:pPr>
              <w:adjustRightInd w:val="0"/>
              <w:snapToGrid w:val="0"/>
              <w:spacing w:line="360" w:lineRule="auto"/>
              <w:rPr>
                <w:rFonts w:hint="default" w:ascii="Times New Roman" w:hAnsi="Times New Roman" w:cs="Times New Roman"/>
                <w:bCs/>
                <w:color w:val="auto"/>
                <w:sz w:val="24"/>
                <w:szCs w:val="22"/>
              </w:rPr>
            </w:pPr>
          </w:p>
        </w:tc>
      </w:tr>
    </w:tbl>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sectPr>
          <w:headerReference r:id="rId7" w:type="default"/>
          <w:pgSz w:w="11906" w:h="16838"/>
          <w:pgMar w:top="1701" w:right="1531" w:bottom="1701" w:left="1531" w:header="851" w:footer="1134" w:gutter="0"/>
          <w:pgBorders>
            <w:top w:val="none" w:sz="0" w:space="0"/>
            <w:left w:val="none" w:sz="0" w:space="0"/>
            <w:bottom w:val="none" w:sz="0" w:space="0"/>
            <w:right w:val="none" w:sz="0" w:space="0"/>
          </w:pgBorders>
          <w:cols w:space="720" w:num="1"/>
          <w:docGrid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13652"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表4-1</w:t>
            </w:r>
            <w:r>
              <w:rPr>
                <w:rFonts w:hint="eastAsia"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本项目</w:t>
            </w:r>
            <w:r>
              <w:rPr>
                <w:rFonts w:hint="eastAsia" w:cs="Times New Roman"/>
                <w:b/>
                <w:bCs/>
                <w:color w:val="auto"/>
                <w:sz w:val="21"/>
                <w:szCs w:val="21"/>
                <w:lang w:eastAsia="zh-CN"/>
              </w:rPr>
              <w:t>建成后全厂</w:t>
            </w:r>
            <w:r>
              <w:rPr>
                <w:rFonts w:hint="default" w:ascii="Times New Roman" w:hAnsi="Times New Roman" w:eastAsia="宋体" w:cs="Times New Roman"/>
                <w:b/>
                <w:bCs/>
                <w:color w:val="auto"/>
                <w:sz w:val="21"/>
                <w:szCs w:val="21"/>
              </w:rPr>
              <w:t>主要噪声污染源一览表</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室内声源</w:t>
            </w:r>
            <w:r>
              <w:rPr>
                <w:rFonts w:hint="default" w:ascii="Times New Roman" w:hAnsi="Times New Roman" w:cs="Times New Roman"/>
                <w:b/>
                <w:bCs/>
                <w:color w:val="auto"/>
                <w:sz w:val="21"/>
                <w:szCs w:val="21"/>
                <w:lang w:eastAsia="zh-CN"/>
              </w:rPr>
              <w:t>）</w:t>
            </w:r>
          </w:p>
          <w:tbl>
            <w:tblPr>
              <w:tblStyle w:val="2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0"/>
              <w:gridCol w:w="572"/>
              <w:gridCol w:w="2136"/>
              <w:gridCol w:w="363"/>
              <w:gridCol w:w="618"/>
              <w:gridCol w:w="1484"/>
              <w:gridCol w:w="1081"/>
              <w:gridCol w:w="565"/>
              <w:gridCol w:w="565"/>
              <w:gridCol w:w="616"/>
              <w:gridCol w:w="704"/>
              <w:gridCol w:w="699"/>
              <w:gridCol w:w="543"/>
              <w:gridCol w:w="973"/>
              <w:gridCol w:w="973"/>
              <w:gridCol w:w="10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vMerge w:val="restart"/>
                  <w:noWrap w:val="0"/>
                  <w:vAlign w:val="center"/>
                </w:tcPr>
                <w:p>
                  <w:pPr>
                    <w:adjustRightInd w:val="0"/>
                    <w:snapToGrid w:val="0"/>
                    <w:ind w:left="-105" w:leftChars="-50" w:right="-105" w:rightChars="-50"/>
                    <w:jc w:val="center"/>
                    <w:rPr>
                      <w:b/>
                      <w:color w:val="auto"/>
                    </w:rPr>
                  </w:pPr>
                  <w:r>
                    <w:rPr>
                      <w:rFonts w:hAnsi="宋体"/>
                      <w:b/>
                      <w:color w:val="auto"/>
                    </w:rPr>
                    <w:t>序号</w:t>
                  </w:r>
                </w:p>
              </w:tc>
              <w:tc>
                <w:tcPr>
                  <w:tcW w:w="212" w:type="pct"/>
                  <w:vMerge w:val="restart"/>
                  <w:noWrap w:val="0"/>
                  <w:vAlign w:val="center"/>
                </w:tcPr>
                <w:p>
                  <w:pPr>
                    <w:adjustRightInd w:val="0"/>
                    <w:snapToGrid w:val="0"/>
                    <w:ind w:left="-105" w:leftChars="-50" w:right="-105" w:rightChars="-50"/>
                    <w:jc w:val="center"/>
                    <w:rPr>
                      <w:b/>
                      <w:color w:val="auto"/>
                    </w:rPr>
                  </w:pPr>
                  <w:r>
                    <w:rPr>
                      <w:rFonts w:hAnsi="宋体"/>
                      <w:b/>
                      <w:color w:val="auto"/>
                    </w:rPr>
                    <w:t>建筑物名称</w:t>
                  </w:r>
                </w:p>
              </w:tc>
              <w:tc>
                <w:tcPr>
                  <w:tcW w:w="795" w:type="pct"/>
                  <w:vMerge w:val="restart"/>
                  <w:noWrap w:val="0"/>
                  <w:vAlign w:val="center"/>
                </w:tcPr>
                <w:p>
                  <w:pPr>
                    <w:adjustRightInd w:val="0"/>
                    <w:snapToGrid w:val="0"/>
                    <w:ind w:left="-105" w:leftChars="-50" w:right="-105" w:rightChars="-50"/>
                    <w:jc w:val="center"/>
                    <w:rPr>
                      <w:b/>
                      <w:color w:val="auto"/>
                    </w:rPr>
                  </w:pPr>
                  <w:r>
                    <w:rPr>
                      <w:rFonts w:hAnsi="宋体"/>
                      <w:b/>
                      <w:color w:val="auto"/>
                    </w:rPr>
                    <w:t>声源名称</w:t>
                  </w:r>
                </w:p>
              </w:tc>
              <w:tc>
                <w:tcPr>
                  <w:tcW w:w="135" w:type="pct"/>
                  <w:vMerge w:val="restart"/>
                  <w:noWrap w:val="0"/>
                  <w:vAlign w:val="center"/>
                </w:tcPr>
                <w:p>
                  <w:pPr>
                    <w:adjustRightInd w:val="0"/>
                    <w:snapToGrid w:val="0"/>
                    <w:ind w:left="-105" w:leftChars="-50" w:right="-105" w:rightChars="-50"/>
                    <w:jc w:val="center"/>
                    <w:rPr>
                      <w:rFonts w:hAnsi="宋体"/>
                      <w:b/>
                      <w:color w:val="auto"/>
                    </w:rPr>
                  </w:pPr>
                  <w:r>
                    <w:rPr>
                      <w:rFonts w:hAnsi="宋体"/>
                      <w:b/>
                      <w:color w:val="auto"/>
                    </w:rPr>
                    <w:t>型号</w:t>
                  </w:r>
                </w:p>
              </w:tc>
              <w:tc>
                <w:tcPr>
                  <w:tcW w:w="230" w:type="pct"/>
                  <w:vMerge w:val="restart"/>
                  <w:noWrap w:val="0"/>
                  <w:vAlign w:val="center"/>
                </w:tcPr>
                <w:p>
                  <w:pPr>
                    <w:adjustRightInd w:val="0"/>
                    <w:snapToGrid w:val="0"/>
                    <w:ind w:left="-105" w:leftChars="-50" w:right="-105" w:rightChars="-50"/>
                    <w:jc w:val="center"/>
                    <w:rPr>
                      <w:b/>
                      <w:color w:val="auto"/>
                    </w:rPr>
                  </w:pPr>
                  <w:r>
                    <w:rPr>
                      <w:rFonts w:hint="default" w:ascii="Times New Roman" w:hAnsi="Times New Roman" w:cs="Times New Roman"/>
                      <w:b/>
                      <w:bCs/>
                      <w:color w:val="auto"/>
                      <w:lang w:val="en-US" w:eastAsia="zh-CN"/>
                    </w:rPr>
                    <w:t>数量</w:t>
                  </w:r>
                </w:p>
              </w:tc>
              <w:tc>
                <w:tcPr>
                  <w:tcW w:w="552" w:type="pct"/>
                  <w:noWrap w:val="0"/>
                  <w:vAlign w:val="center"/>
                </w:tcPr>
                <w:p>
                  <w:pPr>
                    <w:adjustRightInd w:val="0"/>
                    <w:snapToGrid w:val="0"/>
                    <w:ind w:left="-105" w:leftChars="-50" w:right="-105" w:rightChars="-50"/>
                    <w:jc w:val="center"/>
                    <w:rPr>
                      <w:b/>
                      <w:color w:val="auto"/>
                    </w:rPr>
                  </w:pPr>
                  <w:r>
                    <w:rPr>
                      <w:rFonts w:hAnsi="宋体"/>
                      <w:b/>
                      <w:color w:val="auto"/>
                    </w:rPr>
                    <w:t>声源源强</w:t>
                  </w:r>
                </w:p>
              </w:tc>
              <w:tc>
                <w:tcPr>
                  <w:tcW w:w="402" w:type="pct"/>
                  <w:vMerge w:val="restart"/>
                  <w:noWrap w:val="0"/>
                  <w:vAlign w:val="center"/>
                </w:tcPr>
                <w:p>
                  <w:pPr>
                    <w:adjustRightInd w:val="0"/>
                    <w:snapToGrid w:val="0"/>
                    <w:ind w:left="-105" w:leftChars="-50" w:right="-105" w:rightChars="-50"/>
                    <w:jc w:val="center"/>
                    <w:rPr>
                      <w:b/>
                      <w:color w:val="auto"/>
                    </w:rPr>
                  </w:pPr>
                  <w:r>
                    <w:rPr>
                      <w:rFonts w:hAnsi="宋体"/>
                      <w:b/>
                      <w:color w:val="auto"/>
                    </w:rPr>
                    <w:t>声源控制措施</w:t>
                  </w:r>
                </w:p>
              </w:tc>
              <w:tc>
                <w:tcPr>
                  <w:tcW w:w="650" w:type="pct"/>
                  <w:gridSpan w:val="3"/>
                  <w:noWrap w:val="0"/>
                  <w:vAlign w:val="center"/>
                </w:tcPr>
                <w:p>
                  <w:pPr>
                    <w:adjustRightInd w:val="0"/>
                    <w:snapToGrid w:val="0"/>
                    <w:ind w:left="-105" w:leftChars="-50" w:right="-105" w:rightChars="-50"/>
                    <w:jc w:val="center"/>
                    <w:rPr>
                      <w:b/>
                      <w:color w:val="auto"/>
                    </w:rPr>
                  </w:pPr>
                  <w:r>
                    <w:rPr>
                      <w:rFonts w:hAnsi="宋体"/>
                      <w:b/>
                      <w:color w:val="auto"/>
                    </w:rPr>
                    <w:t>空间相对位置</w:t>
                  </w:r>
                  <w:r>
                    <w:rPr>
                      <w:b/>
                      <w:color w:val="auto"/>
                    </w:rPr>
                    <w:t>/m</w:t>
                  </w:r>
                </w:p>
              </w:tc>
              <w:tc>
                <w:tcPr>
                  <w:tcW w:w="262" w:type="pct"/>
                  <w:vMerge w:val="restart"/>
                  <w:noWrap w:val="0"/>
                  <w:vAlign w:val="center"/>
                </w:tcPr>
                <w:p>
                  <w:pPr>
                    <w:adjustRightInd w:val="0"/>
                    <w:snapToGrid w:val="0"/>
                    <w:ind w:left="-105" w:leftChars="-50" w:right="-105" w:rightChars="-50"/>
                    <w:jc w:val="center"/>
                    <w:rPr>
                      <w:b/>
                      <w:color w:val="auto"/>
                    </w:rPr>
                  </w:pPr>
                  <w:r>
                    <w:rPr>
                      <w:rFonts w:hAnsi="宋体"/>
                      <w:b/>
                      <w:color w:val="auto"/>
                    </w:rPr>
                    <w:t>距室内边界</w:t>
                  </w:r>
                  <w:r>
                    <w:rPr>
                      <w:rFonts w:hint="eastAsia" w:hAnsi="宋体"/>
                      <w:b/>
                      <w:color w:val="auto"/>
                      <w:lang w:eastAsia="zh-CN"/>
                    </w:rPr>
                    <w:t>最近</w:t>
                  </w:r>
                  <w:r>
                    <w:rPr>
                      <w:rFonts w:hAnsi="宋体"/>
                      <w:b/>
                      <w:color w:val="auto"/>
                    </w:rPr>
                    <w:t>距离</w:t>
                  </w:r>
                  <w:r>
                    <w:rPr>
                      <w:b/>
                      <w:color w:val="auto"/>
                    </w:rPr>
                    <w:t>/m</w:t>
                  </w:r>
                </w:p>
              </w:tc>
              <w:tc>
                <w:tcPr>
                  <w:tcW w:w="260" w:type="pct"/>
                  <w:vMerge w:val="restart"/>
                  <w:noWrap w:val="0"/>
                  <w:vAlign w:val="center"/>
                </w:tcPr>
                <w:p>
                  <w:pPr>
                    <w:adjustRightInd w:val="0"/>
                    <w:snapToGrid w:val="0"/>
                    <w:ind w:left="-105" w:leftChars="-50" w:right="-105" w:rightChars="-50"/>
                    <w:jc w:val="center"/>
                    <w:rPr>
                      <w:b/>
                      <w:color w:val="auto"/>
                    </w:rPr>
                  </w:pPr>
                  <w:r>
                    <w:rPr>
                      <w:rFonts w:hAnsi="宋体"/>
                      <w:b/>
                      <w:color w:val="auto"/>
                    </w:rPr>
                    <w:t>室内边界声级</w:t>
                  </w:r>
                </w:p>
              </w:tc>
              <w:tc>
                <w:tcPr>
                  <w:tcW w:w="202" w:type="pct"/>
                  <w:vMerge w:val="restart"/>
                  <w:noWrap w:val="0"/>
                  <w:vAlign w:val="center"/>
                </w:tcPr>
                <w:p>
                  <w:pPr>
                    <w:adjustRightInd w:val="0"/>
                    <w:snapToGrid w:val="0"/>
                    <w:ind w:left="-105" w:leftChars="-50" w:right="-105" w:rightChars="-50"/>
                    <w:jc w:val="center"/>
                    <w:rPr>
                      <w:b/>
                      <w:color w:val="auto"/>
                    </w:rPr>
                  </w:pPr>
                  <w:r>
                    <w:rPr>
                      <w:rFonts w:hAnsi="宋体"/>
                      <w:b/>
                      <w:color w:val="auto"/>
                    </w:rPr>
                    <w:t>运行时段</w:t>
                  </w:r>
                </w:p>
              </w:tc>
              <w:tc>
                <w:tcPr>
                  <w:tcW w:w="362" w:type="pct"/>
                  <w:vMerge w:val="restart"/>
                  <w:noWrap w:val="0"/>
                  <w:vAlign w:val="center"/>
                </w:tcPr>
                <w:p>
                  <w:pPr>
                    <w:adjustRightInd w:val="0"/>
                    <w:snapToGrid w:val="0"/>
                    <w:ind w:left="-105" w:leftChars="-50" w:right="-105" w:rightChars="-50"/>
                    <w:jc w:val="center"/>
                    <w:rPr>
                      <w:b/>
                      <w:color w:val="auto"/>
                    </w:rPr>
                  </w:pPr>
                  <w:r>
                    <w:rPr>
                      <w:rFonts w:hAnsi="宋体"/>
                      <w:b/>
                      <w:color w:val="auto"/>
                    </w:rPr>
                    <w:t>建筑物插入损失</w:t>
                  </w:r>
                  <w:r>
                    <w:rPr>
                      <w:b/>
                      <w:color w:val="auto"/>
                    </w:rPr>
                    <w:t>/dB(A)</w:t>
                  </w:r>
                </w:p>
              </w:tc>
              <w:tc>
                <w:tcPr>
                  <w:tcW w:w="748" w:type="pct"/>
                  <w:gridSpan w:val="2"/>
                  <w:noWrap w:val="0"/>
                  <w:vAlign w:val="center"/>
                </w:tcPr>
                <w:p>
                  <w:pPr>
                    <w:adjustRightInd w:val="0"/>
                    <w:snapToGrid w:val="0"/>
                    <w:ind w:left="-105" w:leftChars="-50" w:right="-105" w:rightChars="-50"/>
                    <w:jc w:val="center"/>
                    <w:rPr>
                      <w:b/>
                      <w:color w:val="auto"/>
                    </w:rPr>
                  </w:pPr>
                  <w:r>
                    <w:rPr>
                      <w:rFonts w:hAnsi="宋体"/>
                      <w:b/>
                      <w:color w:val="auto"/>
                    </w:rPr>
                    <w:t>建筑物外噪声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vMerge w:val="continue"/>
                  <w:noWrap w:val="0"/>
                  <w:vAlign w:val="center"/>
                </w:tcPr>
                <w:p>
                  <w:pPr>
                    <w:adjustRightInd w:val="0"/>
                    <w:snapToGrid w:val="0"/>
                    <w:ind w:left="-105" w:leftChars="-50" w:right="-105" w:rightChars="-50"/>
                    <w:jc w:val="center"/>
                    <w:rPr>
                      <w:b/>
                      <w:color w:val="auto"/>
                    </w:rPr>
                  </w:pPr>
                </w:p>
              </w:tc>
              <w:tc>
                <w:tcPr>
                  <w:tcW w:w="212" w:type="pct"/>
                  <w:vMerge w:val="continue"/>
                  <w:noWrap w:val="0"/>
                  <w:vAlign w:val="center"/>
                </w:tcPr>
                <w:p>
                  <w:pPr>
                    <w:adjustRightInd w:val="0"/>
                    <w:snapToGrid w:val="0"/>
                    <w:ind w:left="-105" w:leftChars="-50" w:right="-105" w:rightChars="-50"/>
                    <w:jc w:val="center"/>
                    <w:rPr>
                      <w:b/>
                      <w:color w:val="auto"/>
                    </w:rPr>
                  </w:pPr>
                </w:p>
              </w:tc>
              <w:tc>
                <w:tcPr>
                  <w:tcW w:w="795" w:type="pct"/>
                  <w:vMerge w:val="continue"/>
                  <w:noWrap w:val="0"/>
                  <w:vAlign w:val="center"/>
                </w:tcPr>
                <w:p>
                  <w:pPr>
                    <w:adjustRightInd w:val="0"/>
                    <w:snapToGrid w:val="0"/>
                    <w:ind w:left="-105" w:leftChars="-50" w:right="-105" w:rightChars="-50"/>
                    <w:jc w:val="center"/>
                    <w:rPr>
                      <w:b/>
                      <w:color w:val="auto"/>
                    </w:rPr>
                  </w:pPr>
                </w:p>
              </w:tc>
              <w:tc>
                <w:tcPr>
                  <w:tcW w:w="135" w:type="pct"/>
                  <w:vMerge w:val="continue"/>
                  <w:noWrap w:val="0"/>
                  <w:vAlign w:val="center"/>
                </w:tcPr>
                <w:p>
                  <w:pPr>
                    <w:adjustRightInd w:val="0"/>
                    <w:snapToGrid w:val="0"/>
                    <w:ind w:left="-105" w:leftChars="-50" w:right="-105" w:rightChars="-50"/>
                    <w:jc w:val="center"/>
                    <w:rPr>
                      <w:b/>
                      <w:color w:val="auto"/>
                    </w:rPr>
                  </w:pPr>
                </w:p>
              </w:tc>
              <w:tc>
                <w:tcPr>
                  <w:tcW w:w="230" w:type="pct"/>
                  <w:vMerge w:val="continue"/>
                  <w:noWrap w:val="0"/>
                  <w:vAlign w:val="center"/>
                </w:tcPr>
                <w:p>
                  <w:pPr>
                    <w:adjustRightInd w:val="0"/>
                    <w:snapToGrid w:val="0"/>
                    <w:ind w:left="-105" w:leftChars="-50" w:right="-105" w:rightChars="-50"/>
                    <w:jc w:val="center"/>
                    <w:rPr>
                      <w:b/>
                      <w:color w:val="auto"/>
                    </w:rPr>
                  </w:pPr>
                </w:p>
              </w:tc>
              <w:tc>
                <w:tcPr>
                  <w:tcW w:w="552" w:type="pct"/>
                  <w:noWrap w:val="0"/>
                  <w:vAlign w:val="center"/>
                </w:tcPr>
                <w:p>
                  <w:pPr>
                    <w:adjustRightInd w:val="0"/>
                    <w:snapToGrid w:val="0"/>
                    <w:ind w:left="-105" w:leftChars="-50" w:right="-105" w:rightChars="-50"/>
                    <w:jc w:val="center"/>
                    <w:rPr>
                      <w:b/>
                      <w:color w:val="auto"/>
                    </w:rPr>
                  </w:pPr>
                  <w:r>
                    <w:rPr>
                      <w:rFonts w:hAnsi="宋体"/>
                      <w:b/>
                      <w:color w:val="auto"/>
                    </w:rPr>
                    <w:t>声</w:t>
                  </w:r>
                  <w:r>
                    <w:rPr>
                      <w:rFonts w:hint="eastAsia" w:hAnsi="宋体"/>
                      <w:b/>
                      <w:color w:val="auto"/>
                      <w:lang w:eastAsia="zh-CN"/>
                    </w:rPr>
                    <w:t>功率</w:t>
                  </w:r>
                  <w:r>
                    <w:rPr>
                      <w:rFonts w:hAnsi="宋体"/>
                      <w:b/>
                      <w:color w:val="auto"/>
                    </w:rPr>
                    <w:t>级</w:t>
                  </w:r>
                  <w:r>
                    <w:rPr>
                      <w:b/>
                      <w:color w:val="auto"/>
                    </w:rPr>
                    <w:t>/dB(A)</w:t>
                  </w:r>
                </w:p>
              </w:tc>
              <w:tc>
                <w:tcPr>
                  <w:tcW w:w="402" w:type="pct"/>
                  <w:vMerge w:val="continue"/>
                  <w:noWrap w:val="0"/>
                  <w:vAlign w:val="center"/>
                </w:tcPr>
                <w:p>
                  <w:pPr>
                    <w:adjustRightInd w:val="0"/>
                    <w:snapToGrid w:val="0"/>
                    <w:ind w:left="-105" w:leftChars="-50" w:right="-105" w:rightChars="-50"/>
                    <w:jc w:val="center"/>
                    <w:rPr>
                      <w:b/>
                      <w:color w:val="auto"/>
                    </w:rPr>
                  </w:pPr>
                </w:p>
              </w:tc>
              <w:tc>
                <w:tcPr>
                  <w:tcW w:w="210" w:type="pct"/>
                  <w:noWrap w:val="0"/>
                  <w:vAlign w:val="center"/>
                </w:tcPr>
                <w:p>
                  <w:pPr>
                    <w:adjustRightInd w:val="0"/>
                    <w:snapToGrid w:val="0"/>
                    <w:ind w:left="-105" w:leftChars="-50" w:right="-105" w:rightChars="-50"/>
                    <w:jc w:val="center"/>
                    <w:rPr>
                      <w:b/>
                      <w:color w:val="auto"/>
                    </w:rPr>
                  </w:pPr>
                  <w:r>
                    <w:rPr>
                      <w:b/>
                      <w:color w:val="auto"/>
                    </w:rPr>
                    <w:t>X</w:t>
                  </w:r>
                </w:p>
              </w:tc>
              <w:tc>
                <w:tcPr>
                  <w:tcW w:w="210" w:type="pct"/>
                  <w:noWrap w:val="0"/>
                  <w:vAlign w:val="center"/>
                </w:tcPr>
                <w:p>
                  <w:pPr>
                    <w:adjustRightInd w:val="0"/>
                    <w:snapToGrid w:val="0"/>
                    <w:ind w:left="-105" w:leftChars="-50" w:right="-105" w:rightChars="-50"/>
                    <w:jc w:val="center"/>
                    <w:rPr>
                      <w:b/>
                      <w:color w:val="auto"/>
                    </w:rPr>
                  </w:pPr>
                  <w:r>
                    <w:rPr>
                      <w:b/>
                      <w:color w:val="auto"/>
                    </w:rPr>
                    <w:t>Y</w:t>
                  </w:r>
                </w:p>
              </w:tc>
              <w:tc>
                <w:tcPr>
                  <w:tcW w:w="229" w:type="pct"/>
                  <w:noWrap w:val="0"/>
                  <w:vAlign w:val="center"/>
                </w:tcPr>
                <w:p>
                  <w:pPr>
                    <w:adjustRightInd w:val="0"/>
                    <w:snapToGrid w:val="0"/>
                    <w:ind w:left="-105" w:leftChars="-50" w:right="-105" w:rightChars="-50"/>
                    <w:jc w:val="center"/>
                    <w:rPr>
                      <w:b/>
                      <w:color w:val="auto"/>
                    </w:rPr>
                  </w:pPr>
                  <w:r>
                    <w:rPr>
                      <w:b/>
                      <w:color w:val="auto"/>
                    </w:rPr>
                    <w:t>Z</w:t>
                  </w:r>
                </w:p>
              </w:tc>
              <w:tc>
                <w:tcPr>
                  <w:tcW w:w="262" w:type="pct"/>
                  <w:vMerge w:val="continue"/>
                  <w:noWrap w:val="0"/>
                  <w:vAlign w:val="center"/>
                </w:tcPr>
                <w:p>
                  <w:pPr>
                    <w:adjustRightInd w:val="0"/>
                    <w:snapToGrid w:val="0"/>
                    <w:ind w:left="-105" w:leftChars="-50" w:right="-105" w:rightChars="-50"/>
                    <w:jc w:val="center"/>
                    <w:rPr>
                      <w:b/>
                      <w:color w:val="auto"/>
                    </w:rPr>
                  </w:pPr>
                </w:p>
              </w:tc>
              <w:tc>
                <w:tcPr>
                  <w:tcW w:w="260" w:type="pct"/>
                  <w:vMerge w:val="continue"/>
                  <w:noWrap w:val="0"/>
                  <w:vAlign w:val="center"/>
                </w:tcPr>
                <w:p>
                  <w:pPr>
                    <w:adjustRightInd w:val="0"/>
                    <w:snapToGrid w:val="0"/>
                    <w:ind w:left="-105" w:leftChars="-50" w:right="-105" w:rightChars="-50"/>
                    <w:jc w:val="center"/>
                    <w:rPr>
                      <w:b/>
                      <w:color w:val="auto"/>
                    </w:rPr>
                  </w:pPr>
                </w:p>
              </w:tc>
              <w:tc>
                <w:tcPr>
                  <w:tcW w:w="202" w:type="pct"/>
                  <w:vMerge w:val="continue"/>
                  <w:noWrap w:val="0"/>
                  <w:vAlign w:val="center"/>
                </w:tcPr>
                <w:p>
                  <w:pPr>
                    <w:adjustRightInd w:val="0"/>
                    <w:snapToGrid w:val="0"/>
                    <w:ind w:left="-105" w:leftChars="-50" w:right="-105" w:rightChars="-50"/>
                    <w:jc w:val="center"/>
                    <w:rPr>
                      <w:b/>
                      <w:color w:val="auto"/>
                    </w:rPr>
                  </w:pPr>
                </w:p>
              </w:tc>
              <w:tc>
                <w:tcPr>
                  <w:tcW w:w="362" w:type="pct"/>
                  <w:vMerge w:val="continue"/>
                  <w:noWrap w:val="0"/>
                  <w:vAlign w:val="center"/>
                </w:tcPr>
                <w:p>
                  <w:pPr>
                    <w:adjustRightInd w:val="0"/>
                    <w:snapToGrid w:val="0"/>
                    <w:ind w:left="-105" w:leftChars="-50" w:right="-105" w:rightChars="-50"/>
                    <w:jc w:val="center"/>
                    <w:rPr>
                      <w:b/>
                      <w:color w:val="auto"/>
                    </w:rPr>
                  </w:pPr>
                </w:p>
              </w:tc>
              <w:tc>
                <w:tcPr>
                  <w:tcW w:w="362" w:type="pct"/>
                  <w:noWrap w:val="0"/>
                  <w:vAlign w:val="center"/>
                </w:tcPr>
                <w:p>
                  <w:pPr>
                    <w:adjustRightInd w:val="0"/>
                    <w:snapToGrid w:val="0"/>
                    <w:ind w:left="-105" w:leftChars="-50" w:right="-105" w:rightChars="-50"/>
                    <w:jc w:val="center"/>
                    <w:rPr>
                      <w:b/>
                      <w:color w:val="auto"/>
                    </w:rPr>
                  </w:pPr>
                  <w:r>
                    <w:rPr>
                      <w:rFonts w:hAnsi="宋体"/>
                      <w:b/>
                      <w:color w:val="auto"/>
                    </w:rPr>
                    <w:t>声压级</w:t>
                  </w:r>
                  <w:r>
                    <w:rPr>
                      <w:b/>
                      <w:color w:val="auto"/>
                    </w:rPr>
                    <w:t>/dB(A)</w:t>
                  </w:r>
                </w:p>
              </w:tc>
              <w:tc>
                <w:tcPr>
                  <w:tcW w:w="385" w:type="pct"/>
                  <w:noWrap w:val="0"/>
                  <w:vAlign w:val="center"/>
                </w:tcPr>
                <w:p>
                  <w:pPr>
                    <w:adjustRightInd w:val="0"/>
                    <w:snapToGrid w:val="0"/>
                    <w:ind w:left="-105" w:leftChars="-50" w:right="-105" w:rightChars="-50"/>
                    <w:jc w:val="center"/>
                    <w:rPr>
                      <w:b/>
                      <w:color w:val="auto"/>
                    </w:rPr>
                  </w:pPr>
                  <w:r>
                    <w:rPr>
                      <w:rFonts w:hAnsi="宋体"/>
                      <w:b/>
                      <w:color w:val="auto"/>
                    </w:rPr>
                    <w:t>建筑物外距离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color w:val="auto"/>
                    </w:rPr>
                  </w:pPr>
                  <w:r>
                    <w:rPr>
                      <w:color w:val="auto"/>
                    </w:rPr>
                    <w:t>1</w:t>
                  </w:r>
                </w:p>
              </w:tc>
              <w:tc>
                <w:tcPr>
                  <w:tcW w:w="212" w:type="pct"/>
                  <w:vMerge w:val="restart"/>
                  <w:noWrap w:val="0"/>
                  <w:vAlign w:val="center"/>
                </w:tcPr>
                <w:p>
                  <w:pPr>
                    <w:adjustRightInd w:val="0"/>
                    <w:snapToGrid w:val="0"/>
                    <w:ind w:left="-105" w:leftChars="-50" w:right="-105" w:rightChars="-50"/>
                    <w:jc w:val="center"/>
                    <w:rPr>
                      <w:rFonts w:hint="eastAsia" w:hAnsi="宋体"/>
                      <w:color w:val="auto"/>
                      <w:lang w:eastAsia="zh-CN"/>
                    </w:rPr>
                  </w:pPr>
                  <w:r>
                    <w:rPr>
                      <w:rFonts w:hint="eastAsia" w:hAnsi="宋体"/>
                      <w:color w:val="auto"/>
                      <w:lang w:eastAsia="zh-CN"/>
                    </w:rPr>
                    <w:t>车间一</w:t>
                  </w:r>
                </w:p>
              </w:tc>
              <w:tc>
                <w:tcPr>
                  <w:tcW w:w="795" w:type="pct"/>
                  <w:noWrap w:val="0"/>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打孔机</w:t>
                  </w:r>
                </w:p>
              </w:tc>
              <w:tc>
                <w:tcPr>
                  <w:tcW w:w="135" w:type="pct"/>
                  <w:noWrap w:val="0"/>
                  <w:vAlign w:val="center"/>
                </w:tcPr>
                <w:p>
                  <w:pPr>
                    <w:widowControl/>
                    <w:adjustRightInd w:val="0"/>
                    <w:snapToGrid w:val="0"/>
                    <w:ind w:left="-105" w:leftChars="-50" w:right="-105" w:rightChars="-50"/>
                    <w:jc w:val="center"/>
                    <w:textAlignment w:val="center"/>
                    <w:rPr>
                      <w:rFonts w:hint="eastAsia"/>
                      <w:color w:val="auto"/>
                      <w:szCs w:val="21"/>
                    </w:rPr>
                  </w:pPr>
                  <w:r>
                    <w:rPr>
                      <w:rFonts w:hint="eastAsia"/>
                      <w:color w:val="auto"/>
                      <w:szCs w:val="21"/>
                    </w:rPr>
                    <w:t>/</w:t>
                  </w:r>
                </w:p>
              </w:tc>
              <w:tc>
                <w:tcPr>
                  <w:tcW w:w="230" w:type="pct"/>
                  <w:noWrap w:val="0"/>
                  <w:vAlign w:val="center"/>
                </w:tcPr>
                <w:p>
                  <w:pPr>
                    <w:adjustRightInd w:val="0"/>
                    <w:snapToGrid w:val="0"/>
                    <w:jc w:val="center"/>
                    <w:rPr>
                      <w:rFonts w:hint="default" w:cs="Times New Roman"/>
                      <w:bCs/>
                      <w:color w:val="auto"/>
                      <w:szCs w:val="21"/>
                      <w:lang w:val="en-US" w:eastAsia="zh-CN"/>
                    </w:rPr>
                  </w:pPr>
                  <w:r>
                    <w:rPr>
                      <w:rFonts w:hint="eastAsia" w:cs="Times New Roman"/>
                      <w:bCs/>
                      <w:color w:val="auto"/>
                      <w:szCs w:val="21"/>
                      <w:lang w:val="en-US" w:eastAsia="zh-CN"/>
                    </w:rPr>
                    <w:t>1</w:t>
                  </w:r>
                </w:p>
              </w:tc>
              <w:tc>
                <w:tcPr>
                  <w:tcW w:w="552" w:type="pct"/>
                  <w:noWrap w:val="0"/>
                  <w:vAlign w:val="center"/>
                </w:tcPr>
                <w:p>
                  <w:pPr>
                    <w:jc w:val="center"/>
                    <w:rPr>
                      <w:rFonts w:hint="default"/>
                      <w:color w:val="auto"/>
                      <w:szCs w:val="21"/>
                      <w:lang w:val="en-US" w:eastAsia="zh-CN"/>
                    </w:rPr>
                  </w:pPr>
                  <w:r>
                    <w:rPr>
                      <w:rFonts w:hint="eastAsia"/>
                      <w:color w:val="auto"/>
                      <w:szCs w:val="21"/>
                      <w:lang w:val="en-US" w:eastAsia="zh-CN"/>
                    </w:rPr>
                    <w:t>80</w:t>
                  </w:r>
                </w:p>
              </w:tc>
              <w:tc>
                <w:tcPr>
                  <w:tcW w:w="402" w:type="pct"/>
                  <w:vMerge w:val="restart"/>
                  <w:noWrap w:val="0"/>
                  <w:vAlign w:val="center"/>
                </w:tcPr>
                <w:p>
                  <w:pPr>
                    <w:adjustRightInd w:val="0"/>
                    <w:snapToGrid w:val="0"/>
                    <w:ind w:left="-105" w:leftChars="-50" w:right="-105" w:rightChars="-50"/>
                    <w:jc w:val="center"/>
                    <w:rPr>
                      <w:rFonts w:hAnsi="宋体"/>
                      <w:bCs/>
                      <w:color w:val="auto"/>
                      <w:szCs w:val="20"/>
                    </w:rPr>
                  </w:pPr>
                  <w:r>
                    <w:rPr>
                      <w:rFonts w:hAnsi="宋体"/>
                      <w:bCs/>
                      <w:color w:val="auto"/>
                      <w:szCs w:val="20"/>
                    </w:rPr>
                    <w:t>减振、厂房隔音</w:t>
                  </w: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35</w:t>
                  </w:r>
                </w:p>
              </w:tc>
              <w:tc>
                <w:tcPr>
                  <w:tcW w:w="229"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66</w:t>
                  </w:r>
                </w:p>
              </w:tc>
              <w:tc>
                <w:tcPr>
                  <w:tcW w:w="54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8</w:t>
                  </w:r>
                  <w:r>
                    <w:rPr>
                      <w:color w:val="auto"/>
                    </w:rPr>
                    <w:t>h</w:t>
                  </w:r>
                </w:p>
              </w:tc>
              <w:tc>
                <w:tcPr>
                  <w:tcW w:w="97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46</w:t>
                  </w:r>
                </w:p>
              </w:tc>
              <w:tc>
                <w:tcPr>
                  <w:tcW w:w="385" w:type="pct"/>
                  <w:noWrap w:val="0"/>
                  <w:vAlign w:val="center"/>
                </w:tcPr>
                <w:p>
                  <w:pPr>
                    <w:adjustRightInd w:val="0"/>
                    <w:snapToGrid w:val="0"/>
                    <w:ind w:left="-105" w:leftChars="-50" w:right="-105" w:rightChars="-50"/>
                    <w:jc w:val="center"/>
                    <w:rPr>
                      <w:color w:val="auto"/>
                    </w:rPr>
                  </w:pPr>
                  <w:r>
                    <w:rPr>
                      <w:color w:val="auto"/>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rFonts w:hint="eastAsia" w:eastAsia="宋体"/>
                      <w:color w:val="auto"/>
                      <w:lang w:val="en-US" w:eastAsia="zh-CN"/>
                    </w:rPr>
                  </w:pPr>
                  <w:r>
                    <w:rPr>
                      <w:rFonts w:hint="eastAsia"/>
                      <w:color w:val="auto"/>
                      <w:lang w:val="en-US" w:eastAsia="zh-CN"/>
                    </w:rPr>
                    <w:t>2</w:t>
                  </w:r>
                </w:p>
              </w:tc>
              <w:tc>
                <w:tcPr>
                  <w:tcW w:w="212" w:type="pct"/>
                  <w:vMerge w:val="continue"/>
                  <w:noWrap w:val="0"/>
                  <w:vAlign w:val="center"/>
                </w:tcPr>
                <w:p>
                  <w:pPr>
                    <w:adjustRightInd w:val="0"/>
                    <w:snapToGrid w:val="0"/>
                    <w:ind w:left="-105" w:leftChars="-50" w:right="-105" w:rightChars="-50"/>
                    <w:jc w:val="center"/>
                    <w:rPr>
                      <w:rFonts w:hint="eastAsia" w:hAnsi="宋体"/>
                      <w:color w:val="auto"/>
                      <w:lang w:eastAsia="zh-CN"/>
                    </w:rPr>
                  </w:pPr>
                </w:p>
              </w:tc>
              <w:tc>
                <w:tcPr>
                  <w:tcW w:w="795" w:type="pct"/>
                  <w:noWrap w:val="0"/>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泡棉直切机</w:t>
                  </w:r>
                </w:p>
              </w:tc>
              <w:tc>
                <w:tcPr>
                  <w:tcW w:w="135" w:type="pct"/>
                  <w:noWrap w:val="0"/>
                  <w:vAlign w:val="center"/>
                </w:tcPr>
                <w:p>
                  <w:pPr>
                    <w:widowControl/>
                    <w:adjustRightInd w:val="0"/>
                    <w:snapToGrid w:val="0"/>
                    <w:ind w:left="-105" w:leftChars="-50" w:right="-105" w:rightChars="-50"/>
                    <w:jc w:val="center"/>
                    <w:textAlignment w:val="center"/>
                    <w:rPr>
                      <w:rFonts w:hint="eastAsia"/>
                      <w:color w:val="auto"/>
                      <w:szCs w:val="21"/>
                    </w:rPr>
                  </w:pPr>
                  <w:r>
                    <w:rPr>
                      <w:rFonts w:hint="eastAsia"/>
                      <w:color w:val="auto"/>
                      <w:szCs w:val="21"/>
                    </w:rPr>
                    <w:t>/</w:t>
                  </w:r>
                </w:p>
              </w:tc>
              <w:tc>
                <w:tcPr>
                  <w:tcW w:w="230" w:type="pct"/>
                  <w:noWrap w:val="0"/>
                  <w:vAlign w:val="center"/>
                </w:tcPr>
                <w:p>
                  <w:pPr>
                    <w:adjustRightInd w:val="0"/>
                    <w:snapToGrid w:val="0"/>
                    <w:jc w:val="center"/>
                    <w:rPr>
                      <w:rFonts w:hint="default" w:cs="Times New Roman"/>
                      <w:bCs/>
                      <w:color w:val="auto"/>
                      <w:szCs w:val="21"/>
                      <w:lang w:val="en-US" w:eastAsia="zh-CN"/>
                    </w:rPr>
                  </w:pPr>
                  <w:r>
                    <w:rPr>
                      <w:rFonts w:hint="eastAsia" w:cs="Times New Roman"/>
                      <w:bCs/>
                      <w:color w:val="auto"/>
                      <w:szCs w:val="21"/>
                      <w:lang w:val="en-US" w:eastAsia="zh-CN"/>
                    </w:rPr>
                    <w:t>1</w:t>
                  </w:r>
                </w:p>
              </w:tc>
              <w:tc>
                <w:tcPr>
                  <w:tcW w:w="552" w:type="pct"/>
                  <w:noWrap w:val="0"/>
                  <w:vAlign w:val="center"/>
                </w:tcPr>
                <w:p>
                  <w:pPr>
                    <w:jc w:val="center"/>
                    <w:rPr>
                      <w:rFonts w:hint="default"/>
                      <w:color w:val="auto"/>
                      <w:szCs w:val="21"/>
                      <w:lang w:val="en-US" w:eastAsia="zh-CN"/>
                    </w:rPr>
                  </w:pPr>
                  <w:r>
                    <w:rPr>
                      <w:rFonts w:hint="eastAsia"/>
                      <w:color w:val="auto"/>
                      <w:szCs w:val="21"/>
                      <w:lang w:val="en-US" w:eastAsia="zh-CN"/>
                    </w:rPr>
                    <w:t>80</w:t>
                  </w:r>
                </w:p>
              </w:tc>
              <w:tc>
                <w:tcPr>
                  <w:tcW w:w="402" w:type="pct"/>
                  <w:vMerge w:val="continue"/>
                  <w:noWrap w:val="0"/>
                  <w:vAlign w:val="center"/>
                </w:tcPr>
                <w:p>
                  <w:pPr>
                    <w:adjustRightInd w:val="0"/>
                    <w:snapToGrid w:val="0"/>
                    <w:ind w:left="-105" w:leftChars="-50" w:right="-105" w:rightChars="-50"/>
                    <w:jc w:val="center"/>
                    <w:rPr>
                      <w:rFonts w:hAnsi="宋体"/>
                      <w:bCs/>
                      <w:color w:val="auto"/>
                      <w:szCs w:val="20"/>
                    </w:rPr>
                  </w:pP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10</w:t>
                  </w: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35</w:t>
                  </w:r>
                </w:p>
              </w:tc>
              <w:tc>
                <w:tcPr>
                  <w:tcW w:w="229"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66</w:t>
                  </w:r>
                </w:p>
              </w:tc>
              <w:tc>
                <w:tcPr>
                  <w:tcW w:w="54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8</w:t>
                  </w:r>
                  <w:r>
                    <w:rPr>
                      <w:color w:val="auto"/>
                    </w:rPr>
                    <w:t>h</w:t>
                  </w:r>
                </w:p>
              </w:tc>
              <w:tc>
                <w:tcPr>
                  <w:tcW w:w="97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46</w:t>
                  </w:r>
                </w:p>
              </w:tc>
              <w:tc>
                <w:tcPr>
                  <w:tcW w:w="385" w:type="pct"/>
                  <w:noWrap w:val="0"/>
                  <w:vAlign w:val="center"/>
                </w:tcPr>
                <w:p>
                  <w:pPr>
                    <w:adjustRightInd w:val="0"/>
                    <w:snapToGrid w:val="0"/>
                    <w:ind w:left="-105" w:leftChars="-50" w:right="-105" w:rightChars="-50"/>
                    <w:jc w:val="center"/>
                    <w:rPr>
                      <w:color w:val="auto"/>
                    </w:rPr>
                  </w:pPr>
                  <w:r>
                    <w:rPr>
                      <w:color w:val="auto"/>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rFonts w:hint="eastAsia" w:eastAsia="宋体"/>
                      <w:color w:val="auto"/>
                      <w:lang w:val="en-US" w:eastAsia="zh-CN"/>
                    </w:rPr>
                  </w:pPr>
                  <w:r>
                    <w:rPr>
                      <w:rFonts w:hint="eastAsia"/>
                      <w:color w:val="auto"/>
                      <w:lang w:val="en-US" w:eastAsia="zh-CN"/>
                    </w:rPr>
                    <w:t>3</w:t>
                  </w:r>
                </w:p>
              </w:tc>
              <w:tc>
                <w:tcPr>
                  <w:tcW w:w="212" w:type="pct"/>
                  <w:vMerge w:val="continue"/>
                  <w:noWrap w:val="0"/>
                  <w:vAlign w:val="center"/>
                </w:tcPr>
                <w:p>
                  <w:pPr>
                    <w:adjustRightInd w:val="0"/>
                    <w:snapToGrid w:val="0"/>
                    <w:ind w:left="-105" w:leftChars="-50" w:right="-105" w:rightChars="-50"/>
                    <w:jc w:val="center"/>
                    <w:rPr>
                      <w:rFonts w:hint="eastAsia" w:hAnsi="宋体"/>
                      <w:color w:val="auto"/>
                      <w:lang w:eastAsia="zh-CN"/>
                    </w:rPr>
                  </w:pPr>
                </w:p>
              </w:tc>
              <w:tc>
                <w:tcPr>
                  <w:tcW w:w="795" w:type="pct"/>
                  <w:noWrap w:val="0"/>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切割机器人</w:t>
                  </w:r>
                </w:p>
              </w:tc>
              <w:tc>
                <w:tcPr>
                  <w:tcW w:w="135" w:type="pct"/>
                  <w:noWrap w:val="0"/>
                  <w:vAlign w:val="center"/>
                </w:tcPr>
                <w:p>
                  <w:pPr>
                    <w:widowControl/>
                    <w:adjustRightInd w:val="0"/>
                    <w:snapToGrid w:val="0"/>
                    <w:ind w:left="-105" w:leftChars="-50" w:right="-105" w:rightChars="-50"/>
                    <w:jc w:val="center"/>
                    <w:textAlignment w:val="center"/>
                    <w:rPr>
                      <w:rFonts w:hint="eastAsia"/>
                      <w:color w:val="auto"/>
                      <w:szCs w:val="21"/>
                    </w:rPr>
                  </w:pPr>
                  <w:r>
                    <w:rPr>
                      <w:rFonts w:hint="eastAsia"/>
                      <w:color w:val="auto"/>
                      <w:szCs w:val="21"/>
                    </w:rPr>
                    <w:t>/</w:t>
                  </w:r>
                </w:p>
              </w:tc>
              <w:tc>
                <w:tcPr>
                  <w:tcW w:w="230" w:type="pct"/>
                  <w:noWrap w:val="0"/>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cs="Times New Roman"/>
                      <w:bCs/>
                      <w:color w:val="auto"/>
                      <w:szCs w:val="21"/>
                      <w:lang w:val="en-US" w:eastAsia="zh-CN"/>
                    </w:rPr>
                  </w:pPr>
                  <w:r>
                    <w:rPr>
                      <w:rFonts w:hint="eastAsia" w:cs="Times New Roman"/>
                      <w:bCs/>
                      <w:color w:val="auto"/>
                      <w:sz w:val="21"/>
                      <w:szCs w:val="21"/>
                      <w:lang w:val="en-US" w:eastAsia="zh-CN"/>
                    </w:rPr>
                    <w:t>2</w:t>
                  </w:r>
                </w:p>
              </w:tc>
              <w:tc>
                <w:tcPr>
                  <w:tcW w:w="552" w:type="pct"/>
                  <w:noWrap w:val="0"/>
                  <w:vAlign w:val="center"/>
                </w:tcPr>
                <w:p>
                  <w:pPr>
                    <w:jc w:val="center"/>
                    <w:rPr>
                      <w:rFonts w:hint="default"/>
                      <w:color w:val="auto"/>
                      <w:szCs w:val="21"/>
                      <w:lang w:val="en-US" w:eastAsia="zh-CN"/>
                    </w:rPr>
                  </w:pPr>
                  <w:r>
                    <w:rPr>
                      <w:rFonts w:hint="eastAsia"/>
                      <w:color w:val="auto"/>
                      <w:szCs w:val="21"/>
                      <w:lang w:val="en-US" w:eastAsia="zh-CN"/>
                    </w:rPr>
                    <w:t>85</w:t>
                  </w:r>
                </w:p>
              </w:tc>
              <w:tc>
                <w:tcPr>
                  <w:tcW w:w="402" w:type="pct"/>
                  <w:vMerge w:val="continue"/>
                  <w:noWrap w:val="0"/>
                  <w:vAlign w:val="center"/>
                </w:tcPr>
                <w:p>
                  <w:pPr>
                    <w:adjustRightInd w:val="0"/>
                    <w:snapToGrid w:val="0"/>
                    <w:ind w:left="-105" w:leftChars="-50" w:right="-105" w:rightChars="-50"/>
                    <w:jc w:val="center"/>
                    <w:rPr>
                      <w:rFonts w:hAnsi="宋体"/>
                      <w:bCs/>
                      <w:color w:val="auto"/>
                      <w:szCs w:val="20"/>
                    </w:rPr>
                  </w:pP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20</w:t>
                  </w: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45</w:t>
                  </w:r>
                </w:p>
              </w:tc>
              <w:tc>
                <w:tcPr>
                  <w:tcW w:w="229"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71</w:t>
                  </w:r>
                </w:p>
              </w:tc>
              <w:tc>
                <w:tcPr>
                  <w:tcW w:w="54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8</w:t>
                  </w:r>
                  <w:r>
                    <w:rPr>
                      <w:color w:val="auto"/>
                    </w:rPr>
                    <w:t>h</w:t>
                  </w:r>
                </w:p>
              </w:tc>
              <w:tc>
                <w:tcPr>
                  <w:tcW w:w="97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51</w:t>
                  </w:r>
                </w:p>
              </w:tc>
              <w:tc>
                <w:tcPr>
                  <w:tcW w:w="385" w:type="pct"/>
                  <w:noWrap w:val="0"/>
                  <w:vAlign w:val="center"/>
                </w:tcPr>
                <w:p>
                  <w:pPr>
                    <w:adjustRightInd w:val="0"/>
                    <w:snapToGrid w:val="0"/>
                    <w:ind w:left="-105" w:leftChars="-50" w:right="-105" w:rightChars="-50"/>
                    <w:jc w:val="center"/>
                    <w:rPr>
                      <w:color w:val="auto"/>
                    </w:rPr>
                  </w:pPr>
                  <w:r>
                    <w:rPr>
                      <w:color w:val="auto"/>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rFonts w:hint="eastAsia" w:eastAsia="宋体"/>
                      <w:color w:val="auto"/>
                      <w:lang w:val="en-US" w:eastAsia="zh-CN"/>
                    </w:rPr>
                  </w:pPr>
                  <w:r>
                    <w:rPr>
                      <w:rFonts w:hint="eastAsia"/>
                      <w:color w:val="auto"/>
                      <w:lang w:val="en-US" w:eastAsia="zh-CN"/>
                    </w:rPr>
                    <w:t>4</w:t>
                  </w:r>
                </w:p>
              </w:tc>
              <w:tc>
                <w:tcPr>
                  <w:tcW w:w="212" w:type="pct"/>
                  <w:vMerge w:val="continue"/>
                  <w:noWrap w:val="0"/>
                  <w:vAlign w:val="center"/>
                </w:tcPr>
                <w:p>
                  <w:pPr>
                    <w:adjustRightInd w:val="0"/>
                    <w:snapToGrid w:val="0"/>
                    <w:ind w:left="-105" w:leftChars="-50" w:right="-105" w:rightChars="-50"/>
                    <w:jc w:val="center"/>
                    <w:rPr>
                      <w:rFonts w:hint="eastAsia" w:hAnsi="宋体"/>
                      <w:color w:val="auto"/>
                      <w:lang w:eastAsia="zh-CN"/>
                    </w:rPr>
                  </w:pPr>
                </w:p>
              </w:tc>
              <w:tc>
                <w:tcPr>
                  <w:tcW w:w="795" w:type="pct"/>
                  <w:noWrap w:val="0"/>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开槽机</w:t>
                  </w:r>
                </w:p>
              </w:tc>
              <w:tc>
                <w:tcPr>
                  <w:tcW w:w="135" w:type="pct"/>
                  <w:noWrap w:val="0"/>
                  <w:vAlign w:val="center"/>
                </w:tcPr>
                <w:p>
                  <w:pPr>
                    <w:widowControl/>
                    <w:adjustRightInd w:val="0"/>
                    <w:snapToGrid w:val="0"/>
                    <w:ind w:left="-105" w:leftChars="-50" w:right="-105" w:rightChars="-50"/>
                    <w:jc w:val="center"/>
                    <w:textAlignment w:val="center"/>
                    <w:rPr>
                      <w:rFonts w:hint="eastAsia"/>
                      <w:color w:val="auto"/>
                      <w:szCs w:val="21"/>
                    </w:rPr>
                  </w:pPr>
                  <w:r>
                    <w:rPr>
                      <w:rFonts w:hint="eastAsia"/>
                      <w:color w:val="auto"/>
                      <w:szCs w:val="21"/>
                    </w:rPr>
                    <w:t>/</w:t>
                  </w:r>
                </w:p>
              </w:tc>
              <w:tc>
                <w:tcPr>
                  <w:tcW w:w="230" w:type="pct"/>
                  <w:noWrap w:val="0"/>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auto"/>
                    <w:outlineLvl w:val="9"/>
                    <w:rPr>
                      <w:rFonts w:hint="eastAsia" w:cs="Times New Roman"/>
                      <w:bCs/>
                      <w:color w:val="auto"/>
                      <w:szCs w:val="21"/>
                      <w:lang w:val="en-US" w:eastAsia="zh-CN"/>
                    </w:rPr>
                  </w:pPr>
                  <w:r>
                    <w:rPr>
                      <w:rFonts w:hint="eastAsia" w:ascii="宋体" w:hAnsi="宋体" w:eastAsia="宋体" w:cs="宋体"/>
                      <w:color w:val="auto"/>
                      <w:spacing w:val="-17"/>
                      <w:sz w:val="24"/>
                      <w:szCs w:val="24"/>
                      <w:vertAlign w:val="baseline"/>
                      <w:lang w:val="en-US" w:eastAsia="zh-CN"/>
                    </w:rPr>
                    <w:t>1</w:t>
                  </w:r>
                </w:p>
              </w:tc>
              <w:tc>
                <w:tcPr>
                  <w:tcW w:w="552" w:type="pct"/>
                  <w:noWrap w:val="0"/>
                  <w:vAlign w:val="center"/>
                </w:tcPr>
                <w:p>
                  <w:pPr>
                    <w:jc w:val="center"/>
                    <w:rPr>
                      <w:rFonts w:hint="default"/>
                      <w:color w:val="auto"/>
                      <w:szCs w:val="21"/>
                      <w:lang w:val="en-US" w:eastAsia="zh-CN"/>
                    </w:rPr>
                  </w:pPr>
                  <w:r>
                    <w:rPr>
                      <w:rFonts w:hint="eastAsia"/>
                      <w:color w:val="auto"/>
                      <w:szCs w:val="21"/>
                      <w:lang w:val="en-US" w:eastAsia="zh-CN"/>
                    </w:rPr>
                    <w:t>80</w:t>
                  </w:r>
                </w:p>
              </w:tc>
              <w:tc>
                <w:tcPr>
                  <w:tcW w:w="402" w:type="pct"/>
                  <w:vMerge w:val="continue"/>
                  <w:noWrap w:val="0"/>
                  <w:vAlign w:val="center"/>
                </w:tcPr>
                <w:p>
                  <w:pPr>
                    <w:adjustRightInd w:val="0"/>
                    <w:snapToGrid w:val="0"/>
                    <w:ind w:left="-105" w:leftChars="-50" w:right="-105" w:rightChars="-50"/>
                    <w:jc w:val="center"/>
                    <w:rPr>
                      <w:rFonts w:hAnsi="宋体"/>
                      <w:bCs/>
                      <w:color w:val="auto"/>
                      <w:szCs w:val="20"/>
                    </w:rPr>
                  </w:pP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15</w:t>
                  </w:r>
                </w:p>
              </w:tc>
              <w:tc>
                <w:tcPr>
                  <w:tcW w:w="210"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35</w:t>
                  </w:r>
                </w:p>
              </w:tc>
              <w:tc>
                <w:tcPr>
                  <w:tcW w:w="229"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66</w:t>
                  </w:r>
                </w:p>
              </w:tc>
              <w:tc>
                <w:tcPr>
                  <w:tcW w:w="54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8</w:t>
                  </w:r>
                  <w:r>
                    <w:rPr>
                      <w:color w:val="auto"/>
                    </w:rPr>
                    <w:t>h</w:t>
                  </w:r>
                </w:p>
              </w:tc>
              <w:tc>
                <w:tcPr>
                  <w:tcW w:w="97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46</w:t>
                  </w:r>
                </w:p>
              </w:tc>
              <w:tc>
                <w:tcPr>
                  <w:tcW w:w="385" w:type="pct"/>
                  <w:noWrap w:val="0"/>
                  <w:vAlign w:val="center"/>
                </w:tcPr>
                <w:p>
                  <w:pPr>
                    <w:adjustRightInd w:val="0"/>
                    <w:snapToGrid w:val="0"/>
                    <w:ind w:left="-105" w:leftChars="-50" w:right="-105" w:rightChars="-50"/>
                    <w:jc w:val="center"/>
                    <w:rPr>
                      <w:color w:val="auto"/>
                    </w:rPr>
                  </w:pPr>
                  <w:r>
                    <w:rPr>
                      <w:color w:val="auto"/>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rFonts w:hint="eastAsia" w:eastAsia="宋体"/>
                      <w:color w:val="auto"/>
                      <w:lang w:val="en-US" w:eastAsia="zh-CN"/>
                    </w:rPr>
                  </w:pPr>
                  <w:r>
                    <w:rPr>
                      <w:rFonts w:hint="eastAsia"/>
                      <w:color w:val="auto"/>
                      <w:lang w:val="en-US" w:eastAsia="zh-CN"/>
                    </w:rPr>
                    <w:t>5</w:t>
                  </w:r>
                </w:p>
              </w:tc>
              <w:tc>
                <w:tcPr>
                  <w:tcW w:w="212" w:type="pct"/>
                  <w:vMerge w:val="continue"/>
                  <w:noWrap w:val="0"/>
                  <w:vAlign w:val="center"/>
                </w:tcPr>
                <w:p>
                  <w:pPr>
                    <w:adjustRightInd w:val="0"/>
                    <w:snapToGrid w:val="0"/>
                    <w:ind w:left="-105" w:leftChars="-50" w:right="-105" w:rightChars="-50"/>
                    <w:jc w:val="center"/>
                    <w:rPr>
                      <w:rFonts w:hint="eastAsia" w:hAnsi="宋体"/>
                      <w:color w:val="auto"/>
                      <w:lang w:eastAsia="zh-CN"/>
                    </w:rPr>
                  </w:pPr>
                </w:p>
              </w:tc>
              <w:tc>
                <w:tcPr>
                  <w:tcW w:w="795" w:type="pct"/>
                  <w:noWrap w:val="0"/>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液压四柱平面下料机</w:t>
                  </w:r>
                </w:p>
              </w:tc>
              <w:tc>
                <w:tcPr>
                  <w:tcW w:w="135" w:type="pct"/>
                  <w:noWrap w:val="0"/>
                  <w:vAlign w:val="center"/>
                </w:tcPr>
                <w:p>
                  <w:pPr>
                    <w:widowControl/>
                    <w:adjustRightInd w:val="0"/>
                    <w:snapToGrid w:val="0"/>
                    <w:ind w:left="-105" w:leftChars="-50" w:right="-105" w:rightChars="-50"/>
                    <w:jc w:val="center"/>
                    <w:textAlignment w:val="center"/>
                    <w:rPr>
                      <w:rFonts w:hint="eastAsia"/>
                      <w:color w:val="auto"/>
                      <w:szCs w:val="21"/>
                    </w:rPr>
                  </w:pPr>
                  <w:r>
                    <w:rPr>
                      <w:rFonts w:hint="eastAsia"/>
                      <w:color w:val="auto"/>
                      <w:szCs w:val="21"/>
                    </w:rPr>
                    <w:t>/</w:t>
                  </w:r>
                </w:p>
              </w:tc>
              <w:tc>
                <w:tcPr>
                  <w:tcW w:w="230" w:type="pct"/>
                  <w:noWrap w:val="0"/>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auto"/>
                    <w:outlineLvl w:val="9"/>
                    <w:rPr>
                      <w:rFonts w:hint="eastAsia" w:cs="Times New Roman"/>
                      <w:bCs/>
                      <w:color w:val="auto"/>
                      <w:szCs w:val="21"/>
                      <w:lang w:val="en-US" w:eastAsia="zh-CN"/>
                    </w:rPr>
                  </w:pPr>
                  <w:r>
                    <w:rPr>
                      <w:rFonts w:hint="eastAsia" w:ascii="宋体" w:hAnsi="宋体" w:eastAsia="宋体" w:cs="宋体"/>
                      <w:color w:val="auto"/>
                      <w:spacing w:val="-17"/>
                      <w:sz w:val="24"/>
                      <w:szCs w:val="24"/>
                      <w:vertAlign w:val="baseline"/>
                      <w:lang w:val="en-US" w:eastAsia="zh-CN"/>
                    </w:rPr>
                    <w:t>1</w:t>
                  </w:r>
                </w:p>
              </w:tc>
              <w:tc>
                <w:tcPr>
                  <w:tcW w:w="552" w:type="pct"/>
                  <w:noWrap w:val="0"/>
                  <w:vAlign w:val="center"/>
                </w:tcPr>
                <w:p>
                  <w:pPr>
                    <w:jc w:val="center"/>
                    <w:rPr>
                      <w:rFonts w:hint="default"/>
                      <w:color w:val="auto"/>
                      <w:szCs w:val="21"/>
                      <w:lang w:val="en-US" w:eastAsia="zh-CN"/>
                    </w:rPr>
                  </w:pPr>
                  <w:r>
                    <w:rPr>
                      <w:rFonts w:hint="eastAsia"/>
                      <w:color w:val="auto"/>
                      <w:szCs w:val="21"/>
                      <w:lang w:val="en-US" w:eastAsia="zh-CN"/>
                    </w:rPr>
                    <w:t>80</w:t>
                  </w:r>
                </w:p>
              </w:tc>
              <w:tc>
                <w:tcPr>
                  <w:tcW w:w="402" w:type="pct"/>
                  <w:vMerge w:val="continue"/>
                  <w:noWrap w:val="0"/>
                  <w:vAlign w:val="center"/>
                </w:tcPr>
                <w:p>
                  <w:pPr>
                    <w:adjustRightInd w:val="0"/>
                    <w:snapToGrid w:val="0"/>
                    <w:ind w:left="-105" w:leftChars="-50" w:right="-105" w:rightChars="-50"/>
                    <w:jc w:val="center"/>
                    <w:rPr>
                      <w:rFonts w:hAnsi="宋体"/>
                      <w:bCs/>
                      <w:color w:val="auto"/>
                      <w:szCs w:val="20"/>
                    </w:rPr>
                  </w:pP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20</w:t>
                  </w:r>
                </w:p>
              </w:tc>
              <w:tc>
                <w:tcPr>
                  <w:tcW w:w="210"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35</w:t>
                  </w:r>
                </w:p>
              </w:tc>
              <w:tc>
                <w:tcPr>
                  <w:tcW w:w="229"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66</w:t>
                  </w:r>
                </w:p>
              </w:tc>
              <w:tc>
                <w:tcPr>
                  <w:tcW w:w="54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8</w:t>
                  </w:r>
                  <w:r>
                    <w:rPr>
                      <w:color w:val="auto"/>
                    </w:rPr>
                    <w:t>h</w:t>
                  </w:r>
                </w:p>
              </w:tc>
              <w:tc>
                <w:tcPr>
                  <w:tcW w:w="97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46</w:t>
                  </w:r>
                </w:p>
              </w:tc>
              <w:tc>
                <w:tcPr>
                  <w:tcW w:w="385" w:type="pct"/>
                  <w:noWrap w:val="0"/>
                  <w:vAlign w:val="center"/>
                </w:tcPr>
                <w:p>
                  <w:pPr>
                    <w:adjustRightInd w:val="0"/>
                    <w:snapToGrid w:val="0"/>
                    <w:ind w:left="-105" w:leftChars="-50" w:right="-105" w:rightChars="-50"/>
                    <w:jc w:val="center"/>
                    <w:rPr>
                      <w:color w:val="auto"/>
                    </w:rPr>
                  </w:pPr>
                  <w:r>
                    <w:rPr>
                      <w:color w:val="auto"/>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rFonts w:hint="eastAsia" w:eastAsia="宋体"/>
                      <w:color w:val="auto"/>
                      <w:lang w:val="en-US" w:eastAsia="zh-CN"/>
                    </w:rPr>
                  </w:pPr>
                  <w:r>
                    <w:rPr>
                      <w:rFonts w:hint="eastAsia"/>
                      <w:color w:val="auto"/>
                      <w:lang w:val="en-US" w:eastAsia="zh-CN"/>
                    </w:rPr>
                    <w:t>6</w:t>
                  </w:r>
                </w:p>
              </w:tc>
              <w:tc>
                <w:tcPr>
                  <w:tcW w:w="212" w:type="pct"/>
                  <w:vMerge w:val="continue"/>
                  <w:noWrap w:val="0"/>
                  <w:vAlign w:val="center"/>
                </w:tcPr>
                <w:p>
                  <w:pPr>
                    <w:adjustRightInd w:val="0"/>
                    <w:snapToGrid w:val="0"/>
                    <w:ind w:left="-105" w:leftChars="-50" w:right="-105" w:rightChars="-50"/>
                    <w:jc w:val="center"/>
                    <w:rPr>
                      <w:rFonts w:hint="eastAsia" w:hAnsi="宋体"/>
                      <w:color w:val="auto"/>
                      <w:lang w:eastAsia="zh-CN"/>
                    </w:rPr>
                  </w:pPr>
                </w:p>
              </w:tc>
              <w:tc>
                <w:tcPr>
                  <w:tcW w:w="795" w:type="pct"/>
                  <w:noWrap w:val="0"/>
                  <w:vAlign w:val="center"/>
                </w:tcPr>
                <w:p>
                  <w:pPr>
                    <w:keepNext w:val="0"/>
                    <w:keepLines w:val="0"/>
                    <w:pageBreakBefore w:val="0"/>
                    <w:widowControl/>
                    <w:suppressLineNumbers w:val="0"/>
                    <w:wordWrap/>
                    <w:overflowPunct/>
                    <w:topLinePunct w:val="0"/>
                    <w:bidi w:val="0"/>
                    <w:spacing w:line="240" w:lineRule="auto"/>
                    <w:ind w:right="0" w:rightChars="0"/>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精密四柱液压裁断机</w:t>
                  </w:r>
                </w:p>
              </w:tc>
              <w:tc>
                <w:tcPr>
                  <w:tcW w:w="135" w:type="pct"/>
                  <w:noWrap w:val="0"/>
                  <w:vAlign w:val="center"/>
                </w:tcPr>
                <w:p>
                  <w:pPr>
                    <w:widowControl/>
                    <w:adjustRightInd w:val="0"/>
                    <w:snapToGrid w:val="0"/>
                    <w:ind w:left="-105" w:leftChars="-50" w:right="-105" w:rightChars="-50"/>
                    <w:jc w:val="center"/>
                    <w:textAlignment w:val="center"/>
                    <w:rPr>
                      <w:rFonts w:hint="eastAsia"/>
                      <w:color w:val="auto"/>
                      <w:szCs w:val="21"/>
                    </w:rPr>
                  </w:pPr>
                  <w:r>
                    <w:rPr>
                      <w:rFonts w:hint="eastAsia"/>
                      <w:color w:val="auto"/>
                      <w:szCs w:val="21"/>
                    </w:rPr>
                    <w:t>/</w:t>
                  </w:r>
                </w:p>
              </w:tc>
              <w:tc>
                <w:tcPr>
                  <w:tcW w:w="230" w:type="pct"/>
                  <w:noWrap w:val="0"/>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auto"/>
                    <w:outlineLvl w:val="9"/>
                    <w:rPr>
                      <w:rFonts w:hint="eastAsia" w:cs="Times New Roman"/>
                      <w:bCs/>
                      <w:color w:val="auto"/>
                      <w:szCs w:val="21"/>
                      <w:lang w:val="en-US" w:eastAsia="zh-CN"/>
                    </w:rPr>
                  </w:pPr>
                  <w:r>
                    <w:rPr>
                      <w:rFonts w:hint="eastAsia" w:ascii="宋体" w:hAnsi="宋体" w:eastAsia="宋体" w:cs="宋体"/>
                      <w:color w:val="auto"/>
                      <w:spacing w:val="-17"/>
                      <w:sz w:val="24"/>
                      <w:szCs w:val="24"/>
                      <w:vertAlign w:val="baseline"/>
                      <w:lang w:val="en-US" w:eastAsia="zh-CN"/>
                    </w:rPr>
                    <w:t>1</w:t>
                  </w:r>
                </w:p>
              </w:tc>
              <w:tc>
                <w:tcPr>
                  <w:tcW w:w="552" w:type="pct"/>
                  <w:noWrap w:val="0"/>
                  <w:vAlign w:val="center"/>
                </w:tcPr>
                <w:p>
                  <w:pPr>
                    <w:jc w:val="center"/>
                    <w:rPr>
                      <w:rFonts w:hint="default"/>
                      <w:color w:val="auto"/>
                      <w:szCs w:val="21"/>
                      <w:lang w:val="en-US" w:eastAsia="zh-CN"/>
                    </w:rPr>
                  </w:pPr>
                  <w:r>
                    <w:rPr>
                      <w:rFonts w:hint="eastAsia"/>
                      <w:color w:val="auto"/>
                      <w:szCs w:val="21"/>
                      <w:lang w:val="en-US" w:eastAsia="zh-CN"/>
                    </w:rPr>
                    <w:t>80</w:t>
                  </w:r>
                </w:p>
              </w:tc>
              <w:tc>
                <w:tcPr>
                  <w:tcW w:w="402" w:type="pct"/>
                  <w:vMerge w:val="continue"/>
                  <w:noWrap w:val="0"/>
                  <w:vAlign w:val="center"/>
                </w:tcPr>
                <w:p>
                  <w:pPr>
                    <w:adjustRightInd w:val="0"/>
                    <w:snapToGrid w:val="0"/>
                    <w:ind w:left="-105" w:leftChars="-50" w:right="-105" w:rightChars="-50"/>
                    <w:jc w:val="center"/>
                    <w:rPr>
                      <w:rFonts w:hAnsi="宋体"/>
                      <w:bCs/>
                      <w:color w:val="auto"/>
                      <w:szCs w:val="20"/>
                    </w:rPr>
                  </w:pP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25</w:t>
                  </w:r>
                </w:p>
              </w:tc>
              <w:tc>
                <w:tcPr>
                  <w:tcW w:w="210"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35</w:t>
                  </w:r>
                </w:p>
              </w:tc>
              <w:tc>
                <w:tcPr>
                  <w:tcW w:w="229"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66</w:t>
                  </w:r>
                </w:p>
              </w:tc>
              <w:tc>
                <w:tcPr>
                  <w:tcW w:w="54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8</w:t>
                  </w:r>
                  <w:r>
                    <w:rPr>
                      <w:color w:val="auto"/>
                    </w:rPr>
                    <w:t>h</w:t>
                  </w:r>
                </w:p>
              </w:tc>
              <w:tc>
                <w:tcPr>
                  <w:tcW w:w="97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46</w:t>
                  </w:r>
                </w:p>
              </w:tc>
              <w:tc>
                <w:tcPr>
                  <w:tcW w:w="385" w:type="pct"/>
                  <w:noWrap w:val="0"/>
                  <w:vAlign w:val="center"/>
                </w:tcPr>
                <w:p>
                  <w:pPr>
                    <w:adjustRightInd w:val="0"/>
                    <w:snapToGrid w:val="0"/>
                    <w:ind w:left="-105" w:leftChars="-50" w:right="-105" w:rightChars="-50"/>
                    <w:jc w:val="center"/>
                    <w:rPr>
                      <w:color w:val="auto"/>
                    </w:rPr>
                  </w:pPr>
                  <w:r>
                    <w:rPr>
                      <w:color w:val="auto"/>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rFonts w:hint="eastAsia" w:eastAsia="宋体"/>
                      <w:color w:val="auto"/>
                      <w:lang w:val="en-US" w:eastAsia="zh-CN"/>
                    </w:rPr>
                  </w:pPr>
                  <w:r>
                    <w:rPr>
                      <w:rFonts w:hint="eastAsia"/>
                      <w:color w:val="auto"/>
                      <w:lang w:val="en-US" w:eastAsia="zh-CN"/>
                    </w:rPr>
                    <w:t>7</w:t>
                  </w:r>
                </w:p>
              </w:tc>
              <w:tc>
                <w:tcPr>
                  <w:tcW w:w="212" w:type="pct"/>
                  <w:vMerge w:val="restart"/>
                  <w:noWrap w:val="0"/>
                  <w:vAlign w:val="center"/>
                </w:tcPr>
                <w:p>
                  <w:pPr>
                    <w:adjustRightInd w:val="0"/>
                    <w:snapToGrid w:val="0"/>
                    <w:ind w:left="-105" w:leftChars="-50" w:right="-105" w:rightChars="-50"/>
                    <w:jc w:val="center"/>
                    <w:rPr>
                      <w:rFonts w:hint="eastAsia" w:hAnsi="宋体" w:eastAsia="宋体"/>
                      <w:color w:val="auto"/>
                      <w:lang w:eastAsia="zh-CN"/>
                    </w:rPr>
                  </w:pPr>
                  <w:r>
                    <w:rPr>
                      <w:rFonts w:hint="eastAsia" w:hAnsi="宋体"/>
                      <w:color w:val="auto"/>
                      <w:lang w:eastAsia="zh-CN"/>
                    </w:rPr>
                    <w:t>车间二</w:t>
                  </w:r>
                </w:p>
              </w:tc>
              <w:tc>
                <w:tcPr>
                  <w:tcW w:w="795" w:type="pct"/>
                  <w:noWrap w:val="0"/>
                  <w:vAlign w:val="center"/>
                </w:tcPr>
                <w:p>
                  <w:pPr>
                    <w:adjustRightInd w:val="0"/>
                    <w:snapToGrid w:val="0"/>
                    <w:jc w:val="center"/>
                    <w:rPr>
                      <w:color w:val="auto"/>
                      <w:szCs w:val="21"/>
                    </w:rPr>
                  </w:pPr>
                  <w:r>
                    <w:rPr>
                      <w:rFonts w:hint="eastAsia" w:ascii="Times New Roman" w:hAnsi="Times New Roman" w:eastAsia="宋体" w:cs="Times New Roman"/>
                      <w:sz w:val="21"/>
                      <w:szCs w:val="21"/>
                      <w:lang w:val="en-US" w:eastAsia="zh-CN"/>
                    </w:rPr>
                    <w:t>液压机</w:t>
                  </w:r>
                </w:p>
              </w:tc>
              <w:tc>
                <w:tcPr>
                  <w:tcW w:w="135" w:type="pct"/>
                  <w:noWrap w:val="0"/>
                  <w:vAlign w:val="center"/>
                </w:tcPr>
                <w:p>
                  <w:pPr>
                    <w:widowControl/>
                    <w:adjustRightInd w:val="0"/>
                    <w:snapToGrid w:val="0"/>
                    <w:ind w:left="-105" w:leftChars="-50" w:right="-105" w:rightChars="-50"/>
                    <w:jc w:val="center"/>
                    <w:textAlignment w:val="center"/>
                    <w:rPr>
                      <w:rFonts w:hint="eastAsia" w:cs="Times New Roman"/>
                      <w:bCs/>
                      <w:color w:val="auto"/>
                      <w:szCs w:val="21"/>
                      <w:lang w:val="en-US" w:eastAsia="zh-CN"/>
                    </w:rPr>
                  </w:pPr>
                  <w:r>
                    <w:rPr>
                      <w:rFonts w:hint="eastAsia"/>
                      <w:color w:val="auto"/>
                      <w:szCs w:val="21"/>
                    </w:rPr>
                    <w:t>/</w:t>
                  </w:r>
                </w:p>
              </w:tc>
              <w:tc>
                <w:tcPr>
                  <w:tcW w:w="230" w:type="pct"/>
                  <w:noWrap w:val="0"/>
                  <w:vAlign w:val="center"/>
                </w:tcPr>
                <w:p>
                  <w:pPr>
                    <w:adjustRightInd w:val="0"/>
                    <w:snapToGrid w:val="0"/>
                    <w:jc w:val="center"/>
                    <w:rPr>
                      <w:rFonts w:hint="eastAsia" w:eastAsia="宋体"/>
                      <w:color w:val="auto"/>
                      <w:szCs w:val="21"/>
                      <w:lang w:val="en-US" w:eastAsia="zh-CN"/>
                    </w:rPr>
                  </w:pPr>
                  <w:r>
                    <w:rPr>
                      <w:rFonts w:hint="eastAsia" w:cs="Times New Roman"/>
                      <w:bCs/>
                      <w:color w:val="auto"/>
                      <w:szCs w:val="21"/>
                      <w:lang w:val="en-US" w:eastAsia="zh-CN"/>
                    </w:rPr>
                    <w:t>7</w:t>
                  </w:r>
                </w:p>
              </w:tc>
              <w:tc>
                <w:tcPr>
                  <w:tcW w:w="552" w:type="pct"/>
                  <w:noWrap w:val="0"/>
                  <w:vAlign w:val="center"/>
                </w:tcPr>
                <w:p>
                  <w:pPr>
                    <w:jc w:val="center"/>
                    <w:rPr>
                      <w:rFonts w:hint="default" w:eastAsia="宋体"/>
                      <w:color w:val="auto"/>
                      <w:lang w:val="en-US" w:eastAsia="zh-CN"/>
                    </w:rPr>
                  </w:pPr>
                  <w:r>
                    <w:rPr>
                      <w:rFonts w:hint="eastAsia"/>
                      <w:color w:val="auto"/>
                      <w:szCs w:val="21"/>
                      <w:lang w:val="en-US" w:eastAsia="zh-CN"/>
                    </w:rPr>
                    <w:t>85</w:t>
                  </w:r>
                </w:p>
              </w:tc>
              <w:tc>
                <w:tcPr>
                  <w:tcW w:w="402" w:type="pct"/>
                  <w:vMerge w:val="restart"/>
                  <w:noWrap w:val="0"/>
                  <w:vAlign w:val="center"/>
                </w:tcPr>
                <w:p>
                  <w:pPr>
                    <w:adjustRightInd w:val="0"/>
                    <w:snapToGrid w:val="0"/>
                    <w:ind w:left="-105" w:leftChars="-50" w:right="-105" w:rightChars="-50"/>
                    <w:jc w:val="center"/>
                    <w:rPr>
                      <w:color w:val="auto"/>
                    </w:rPr>
                  </w:pPr>
                  <w:r>
                    <w:rPr>
                      <w:rFonts w:hAnsi="宋体"/>
                      <w:bCs/>
                      <w:color w:val="auto"/>
                      <w:szCs w:val="20"/>
                    </w:rPr>
                    <w:t>减振、厂房隔音</w:t>
                  </w:r>
                </w:p>
              </w:tc>
              <w:tc>
                <w:tcPr>
                  <w:tcW w:w="210" w:type="pct"/>
                  <w:noWrap w:val="0"/>
                  <w:vAlign w:val="center"/>
                </w:tcPr>
                <w:p>
                  <w:pPr>
                    <w:adjustRightInd w:val="0"/>
                    <w:snapToGrid w:val="0"/>
                    <w:ind w:left="-105" w:leftChars="-50" w:right="-105" w:rightChars="-50"/>
                    <w:jc w:val="center"/>
                    <w:rPr>
                      <w:rFonts w:hint="default" w:eastAsia="宋体"/>
                      <w:color w:val="auto"/>
                      <w:lang w:val="en-US" w:eastAsia="zh-CN"/>
                    </w:rPr>
                  </w:pPr>
                  <w:r>
                    <w:rPr>
                      <w:rFonts w:hint="eastAsia"/>
                      <w:color w:val="auto"/>
                      <w:lang w:val="en-US" w:eastAsia="zh-CN"/>
                    </w:rPr>
                    <w:t>20</w:t>
                  </w:r>
                </w:p>
              </w:tc>
              <w:tc>
                <w:tcPr>
                  <w:tcW w:w="210" w:type="pct"/>
                  <w:noWrap w:val="0"/>
                  <w:vAlign w:val="center"/>
                </w:tcPr>
                <w:p>
                  <w:pPr>
                    <w:adjustRightInd w:val="0"/>
                    <w:snapToGrid w:val="0"/>
                    <w:ind w:left="-105" w:leftChars="-50" w:right="-105" w:rightChars="-50"/>
                    <w:jc w:val="center"/>
                    <w:rPr>
                      <w:rFonts w:hint="default" w:eastAsia="宋体"/>
                      <w:color w:val="auto"/>
                      <w:lang w:val="en-US" w:eastAsia="zh-CN"/>
                    </w:rPr>
                  </w:pPr>
                  <w:r>
                    <w:rPr>
                      <w:rFonts w:hint="eastAsia"/>
                      <w:color w:val="auto"/>
                      <w:lang w:val="en-US" w:eastAsia="zh-CN"/>
                    </w:rPr>
                    <w:t>100</w:t>
                  </w:r>
                </w:p>
              </w:tc>
              <w:tc>
                <w:tcPr>
                  <w:tcW w:w="229" w:type="pct"/>
                  <w:noWrap w:val="0"/>
                  <w:vAlign w:val="center"/>
                </w:tcPr>
                <w:p>
                  <w:pPr>
                    <w:adjustRightInd w:val="0"/>
                    <w:snapToGrid w:val="0"/>
                    <w:ind w:left="-105" w:leftChars="-50" w:right="-105" w:rightChars="-50"/>
                    <w:jc w:val="center"/>
                    <w:rPr>
                      <w:rFonts w:hint="default" w:eastAsia="宋体"/>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eastAsia="宋体"/>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default" w:eastAsia="宋体"/>
                      <w:color w:val="auto"/>
                      <w:lang w:val="en-US" w:eastAsia="zh-CN"/>
                    </w:rPr>
                  </w:pPr>
                  <w:r>
                    <w:rPr>
                      <w:rFonts w:hint="eastAsia"/>
                      <w:color w:val="auto"/>
                      <w:lang w:val="en-US" w:eastAsia="zh-CN"/>
                    </w:rPr>
                    <w:t>71</w:t>
                  </w:r>
                </w:p>
              </w:tc>
              <w:tc>
                <w:tcPr>
                  <w:tcW w:w="543" w:type="dxa"/>
                  <w:noWrap w:val="0"/>
                  <w:vAlign w:val="center"/>
                </w:tcPr>
                <w:p>
                  <w:pPr>
                    <w:adjustRightInd w:val="0"/>
                    <w:snapToGrid w:val="0"/>
                    <w:ind w:left="-105" w:leftChars="-50" w:right="-105" w:rightChars="-50"/>
                    <w:jc w:val="center"/>
                    <w:rPr>
                      <w:color w:val="auto"/>
                    </w:rPr>
                  </w:pPr>
                  <w:r>
                    <w:rPr>
                      <w:rFonts w:hint="eastAsia"/>
                      <w:color w:val="auto"/>
                      <w:lang w:val="en-US" w:eastAsia="zh-CN"/>
                    </w:rPr>
                    <w:t>8</w:t>
                  </w:r>
                  <w:r>
                    <w:rPr>
                      <w:color w:val="auto"/>
                    </w:rPr>
                    <w:t>h</w:t>
                  </w:r>
                </w:p>
              </w:tc>
              <w:tc>
                <w:tcPr>
                  <w:tcW w:w="973" w:type="dxa"/>
                  <w:noWrap w:val="0"/>
                  <w:vAlign w:val="center"/>
                </w:tcPr>
                <w:p>
                  <w:pPr>
                    <w:adjustRightInd w:val="0"/>
                    <w:snapToGrid w:val="0"/>
                    <w:ind w:left="-105" w:leftChars="-50" w:right="-105" w:rightChars="-50"/>
                    <w:jc w:val="center"/>
                    <w:rPr>
                      <w:rFonts w:hint="default" w:eastAsia="宋体"/>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default" w:eastAsia="宋体"/>
                      <w:color w:val="auto"/>
                      <w:lang w:val="en-US" w:eastAsia="zh-CN"/>
                    </w:rPr>
                  </w:pPr>
                  <w:r>
                    <w:rPr>
                      <w:rFonts w:hint="eastAsia"/>
                      <w:color w:val="auto"/>
                      <w:lang w:val="en-US" w:eastAsia="zh-CN"/>
                    </w:rPr>
                    <w:t>51</w:t>
                  </w:r>
                </w:p>
              </w:tc>
              <w:tc>
                <w:tcPr>
                  <w:tcW w:w="385" w:type="pct"/>
                  <w:noWrap w:val="0"/>
                  <w:vAlign w:val="center"/>
                </w:tcPr>
                <w:p>
                  <w:pPr>
                    <w:adjustRightInd w:val="0"/>
                    <w:snapToGrid w:val="0"/>
                    <w:ind w:left="-105" w:leftChars="-50" w:right="-105" w:rightChars="-50"/>
                    <w:jc w:val="center"/>
                    <w:rPr>
                      <w:color w:val="auto"/>
                    </w:rPr>
                  </w:pPr>
                  <w:r>
                    <w:rPr>
                      <w:color w:val="auto"/>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rFonts w:hint="eastAsia" w:eastAsia="宋体"/>
                      <w:color w:val="auto"/>
                      <w:lang w:val="en-US" w:eastAsia="zh-CN"/>
                    </w:rPr>
                  </w:pPr>
                  <w:r>
                    <w:rPr>
                      <w:rFonts w:hint="eastAsia"/>
                      <w:color w:val="auto"/>
                      <w:lang w:val="en-US" w:eastAsia="zh-CN"/>
                    </w:rPr>
                    <w:t>8</w:t>
                  </w:r>
                </w:p>
              </w:tc>
              <w:tc>
                <w:tcPr>
                  <w:tcW w:w="212" w:type="pct"/>
                  <w:vMerge w:val="continue"/>
                  <w:noWrap w:val="0"/>
                  <w:vAlign w:val="center"/>
                </w:tcPr>
                <w:p>
                  <w:pPr>
                    <w:adjustRightInd w:val="0"/>
                    <w:snapToGrid w:val="0"/>
                    <w:ind w:left="-105" w:leftChars="-50" w:right="-105" w:rightChars="-50"/>
                    <w:jc w:val="center"/>
                    <w:rPr>
                      <w:rFonts w:hint="eastAsia" w:hAnsi="宋体"/>
                      <w:color w:val="auto"/>
                      <w:lang w:eastAsia="zh-CN"/>
                    </w:rPr>
                  </w:pPr>
                </w:p>
              </w:tc>
              <w:tc>
                <w:tcPr>
                  <w:tcW w:w="795" w:type="pct"/>
                  <w:noWrap w:val="0"/>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烘箱</w:t>
                  </w:r>
                </w:p>
              </w:tc>
              <w:tc>
                <w:tcPr>
                  <w:tcW w:w="135" w:type="pct"/>
                  <w:noWrap w:val="0"/>
                  <w:vAlign w:val="center"/>
                </w:tcPr>
                <w:p>
                  <w:pPr>
                    <w:widowControl/>
                    <w:adjustRightInd w:val="0"/>
                    <w:snapToGrid w:val="0"/>
                    <w:ind w:left="-105" w:leftChars="-50" w:right="-105" w:rightChars="-50"/>
                    <w:jc w:val="center"/>
                    <w:textAlignment w:val="center"/>
                    <w:rPr>
                      <w:rFonts w:hint="eastAsia"/>
                      <w:color w:val="auto"/>
                      <w:szCs w:val="21"/>
                    </w:rPr>
                  </w:pPr>
                  <w:r>
                    <w:rPr>
                      <w:rFonts w:hint="eastAsia"/>
                      <w:color w:val="auto"/>
                      <w:szCs w:val="21"/>
                    </w:rPr>
                    <w:t>/</w:t>
                  </w:r>
                </w:p>
              </w:tc>
              <w:tc>
                <w:tcPr>
                  <w:tcW w:w="230" w:type="pct"/>
                  <w:noWrap w:val="0"/>
                  <w:vAlign w:val="center"/>
                </w:tcPr>
                <w:p>
                  <w:pPr>
                    <w:adjustRightInd w:val="0"/>
                    <w:snapToGrid w:val="0"/>
                    <w:jc w:val="center"/>
                    <w:rPr>
                      <w:rFonts w:hint="default" w:cs="Times New Roman"/>
                      <w:bCs/>
                      <w:color w:val="auto"/>
                      <w:szCs w:val="21"/>
                      <w:lang w:val="en-US" w:eastAsia="zh-CN"/>
                    </w:rPr>
                  </w:pPr>
                  <w:r>
                    <w:rPr>
                      <w:rFonts w:hint="eastAsia" w:cs="Times New Roman"/>
                      <w:bCs/>
                      <w:color w:val="auto"/>
                      <w:szCs w:val="21"/>
                      <w:lang w:val="en-US" w:eastAsia="zh-CN"/>
                    </w:rPr>
                    <w:t>10</w:t>
                  </w:r>
                </w:p>
              </w:tc>
              <w:tc>
                <w:tcPr>
                  <w:tcW w:w="552" w:type="pct"/>
                  <w:noWrap w:val="0"/>
                  <w:vAlign w:val="center"/>
                </w:tcPr>
                <w:p>
                  <w:pPr>
                    <w:jc w:val="center"/>
                    <w:rPr>
                      <w:rFonts w:hint="default"/>
                      <w:color w:val="auto"/>
                      <w:szCs w:val="21"/>
                      <w:lang w:val="en-US" w:eastAsia="zh-CN"/>
                    </w:rPr>
                  </w:pPr>
                  <w:r>
                    <w:rPr>
                      <w:rFonts w:hint="eastAsia"/>
                      <w:color w:val="auto"/>
                      <w:szCs w:val="21"/>
                      <w:lang w:val="en-US" w:eastAsia="zh-CN"/>
                    </w:rPr>
                    <w:t>75</w:t>
                  </w:r>
                </w:p>
              </w:tc>
              <w:tc>
                <w:tcPr>
                  <w:tcW w:w="402" w:type="pct"/>
                  <w:vMerge w:val="continue"/>
                  <w:noWrap w:val="0"/>
                  <w:vAlign w:val="center"/>
                </w:tcPr>
                <w:p>
                  <w:pPr>
                    <w:adjustRightInd w:val="0"/>
                    <w:snapToGrid w:val="0"/>
                    <w:ind w:left="-105" w:leftChars="-50" w:right="-105" w:rightChars="-50"/>
                    <w:jc w:val="center"/>
                    <w:rPr>
                      <w:rFonts w:hAnsi="宋体"/>
                      <w:bCs/>
                      <w:color w:val="auto"/>
                      <w:szCs w:val="20"/>
                    </w:rPr>
                  </w:pP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35</w:t>
                  </w: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95</w:t>
                  </w:r>
                </w:p>
              </w:tc>
              <w:tc>
                <w:tcPr>
                  <w:tcW w:w="229"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61</w:t>
                  </w:r>
                </w:p>
              </w:tc>
              <w:tc>
                <w:tcPr>
                  <w:tcW w:w="54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8</w:t>
                  </w:r>
                  <w:r>
                    <w:rPr>
                      <w:color w:val="auto"/>
                    </w:rPr>
                    <w:t>h</w:t>
                  </w:r>
                </w:p>
              </w:tc>
              <w:tc>
                <w:tcPr>
                  <w:tcW w:w="973" w:type="dxa"/>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41</w:t>
                  </w:r>
                </w:p>
              </w:tc>
              <w:tc>
                <w:tcPr>
                  <w:tcW w:w="385" w:type="pct"/>
                  <w:noWrap w:val="0"/>
                  <w:vAlign w:val="center"/>
                </w:tcPr>
                <w:p>
                  <w:pPr>
                    <w:adjustRightInd w:val="0"/>
                    <w:snapToGrid w:val="0"/>
                    <w:ind w:left="-105" w:leftChars="-50" w:right="-105" w:rightChars="-50"/>
                    <w:jc w:val="center"/>
                    <w:rPr>
                      <w:color w:val="auto"/>
                    </w:rPr>
                  </w:pPr>
                  <w:r>
                    <w:rPr>
                      <w:color w:val="auto"/>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rFonts w:hint="eastAsia" w:eastAsia="宋体"/>
                      <w:color w:val="auto"/>
                      <w:lang w:val="en-US" w:eastAsia="zh-CN"/>
                    </w:rPr>
                  </w:pPr>
                  <w:r>
                    <w:rPr>
                      <w:rFonts w:hint="eastAsia"/>
                      <w:color w:val="auto"/>
                      <w:lang w:val="en-US" w:eastAsia="zh-CN"/>
                    </w:rPr>
                    <w:t>9</w:t>
                  </w:r>
                </w:p>
              </w:tc>
              <w:tc>
                <w:tcPr>
                  <w:tcW w:w="212" w:type="pct"/>
                  <w:vMerge w:val="continue"/>
                  <w:noWrap w:val="0"/>
                  <w:vAlign w:val="center"/>
                </w:tcPr>
                <w:p>
                  <w:pPr>
                    <w:adjustRightInd w:val="0"/>
                    <w:snapToGrid w:val="0"/>
                    <w:ind w:left="-105" w:leftChars="-50" w:right="-105" w:rightChars="-50"/>
                    <w:jc w:val="center"/>
                    <w:rPr>
                      <w:rFonts w:hint="eastAsia" w:hAnsi="宋体" w:eastAsia="宋体"/>
                      <w:color w:val="auto"/>
                      <w:lang w:eastAsia="zh-CN"/>
                    </w:rPr>
                  </w:pPr>
                </w:p>
              </w:tc>
              <w:tc>
                <w:tcPr>
                  <w:tcW w:w="795" w:type="pct"/>
                  <w:noWrap w:val="0"/>
                  <w:vAlign w:val="center"/>
                </w:tcPr>
                <w:p>
                  <w:pPr>
                    <w:adjustRightInd w:val="0"/>
                    <w:snapToGrid w:val="0"/>
                    <w:jc w:val="center"/>
                    <w:rPr>
                      <w:rFonts w:hint="eastAsia" w:cs="Times New Roman"/>
                      <w:bCs/>
                      <w:color w:val="auto"/>
                      <w:szCs w:val="21"/>
                      <w:lang w:val="en-US" w:eastAsia="zh-CN"/>
                    </w:rPr>
                  </w:pPr>
                  <w:r>
                    <w:rPr>
                      <w:rFonts w:hint="eastAsia" w:ascii="Times New Roman" w:hAnsi="Times New Roman" w:eastAsia="宋体" w:cs="Times New Roman"/>
                      <w:sz w:val="21"/>
                      <w:szCs w:val="21"/>
                      <w:lang w:val="en-US" w:eastAsia="zh-CN"/>
                    </w:rPr>
                    <w:t>高压发泡机</w:t>
                  </w:r>
                </w:p>
              </w:tc>
              <w:tc>
                <w:tcPr>
                  <w:tcW w:w="135" w:type="pct"/>
                  <w:noWrap w:val="0"/>
                  <w:vAlign w:val="center"/>
                </w:tcPr>
                <w:p>
                  <w:pPr>
                    <w:widowControl/>
                    <w:adjustRightInd w:val="0"/>
                    <w:snapToGrid w:val="0"/>
                    <w:ind w:left="-105" w:leftChars="-50" w:right="-105" w:rightChars="-50"/>
                    <w:jc w:val="center"/>
                    <w:textAlignment w:val="center"/>
                    <w:rPr>
                      <w:rFonts w:hint="eastAsia"/>
                      <w:color w:val="auto"/>
                      <w:szCs w:val="21"/>
                    </w:rPr>
                  </w:pPr>
                  <w:r>
                    <w:rPr>
                      <w:rFonts w:hint="eastAsia"/>
                      <w:color w:val="auto"/>
                      <w:szCs w:val="21"/>
                    </w:rPr>
                    <w:t>/</w:t>
                  </w:r>
                </w:p>
              </w:tc>
              <w:tc>
                <w:tcPr>
                  <w:tcW w:w="230" w:type="pct"/>
                  <w:noWrap w:val="0"/>
                  <w:vAlign w:val="center"/>
                </w:tcPr>
                <w:p>
                  <w:pPr>
                    <w:adjustRightInd w:val="0"/>
                    <w:snapToGrid w:val="0"/>
                    <w:jc w:val="center"/>
                    <w:rPr>
                      <w:rFonts w:hint="eastAsia"/>
                      <w:color w:val="auto"/>
                      <w:szCs w:val="21"/>
                      <w:lang w:val="en-US" w:eastAsia="zh-CN"/>
                    </w:rPr>
                  </w:pPr>
                  <w:r>
                    <w:rPr>
                      <w:rFonts w:hint="eastAsia" w:cs="Times New Roman"/>
                      <w:bCs/>
                      <w:color w:val="auto"/>
                      <w:kern w:val="2"/>
                      <w:sz w:val="21"/>
                      <w:szCs w:val="21"/>
                      <w:lang w:val="en-US" w:eastAsia="zh-CN" w:bidi="ar-SA"/>
                    </w:rPr>
                    <w:t>1</w:t>
                  </w:r>
                </w:p>
              </w:tc>
              <w:tc>
                <w:tcPr>
                  <w:tcW w:w="552" w:type="pct"/>
                  <w:noWrap w:val="0"/>
                  <w:vAlign w:val="center"/>
                </w:tcPr>
                <w:p>
                  <w:pPr>
                    <w:jc w:val="center"/>
                    <w:rPr>
                      <w:rFonts w:hint="default"/>
                      <w:color w:val="auto"/>
                      <w:szCs w:val="21"/>
                      <w:lang w:val="en-US" w:eastAsia="zh-CN"/>
                    </w:rPr>
                  </w:pPr>
                  <w:r>
                    <w:rPr>
                      <w:rFonts w:hint="eastAsia"/>
                      <w:color w:val="auto"/>
                      <w:szCs w:val="21"/>
                      <w:lang w:val="en-US" w:eastAsia="zh-CN"/>
                    </w:rPr>
                    <w:t>75</w:t>
                  </w:r>
                </w:p>
              </w:tc>
              <w:tc>
                <w:tcPr>
                  <w:tcW w:w="402" w:type="pct"/>
                  <w:vMerge w:val="continue"/>
                  <w:noWrap w:val="0"/>
                  <w:vAlign w:val="center"/>
                </w:tcPr>
                <w:p>
                  <w:pPr>
                    <w:adjustRightInd w:val="0"/>
                    <w:snapToGrid w:val="0"/>
                    <w:ind w:left="-105" w:leftChars="-50" w:right="-105" w:rightChars="-50"/>
                    <w:jc w:val="center"/>
                    <w:rPr>
                      <w:rFonts w:hAnsi="宋体"/>
                      <w:bCs/>
                      <w:color w:val="auto"/>
                      <w:szCs w:val="20"/>
                    </w:rPr>
                  </w:pP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30</w:t>
                  </w: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100</w:t>
                  </w:r>
                </w:p>
              </w:tc>
              <w:tc>
                <w:tcPr>
                  <w:tcW w:w="229"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61</w:t>
                  </w:r>
                </w:p>
              </w:tc>
              <w:tc>
                <w:tcPr>
                  <w:tcW w:w="202"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8</w:t>
                  </w:r>
                  <w:r>
                    <w:rPr>
                      <w:color w:val="auto"/>
                    </w:rPr>
                    <w:t>h</w:t>
                  </w:r>
                </w:p>
              </w:tc>
              <w:tc>
                <w:tcPr>
                  <w:tcW w:w="362"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41</w:t>
                  </w:r>
                </w:p>
              </w:tc>
              <w:tc>
                <w:tcPr>
                  <w:tcW w:w="385" w:type="pct"/>
                  <w:noWrap w:val="0"/>
                  <w:vAlign w:val="center"/>
                </w:tcPr>
                <w:p>
                  <w:pPr>
                    <w:jc w:val="center"/>
                    <w:rPr>
                      <w:color w:val="auto"/>
                    </w:rPr>
                  </w:pPr>
                  <w:r>
                    <w:rPr>
                      <w:color w:val="auto"/>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 w:type="pct"/>
                  <w:noWrap w:val="0"/>
                  <w:vAlign w:val="center"/>
                </w:tcPr>
                <w:p>
                  <w:pPr>
                    <w:adjustRightInd w:val="0"/>
                    <w:snapToGrid w:val="0"/>
                    <w:ind w:left="-105" w:leftChars="-50" w:right="-105" w:rightChars="-50"/>
                    <w:jc w:val="center"/>
                    <w:rPr>
                      <w:rFonts w:hint="default" w:eastAsia="宋体"/>
                      <w:color w:val="auto"/>
                      <w:lang w:val="en-US" w:eastAsia="zh-CN"/>
                    </w:rPr>
                  </w:pPr>
                  <w:r>
                    <w:rPr>
                      <w:rFonts w:hint="eastAsia"/>
                      <w:color w:val="auto"/>
                      <w:lang w:val="en-US" w:eastAsia="zh-CN"/>
                    </w:rPr>
                    <w:t>10</w:t>
                  </w:r>
                </w:p>
              </w:tc>
              <w:tc>
                <w:tcPr>
                  <w:tcW w:w="212" w:type="pct"/>
                  <w:vMerge w:val="continue"/>
                  <w:noWrap w:val="0"/>
                  <w:vAlign w:val="center"/>
                </w:tcPr>
                <w:p>
                  <w:pPr>
                    <w:adjustRightInd w:val="0"/>
                    <w:snapToGrid w:val="0"/>
                    <w:ind w:left="-105" w:leftChars="-50" w:right="-105" w:rightChars="-50"/>
                    <w:jc w:val="center"/>
                    <w:rPr>
                      <w:rFonts w:hAnsi="宋体"/>
                      <w:color w:val="auto"/>
                    </w:rPr>
                  </w:pPr>
                </w:p>
              </w:tc>
              <w:tc>
                <w:tcPr>
                  <w:tcW w:w="795" w:type="pct"/>
                  <w:noWrap w:val="0"/>
                  <w:vAlign w:val="center"/>
                </w:tcPr>
                <w:p>
                  <w:pPr>
                    <w:adjustRightInd w:val="0"/>
                    <w:snapToGrid w:val="0"/>
                    <w:jc w:val="center"/>
                    <w:rPr>
                      <w:rFonts w:hint="eastAsia" w:cs="Times New Roman"/>
                      <w:bCs/>
                      <w:color w:val="auto"/>
                      <w:szCs w:val="21"/>
                      <w:lang w:val="en-US" w:eastAsia="zh-CN"/>
                    </w:rPr>
                  </w:pPr>
                  <w:r>
                    <w:rPr>
                      <w:rFonts w:hint="eastAsia" w:ascii="Times New Roman" w:hAnsi="Times New Roman" w:eastAsia="宋体" w:cs="Times New Roman"/>
                      <w:sz w:val="21"/>
                      <w:szCs w:val="21"/>
                      <w:lang w:val="en-US" w:eastAsia="zh-CN"/>
                    </w:rPr>
                    <w:t>机器人切割流水线</w:t>
                  </w:r>
                </w:p>
              </w:tc>
              <w:tc>
                <w:tcPr>
                  <w:tcW w:w="135" w:type="pct"/>
                  <w:noWrap w:val="0"/>
                  <w:vAlign w:val="center"/>
                </w:tcPr>
                <w:p>
                  <w:pPr>
                    <w:widowControl/>
                    <w:adjustRightInd w:val="0"/>
                    <w:snapToGrid w:val="0"/>
                    <w:ind w:left="-105" w:leftChars="-50" w:right="-105" w:rightChars="-50"/>
                    <w:jc w:val="center"/>
                    <w:textAlignment w:val="center"/>
                    <w:rPr>
                      <w:rFonts w:hint="eastAsia"/>
                      <w:color w:val="auto"/>
                      <w:szCs w:val="21"/>
                    </w:rPr>
                  </w:pPr>
                  <w:r>
                    <w:rPr>
                      <w:rFonts w:hint="eastAsia"/>
                      <w:color w:val="auto"/>
                      <w:szCs w:val="21"/>
                    </w:rPr>
                    <w:t>/</w:t>
                  </w:r>
                </w:p>
              </w:tc>
              <w:tc>
                <w:tcPr>
                  <w:tcW w:w="230" w:type="pct"/>
                  <w:noWrap w:val="0"/>
                  <w:vAlign w:val="center"/>
                </w:tcPr>
                <w:p>
                  <w:pPr>
                    <w:adjustRightInd w:val="0"/>
                    <w:snapToGrid w:val="0"/>
                    <w:jc w:val="center"/>
                    <w:rPr>
                      <w:rFonts w:hint="eastAsia"/>
                      <w:color w:val="auto"/>
                      <w:szCs w:val="21"/>
                      <w:lang w:val="en-US" w:eastAsia="zh-CN"/>
                    </w:rPr>
                  </w:pPr>
                  <w:r>
                    <w:rPr>
                      <w:rFonts w:hint="eastAsia" w:cs="Times New Roman"/>
                      <w:bCs/>
                      <w:color w:val="auto"/>
                      <w:kern w:val="2"/>
                      <w:sz w:val="21"/>
                      <w:szCs w:val="21"/>
                      <w:lang w:val="en-US" w:eastAsia="zh-CN" w:bidi="ar-SA"/>
                    </w:rPr>
                    <w:t>1</w:t>
                  </w:r>
                </w:p>
              </w:tc>
              <w:tc>
                <w:tcPr>
                  <w:tcW w:w="552" w:type="pct"/>
                  <w:noWrap w:val="0"/>
                  <w:vAlign w:val="center"/>
                </w:tcPr>
                <w:p>
                  <w:pPr>
                    <w:jc w:val="center"/>
                    <w:rPr>
                      <w:rFonts w:hint="default"/>
                      <w:color w:val="auto"/>
                      <w:szCs w:val="21"/>
                      <w:lang w:val="en-US" w:eastAsia="zh-CN"/>
                    </w:rPr>
                  </w:pPr>
                  <w:r>
                    <w:rPr>
                      <w:rFonts w:hint="eastAsia"/>
                      <w:color w:val="auto"/>
                      <w:szCs w:val="21"/>
                      <w:lang w:val="en-US" w:eastAsia="zh-CN"/>
                    </w:rPr>
                    <w:t>80</w:t>
                  </w:r>
                </w:p>
              </w:tc>
              <w:tc>
                <w:tcPr>
                  <w:tcW w:w="402" w:type="pct"/>
                  <w:vMerge w:val="continue"/>
                  <w:noWrap w:val="0"/>
                  <w:vAlign w:val="center"/>
                </w:tcPr>
                <w:p>
                  <w:pPr>
                    <w:adjustRightInd w:val="0"/>
                    <w:snapToGrid w:val="0"/>
                    <w:ind w:left="-105" w:leftChars="-50" w:right="-105" w:rightChars="-50"/>
                    <w:jc w:val="center"/>
                    <w:rPr>
                      <w:rFonts w:hAnsi="宋体"/>
                      <w:bCs/>
                      <w:color w:val="auto"/>
                      <w:szCs w:val="20"/>
                    </w:rPr>
                  </w:pP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10</w:t>
                  </w:r>
                </w:p>
              </w:tc>
              <w:tc>
                <w:tcPr>
                  <w:tcW w:w="21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100</w:t>
                  </w:r>
                </w:p>
              </w:tc>
              <w:tc>
                <w:tcPr>
                  <w:tcW w:w="229"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1</w:t>
                  </w:r>
                </w:p>
              </w:tc>
              <w:tc>
                <w:tcPr>
                  <w:tcW w:w="2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5</w:t>
                  </w:r>
                </w:p>
              </w:tc>
              <w:tc>
                <w:tcPr>
                  <w:tcW w:w="260"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66</w:t>
                  </w:r>
                </w:p>
              </w:tc>
              <w:tc>
                <w:tcPr>
                  <w:tcW w:w="202"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8</w:t>
                  </w:r>
                  <w:r>
                    <w:rPr>
                      <w:color w:val="auto"/>
                    </w:rPr>
                    <w:t>h</w:t>
                  </w:r>
                </w:p>
              </w:tc>
              <w:tc>
                <w:tcPr>
                  <w:tcW w:w="362" w:type="pct"/>
                  <w:noWrap w:val="0"/>
                  <w:vAlign w:val="center"/>
                </w:tcPr>
                <w:p>
                  <w:pPr>
                    <w:adjustRightInd w:val="0"/>
                    <w:snapToGrid w:val="0"/>
                    <w:ind w:left="-105" w:leftChars="-50" w:right="-105" w:rightChars="-50"/>
                    <w:jc w:val="center"/>
                    <w:rPr>
                      <w:rFonts w:hint="eastAsia"/>
                      <w:color w:val="auto"/>
                      <w:lang w:val="en-US" w:eastAsia="zh-CN"/>
                    </w:rPr>
                  </w:pPr>
                  <w:r>
                    <w:rPr>
                      <w:rFonts w:hint="eastAsia"/>
                      <w:color w:val="auto"/>
                      <w:lang w:val="en-US" w:eastAsia="zh-CN"/>
                    </w:rPr>
                    <w:t>20</w:t>
                  </w:r>
                </w:p>
              </w:tc>
              <w:tc>
                <w:tcPr>
                  <w:tcW w:w="362" w:type="pct"/>
                  <w:noWrap w:val="0"/>
                  <w:vAlign w:val="center"/>
                </w:tcPr>
                <w:p>
                  <w:pPr>
                    <w:adjustRightInd w:val="0"/>
                    <w:snapToGrid w:val="0"/>
                    <w:ind w:left="-105" w:leftChars="-50" w:right="-105" w:rightChars="-50"/>
                    <w:jc w:val="center"/>
                    <w:rPr>
                      <w:rFonts w:hint="default"/>
                      <w:color w:val="auto"/>
                      <w:lang w:val="en-US" w:eastAsia="zh-CN"/>
                    </w:rPr>
                  </w:pPr>
                  <w:r>
                    <w:rPr>
                      <w:rFonts w:hint="eastAsia"/>
                      <w:color w:val="auto"/>
                      <w:lang w:val="en-US" w:eastAsia="zh-CN"/>
                    </w:rPr>
                    <w:t>46</w:t>
                  </w:r>
                </w:p>
              </w:tc>
              <w:tc>
                <w:tcPr>
                  <w:tcW w:w="385" w:type="pct"/>
                  <w:noWrap w:val="0"/>
                  <w:vAlign w:val="center"/>
                </w:tcPr>
                <w:p>
                  <w:pPr>
                    <w:jc w:val="center"/>
                    <w:rPr>
                      <w:color w:val="auto"/>
                    </w:rPr>
                  </w:pPr>
                  <w:r>
                    <w:rPr>
                      <w:color w:val="auto"/>
                    </w:rPr>
                    <w:t>1m</w:t>
                  </w:r>
                </w:p>
              </w:tc>
            </w:tr>
          </w:tbl>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表4-1</w:t>
            </w:r>
            <w:r>
              <w:rPr>
                <w:rFonts w:hint="eastAsia"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本项目</w:t>
            </w:r>
            <w:r>
              <w:rPr>
                <w:rFonts w:hint="eastAsia" w:cs="Times New Roman"/>
                <w:b/>
                <w:bCs/>
                <w:color w:val="auto"/>
                <w:sz w:val="21"/>
                <w:szCs w:val="21"/>
                <w:lang w:eastAsia="zh-CN"/>
              </w:rPr>
              <w:t>建成后全厂</w:t>
            </w:r>
            <w:r>
              <w:rPr>
                <w:rFonts w:hint="default" w:ascii="Times New Roman" w:hAnsi="Times New Roman" w:eastAsia="宋体" w:cs="Times New Roman"/>
                <w:b/>
                <w:bCs/>
                <w:color w:val="auto"/>
                <w:sz w:val="21"/>
                <w:szCs w:val="21"/>
                <w:lang w:val="en-US" w:eastAsia="zh-CN"/>
              </w:rPr>
              <w:t>主要噪声污染源一览表（室外声源）</w:t>
            </w:r>
          </w:p>
          <w:tbl>
            <w:tblPr>
              <w:tblStyle w:val="27"/>
              <w:tblW w:w="4998" w:type="pct"/>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516"/>
              <w:gridCol w:w="989"/>
              <w:gridCol w:w="1263"/>
              <w:gridCol w:w="1263"/>
              <w:gridCol w:w="1269"/>
              <w:gridCol w:w="2070"/>
              <w:gridCol w:w="2137"/>
              <w:gridCol w:w="2094"/>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8"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rPr>
                    <w:t>序号</w:t>
                  </w:r>
                </w:p>
              </w:tc>
              <w:tc>
                <w:tcPr>
                  <w:tcW w:w="564"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lang w:val="en-US" w:eastAsia="zh-CN"/>
                    </w:rPr>
                    <w:t>声源名称</w:t>
                  </w:r>
                </w:p>
              </w:tc>
              <w:tc>
                <w:tcPr>
                  <w:tcW w:w="368"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数量</w:t>
                  </w:r>
                </w:p>
              </w:tc>
              <w:tc>
                <w:tcPr>
                  <w:tcW w:w="1412" w:type="pct"/>
                  <w:gridSpan w:val="3"/>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空间相对位置/m</w:t>
                  </w:r>
                </w:p>
              </w:tc>
              <w:tc>
                <w:tcPr>
                  <w:tcW w:w="770"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单台声功率级dB(A)</w:t>
                  </w:r>
                </w:p>
              </w:tc>
              <w:tc>
                <w:tcPr>
                  <w:tcW w:w="795"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声源控制</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措施</w:t>
                  </w:r>
                </w:p>
              </w:tc>
              <w:tc>
                <w:tcPr>
                  <w:tcW w:w="779"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运行时段</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8"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4"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368"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p>
              </w:tc>
              <w:tc>
                <w:tcPr>
                  <w:tcW w:w="470"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X</w:t>
                  </w:r>
                </w:p>
              </w:tc>
              <w:tc>
                <w:tcPr>
                  <w:tcW w:w="470"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Y</w:t>
                  </w:r>
                </w:p>
              </w:tc>
              <w:tc>
                <w:tcPr>
                  <w:tcW w:w="472"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Z</w:t>
                  </w:r>
                </w:p>
              </w:tc>
              <w:tc>
                <w:tcPr>
                  <w:tcW w:w="770"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p>
              </w:tc>
              <w:tc>
                <w:tcPr>
                  <w:tcW w:w="795"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p>
              </w:tc>
              <w:tc>
                <w:tcPr>
                  <w:tcW w:w="779"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lang w:val="en-US" w:eastAsia="zh-CN"/>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8"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56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szCs w:val="21"/>
                      <w:lang w:val="en-US" w:eastAsia="zh-CN"/>
                    </w:rPr>
                    <w:t>风机</w:t>
                  </w:r>
                </w:p>
              </w:tc>
              <w:tc>
                <w:tcPr>
                  <w:tcW w:w="3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s="Times New Roman"/>
                      <w:color w:val="0000FF"/>
                      <w:szCs w:val="21"/>
                      <w:lang w:val="en-US" w:eastAsia="zh-CN"/>
                    </w:rPr>
                    <w:t>1</w:t>
                  </w:r>
                </w:p>
              </w:tc>
              <w:tc>
                <w:tcPr>
                  <w:tcW w:w="470" w:type="pct"/>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40</w:t>
                  </w:r>
                </w:p>
              </w:tc>
              <w:tc>
                <w:tcPr>
                  <w:tcW w:w="470" w:type="pct"/>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110</w:t>
                  </w:r>
                </w:p>
              </w:tc>
              <w:tc>
                <w:tcPr>
                  <w:tcW w:w="472" w:type="pct"/>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w:t>
                  </w:r>
                </w:p>
              </w:tc>
              <w:tc>
                <w:tcPr>
                  <w:tcW w:w="770"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szCs w:val="21"/>
                      <w:lang w:val="en-US" w:eastAsia="zh-CN"/>
                    </w:rPr>
                    <w:t>90</w:t>
                  </w:r>
                </w:p>
              </w:tc>
              <w:tc>
                <w:tcPr>
                  <w:tcW w:w="795"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lang w:val="en-US" w:eastAsia="zh-CN"/>
                    </w:rPr>
                  </w:pPr>
                  <w:r>
                    <w:rPr>
                      <w:rFonts w:hAnsi="宋体"/>
                      <w:bCs/>
                      <w:color w:val="auto"/>
                      <w:szCs w:val="20"/>
                    </w:rPr>
                    <w:t>减振、隔音</w:t>
                  </w:r>
                </w:p>
              </w:tc>
              <w:tc>
                <w:tcPr>
                  <w:tcW w:w="779"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工作时</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8"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lang w:val="en-US" w:eastAsia="zh-CN"/>
                    </w:rPr>
                  </w:pPr>
                  <w:r>
                    <w:rPr>
                      <w:rFonts w:hint="eastAsia" w:cs="Times New Roman"/>
                      <w:color w:val="auto"/>
                      <w:lang w:val="en-US" w:eastAsia="zh-CN"/>
                    </w:rPr>
                    <w:t>2</w:t>
                  </w:r>
                </w:p>
              </w:tc>
              <w:tc>
                <w:tcPr>
                  <w:tcW w:w="56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冷却塔</w:t>
                  </w:r>
                </w:p>
              </w:tc>
              <w:tc>
                <w:tcPr>
                  <w:tcW w:w="3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color w:val="0000FF"/>
                      <w:szCs w:val="21"/>
                      <w:lang w:val="en-US" w:eastAsia="zh-CN"/>
                    </w:rPr>
                  </w:pPr>
                  <w:r>
                    <w:rPr>
                      <w:rFonts w:hint="eastAsia" w:cs="Times New Roman"/>
                      <w:color w:val="0000FF"/>
                      <w:szCs w:val="21"/>
                      <w:lang w:val="en-US" w:eastAsia="zh-CN"/>
                    </w:rPr>
                    <w:t>1</w:t>
                  </w:r>
                </w:p>
              </w:tc>
              <w:tc>
                <w:tcPr>
                  <w:tcW w:w="470" w:type="pct"/>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45</w:t>
                  </w:r>
                </w:p>
              </w:tc>
              <w:tc>
                <w:tcPr>
                  <w:tcW w:w="470" w:type="pct"/>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90</w:t>
                  </w:r>
                </w:p>
              </w:tc>
              <w:tc>
                <w:tcPr>
                  <w:tcW w:w="472" w:type="pct"/>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w:t>
                  </w:r>
                </w:p>
              </w:tc>
              <w:tc>
                <w:tcPr>
                  <w:tcW w:w="770"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80</w:t>
                  </w:r>
                </w:p>
              </w:tc>
              <w:tc>
                <w:tcPr>
                  <w:tcW w:w="2137" w:type="dxa"/>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Ansi="宋体"/>
                      <w:bCs/>
                      <w:color w:val="auto"/>
                      <w:szCs w:val="20"/>
                    </w:rPr>
                  </w:pPr>
                  <w:r>
                    <w:rPr>
                      <w:rFonts w:hAnsi="宋体"/>
                      <w:bCs/>
                      <w:color w:val="auto"/>
                      <w:szCs w:val="20"/>
                    </w:rPr>
                    <w:t>减振、隔音</w:t>
                  </w:r>
                </w:p>
              </w:tc>
              <w:tc>
                <w:tcPr>
                  <w:tcW w:w="2094" w:type="dxa"/>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工作时</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注：</w:t>
            </w: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1</w:t>
            </w:r>
            <w:r>
              <w:rPr>
                <w:rFonts w:hint="eastAsia"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及表4-1</w:t>
            </w:r>
            <w:r>
              <w:rPr>
                <w:rFonts w:hint="eastAsia"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中</w:t>
            </w:r>
            <w:r>
              <w:rPr>
                <w:rFonts w:hint="default" w:ascii="Times New Roman" w:hAnsi="Times New Roman" w:eastAsia="宋体" w:cs="Times New Roman"/>
                <w:b/>
                <w:bCs/>
                <w:color w:val="auto"/>
                <w:sz w:val="21"/>
                <w:szCs w:val="21"/>
                <w:lang w:val="en-US" w:eastAsia="zh-CN"/>
              </w:rPr>
              <w:t>空间相对坐标以厂区西南角为原点（0，0，0）</w:t>
            </w:r>
            <w:r>
              <w:rPr>
                <w:rFonts w:hint="default" w:ascii="Times New Roman" w:hAnsi="Times New Roman" w:cs="Times New Roman"/>
                <w:b/>
                <w:bCs/>
                <w:color w:val="auto"/>
                <w:sz w:val="21"/>
                <w:szCs w:val="21"/>
                <w:lang w:val="en-US" w:eastAsia="zh-CN"/>
              </w:rPr>
              <w:t>，东西方向为X轴，南北方向为Y轴，垂直方向为Z轴</w:t>
            </w:r>
            <w:r>
              <w:rPr>
                <w:rFonts w:hint="default" w:ascii="Times New Roman" w:hAnsi="Times New Roman" w:eastAsia="宋体" w:cs="Times New Roman"/>
                <w:b/>
                <w:bCs/>
                <w:color w:val="auto"/>
                <w:sz w:val="21"/>
                <w:szCs w:val="21"/>
                <w:lang w:val="en-US" w:eastAsia="zh-CN"/>
              </w:rPr>
              <w:t>。</w:t>
            </w:r>
          </w:p>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vertAlign w:val="baseline"/>
              </w:rPr>
            </w:pPr>
          </w:p>
        </w:tc>
      </w:tr>
    </w:tbl>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sectPr>
          <w:headerReference r:id="rId8" w:type="default"/>
          <w:pgSz w:w="16838" w:h="11906" w:orient="landscape"/>
          <w:pgMar w:top="1474" w:right="1701" w:bottom="1531" w:left="1701" w:header="851" w:footer="1134" w:gutter="0"/>
          <w:pgBorders>
            <w:top w:val="none" w:sz="0" w:space="0"/>
            <w:left w:val="none" w:sz="0" w:space="0"/>
            <w:bottom w:val="none" w:sz="0" w:space="0"/>
            <w:right w:val="none" w:sz="0" w:space="0"/>
          </w:pgBorders>
          <w:cols w:space="720" w:num="1"/>
          <w:docGrid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6" w:hRule="atLeast"/>
        </w:trPr>
        <w:tc>
          <w:tcPr>
            <w:tcW w:w="9060" w:type="dxa"/>
          </w:tcPr>
          <w:p>
            <w:pPr>
              <w:adjustRightInd w:val="0"/>
              <w:snapToGrid w:val="0"/>
              <w:spacing w:line="500" w:lineRule="exact"/>
              <w:ind w:firstLine="482" w:firstLineChars="200"/>
              <w:rPr>
                <w:rFonts w:hint="default" w:ascii="Times New Roman" w:hAnsi="Times New Roman" w:cs="Times New Roman"/>
                <w:b/>
                <w:bCs/>
                <w:color w:val="auto"/>
                <w:sz w:val="24"/>
              </w:rPr>
            </w:pPr>
            <w:r>
              <w:rPr>
                <w:rFonts w:hint="eastAsia" w:cs="Times New Roman"/>
                <w:b/>
                <w:bCs/>
                <w:color w:val="auto"/>
                <w:sz w:val="24"/>
                <w:lang w:val="en-US" w:eastAsia="zh-CN"/>
              </w:rPr>
              <w:t>2、</w:t>
            </w:r>
            <w:r>
              <w:rPr>
                <w:rFonts w:hint="default" w:ascii="Times New Roman" w:hAnsi="Times New Roman" w:cs="Times New Roman"/>
                <w:b/>
                <w:bCs/>
                <w:color w:val="auto"/>
                <w:sz w:val="24"/>
                <w:lang w:val="en-US" w:eastAsia="zh-CN"/>
              </w:rPr>
              <w:t>排放</w:t>
            </w:r>
            <w:r>
              <w:rPr>
                <w:rFonts w:hint="default" w:ascii="Times New Roman" w:hAnsi="Times New Roman" w:cs="Times New Roman"/>
                <w:b/>
                <w:bCs/>
                <w:color w:val="auto"/>
                <w:sz w:val="24"/>
              </w:rPr>
              <w:t>达标情况分析</w:t>
            </w:r>
          </w:p>
          <w:p>
            <w:pPr>
              <w:adjustRightInd w:val="0"/>
              <w:snapToGrid w:val="0"/>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本项目生产制度为</w:t>
            </w:r>
            <w:r>
              <w:rPr>
                <w:rFonts w:hint="eastAsia" w:cs="Times New Roman"/>
                <w:color w:val="auto"/>
                <w:sz w:val="24"/>
                <w:lang w:val="en-US" w:eastAsia="zh-CN"/>
              </w:rPr>
              <w:t>一</w:t>
            </w:r>
            <w:r>
              <w:rPr>
                <w:rFonts w:hint="default" w:ascii="Times New Roman" w:hAnsi="Times New Roman" w:eastAsia="宋体" w:cs="Times New Roman"/>
                <w:color w:val="auto"/>
                <w:sz w:val="24"/>
                <w:lang w:val="en-US" w:eastAsia="zh-CN"/>
              </w:rPr>
              <w:t>班制，故本次评价对东、南、西、北厂界</w:t>
            </w:r>
            <w:r>
              <w:rPr>
                <w:rFonts w:hint="eastAsia" w:cs="Times New Roman"/>
                <w:color w:val="auto"/>
                <w:sz w:val="24"/>
                <w:lang w:val="en-US" w:eastAsia="zh-CN"/>
              </w:rPr>
              <w:t>及附近敏感目标</w:t>
            </w:r>
            <w:r>
              <w:rPr>
                <w:rFonts w:hint="default" w:ascii="Times New Roman" w:hAnsi="Times New Roman" w:eastAsia="宋体" w:cs="Times New Roman"/>
                <w:color w:val="auto"/>
                <w:sz w:val="24"/>
                <w:lang w:val="en-US" w:eastAsia="zh-CN"/>
              </w:rPr>
              <w:t>进行昼间噪声的影响预测。</w:t>
            </w:r>
            <w:r>
              <w:rPr>
                <w:rFonts w:hint="default" w:ascii="Times New Roman" w:hAnsi="Times New Roman" w:cs="Times New Roman"/>
                <w:color w:val="auto"/>
                <w:sz w:val="24"/>
              </w:rPr>
              <w:t>根据企业提供的噪声设</w:t>
            </w:r>
            <w:r>
              <w:rPr>
                <w:rFonts w:hint="default" w:ascii="Times New Roman" w:hAnsi="Times New Roman" w:eastAsia="宋体" w:cs="Times New Roman"/>
                <w:color w:val="auto"/>
                <w:sz w:val="24"/>
              </w:rPr>
              <w:t>备分布情况，</w:t>
            </w:r>
            <w:r>
              <w:rPr>
                <w:rFonts w:hint="default" w:ascii="Times New Roman" w:hAnsi="Times New Roman" w:eastAsia="宋体" w:cs="Times New Roman"/>
                <w:color w:val="auto"/>
                <w:sz w:val="24"/>
                <w:lang w:val="en-US" w:eastAsia="zh-CN"/>
              </w:rPr>
              <w:t>噪声源对厂界噪声的影响预测结果见下表。</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表4-1</w:t>
            </w:r>
            <w:r>
              <w:rPr>
                <w:rFonts w:hint="eastAsia"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本项目各厂界</w:t>
            </w:r>
            <w:r>
              <w:rPr>
                <w:rFonts w:hint="eastAsia" w:cs="Times New Roman"/>
                <w:b/>
                <w:bCs/>
                <w:color w:val="auto"/>
                <w:sz w:val="21"/>
                <w:szCs w:val="21"/>
                <w:lang w:val="en-US" w:eastAsia="zh-CN"/>
              </w:rPr>
              <w:t>昼间</w:t>
            </w:r>
            <w:r>
              <w:rPr>
                <w:rFonts w:hint="default" w:ascii="Times New Roman" w:hAnsi="Times New Roman" w:cs="Times New Roman"/>
                <w:b/>
                <w:bCs/>
                <w:color w:val="auto"/>
                <w:sz w:val="21"/>
                <w:szCs w:val="21"/>
                <w:lang w:val="en-US" w:eastAsia="zh-CN"/>
              </w:rPr>
              <w:t>噪声预测结果  dB(A)</w:t>
            </w:r>
          </w:p>
          <w:tbl>
            <w:tblPr>
              <w:tblStyle w:val="2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760"/>
              <w:gridCol w:w="1742"/>
              <w:gridCol w:w="1742"/>
              <w:gridCol w:w="17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7" w:type="pct"/>
                  <w:vMerge w:val="restart"/>
                  <w:tcMar>
                    <w:left w:w="0" w:type="dxa"/>
                    <w:right w:w="0" w:type="dxa"/>
                  </w:tcMar>
                  <w:vAlign w:val="center"/>
                </w:tcPr>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目标</w:t>
                  </w:r>
                </w:p>
              </w:tc>
              <w:tc>
                <w:tcPr>
                  <w:tcW w:w="995" w:type="pct"/>
                  <w:vMerge w:val="restart"/>
                  <w:tcMar>
                    <w:left w:w="0" w:type="dxa"/>
                    <w:right w:w="0" w:type="dxa"/>
                  </w:tcMar>
                  <w:vAlign w:val="center"/>
                </w:tcPr>
                <w:p>
                  <w:pPr>
                    <w:jc w:val="center"/>
                    <w:rPr>
                      <w:rFonts w:hint="default" w:ascii="Times New Roman" w:hAnsi="Times New Roman" w:cs="Times New Roman"/>
                      <w:b/>
                      <w:color w:val="auto"/>
                      <w:szCs w:val="21"/>
                    </w:rPr>
                  </w:pPr>
                  <w:r>
                    <w:rPr>
                      <w:rFonts w:hint="eastAsia" w:cs="Times New Roman"/>
                      <w:b/>
                      <w:color w:val="auto"/>
                      <w:szCs w:val="21"/>
                      <w:lang w:val="en-US" w:eastAsia="zh-CN"/>
                    </w:rPr>
                    <w:t>噪声</w:t>
                  </w:r>
                  <w:r>
                    <w:rPr>
                      <w:rFonts w:hint="default" w:ascii="Times New Roman" w:hAnsi="Times New Roman" w:cs="Times New Roman"/>
                      <w:b/>
                      <w:color w:val="auto"/>
                      <w:szCs w:val="21"/>
                    </w:rPr>
                    <w:t>贡献值</w:t>
                  </w:r>
                </w:p>
              </w:tc>
              <w:tc>
                <w:tcPr>
                  <w:tcW w:w="985" w:type="pct"/>
                  <w:vMerge w:val="restart"/>
                  <w:tcMar>
                    <w:left w:w="0" w:type="dxa"/>
                    <w:right w:w="0" w:type="dxa"/>
                  </w:tcMar>
                  <w:vAlign w:val="center"/>
                </w:tcPr>
                <w:p>
                  <w:pPr>
                    <w:jc w:val="center"/>
                    <w:rPr>
                      <w:rFonts w:hint="default" w:ascii="Times New Roman" w:hAnsi="Times New Roman" w:cs="Times New Roman"/>
                      <w:b/>
                      <w:color w:val="auto"/>
                      <w:szCs w:val="21"/>
                      <w:lang w:val="en-US" w:eastAsia="zh-CN"/>
                    </w:rPr>
                  </w:pPr>
                  <w:r>
                    <w:rPr>
                      <w:rFonts w:hint="eastAsia" w:cs="Times New Roman"/>
                      <w:b/>
                      <w:color w:val="auto"/>
                      <w:szCs w:val="21"/>
                      <w:lang w:val="en-US" w:eastAsia="zh-CN"/>
                    </w:rPr>
                    <w:t>噪声现状</w:t>
                  </w:r>
                  <w:r>
                    <w:rPr>
                      <w:rFonts w:hint="default" w:ascii="Times New Roman" w:hAnsi="Times New Roman" w:cs="Times New Roman"/>
                      <w:b/>
                      <w:color w:val="auto"/>
                      <w:szCs w:val="21"/>
                    </w:rPr>
                    <w:t>值</w:t>
                  </w:r>
                </w:p>
              </w:tc>
              <w:tc>
                <w:tcPr>
                  <w:tcW w:w="985" w:type="pct"/>
                  <w:vMerge w:val="restart"/>
                  <w:tcMar>
                    <w:left w:w="0" w:type="dxa"/>
                    <w:right w:w="0" w:type="dxa"/>
                  </w:tcMar>
                  <w:vAlign w:val="center"/>
                </w:tcPr>
                <w:p>
                  <w:pPr>
                    <w:jc w:val="center"/>
                    <w:rPr>
                      <w:rFonts w:hint="eastAsia" w:cs="Times New Roman"/>
                      <w:b/>
                      <w:color w:val="auto"/>
                      <w:szCs w:val="21"/>
                      <w:lang w:val="en-US" w:eastAsia="zh-CN"/>
                    </w:rPr>
                  </w:pPr>
                  <w:r>
                    <w:rPr>
                      <w:rFonts w:hint="eastAsia" w:cs="Times New Roman"/>
                      <w:b/>
                      <w:color w:val="auto"/>
                      <w:szCs w:val="21"/>
                      <w:lang w:val="en-US" w:eastAsia="zh-CN"/>
                    </w:rPr>
                    <w:t>噪声叠加值</w:t>
                  </w:r>
                </w:p>
              </w:tc>
              <w:tc>
                <w:tcPr>
                  <w:tcW w:w="985" w:type="pct"/>
                  <w:tcMar>
                    <w:left w:w="0" w:type="dxa"/>
                    <w:right w:w="0" w:type="dxa"/>
                  </w:tcMar>
                  <w:vAlign w:val="center"/>
                </w:tcPr>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7" w:type="pct"/>
                  <w:vMerge w:val="continue"/>
                  <w:tcMar>
                    <w:left w:w="0" w:type="dxa"/>
                    <w:right w:w="0" w:type="dxa"/>
                  </w:tcMar>
                  <w:vAlign w:val="center"/>
                </w:tcPr>
                <w:p>
                  <w:pPr>
                    <w:jc w:val="center"/>
                    <w:rPr>
                      <w:rFonts w:hint="default" w:ascii="Times New Roman" w:hAnsi="Times New Roman" w:cs="Times New Roman"/>
                      <w:b/>
                      <w:color w:val="auto"/>
                      <w:szCs w:val="21"/>
                      <w:highlight w:val="yellow"/>
                    </w:rPr>
                  </w:pPr>
                </w:p>
              </w:tc>
              <w:tc>
                <w:tcPr>
                  <w:tcW w:w="995" w:type="pct"/>
                  <w:vMerge w:val="continue"/>
                  <w:tcMar>
                    <w:left w:w="0" w:type="dxa"/>
                    <w:right w:w="0" w:type="dxa"/>
                  </w:tcMar>
                  <w:vAlign w:val="center"/>
                </w:tcPr>
                <w:p>
                  <w:pPr>
                    <w:jc w:val="center"/>
                    <w:rPr>
                      <w:rFonts w:hint="default" w:ascii="Times New Roman" w:hAnsi="Times New Roman" w:cs="Times New Roman"/>
                      <w:b/>
                      <w:color w:val="auto"/>
                      <w:szCs w:val="21"/>
                      <w:highlight w:val="yellow"/>
                    </w:rPr>
                  </w:pPr>
                </w:p>
              </w:tc>
              <w:tc>
                <w:tcPr>
                  <w:tcW w:w="985" w:type="pct"/>
                  <w:vMerge w:val="continue"/>
                  <w:tcMar>
                    <w:left w:w="0" w:type="dxa"/>
                    <w:right w:w="0" w:type="dxa"/>
                  </w:tcMar>
                  <w:vAlign w:val="center"/>
                </w:tcPr>
                <w:p>
                  <w:pPr>
                    <w:jc w:val="center"/>
                    <w:rPr>
                      <w:rFonts w:hint="default" w:ascii="Times New Roman" w:hAnsi="Times New Roman" w:cs="Times New Roman"/>
                      <w:b/>
                      <w:color w:val="auto"/>
                      <w:szCs w:val="21"/>
                      <w:highlight w:val="yellow"/>
                    </w:rPr>
                  </w:pPr>
                </w:p>
              </w:tc>
              <w:tc>
                <w:tcPr>
                  <w:tcW w:w="985" w:type="pct"/>
                  <w:vMerge w:val="continue"/>
                  <w:tcMar>
                    <w:left w:w="0" w:type="dxa"/>
                    <w:right w:w="0" w:type="dxa"/>
                  </w:tcMar>
                  <w:vAlign w:val="center"/>
                </w:tcPr>
                <w:p>
                  <w:pPr>
                    <w:jc w:val="center"/>
                    <w:rPr>
                      <w:rFonts w:hint="default" w:ascii="Times New Roman" w:hAnsi="Times New Roman" w:cs="Times New Roman"/>
                      <w:b/>
                      <w:color w:val="auto"/>
                      <w:szCs w:val="21"/>
                      <w:highlight w:val="yellow"/>
                    </w:rPr>
                  </w:pPr>
                </w:p>
              </w:tc>
              <w:tc>
                <w:tcPr>
                  <w:tcW w:w="985" w:type="pct"/>
                  <w:tcMar>
                    <w:left w:w="0" w:type="dxa"/>
                    <w:right w:w="0" w:type="dxa"/>
                  </w:tcMar>
                  <w:vAlign w:val="center"/>
                </w:tcPr>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昼间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7" w:type="pct"/>
                  <w:tcMar>
                    <w:left w:w="0" w:type="dxa"/>
                    <w:right w:w="0" w:type="dxa"/>
                  </w:tcMar>
                  <w:vAlign w:val="center"/>
                </w:tcPr>
                <w:p>
                  <w:pPr>
                    <w:spacing w:line="30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东厂界</w:t>
                  </w:r>
                </w:p>
              </w:tc>
              <w:tc>
                <w:tcPr>
                  <w:tcW w:w="995" w:type="pct"/>
                  <w:tcMar>
                    <w:left w:w="0" w:type="dxa"/>
                    <w:right w:w="0" w:type="dxa"/>
                  </w:tcMar>
                  <w:vAlign w:val="center"/>
                </w:tcPr>
                <w:p>
                  <w:pPr>
                    <w:pStyle w:val="21"/>
                    <w:tabs>
                      <w:tab w:val="clear" w:pos="4153"/>
                      <w:tab w:val="clear" w:pos="8306"/>
                    </w:tabs>
                    <w:snapToGrid/>
                    <w:spacing w:line="300" w:lineRule="exact"/>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57</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61</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62.46</w:t>
                  </w:r>
                </w:p>
              </w:tc>
              <w:tc>
                <w:tcPr>
                  <w:tcW w:w="985" w:type="pct"/>
                  <w:tcMar>
                    <w:left w:w="0" w:type="dxa"/>
                    <w:right w:w="0" w:type="dxa"/>
                  </w:tcMar>
                  <w:vAlign w:val="center"/>
                </w:tcPr>
                <w:p>
                  <w:pPr>
                    <w:pStyle w:val="21"/>
                    <w:tabs>
                      <w:tab w:val="clear" w:pos="4153"/>
                      <w:tab w:val="clear" w:pos="8306"/>
                    </w:tabs>
                    <w:snapToGrid/>
                    <w:spacing w:line="300" w:lineRule="exact"/>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rPr>
                    <w:t>6</w:t>
                  </w:r>
                  <w:r>
                    <w:rPr>
                      <w:rFonts w:hint="default" w:ascii="Times New Roman" w:hAnsi="Times New Roman" w:cs="Times New Roman"/>
                      <w:bCs/>
                      <w:color w:val="auto"/>
                      <w:sz w:val="21"/>
                      <w:szCs w:val="21"/>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7" w:type="pct"/>
                  <w:tcMar>
                    <w:left w:w="0" w:type="dxa"/>
                    <w:right w:w="0" w:type="dxa"/>
                  </w:tcMar>
                  <w:vAlign w:val="center"/>
                </w:tcPr>
                <w:p>
                  <w:pPr>
                    <w:spacing w:line="30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南厂界</w:t>
                  </w:r>
                </w:p>
              </w:tc>
              <w:tc>
                <w:tcPr>
                  <w:tcW w:w="995" w:type="pct"/>
                  <w:tcMar>
                    <w:left w:w="0" w:type="dxa"/>
                    <w:right w:w="0" w:type="dxa"/>
                  </w:tcMar>
                  <w:vAlign w:val="center"/>
                </w:tcPr>
                <w:p>
                  <w:pPr>
                    <w:pStyle w:val="21"/>
                    <w:tabs>
                      <w:tab w:val="clear" w:pos="4153"/>
                      <w:tab w:val="clear" w:pos="8306"/>
                    </w:tabs>
                    <w:snapToGrid/>
                    <w:spacing w:line="300" w:lineRule="exact"/>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45</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60</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60.14</w:t>
                  </w:r>
                </w:p>
              </w:tc>
              <w:tc>
                <w:tcPr>
                  <w:tcW w:w="985" w:type="pct"/>
                  <w:tcMar>
                    <w:left w:w="0" w:type="dxa"/>
                    <w:right w:w="0" w:type="dxa"/>
                  </w:tcMar>
                  <w:vAlign w:val="center"/>
                </w:tcPr>
                <w:p>
                  <w:pPr>
                    <w:pStyle w:val="21"/>
                    <w:tabs>
                      <w:tab w:val="clear" w:pos="4153"/>
                      <w:tab w:val="clear" w:pos="8306"/>
                    </w:tabs>
                    <w:snapToGrid/>
                    <w:spacing w:line="300" w:lineRule="exac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w:t>
                  </w:r>
                  <w:r>
                    <w:rPr>
                      <w:rFonts w:hint="default" w:ascii="Times New Roman" w:hAnsi="Times New Roman" w:cs="Times New Roman"/>
                      <w:bCs/>
                      <w:color w:val="auto"/>
                      <w:sz w:val="21"/>
                      <w:szCs w:val="21"/>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7" w:type="pct"/>
                  <w:tcMar>
                    <w:left w:w="0" w:type="dxa"/>
                    <w:right w:w="0" w:type="dxa"/>
                  </w:tcMar>
                  <w:vAlign w:val="center"/>
                </w:tcPr>
                <w:p>
                  <w:pPr>
                    <w:spacing w:line="30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西厂界</w:t>
                  </w:r>
                </w:p>
              </w:tc>
              <w:tc>
                <w:tcPr>
                  <w:tcW w:w="995" w:type="pct"/>
                  <w:tcMar>
                    <w:left w:w="0" w:type="dxa"/>
                    <w:right w:w="0" w:type="dxa"/>
                  </w:tcMar>
                  <w:vAlign w:val="center"/>
                </w:tcPr>
                <w:p>
                  <w:pPr>
                    <w:pStyle w:val="21"/>
                    <w:tabs>
                      <w:tab w:val="clear" w:pos="4153"/>
                      <w:tab w:val="clear" w:pos="8306"/>
                    </w:tabs>
                    <w:snapToGrid/>
                    <w:spacing w:line="300" w:lineRule="exact"/>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56</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61</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62.19</w:t>
                  </w:r>
                </w:p>
              </w:tc>
              <w:tc>
                <w:tcPr>
                  <w:tcW w:w="985" w:type="pct"/>
                  <w:tcMar>
                    <w:left w:w="0" w:type="dxa"/>
                    <w:right w:w="0" w:type="dxa"/>
                  </w:tcMar>
                  <w:vAlign w:val="center"/>
                </w:tcPr>
                <w:p>
                  <w:pPr>
                    <w:pStyle w:val="21"/>
                    <w:tabs>
                      <w:tab w:val="clear" w:pos="4153"/>
                      <w:tab w:val="clear" w:pos="8306"/>
                    </w:tabs>
                    <w:snapToGrid/>
                    <w:spacing w:line="300" w:lineRule="exac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w:t>
                  </w:r>
                  <w:r>
                    <w:rPr>
                      <w:rFonts w:hint="default" w:ascii="Times New Roman" w:hAnsi="Times New Roman" w:cs="Times New Roman"/>
                      <w:bCs/>
                      <w:color w:val="auto"/>
                      <w:sz w:val="21"/>
                      <w:szCs w:val="21"/>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7" w:type="pct"/>
                  <w:tcMar>
                    <w:left w:w="0" w:type="dxa"/>
                    <w:right w:w="0" w:type="dxa"/>
                  </w:tcMar>
                  <w:vAlign w:val="center"/>
                </w:tcPr>
                <w:p>
                  <w:pPr>
                    <w:spacing w:line="30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北厂界</w:t>
                  </w:r>
                </w:p>
              </w:tc>
              <w:tc>
                <w:tcPr>
                  <w:tcW w:w="995" w:type="pct"/>
                  <w:tcMar>
                    <w:left w:w="0" w:type="dxa"/>
                    <w:right w:w="0" w:type="dxa"/>
                  </w:tcMar>
                  <w:vAlign w:val="center"/>
                </w:tcPr>
                <w:p>
                  <w:pPr>
                    <w:pStyle w:val="21"/>
                    <w:tabs>
                      <w:tab w:val="clear" w:pos="4153"/>
                      <w:tab w:val="clear" w:pos="8306"/>
                    </w:tabs>
                    <w:snapToGrid/>
                    <w:spacing w:line="300" w:lineRule="exact"/>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58</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62</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63.46</w:t>
                  </w:r>
                </w:p>
              </w:tc>
              <w:tc>
                <w:tcPr>
                  <w:tcW w:w="985" w:type="pct"/>
                  <w:tcMar>
                    <w:left w:w="0" w:type="dxa"/>
                    <w:right w:w="0" w:type="dxa"/>
                  </w:tcMar>
                  <w:vAlign w:val="center"/>
                </w:tcPr>
                <w:p>
                  <w:pPr>
                    <w:pStyle w:val="21"/>
                    <w:tabs>
                      <w:tab w:val="clear" w:pos="4153"/>
                      <w:tab w:val="clear" w:pos="8306"/>
                    </w:tabs>
                    <w:snapToGrid/>
                    <w:spacing w:line="300" w:lineRule="exac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w:t>
                  </w:r>
                  <w:r>
                    <w:rPr>
                      <w:rFonts w:hint="default" w:ascii="Times New Roman" w:hAnsi="Times New Roman" w:cs="Times New Roman"/>
                      <w:bCs/>
                      <w:color w:val="auto"/>
                      <w:sz w:val="21"/>
                      <w:szCs w:val="21"/>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7" w:type="pct"/>
                  <w:tcMar>
                    <w:left w:w="0" w:type="dxa"/>
                    <w:right w:w="0" w:type="dxa"/>
                  </w:tcMar>
                  <w:vAlign w:val="center"/>
                </w:tcPr>
                <w:p>
                  <w:pPr>
                    <w:spacing w:line="300" w:lineRule="exact"/>
                    <w:jc w:val="center"/>
                    <w:rPr>
                      <w:rFonts w:hint="eastAsia" w:ascii="Times New Roman" w:hAnsi="Times New Roman" w:eastAsia="宋体" w:cs="Times New Roman"/>
                      <w:bCs/>
                      <w:color w:val="auto"/>
                      <w:szCs w:val="21"/>
                      <w:lang w:eastAsia="zh-CN"/>
                    </w:rPr>
                  </w:pPr>
                  <w:r>
                    <w:rPr>
                      <w:rFonts w:hint="eastAsia" w:cs="Times New Roman"/>
                      <w:bCs/>
                      <w:color w:val="auto"/>
                      <w:szCs w:val="21"/>
                      <w:lang w:eastAsia="zh-CN"/>
                    </w:rPr>
                    <w:t>元巷小区</w:t>
                  </w:r>
                </w:p>
              </w:tc>
              <w:tc>
                <w:tcPr>
                  <w:tcW w:w="99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43</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59</w:t>
                  </w:r>
                </w:p>
              </w:tc>
              <w:tc>
                <w:tcPr>
                  <w:tcW w:w="985" w:type="pct"/>
                  <w:tcMar>
                    <w:left w:w="0" w:type="dxa"/>
                    <w:right w:w="0" w:type="dxa"/>
                  </w:tcMar>
                  <w:vAlign w:val="center"/>
                </w:tcPr>
                <w:p>
                  <w:pPr>
                    <w:pStyle w:val="21"/>
                    <w:tabs>
                      <w:tab w:val="clear" w:pos="4153"/>
                      <w:tab w:val="clear" w:pos="8306"/>
                    </w:tabs>
                    <w:snapToGrid/>
                    <w:spacing w:line="300" w:lineRule="exact"/>
                    <w:rPr>
                      <w:rFonts w:hint="default" w:cs="Times New Roman"/>
                      <w:bCs/>
                      <w:color w:val="auto"/>
                      <w:sz w:val="21"/>
                      <w:szCs w:val="21"/>
                      <w:lang w:val="en-US" w:eastAsia="zh-CN"/>
                    </w:rPr>
                  </w:pPr>
                  <w:r>
                    <w:rPr>
                      <w:rFonts w:hint="eastAsia" w:cs="Times New Roman"/>
                      <w:bCs/>
                      <w:color w:val="auto"/>
                      <w:sz w:val="21"/>
                      <w:szCs w:val="21"/>
                      <w:lang w:val="en-US" w:eastAsia="zh-CN"/>
                    </w:rPr>
                    <w:t>59.11</w:t>
                  </w:r>
                </w:p>
              </w:tc>
              <w:tc>
                <w:tcPr>
                  <w:tcW w:w="985" w:type="pct"/>
                  <w:tcMar>
                    <w:left w:w="0" w:type="dxa"/>
                    <w:right w:w="0" w:type="dxa"/>
                  </w:tcMar>
                  <w:vAlign w:val="center"/>
                </w:tcPr>
                <w:p>
                  <w:pPr>
                    <w:pStyle w:val="21"/>
                    <w:tabs>
                      <w:tab w:val="clear" w:pos="4153"/>
                      <w:tab w:val="clear" w:pos="8306"/>
                    </w:tabs>
                    <w:snapToGrid/>
                    <w:spacing w:line="300" w:lineRule="exact"/>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60</w:t>
                  </w:r>
                </w:p>
              </w:tc>
            </w:tr>
          </w:tbl>
          <w:p>
            <w:pPr>
              <w:adjustRightInd w:val="0"/>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由上表可知，本项目经过减振、隔音等降噪措施后，东、南、西、北各厂界昼</w:t>
            </w:r>
            <w:r>
              <w:rPr>
                <w:rFonts w:hint="eastAsia" w:cs="Times New Roman"/>
                <w:bCs/>
                <w:color w:val="auto"/>
                <w:sz w:val="24"/>
                <w:lang w:val="en-US" w:eastAsia="zh-CN"/>
              </w:rPr>
              <w:t>间</w:t>
            </w:r>
            <w:r>
              <w:rPr>
                <w:rFonts w:hint="default" w:ascii="Times New Roman" w:hAnsi="Times New Roman" w:eastAsia="宋体" w:cs="Times New Roman"/>
                <w:bCs/>
                <w:color w:val="auto"/>
                <w:sz w:val="24"/>
                <w:lang w:val="en-US" w:eastAsia="zh-CN"/>
              </w:rPr>
              <w:t>噪声贡献值均符合《工业企业环境噪声排放标准》（GB12348-20083）3 类标准</w:t>
            </w:r>
            <w:r>
              <w:rPr>
                <w:rFonts w:hint="eastAsia" w:cs="Times New Roman"/>
                <w:bCs/>
                <w:color w:val="auto"/>
                <w:sz w:val="24"/>
                <w:lang w:val="en-US" w:eastAsia="zh-CN"/>
              </w:rPr>
              <w:t>，附近敏感目标</w:t>
            </w:r>
            <w:r>
              <w:rPr>
                <w:rFonts w:hint="eastAsia" w:cs="Times New Roman"/>
                <w:bCs/>
                <w:color w:val="auto"/>
                <w:szCs w:val="21"/>
                <w:lang w:eastAsia="zh-CN"/>
              </w:rPr>
              <w:t>元巷小区</w:t>
            </w:r>
            <w:r>
              <w:rPr>
                <w:rFonts w:hint="default" w:ascii="Times New Roman" w:hAnsi="Times New Roman" w:eastAsia="宋体" w:cs="Times New Roman"/>
                <w:bCs/>
                <w:color w:val="auto"/>
                <w:sz w:val="24"/>
                <w:lang w:val="en-US" w:eastAsia="zh-CN"/>
              </w:rPr>
              <w:t>昼</w:t>
            </w:r>
            <w:r>
              <w:rPr>
                <w:rFonts w:hint="eastAsia" w:cs="Times New Roman"/>
                <w:bCs/>
                <w:color w:val="auto"/>
                <w:sz w:val="24"/>
                <w:lang w:val="en-US" w:eastAsia="zh-CN"/>
              </w:rPr>
              <w:t>间</w:t>
            </w:r>
            <w:r>
              <w:rPr>
                <w:rFonts w:hint="default" w:ascii="Times New Roman" w:hAnsi="Times New Roman" w:eastAsia="宋体" w:cs="Times New Roman"/>
                <w:bCs/>
                <w:color w:val="auto"/>
                <w:sz w:val="24"/>
                <w:lang w:val="en-US" w:eastAsia="zh-CN"/>
              </w:rPr>
              <w:t>噪声贡献值符合《工业企业环境噪声排放标准》（GB12348-20083）</w:t>
            </w:r>
            <w:r>
              <w:rPr>
                <w:rFonts w:hint="eastAsia" w:ascii="Times New Roman" w:hAnsi="Times New Roman" w:eastAsia="宋体" w:cs="Times New Roman"/>
                <w:bCs/>
                <w:color w:val="auto"/>
                <w:sz w:val="24"/>
                <w:lang w:val="en-US" w:eastAsia="zh-CN"/>
              </w:rPr>
              <w:t>2</w:t>
            </w:r>
            <w:r>
              <w:rPr>
                <w:rFonts w:hint="default" w:ascii="Times New Roman" w:hAnsi="Times New Roman" w:eastAsia="宋体" w:cs="Times New Roman"/>
                <w:bCs/>
                <w:color w:val="auto"/>
                <w:sz w:val="24"/>
                <w:lang w:val="en-US" w:eastAsia="zh-CN"/>
              </w:rPr>
              <w:t>类标准。</w:t>
            </w:r>
          </w:p>
          <w:p>
            <w:pPr>
              <w:adjustRightInd w:val="0"/>
              <w:snapToGrid w:val="0"/>
              <w:spacing w:line="500" w:lineRule="exact"/>
              <w:ind w:firstLine="482" w:firstLineChars="200"/>
              <w:rPr>
                <w:rFonts w:hint="default" w:ascii="Times New Roman" w:hAnsi="Times New Roman" w:eastAsia="宋体" w:cs="Times New Roman"/>
                <w:b/>
                <w:bCs/>
                <w:color w:val="auto"/>
                <w:sz w:val="24"/>
                <w:lang w:eastAsia="zh-CN"/>
              </w:rPr>
            </w:pPr>
            <w:r>
              <w:rPr>
                <w:rFonts w:hint="eastAsia" w:cs="Times New Roman"/>
                <w:b/>
                <w:bCs/>
                <w:color w:val="auto"/>
                <w:sz w:val="24"/>
                <w:lang w:val="en-US" w:eastAsia="zh-CN"/>
              </w:rPr>
              <w:t>3、</w:t>
            </w:r>
            <w:r>
              <w:rPr>
                <w:rFonts w:hint="default" w:ascii="Times New Roman" w:hAnsi="Times New Roman" w:cs="Times New Roman"/>
                <w:b/>
                <w:bCs/>
                <w:color w:val="auto"/>
                <w:sz w:val="24"/>
              </w:rPr>
              <w:t>监测</w:t>
            </w:r>
            <w:r>
              <w:rPr>
                <w:rFonts w:hint="default" w:ascii="Times New Roman" w:hAnsi="Times New Roman" w:cs="Times New Roman"/>
                <w:b/>
                <w:bCs/>
                <w:color w:val="auto"/>
                <w:sz w:val="24"/>
                <w:lang w:val="en-US" w:eastAsia="zh-CN"/>
              </w:rPr>
              <w:t>要求</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表4-1</w:t>
            </w:r>
            <w:r>
              <w:rPr>
                <w:rFonts w:hint="eastAsia" w:cs="Times New Roman"/>
                <w:b/>
                <w:bCs/>
                <w:color w:val="auto"/>
                <w:sz w:val="21"/>
                <w:szCs w:val="21"/>
                <w:lang w:val="en-US" w:eastAsia="zh-CN"/>
              </w:rPr>
              <w:t xml:space="preserve">6 </w:t>
            </w:r>
            <w:r>
              <w:rPr>
                <w:rFonts w:hint="default" w:ascii="Times New Roman" w:hAnsi="Times New Roman" w:cs="Times New Roman"/>
                <w:b/>
                <w:bCs/>
                <w:color w:val="auto"/>
                <w:sz w:val="21"/>
                <w:szCs w:val="21"/>
                <w:lang w:val="en-US" w:eastAsia="zh-CN"/>
              </w:rPr>
              <w:t xml:space="preserve"> 噪声监测因子及频次表</w:t>
            </w:r>
          </w:p>
          <w:tbl>
            <w:tblPr>
              <w:tblStyle w:val="2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85" w:type="dxa"/>
                <w:bottom w:w="0" w:type="dxa"/>
                <w:right w:w="85" w:type="dxa"/>
              </w:tblCellMar>
            </w:tblPr>
            <w:tblGrid>
              <w:gridCol w:w="1167"/>
              <w:gridCol w:w="2032"/>
              <w:gridCol w:w="2771"/>
              <w:gridCol w:w="28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660" w:type="pct"/>
                  <w:tcBorders>
                    <w:tl2br w:val="nil"/>
                    <w:tr2bl w:val="nil"/>
                  </w:tcBorders>
                  <w:vAlign w:val="center"/>
                </w:tcPr>
                <w:p>
                  <w:pPr>
                    <w:snapToGrid w:val="0"/>
                    <w:spacing w:line="280" w:lineRule="exact"/>
                    <w:jc w:val="center"/>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lang w:val="en-US" w:eastAsia="zh-CN"/>
                    </w:rPr>
                    <w:t>类别</w:t>
                  </w:r>
                </w:p>
              </w:tc>
              <w:tc>
                <w:tcPr>
                  <w:tcW w:w="1149" w:type="pct"/>
                  <w:tcBorders>
                    <w:tl2br w:val="nil"/>
                    <w:tr2bl w:val="nil"/>
                  </w:tcBorders>
                  <w:vAlign w:val="center"/>
                </w:tcPr>
                <w:p>
                  <w:pPr>
                    <w:snapToGri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监测点位</w:t>
                  </w:r>
                </w:p>
              </w:tc>
              <w:tc>
                <w:tcPr>
                  <w:tcW w:w="1567" w:type="pct"/>
                  <w:tcBorders>
                    <w:tl2br w:val="nil"/>
                    <w:tr2bl w:val="nil"/>
                  </w:tcBorders>
                  <w:vAlign w:val="center"/>
                </w:tcPr>
                <w:p>
                  <w:pPr>
                    <w:snapToGrid w:val="0"/>
                    <w:spacing w:line="280" w:lineRule="exact"/>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rPr>
                    <w:t>监测</w:t>
                  </w:r>
                  <w:r>
                    <w:rPr>
                      <w:rFonts w:hint="default" w:ascii="Times New Roman" w:hAnsi="Times New Roman" w:cs="Times New Roman"/>
                      <w:b/>
                      <w:color w:val="auto"/>
                      <w:szCs w:val="21"/>
                      <w:lang w:val="en-US" w:eastAsia="zh-CN"/>
                    </w:rPr>
                    <w:t>项目</w:t>
                  </w:r>
                </w:p>
              </w:tc>
              <w:tc>
                <w:tcPr>
                  <w:tcW w:w="1622" w:type="pct"/>
                  <w:tcBorders>
                    <w:tl2br w:val="nil"/>
                    <w:tr2bl w:val="nil"/>
                  </w:tcBorders>
                  <w:vAlign w:val="center"/>
                </w:tcPr>
                <w:p>
                  <w:pPr>
                    <w:snapToGri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660" w:type="pct"/>
                  <w:tcBorders>
                    <w:tl2br w:val="nil"/>
                    <w:tr2bl w:val="nil"/>
                  </w:tcBorders>
                  <w:vAlign w:val="center"/>
                </w:tcPr>
                <w:p>
                  <w:pPr>
                    <w:snapToGrid w:val="0"/>
                    <w:spacing w:line="28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噪声</w:t>
                  </w:r>
                </w:p>
              </w:tc>
              <w:tc>
                <w:tcPr>
                  <w:tcW w:w="1149" w:type="pct"/>
                  <w:tcBorders>
                    <w:tl2br w:val="nil"/>
                    <w:tr2bl w:val="nil"/>
                  </w:tcBorders>
                  <w:vAlign w:val="center"/>
                </w:tcPr>
                <w:p>
                  <w:pPr>
                    <w:snapToGrid w:val="0"/>
                    <w:spacing w:line="28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四周</w:t>
                  </w:r>
                  <w:r>
                    <w:rPr>
                      <w:rFonts w:hint="default" w:ascii="Times New Roman" w:hAnsi="Times New Roman" w:cs="Times New Roman"/>
                      <w:color w:val="auto"/>
                      <w:szCs w:val="21"/>
                    </w:rPr>
                    <w:t>厂界</w:t>
                  </w:r>
                  <w:r>
                    <w:rPr>
                      <w:rFonts w:hint="default" w:ascii="Times New Roman" w:hAnsi="Times New Roman" w:cs="Times New Roman"/>
                      <w:color w:val="auto"/>
                      <w:szCs w:val="21"/>
                      <w:lang w:val="en-US" w:eastAsia="zh-CN"/>
                    </w:rPr>
                    <w:t>外1米处</w:t>
                  </w:r>
                  <w:r>
                    <w:rPr>
                      <w:rFonts w:hint="eastAsia" w:cs="Times New Roman"/>
                      <w:color w:val="auto"/>
                      <w:szCs w:val="21"/>
                      <w:lang w:val="en-US" w:eastAsia="zh-CN"/>
                    </w:rPr>
                    <w:t>、</w:t>
                  </w:r>
                  <w:r>
                    <w:rPr>
                      <w:rFonts w:hint="eastAsia" w:cs="Times New Roman"/>
                      <w:bCs/>
                      <w:color w:val="auto"/>
                      <w:szCs w:val="21"/>
                      <w:lang w:eastAsia="zh-CN"/>
                    </w:rPr>
                    <w:t>元巷小区</w:t>
                  </w:r>
                </w:p>
              </w:tc>
              <w:tc>
                <w:tcPr>
                  <w:tcW w:w="1567" w:type="pct"/>
                  <w:tcBorders>
                    <w:tl2br w:val="nil"/>
                    <w:tr2bl w:val="nil"/>
                  </w:tcBorders>
                  <w:vAlign w:val="center"/>
                </w:tcPr>
                <w:p>
                  <w:pPr>
                    <w:snapToGrid w:val="0"/>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昼</w:t>
                  </w:r>
                  <w:r>
                    <w:rPr>
                      <w:rFonts w:hint="eastAsia" w:cs="Times New Roman"/>
                      <w:bCs/>
                      <w:color w:val="auto"/>
                      <w:szCs w:val="21"/>
                      <w:lang w:val="en-US" w:eastAsia="zh-CN"/>
                    </w:rPr>
                    <w:t>间</w:t>
                  </w:r>
                  <w:r>
                    <w:rPr>
                      <w:rFonts w:hint="default" w:ascii="Times New Roman" w:hAnsi="Times New Roman" w:cs="Times New Roman"/>
                      <w:bCs/>
                      <w:color w:val="auto"/>
                      <w:szCs w:val="21"/>
                    </w:rPr>
                    <w:t>等效连续A声级</w:t>
                  </w:r>
                </w:p>
              </w:tc>
              <w:tc>
                <w:tcPr>
                  <w:tcW w:w="1622" w:type="pct"/>
                  <w:tcBorders>
                    <w:tl2br w:val="nil"/>
                    <w:tr2bl w:val="nil"/>
                  </w:tcBorders>
                  <w:vAlign w:val="center"/>
                </w:tcPr>
                <w:p>
                  <w:pPr>
                    <w:snapToGrid w:val="0"/>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每季度监测1次</w:t>
                  </w:r>
                </w:p>
              </w:tc>
            </w:tr>
          </w:tbl>
          <w:p>
            <w:pPr>
              <w:adjustRightInd w:val="0"/>
              <w:snapToGrid w:val="0"/>
              <w:spacing w:line="500" w:lineRule="exact"/>
              <w:rPr>
                <w:rFonts w:hint="default" w:ascii="Times New Roman" w:hAnsi="Times New Roman" w:cs="Times New Roman"/>
                <w:b/>
                <w:color w:val="auto"/>
                <w:sz w:val="24"/>
              </w:rPr>
            </w:pPr>
            <w:r>
              <w:rPr>
                <w:rFonts w:hint="eastAsia" w:cs="Times New Roman"/>
                <w:b/>
                <w:color w:val="auto"/>
                <w:sz w:val="24"/>
                <w:lang w:eastAsia="zh-CN"/>
              </w:rPr>
              <w:t>四</w:t>
            </w:r>
            <w:r>
              <w:rPr>
                <w:rFonts w:hint="default" w:ascii="Times New Roman" w:hAnsi="Times New Roman" w:cs="Times New Roman"/>
                <w:b/>
                <w:color w:val="auto"/>
                <w:sz w:val="24"/>
              </w:rPr>
              <w:t>、固体废物</w:t>
            </w:r>
          </w:p>
          <w:p>
            <w:pPr>
              <w:adjustRightInd w:val="0"/>
              <w:snapToGrid w:val="0"/>
              <w:spacing w:line="500" w:lineRule="exact"/>
              <w:ind w:firstLine="482" w:firstLineChars="200"/>
              <w:rPr>
                <w:rFonts w:hint="default" w:ascii="Times New Roman" w:hAnsi="Times New Roman" w:cs="Times New Roman"/>
                <w:b/>
                <w:bCs/>
                <w:color w:val="auto"/>
                <w:sz w:val="24"/>
              </w:rPr>
            </w:pPr>
            <w:r>
              <w:rPr>
                <w:rFonts w:hint="eastAsia" w:cs="Times New Roman"/>
                <w:b/>
                <w:bCs/>
                <w:color w:val="auto"/>
                <w:sz w:val="24"/>
                <w:lang w:val="en-US" w:eastAsia="zh-CN"/>
              </w:rPr>
              <w:t>1、</w:t>
            </w:r>
            <w:r>
              <w:rPr>
                <w:rFonts w:hint="default" w:ascii="Times New Roman" w:hAnsi="Times New Roman" w:cs="Times New Roman"/>
                <w:b/>
                <w:bCs/>
                <w:color w:val="auto"/>
                <w:sz w:val="24"/>
              </w:rPr>
              <w:t>固体废物产生情况</w:t>
            </w:r>
          </w:p>
          <w:p>
            <w:pPr>
              <w:pStyle w:val="6"/>
              <w:adjustRightInd w:val="0"/>
              <w:snapToGrid w:val="0"/>
              <w:spacing w:line="500" w:lineRule="exact"/>
              <w:ind w:firstLine="482" w:firstLineChars="200"/>
              <w:rPr>
                <w:rFonts w:hint="default" w:ascii="Times New Roman" w:hAnsi="Times New Roman" w:eastAsia="宋体" w:cs="Times New Roman"/>
                <w:b/>
                <w:bCs/>
                <w:color w:val="auto"/>
                <w:sz w:val="24"/>
                <w:lang w:val="en-US" w:eastAsia="zh-CN"/>
              </w:rPr>
            </w:pPr>
            <w:r>
              <w:rPr>
                <w:rFonts w:hint="default" w:ascii="Times New Roman" w:hAnsi="Times New Roman" w:cs="Times New Roman"/>
                <w:b/>
                <w:color w:val="auto"/>
                <w:sz w:val="24"/>
                <w:szCs w:val="24"/>
              </w:rPr>
              <w:t>边角料：</w:t>
            </w:r>
            <w:r>
              <w:rPr>
                <w:rFonts w:hint="eastAsia" w:ascii="Times New Roman" w:hAnsi="Times New Roman" w:cs="Times New Roman"/>
                <w:color w:val="auto"/>
                <w:sz w:val="24"/>
                <w:szCs w:val="24"/>
                <w:highlight w:val="none"/>
                <w:lang w:val="en-US" w:eastAsia="zh-CN"/>
              </w:rPr>
              <w:t>项目裁切</w:t>
            </w:r>
            <w:r>
              <w:rPr>
                <w:rFonts w:hint="default" w:ascii="Times New Roman" w:hAnsi="Times New Roman" w:cs="Times New Roman"/>
                <w:color w:val="auto"/>
                <w:sz w:val="24"/>
                <w:szCs w:val="24"/>
                <w:highlight w:val="none"/>
                <w:lang w:val="en-US" w:eastAsia="zh-CN"/>
              </w:rPr>
              <w:t>过程中产生</w:t>
            </w:r>
            <w:r>
              <w:rPr>
                <w:rFonts w:hint="eastAsia" w:ascii="Times New Roman" w:hAnsi="Times New Roman" w:cs="Times New Roman"/>
                <w:color w:val="auto"/>
                <w:sz w:val="24"/>
                <w:szCs w:val="24"/>
                <w:highlight w:val="none"/>
                <w:lang w:val="en-US" w:eastAsia="zh-CN"/>
              </w:rPr>
              <w:t>少量</w:t>
            </w:r>
            <w:r>
              <w:rPr>
                <w:rFonts w:hint="default" w:ascii="Times New Roman" w:hAnsi="Times New Roman" w:cs="Times New Roman"/>
                <w:color w:val="auto"/>
                <w:sz w:val="24"/>
                <w:szCs w:val="24"/>
                <w:highlight w:val="none"/>
                <w:lang w:val="en-US" w:eastAsia="zh-CN"/>
              </w:rPr>
              <w:t>边角料，</w:t>
            </w:r>
            <w:r>
              <w:rPr>
                <w:rFonts w:hint="eastAsia" w:ascii="Times New Roman" w:hAnsi="Times New Roman" w:cs="Times New Roman"/>
                <w:color w:val="auto"/>
                <w:sz w:val="24"/>
                <w:szCs w:val="24"/>
                <w:highlight w:val="none"/>
                <w:lang w:val="en-US" w:eastAsia="zh-CN"/>
              </w:rPr>
              <w:t>项目各类原料用量</w:t>
            </w:r>
            <w:r>
              <w:rPr>
                <w:rFonts w:hint="eastAsia" w:ascii="Times New Roman" w:hAnsi="Times New Roman" w:cs="Times New Roman"/>
                <w:color w:val="auto"/>
                <w:kern w:val="0"/>
                <w:sz w:val="24"/>
                <w:szCs w:val="24"/>
                <w:highlight w:val="none"/>
                <w:lang w:val="en-US" w:eastAsia="zh-CN"/>
              </w:rPr>
              <w:t>约1100t/a，</w:t>
            </w:r>
            <w:r>
              <w:rPr>
                <w:rFonts w:hint="default" w:ascii="Times New Roman" w:hAnsi="Times New Roman" w:cs="Times New Roman"/>
                <w:color w:val="auto"/>
                <w:sz w:val="24"/>
                <w:szCs w:val="24"/>
              </w:rPr>
              <w:t>产生量约占原料量的</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%，则边角料产生量为</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t/a。</w:t>
            </w:r>
          </w:p>
          <w:p>
            <w:pPr>
              <w:adjustRightInd w:val="0"/>
              <w:snapToGrid w:val="0"/>
              <w:spacing w:line="500" w:lineRule="exact"/>
              <w:ind w:firstLine="482" w:firstLineChars="200"/>
              <w:rPr>
                <w:rFonts w:hint="default" w:ascii="Times New Roman" w:hAnsi="Times New Roman" w:cs="Times New Roman"/>
                <w:color w:val="auto"/>
                <w:sz w:val="24"/>
              </w:rPr>
            </w:pPr>
            <w:r>
              <w:rPr>
                <w:rFonts w:hint="eastAsia" w:cs="Times New Roman"/>
                <w:b/>
                <w:color w:val="auto"/>
                <w:sz w:val="24"/>
                <w:lang w:eastAsia="zh-CN"/>
              </w:rPr>
              <w:t>次品</w:t>
            </w:r>
            <w:r>
              <w:rPr>
                <w:rFonts w:hint="default" w:ascii="Times New Roman" w:hAnsi="Times New Roman" w:cs="Times New Roman"/>
                <w:b/>
                <w:color w:val="auto"/>
                <w:sz w:val="24"/>
              </w:rPr>
              <w:t>：</w:t>
            </w:r>
            <w:r>
              <w:rPr>
                <w:rFonts w:hint="eastAsia" w:cs="Times New Roman"/>
                <w:color w:val="auto"/>
                <w:sz w:val="24"/>
                <w:szCs w:val="24"/>
                <w:highlight w:val="none"/>
                <w:lang w:val="en-US" w:eastAsia="zh-CN"/>
              </w:rPr>
              <w:t>项目产品检验</w:t>
            </w:r>
            <w:r>
              <w:rPr>
                <w:rFonts w:hint="default" w:ascii="Times New Roman" w:hAnsi="Times New Roman" w:cs="Times New Roman"/>
                <w:bCs/>
                <w:color w:val="auto"/>
                <w:sz w:val="24"/>
              </w:rPr>
              <w:t>过程中会产生</w:t>
            </w:r>
            <w:r>
              <w:rPr>
                <w:rFonts w:hint="eastAsia" w:cs="Times New Roman"/>
                <w:bCs/>
                <w:color w:val="auto"/>
                <w:sz w:val="24"/>
                <w:lang w:eastAsia="zh-CN"/>
              </w:rPr>
              <w:t>少量次品</w:t>
            </w:r>
            <w:r>
              <w:rPr>
                <w:rFonts w:hint="default" w:ascii="Times New Roman" w:hAnsi="Times New Roman" w:cs="Times New Roman"/>
                <w:bCs/>
                <w:color w:val="auto"/>
                <w:sz w:val="24"/>
              </w:rPr>
              <w:t>，</w:t>
            </w:r>
            <w:r>
              <w:rPr>
                <w:rFonts w:hint="default" w:ascii="Times New Roman" w:hAnsi="Times New Roman" w:cs="Times New Roman"/>
                <w:color w:val="auto"/>
                <w:sz w:val="24"/>
                <w:szCs w:val="24"/>
              </w:rPr>
              <w:t>产生量约占原料量的</w:t>
            </w:r>
            <w:r>
              <w:rPr>
                <w:rFonts w:hint="eastAsia" w:ascii="Times New Roman" w:hAnsi="Times New Roman" w:cs="Times New Roman"/>
                <w:color w:val="auto"/>
                <w:sz w:val="24"/>
                <w:szCs w:val="24"/>
                <w:lang w:val="en-US" w:eastAsia="zh-CN"/>
              </w:rPr>
              <w:t>0.5</w:t>
            </w:r>
            <w:r>
              <w:rPr>
                <w:rFonts w:hint="default" w:ascii="Times New Roman" w:hAnsi="Times New Roman" w:cs="Times New Roman"/>
                <w:color w:val="auto"/>
                <w:sz w:val="24"/>
                <w:szCs w:val="24"/>
              </w:rPr>
              <w:t>%，则</w:t>
            </w:r>
            <w:r>
              <w:rPr>
                <w:rFonts w:hint="eastAsia" w:ascii="Times New Roman" w:hAnsi="Times New Roman" w:cs="Times New Roman"/>
                <w:color w:val="auto"/>
                <w:sz w:val="24"/>
                <w:szCs w:val="24"/>
                <w:lang w:eastAsia="zh-CN"/>
              </w:rPr>
              <w:t>次品</w:t>
            </w:r>
            <w:r>
              <w:rPr>
                <w:rFonts w:hint="default" w:ascii="Times New Roman" w:hAnsi="Times New Roman" w:cs="Times New Roman"/>
                <w:color w:val="auto"/>
                <w:sz w:val="24"/>
                <w:szCs w:val="24"/>
              </w:rPr>
              <w:t>产生量为</w:t>
            </w:r>
            <w:r>
              <w:rPr>
                <w:rFonts w:hint="eastAsia" w:cs="Times New Roman"/>
                <w:color w:val="auto"/>
                <w:sz w:val="24"/>
                <w:szCs w:val="24"/>
                <w:lang w:val="en-US" w:eastAsia="zh-CN"/>
              </w:rPr>
              <w:t>5.5</w:t>
            </w:r>
            <w:r>
              <w:rPr>
                <w:rFonts w:hint="default" w:ascii="Times New Roman" w:hAnsi="Times New Roman" w:cs="Times New Roman"/>
                <w:color w:val="auto"/>
                <w:sz w:val="24"/>
                <w:szCs w:val="24"/>
              </w:rPr>
              <w:t>t/a</w:t>
            </w:r>
            <w:r>
              <w:rPr>
                <w:rFonts w:hint="default" w:ascii="Times New Roman" w:hAnsi="Times New Roman" w:cs="Times New Roman"/>
                <w:bCs/>
                <w:color w:val="auto"/>
                <w:sz w:val="24"/>
              </w:rPr>
              <w:t>。</w:t>
            </w:r>
          </w:p>
          <w:p>
            <w:pPr>
              <w:adjustRightInd w:val="0"/>
              <w:snapToGrid w:val="0"/>
              <w:spacing w:line="500" w:lineRule="exact"/>
              <w:ind w:firstLine="482" w:firstLineChars="200"/>
              <w:rPr>
                <w:rFonts w:hint="default" w:ascii="Times New Roman" w:hAnsi="Times New Roman" w:cs="Times New Roman"/>
                <w:b/>
                <w:bCs w:val="0"/>
                <w:color w:val="auto"/>
                <w:sz w:val="24"/>
                <w:lang w:val="en-US" w:eastAsia="zh-CN"/>
              </w:rPr>
            </w:pPr>
            <w:r>
              <w:rPr>
                <w:rFonts w:hint="eastAsia" w:cs="Times New Roman"/>
                <w:b/>
                <w:bCs w:val="0"/>
                <w:color w:val="auto"/>
                <w:sz w:val="24"/>
                <w:lang w:val="en-US" w:eastAsia="zh-CN"/>
              </w:rPr>
              <w:t>废包装材料：</w:t>
            </w:r>
            <w:r>
              <w:rPr>
                <w:rFonts w:hint="eastAsia" w:cs="Times New Roman"/>
                <w:b w:val="0"/>
                <w:bCs/>
                <w:color w:val="auto"/>
                <w:sz w:val="24"/>
                <w:szCs w:val="24"/>
                <w:lang w:val="en-US" w:eastAsia="zh-CN"/>
              </w:rPr>
              <w:t>项目</w:t>
            </w:r>
            <w:r>
              <w:rPr>
                <w:rFonts w:hint="eastAsia" w:ascii="Times New Roman" w:hAnsi="Times New Roman" w:eastAsia="宋体" w:cs="Times New Roman"/>
                <w:b w:val="0"/>
                <w:bCs/>
                <w:kern w:val="2"/>
                <w:sz w:val="24"/>
                <w:szCs w:val="24"/>
                <w:lang w:val="en-US" w:eastAsia="zh-CN" w:bidi="ar-SA"/>
              </w:rPr>
              <w:t>针刺面料使用过程产生少量废包装材料，参考现有项目，</w:t>
            </w:r>
            <w:r>
              <w:rPr>
                <w:rFonts w:hint="eastAsia" w:cs="Times New Roman"/>
                <w:b w:val="0"/>
                <w:bCs/>
                <w:color w:val="auto"/>
                <w:sz w:val="24"/>
                <w:szCs w:val="24"/>
                <w:lang w:val="en-US" w:eastAsia="zh-CN"/>
              </w:rPr>
              <w:t>废包装材料产生量约0.5</w:t>
            </w:r>
            <w:r>
              <w:rPr>
                <w:rFonts w:hint="default" w:ascii="Times New Roman" w:hAnsi="Times New Roman" w:cs="Times New Roman"/>
                <w:b w:val="0"/>
                <w:bCs/>
                <w:color w:val="auto"/>
                <w:sz w:val="24"/>
                <w:szCs w:val="24"/>
              </w:rPr>
              <w:t>t/a。</w:t>
            </w:r>
          </w:p>
          <w:p>
            <w:pPr>
              <w:adjustRightInd w:val="0"/>
              <w:snapToGrid w:val="0"/>
              <w:spacing w:line="500" w:lineRule="exact"/>
              <w:ind w:firstLine="482" w:firstLineChars="200"/>
              <w:rPr>
                <w:rFonts w:hint="default" w:ascii="Times New Roman" w:hAnsi="Times New Roman" w:cs="Times New Roman"/>
                <w:b/>
                <w:bCs w:val="0"/>
                <w:color w:val="auto"/>
                <w:sz w:val="24"/>
                <w:lang w:val="en-US" w:eastAsia="zh-CN"/>
              </w:rPr>
            </w:pPr>
            <w:r>
              <w:rPr>
                <w:rFonts w:hint="eastAsia" w:ascii="Times New Roman" w:hAnsi="Times New Roman" w:eastAsia="宋体" w:cs="Times New Roman"/>
                <w:b/>
                <w:bCs w:val="0"/>
                <w:kern w:val="2"/>
                <w:sz w:val="24"/>
                <w:szCs w:val="24"/>
                <w:lang w:val="en-US" w:eastAsia="zh-CN" w:bidi="ar-SA"/>
              </w:rPr>
              <w:t>清洗废液</w:t>
            </w:r>
            <w:r>
              <w:rPr>
                <w:rFonts w:hint="eastAsia" w:cs="Times New Roman"/>
                <w:b/>
                <w:bCs w:val="0"/>
                <w:color w:val="auto"/>
                <w:sz w:val="24"/>
                <w:lang w:val="en-US" w:eastAsia="zh-CN"/>
              </w:rPr>
              <w:t>：</w:t>
            </w:r>
            <w:r>
              <w:rPr>
                <w:rFonts w:hint="eastAsia" w:ascii="Times New Roman" w:hAnsi="Times New Roman" w:eastAsia="宋体" w:cs="Times New Roman"/>
                <w:b w:val="0"/>
                <w:bCs/>
                <w:kern w:val="2"/>
                <w:sz w:val="24"/>
                <w:szCs w:val="24"/>
                <w:lang w:val="en-US" w:eastAsia="zh-CN" w:bidi="ar-SA"/>
              </w:rPr>
              <w:t>项目喷头采用水性脱模剂清洗，一天清洗一次，单次清洗量约0.5kg，则清洗过程使用水性脱模剂约0.15t/a，产生清洗废液约0.12t/a。</w:t>
            </w:r>
          </w:p>
          <w:p>
            <w:pPr>
              <w:adjustRightInd w:val="0"/>
              <w:snapToGrid w:val="0"/>
              <w:spacing w:line="500" w:lineRule="exact"/>
              <w:ind w:firstLine="482" w:firstLineChars="200"/>
              <w:rPr>
                <w:rFonts w:hint="eastAsia" w:cs="Times New Roman"/>
                <w:bCs/>
                <w:color w:val="auto"/>
                <w:sz w:val="24"/>
                <w:lang w:val="en-US" w:eastAsia="zh-CN"/>
              </w:rPr>
            </w:pPr>
            <w:r>
              <w:rPr>
                <w:rFonts w:hint="default" w:ascii="Times New Roman" w:hAnsi="Times New Roman" w:cs="Times New Roman"/>
                <w:b/>
                <w:bCs w:val="0"/>
                <w:color w:val="auto"/>
                <w:sz w:val="24"/>
                <w:lang w:val="en-US" w:eastAsia="zh-CN"/>
              </w:rPr>
              <w:t>废</w:t>
            </w:r>
            <w:r>
              <w:rPr>
                <w:rFonts w:hint="eastAsia" w:cs="Times New Roman"/>
                <w:b/>
                <w:bCs w:val="0"/>
                <w:color w:val="auto"/>
                <w:sz w:val="24"/>
                <w:lang w:val="en-US" w:eastAsia="zh-CN"/>
              </w:rPr>
              <w:t>液压</w:t>
            </w:r>
            <w:r>
              <w:rPr>
                <w:rFonts w:hint="default" w:ascii="Times New Roman" w:hAnsi="Times New Roman" w:cs="Times New Roman"/>
                <w:b/>
                <w:bCs w:val="0"/>
                <w:color w:val="auto"/>
                <w:sz w:val="24"/>
                <w:lang w:val="en-US" w:eastAsia="zh-CN"/>
              </w:rPr>
              <w:t>油：</w:t>
            </w:r>
            <w:r>
              <w:rPr>
                <w:rFonts w:hint="default" w:ascii="Times New Roman" w:hAnsi="Times New Roman" w:cs="Times New Roman"/>
                <w:bCs/>
                <w:color w:val="auto"/>
                <w:sz w:val="24"/>
                <w:lang w:val="en-US" w:eastAsia="zh-CN"/>
              </w:rPr>
              <w:t>本项目</w:t>
            </w:r>
            <w:r>
              <w:rPr>
                <w:rFonts w:hint="eastAsia" w:cs="Times New Roman"/>
                <w:bCs/>
                <w:color w:val="auto"/>
                <w:sz w:val="24"/>
                <w:lang w:val="en-US" w:eastAsia="zh-CN"/>
              </w:rPr>
              <w:t>液压机需定期更换液压油，废液压油产生量约3t/3a。</w:t>
            </w:r>
          </w:p>
          <w:p>
            <w:pPr>
              <w:adjustRightInd w:val="0"/>
              <w:snapToGrid w:val="0"/>
              <w:spacing w:line="500" w:lineRule="exact"/>
              <w:ind w:firstLine="482" w:firstLineChars="200"/>
              <w:rPr>
                <w:rFonts w:hint="default" w:ascii="Times New Roman" w:hAnsi="Times New Roman" w:cs="Times New Roman"/>
                <w:color w:val="auto"/>
                <w:sz w:val="24"/>
              </w:rPr>
            </w:pPr>
            <w:r>
              <w:rPr>
                <w:rFonts w:hint="default" w:ascii="Times New Roman" w:hAnsi="Times New Roman" w:cs="Times New Roman"/>
                <w:b/>
                <w:color w:val="auto"/>
                <w:sz w:val="24"/>
              </w:rPr>
              <w:t>废活性炭：</w:t>
            </w:r>
            <w:r>
              <w:rPr>
                <w:rFonts w:hint="default" w:ascii="Times New Roman" w:hAnsi="Times New Roman" w:cs="Times New Roman"/>
                <w:color w:val="auto"/>
                <w:sz w:val="24"/>
              </w:rPr>
              <w:t>本项目</w:t>
            </w:r>
            <w:r>
              <w:rPr>
                <w:rFonts w:hint="default" w:ascii="Times New Roman" w:hAnsi="Times New Roman" w:cs="Times New Roman"/>
                <w:color w:val="auto"/>
                <w:sz w:val="24"/>
                <w:lang w:val="en-US" w:eastAsia="zh-CN"/>
              </w:rPr>
              <w:t>废气处理采用二级活性炭吸附</w:t>
            </w:r>
            <w:r>
              <w:rPr>
                <w:rFonts w:hint="default" w:ascii="Times New Roman" w:hAnsi="Times New Roman" w:cs="Times New Roman"/>
                <w:color w:val="auto"/>
                <w:sz w:val="24"/>
              </w:rPr>
              <w:t>处理工艺</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需定期更换活性炭</w:t>
            </w:r>
            <w:r>
              <w:rPr>
                <w:rFonts w:hint="default" w:ascii="Times New Roman" w:hAnsi="Times New Roman" w:cs="Times New Roman"/>
                <w:color w:val="auto"/>
                <w:sz w:val="24"/>
              </w:rPr>
              <w:t>，根据</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省生态环境厅关于将排污单位活性炭使用更换纳入排污许可管理的通知</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中附件涉活性炭吸附排污单位的排污许可管理要求内的相关公式</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计算活性炭更换周期</w:t>
            </w:r>
            <w:r>
              <w:rPr>
                <w:rFonts w:hint="default" w:ascii="Times New Roman" w:hAnsi="Times New Roman" w:cs="Times New Roman"/>
                <w:color w:val="auto"/>
                <w:sz w:val="24"/>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T=m×s÷（c×10</w:t>
            </w:r>
            <w:r>
              <w:rPr>
                <w:rFonts w:hint="default" w:ascii="Times New Roman" w:hAnsi="Times New Roman" w:cs="Times New Roman"/>
                <w:color w:val="auto"/>
                <w:sz w:val="24"/>
                <w:vertAlign w:val="superscript"/>
              </w:rPr>
              <w:t>-6</w:t>
            </w:r>
            <w:r>
              <w:rPr>
                <w:rFonts w:hint="default" w:ascii="Times New Roman" w:hAnsi="Times New Roman" w:cs="Times New Roman"/>
                <w:color w:val="auto"/>
                <w:sz w:val="24"/>
              </w:rPr>
              <w:t>×Q×t）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2880" w:firstLineChars="1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T—更换周期，天；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2880" w:firstLineChars="1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m—活性炭的用量，kg；</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2880" w:firstLineChars="1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s—动态吸附量，%；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2880" w:firstLineChars="1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c—活性炭削减VOCs浓度，mg/m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2880" w:firstLineChars="1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Q—风量，单位m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2880" w:firstLineChars="1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t—运行时间，单位h/d。</w:t>
            </w:r>
          </w:p>
          <w:p>
            <w:pPr>
              <w:pStyle w:val="12"/>
              <w:keepNext w:val="0"/>
              <w:keepLines w:val="0"/>
              <w:pageBreakBefore w:val="0"/>
              <w:widowControl/>
              <w:kinsoku/>
              <w:wordWrap/>
              <w:overflowPunct/>
              <w:topLinePunct w:val="0"/>
              <w:autoSpaceDE/>
              <w:autoSpaceDN/>
              <w:bidi w:val="0"/>
              <w:adjustRightInd w:val="0"/>
              <w:snapToGrid w:val="0"/>
              <w:spacing w:before="0" w:after="0" w:line="500" w:lineRule="exact"/>
              <w:ind w:right="0" w:firstLine="422" w:firstLineChars="200"/>
              <w:jc w:val="center"/>
              <w:textAlignment w:val="auto"/>
              <w:rPr>
                <w:b/>
                <w:bCs/>
                <w:color w:val="auto"/>
                <w:sz w:val="21"/>
                <w:szCs w:val="21"/>
              </w:rPr>
            </w:pPr>
            <w:r>
              <w:rPr>
                <w:b/>
                <w:color w:val="auto"/>
                <w:sz w:val="21"/>
                <w:szCs w:val="21"/>
              </w:rPr>
              <w:t>表4-</w:t>
            </w:r>
            <w:r>
              <w:rPr>
                <w:rFonts w:hint="eastAsia"/>
                <w:b/>
                <w:color w:val="auto"/>
                <w:sz w:val="21"/>
                <w:szCs w:val="21"/>
                <w:lang w:val="en-US" w:eastAsia="zh-CN"/>
              </w:rPr>
              <w:t>17</w:t>
            </w:r>
            <w:r>
              <w:rPr>
                <w:b/>
                <w:color w:val="auto"/>
                <w:sz w:val="21"/>
                <w:szCs w:val="21"/>
              </w:rPr>
              <w:t>活性炭更换周期一览表</w:t>
            </w:r>
          </w:p>
          <w:tbl>
            <w:tblPr>
              <w:tblStyle w:val="27"/>
              <w:tblW w:w="499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51"/>
              <w:gridCol w:w="1103"/>
              <w:gridCol w:w="970"/>
              <w:gridCol w:w="2284"/>
              <w:gridCol w:w="868"/>
              <w:gridCol w:w="878"/>
              <w:gridCol w:w="8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47" w:type="pct"/>
                  <w:noWrap w:val="0"/>
                  <w:vAlign w:val="center"/>
                </w:tcPr>
                <w:p>
                  <w:pPr>
                    <w:adjustRightInd w:val="0"/>
                    <w:snapToGrid w:val="0"/>
                    <w:jc w:val="center"/>
                    <w:rPr>
                      <w:color w:val="auto"/>
                      <w:szCs w:val="21"/>
                    </w:rPr>
                  </w:pPr>
                  <w:r>
                    <w:rPr>
                      <w:color w:val="auto"/>
                      <w:szCs w:val="21"/>
                    </w:rPr>
                    <w:t>装置名称</w:t>
                  </w:r>
                </w:p>
              </w:tc>
              <w:tc>
                <w:tcPr>
                  <w:tcW w:w="624" w:type="pct"/>
                  <w:noWrap w:val="0"/>
                  <w:vAlign w:val="center"/>
                </w:tcPr>
                <w:p>
                  <w:pPr>
                    <w:adjustRightInd w:val="0"/>
                    <w:snapToGrid w:val="0"/>
                    <w:jc w:val="center"/>
                    <w:rPr>
                      <w:color w:val="auto"/>
                      <w:szCs w:val="21"/>
                    </w:rPr>
                  </w:pPr>
                  <w:r>
                    <w:rPr>
                      <w:color w:val="auto"/>
                      <w:szCs w:val="21"/>
                    </w:rPr>
                    <w:t>活性炭的用量（kg）</w:t>
                  </w:r>
                </w:p>
              </w:tc>
              <w:tc>
                <w:tcPr>
                  <w:tcW w:w="549" w:type="pct"/>
                  <w:noWrap w:val="0"/>
                  <w:vAlign w:val="center"/>
                </w:tcPr>
                <w:p>
                  <w:pPr>
                    <w:adjustRightInd w:val="0"/>
                    <w:snapToGrid w:val="0"/>
                    <w:jc w:val="center"/>
                    <w:rPr>
                      <w:color w:val="auto"/>
                      <w:szCs w:val="21"/>
                    </w:rPr>
                  </w:pPr>
                  <w:r>
                    <w:rPr>
                      <w:color w:val="auto"/>
                      <w:szCs w:val="21"/>
                    </w:rPr>
                    <w:t>动态吸附量（%）</w:t>
                  </w:r>
                </w:p>
              </w:tc>
              <w:tc>
                <w:tcPr>
                  <w:tcW w:w="1292" w:type="pct"/>
                  <w:noWrap w:val="0"/>
                  <w:vAlign w:val="center"/>
                </w:tcPr>
                <w:p>
                  <w:pPr>
                    <w:adjustRightInd w:val="0"/>
                    <w:snapToGrid w:val="0"/>
                    <w:jc w:val="center"/>
                    <w:rPr>
                      <w:color w:val="auto"/>
                      <w:szCs w:val="21"/>
                    </w:rPr>
                  </w:pPr>
                  <w:r>
                    <w:rPr>
                      <w:color w:val="auto"/>
                      <w:szCs w:val="21"/>
                    </w:rPr>
                    <w:t>活性炭削减的VOCs浓度（mg/m</w:t>
                  </w:r>
                  <w:r>
                    <w:rPr>
                      <w:color w:val="auto"/>
                      <w:szCs w:val="21"/>
                      <w:vertAlign w:val="superscript"/>
                    </w:rPr>
                    <w:t>3</w:t>
                  </w:r>
                  <w:r>
                    <w:rPr>
                      <w:color w:val="auto"/>
                      <w:szCs w:val="21"/>
                    </w:rPr>
                    <w:t>）</w:t>
                  </w:r>
                </w:p>
              </w:tc>
              <w:tc>
                <w:tcPr>
                  <w:tcW w:w="491" w:type="pct"/>
                  <w:noWrap w:val="0"/>
                  <w:vAlign w:val="center"/>
                </w:tcPr>
                <w:p>
                  <w:pPr>
                    <w:adjustRightInd w:val="0"/>
                    <w:snapToGrid w:val="0"/>
                    <w:jc w:val="center"/>
                    <w:rPr>
                      <w:color w:val="auto"/>
                      <w:szCs w:val="21"/>
                    </w:rPr>
                  </w:pPr>
                  <w:r>
                    <w:rPr>
                      <w:color w:val="auto"/>
                      <w:szCs w:val="21"/>
                    </w:rPr>
                    <w:t>风量（m</w:t>
                  </w:r>
                  <w:r>
                    <w:rPr>
                      <w:color w:val="auto"/>
                      <w:szCs w:val="21"/>
                      <w:vertAlign w:val="superscript"/>
                    </w:rPr>
                    <w:t>3</w:t>
                  </w:r>
                  <w:r>
                    <w:rPr>
                      <w:color w:val="auto"/>
                      <w:szCs w:val="21"/>
                    </w:rPr>
                    <w:t>/h）</w:t>
                  </w:r>
                </w:p>
              </w:tc>
              <w:tc>
                <w:tcPr>
                  <w:tcW w:w="497" w:type="pct"/>
                  <w:noWrap w:val="0"/>
                  <w:vAlign w:val="center"/>
                </w:tcPr>
                <w:p>
                  <w:pPr>
                    <w:adjustRightInd w:val="0"/>
                    <w:snapToGrid w:val="0"/>
                    <w:jc w:val="center"/>
                    <w:rPr>
                      <w:color w:val="auto"/>
                      <w:szCs w:val="21"/>
                    </w:rPr>
                  </w:pPr>
                  <w:r>
                    <w:rPr>
                      <w:color w:val="auto"/>
                      <w:szCs w:val="21"/>
                    </w:rPr>
                    <w:t>运行时间（h/d）</w:t>
                  </w:r>
                </w:p>
              </w:tc>
              <w:tc>
                <w:tcPr>
                  <w:tcW w:w="497" w:type="pct"/>
                  <w:noWrap w:val="0"/>
                  <w:vAlign w:val="center"/>
                </w:tcPr>
                <w:p>
                  <w:pPr>
                    <w:adjustRightInd w:val="0"/>
                    <w:snapToGrid w:val="0"/>
                    <w:jc w:val="center"/>
                    <w:rPr>
                      <w:color w:val="auto"/>
                      <w:szCs w:val="21"/>
                    </w:rPr>
                  </w:pPr>
                  <w:r>
                    <w:rPr>
                      <w:rFonts w:hint="eastAsia"/>
                      <w:color w:val="auto"/>
                      <w:szCs w:val="21"/>
                    </w:rPr>
                    <w:t>更换</w:t>
                  </w:r>
                  <w:r>
                    <w:rPr>
                      <w:color w:val="auto"/>
                      <w:szCs w:val="21"/>
                    </w:rPr>
                    <w:t>周期（d）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47" w:type="pct"/>
                  <w:noWrap w:val="0"/>
                  <w:vAlign w:val="center"/>
                </w:tcPr>
                <w:p>
                  <w:pPr>
                    <w:adjustRightInd w:val="0"/>
                    <w:snapToGrid w:val="0"/>
                    <w:jc w:val="center"/>
                    <w:rPr>
                      <w:color w:val="auto"/>
                      <w:szCs w:val="21"/>
                    </w:rPr>
                  </w:pPr>
                  <w:r>
                    <w:rPr>
                      <w:bCs/>
                      <w:color w:val="auto"/>
                      <w:szCs w:val="21"/>
                    </w:rPr>
                    <w:t>活性炭吸附装置</w:t>
                  </w:r>
                </w:p>
              </w:tc>
              <w:tc>
                <w:tcPr>
                  <w:tcW w:w="624" w:type="pct"/>
                  <w:noWrap w:val="0"/>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560</w:t>
                  </w:r>
                </w:p>
              </w:tc>
              <w:tc>
                <w:tcPr>
                  <w:tcW w:w="549" w:type="pct"/>
                  <w:noWrap w:val="0"/>
                  <w:vAlign w:val="center"/>
                </w:tcPr>
                <w:p>
                  <w:pPr>
                    <w:widowControl/>
                    <w:jc w:val="center"/>
                    <w:textAlignment w:val="center"/>
                    <w:rPr>
                      <w:rFonts w:hint="default" w:eastAsia="宋体"/>
                      <w:color w:val="auto"/>
                      <w:szCs w:val="21"/>
                      <w:lang w:val="en-US" w:eastAsia="zh-CN"/>
                    </w:rPr>
                  </w:pPr>
                  <w:r>
                    <w:rPr>
                      <w:rFonts w:hint="eastAsia"/>
                      <w:color w:val="auto"/>
                      <w:kern w:val="0"/>
                      <w:szCs w:val="21"/>
                      <w:lang w:val="en-US" w:eastAsia="zh-CN" w:bidi="ar"/>
                    </w:rPr>
                    <w:t>20</w:t>
                  </w:r>
                </w:p>
              </w:tc>
              <w:tc>
                <w:tcPr>
                  <w:tcW w:w="1292" w:type="pct"/>
                  <w:noWrap w:val="0"/>
                  <w:vAlign w:val="center"/>
                </w:tcPr>
                <w:p>
                  <w:pPr>
                    <w:keepNext w:val="0"/>
                    <w:keepLines w:val="0"/>
                    <w:widowControl/>
                    <w:suppressLineNumbers w:val="0"/>
                    <w:jc w:val="center"/>
                    <w:textAlignment w:val="center"/>
                    <w:rPr>
                      <w:rFonts w:hint="default" w:eastAsia="宋体"/>
                      <w:color w:val="auto"/>
                      <w:szCs w:val="21"/>
                      <w:lang w:val="en-US" w:eastAsia="zh-CN"/>
                    </w:rPr>
                  </w:pPr>
                  <w:r>
                    <w:rPr>
                      <w:rFonts w:hint="eastAsia" w:cs="Times New Roman"/>
                      <w:i w:val="0"/>
                      <w:iCs w:val="0"/>
                      <w:color w:val="auto"/>
                      <w:kern w:val="0"/>
                      <w:sz w:val="21"/>
                      <w:szCs w:val="21"/>
                      <w:u w:val="none"/>
                      <w:lang w:val="en-US" w:eastAsia="zh-CN" w:bidi="ar"/>
                    </w:rPr>
                    <w:t>33.08</w:t>
                  </w:r>
                </w:p>
              </w:tc>
              <w:tc>
                <w:tcPr>
                  <w:tcW w:w="491" w:type="pct"/>
                  <w:noWrap w:val="0"/>
                  <w:vAlign w:val="center"/>
                </w:tcPr>
                <w:p>
                  <w:pPr>
                    <w:tabs>
                      <w:tab w:val="left" w:pos="360"/>
                      <w:tab w:val="left" w:pos="540"/>
                    </w:tabs>
                    <w:adjustRightInd w:val="0"/>
                    <w:snapToGrid w:val="0"/>
                    <w:jc w:val="center"/>
                    <w:rPr>
                      <w:color w:val="auto"/>
                      <w:szCs w:val="21"/>
                    </w:rPr>
                  </w:pPr>
                  <w:r>
                    <w:rPr>
                      <w:rFonts w:hint="eastAsia" w:cs="Times New Roman"/>
                      <w:color w:val="auto"/>
                      <w:sz w:val="21"/>
                      <w:szCs w:val="21"/>
                      <w:lang w:val="en-US" w:eastAsia="zh-CN"/>
                    </w:rPr>
                    <w:t>14</w:t>
                  </w:r>
                  <w:r>
                    <w:rPr>
                      <w:rFonts w:hint="eastAsia" w:ascii="Times New Roman" w:hAnsi="Times New Roman" w:eastAsia="宋体" w:cs="Times New Roman"/>
                      <w:color w:val="auto"/>
                      <w:sz w:val="21"/>
                      <w:szCs w:val="21"/>
                      <w:lang w:val="en-US" w:eastAsia="zh-CN"/>
                    </w:rPr>
                    <w:t>000</w:t>
                  </w:r>
                </w:p>
              </w:tc>
              <w:tc>
                <w:tcPr>
                  <w:tcW w:w="497" w:type="pct"/>
                  <w:noWrap w:val="0"/>
                  <w:vAlign w:val="center"/>
                </w:tcPr>
                <w:p>
                  <w:pPr>
                    <w:widowControl/>
                    <w:jc w:val="center"/>
                    <w:textAlignment w:val="center"/>
                    <w:rPr>
                      <w:rFonts w:hint="default" w:eastAsia="宋体"/>
                      <w:color w:val="auto"/>
                      <w:szCs w:val="21"/>
                      <w:lang w:val="en-US" w:eastAsia="zh-CN"/>
                    </w:rPr>
                  </w:pPr>
                  <w:r>
                    <w:rPr>
                      <w:rFonts w:hint="eastAsia"/>
                      <w:color w:val="auto"/>
                      <w:kern w:val="0"/>
                      <w:szCs w:val="21"/>
                      <w:lang w:val="en-US" w:eastAsia="zh-CN" w:bidi="ar"/>
                    </w:rPr>
                    <w:t>8</w:t>
                  </w:r>
                </w:p>
              </w:tc>
              <w:tc>
                <w:tcPr>
                  <w:tcW w:w="497" w:type="pct"/>
                  <w:noWrap w:val="0"/>
                  <w:vAlign w:val="center"/>
                </w:tcPr>
                <w:p>
                  <w:pPr>
                    <w:tabs>
                      <w:tab w:val="left" w:pos="360"/>
                      <w:tab w:val="left" w:pos="540"/>
                    </w:tabs>
                    <w:adjustRightInd w:val="0"/>
                    <w:snapToGrid w:val="0"/>
                    <w:jc w:val="center"/>
                    <w:rPr>
                      <w:rFonts w:hint="default" w:eastAsia="宋体"/>
                      <w:color w:val="auto"/>
                      <w:szCs w:val="21"/>
                      <w:lang w:val="en-US" w:eastAsia="zh-CN"/>
                    </w:rPr>
                  </w:pPr>
                  <w:r>
                    <w:rPr>
                      <w:rFonts w:hint="eastAsia" w:eastAsia="宋体"/>
                      <w:color w:val="auto"/>
                      <w:szCs w:val="21"/>
                      <w:lang w:val="en-US" w:eastAsia="zh-CN"/>
                    </w:rPr>
                    <w:t>30.</w:t>
                  </w:r>
                  <w:r>
                    <w:rPr>
                      <w:rFonts w:hint="eastAsia"/>
                      <w:color w:val="auto"/>
                      <w:szCs w:val="21"/>
                      <w:lang w:val="en-US" w:eastAsia="zh-CN"/>
                    </w:rPr>
                    <w:t>3</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default" w:ascii="Times New Roman" w:hAnsi="Times New Roman" w:cs="Times New Roman"/>
                <w:bCs/>
                <w:color w:val="auto"/>
                <w:sz w:val="24"/>
              </w:rPr>
            </w:pPr>
            <w:r>
              <w:rPr>
                <w:rFonts w:hint="eastAsia" w:ascii="Times New Roman" w:hAnsi="Times New Roman" w:eastAsia="宋体" w:cs="Times New Roman"/>
                <w:bCs/>
                <w:color w:val="auto"/>
                <w:sz w:val="24"/>
                <w:lang w:val="en-US" w:eastAsia="zh-CN"/>
              </w:rPr>
              <w:t>根据计算所得，本项目活性炭吸附装置更换周期为30天。</w:t>
            </w:r>
            <w:r>
              <w:rPr>
                <w:rFonts w:hint="eastAsia" w:cs="Times New Roman"/>
                <w:bCs/>
                <w:color w:val="auto"/>
                <w:sz w:val="24"/>
                <w:lang w:val="en-US" w:eastAsia="zh-CN"/>
              </w:rPr>
              <w:t>根据前文分析，项目</w:t>
            </w:r>
            <w:r>
              <w:rPr>
                <w:rFonts w:hint="default" w:ascii="Times New Roman" w:hAnsi="Times New Roman" w:cs="Times New Roman"/>
                <w:bCs/>
                <w:color w:val="auto"/>
                <w:sz w:val="24"/>
                <w:lang w:val="en-US" w:eastAsia="zh-CN"/>
              </w:rPr>
              <w:t>二级活性炭</w:t>
            </w:r>
            <w:r>
              <w:rPr>
                <w:rFonts w:hint="eastAsia" w:cs="Times New Roman"/>
                <w:bCs/>
                <w:color w:val="auto"/>
                <w:sz w:val="24"/>
                <w:lang w:val="en-US" w:eastAsia="zh-CN"/>
              </w:rPr>
              <w:t>废气</w:t>
            </w:r>
            <w:r>
              <w:rPr>
                <w:rFonts w:hint="default" w:ascii="Times New Roman" w:hAnsi="Times New Roman" w:cs="Times New Roman"/>
                <w:bCs/>
                <w:color w:val="auto"/>
                <w:sz w:val="24"/>
                <w:lang w:val="en-US" w:eastAsia="zh-CN"/>
              </w:rPr>
              <w:t>吸附量为</w:t>
            </w:r>
            <w:r>
              <w:rPr>
                <w:rFonts w:hint="eastAsia" w:cs="Times New Roman"/>
                <w:bCs/>
                <w:color w:val="auto"/>
                <w:sz w:val="24"/>
                <w:lang w:val="en-US" w:eastAsia="zh-CN"/>
              </w:rPr>
              <w:t>1.111</w:t>
            </w:r>
            <w:r>
              <w:rPr>
                <w:rFonts w:hint="default" w:ascii="Times New Roman" w:hAnsi="Times New Roman" w:cs="Times New Roman"/>
                <w:bCs/>
                <w:color w:val="auto"/>
                <w:sz w:val="24"/>
                <w:lang w:val="en-US" w:eastAsia="zh-CN"/>
              </w:rPr>
              <w:t>t/a。</w:t>
            </w:r>
            <w:r>
              <w:rPr>
                <w:rFonts w:hint="eastAsia" w:cs="Times New Roman"/>
                <w:color w:val="auto"/>
                <w:sz w:val="24"/>
                <w:szCs w:val="24"/>
                <w:lang w:eastAsia="zh-CN"/>
              </w:rPr>
              <w:t>则项目</w:t>
            </w:r>
            <w:r>
              <w:rPr>
                <w:rFonts w:hint="default" w:ascii="Times New Roman" w:hAnsi="Times New Roman" w:cs="Times New Roman"/>
                <w:bCs/>
                <w:color w:val="auto"/>
                <w:sz w:val="24"/>
                <w:lang w:val="en-US" w:eastAsia="zh-CN"/>
              </w:rPr>
              <w:t>废</w:t>
            </w:r>
            <w:r>
              <w:rPr>
                <w:rFonts w:hint="default" w:ascii="Times New Roman" w:hAnsi="Times New Roman" w:cs="Times New Roman"/>
                <w:bCs/>
                <w:color w:val="auto"/>
                <w:sz w:val="24"/>
                <w:lang w:eastAsia="zh-CN"/>
              </w:rPr>
              <w:t>活性炭产生量</w:t>
            </w:r>
            <w:r>
              <w:rPr>
                <w:rFonts w:hint="eastAsia" w:cs="Times New Roman"/>
                <w:bCs/>
                <w:color w:val="auto"/>
                <w:sz w:val="24"/>
                <w:lang w:val="en-US" w:eastAsia="zh-CN"/>
              </w:rPr>
              <w:t>约</w:t>
            </w:r>
            <w:r>
              <w:rPr>
                <w:rFonts w:hint="default" w:ascii="Times New Roman" w:hAnsi="Times New Roman" w:cs="Times New Roman"/>
                <w:bCs/>
                <w:color w:val="auto"/>
                <w:sz w:val="24"/>
                <w:lang w:eastAsia="zh-CN"/>
              </w:rPr>
              <w:t>为</w:t>
            </w:r>
            <w:r>
              <w:rPr>
                <w:rFonts w:hint="eastAsia" w:cs="Times New Roman"/>
                <w:bCs/>
                <w:color w:val="auto"/>
                <w:sz w:val="24"/>
                <w:lang w:val="en-US" w:eastAsia="zh-CN"/>
              </w:rPr>
              <w:t>6.711</w:t>
            </w:r>
            <w:r>
              <w:rPr>
                <w:rFonts w:hint="default" w:ascii="Times New Roman" w:hAnsi="Times New Roman" w:cs="Times New Roman"/>
                <w:bCs/>
                <w:color w:val="auto"/>
                <w:sz w:val="24"/>
                <w:lang w:val="en-US" w:eastAsia="zh-CN"/>
              </w:rPr>
              <w:t>t/</w:t>
            </w:r>
            <w:r>
              <w:rPr>
                <w:rFonts w:hint="default" w:ascii="Times New Roman" w:hAnsi="Times New Roman" w:cs="Times New Roman"/>
                <w:bCs/>
                <w:color w:val="auto"/>
                <w:sz w:val="24"/>
                <w:highlight w:val="none"/>
                <w:lang w:val="en-US" w:eastAsia="zh-CN"/>
              </w:rPr>
              <w:t>a</w:t>
            </w:r>
            <w:r>
              <w:rPr>
                <w:rFonts w:hint="default" w:ascii="Times New Roman" w:hAnsi="Times New Roman" w:cs="Times New Roman"/>
                <w:color w:val="auto"/>
                <w:sz w:val="24"/>
              </w:rPr>
              <w:t>。</w:t>
            </w:r>
          </w:p>
          <w:p>
            <w:pPr>
              <w:adjustRightInd w:val="0"/>
              <w:snapToGrid w:val="0"/>
              <w:spacing w:line="500" w:lineRule="exact"/>
              <w:ind w:firstLine="482" w:firstLineChars="200"/>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b/>
                <w:color w:val="auto"/>
                <w:sz w:val="24"/>
              </w:rPr>
              <w:t>废包装桶：</w:t>
            </w:r>
            <w:r>
              <w:rPr>
                <w:rFonts w:hint="default" w:ascii="Times New Roman" w:hAnsi="Times New Roman" w:eastAsia="宋体" w:cs="Times New Roman"/>
                <w:color w:val="auto"/>
                <w:kern w:val="0"/>
                <w:sz w:val="24"/>
                <w:szCs w:val="24"/>
                <w:lang w:val="en-US" w:eastAsia="zh-CN" w:bidi="ar"/>
              </w:rPr>
              <w:t>本项目</w:t>
            </w:r>
            <w:r>
              <w:rPr>
                <w:rFonts w:hint="eastAsia" w:cs="Times New Roman"/>
                <w:color w:val="auto"/>
                <w:sz w:val="24"/>
                <w:szCs w:val="24"/>
                <w:lang w:eastAsia="zh-CN"/>
              </w:rPr>
              <w:t>液压油</w:t>
            </w:r>
            <w:r>
              <w:rPr>
                <w:rFonts w:hint="default" w:ascii="Times New Roman" w:hAnsi="Times New Roman" w:eastAsia="宋体" w:cs="Times New Roman"/>
                <w:color w:val="auto"/>
                <w:kern w:val="0"/>
                <w:sz w:val="24"/>
                <w:szCs w:val="24"/>
                <w:lang w:val="en-US" w:eastAsia="zh-CN" w:bidi="ar"/>
              </w:rPr>
              <w:t>包装桶（170kg/桶）</w:t>
            </w:r>
            <w:r>
              <w:rPr>
                <w:rFonts w:hint="default" w:ascii="Times New Roman" w:hAnsi="Times New Roman" w:cs="Times New Roman"/>
                <w:color w:val="auto"/>
                <w:sz w:val="24"/>
                <w:szCs w:val="24"/>
                <w:lang w:eastAsia="zh-CN"/>
              </w:rPr>
              <w:t>、</w:t>
            </w:r>
            <w:r>
              <w:rPr>
                <w:rFonts w:hint="eastAsia" w:ascii="Times New Roman" w:hAnsi="Times New Roman" w:eastAsia="宋体" w:cs="Times New Roman"/>
                <w:kern w:val="2"/>
                <w:sz w:val="24"/>
                <w:szCs w:val="24"/>
                <w:lang w:val="en-US" w:eastAsia="zh-CN" w:bidi="ar-SA"/>
              </w:rPr>
              <w:t>发泡料</w:t>
            </w:r>
            <w:r>
              <w:rPr>
                <w:rFonts w:hint="default" w:ascii="Times New Roman" w:hAnsi="Times New Roman" w:eastAsia="宋体" w:cs="Times New Roman"/>
                <w:color w:val="auto"/>
                <w:kern w:val="0"/>
                <w:sz w:val="24"/>
                <w:szCs w:val="24"/>
                <w:lang w:val="en-US" w:eastAsia="zh-CN" w:bidi="ar"/>
              </w:rPr>
              <w:t>包装桶（</w:t>
            </w:r>
            <w:r>
              <w:rPr>
                <w:rFonts w:hint="eastAsia" w:cs="Times New Roman"/>
                <w:color w:val="auto"/>
                <w:kern w:val="0"/>
                <w:sz w:val="24"/>
                <w:szCs w:val="24"/>
                <w:lang w:val="en-US" w:eastAsia="zh-CN" w:bidi="ar"/>
              </w:rPr>
              <w:t>20</w:t>
            </w:r>
            <w:r>
              <w:rPr>
                <w:rFonts w:hint="default" w:ascii="Times New Roman" w:hAnsi="Times New Roman" w:eastAsia="宋体" w:cs="Times New Roman"/>
                <w:color w:val="auto"/>
                <w:kern w:val="0"/>
                <w:sz w:val="24"/>
                <w:szCs w:val="24"/>
                <w:lang w:val="en-US" w:eastAsia="zh-CN" w:bidi="ar"/>
              </w:rPr>
              <w:t>0kg/桶）</w:t>
            </w:r>
            <w:r>
              <w:rPr>
                <w:rFonts w:hint="eastAsia" w:cs="Times New Roman"/>
                <w:color w:val="auto"/>
                <w:kern w:val="0"/>
                <w:sz w:val="24"/>
                <w:szCs w:val="24"/>
                <w:lang w:val="en-US" w:eastAsia="zh-CN" w:bidi="ar"/>
              </w:rPr>
              <w:t>、</w:t>
            </w:r>
            <w:r>
              <w:rPr>
                <w:rFonts w:hint="eastAsia" w:ascii="Times New Roman" w:hAnsi="Times New Roman" w:eastAsia="宋体" w:cs="Times New Roman"/>
                <w:color w:val="000000"/>
                <w:sz w:val="24"/>
                <w:szCs w:val="24"/>
                <w:lang w:val="en-US" w:eastAsia="zh-CN"/>
              </w:rPr>
              <w:t>水性</w:t>
            </w:r>
            <w:r>
              <w:rPr>
                <w:rFonts w:hint="eastAsia" w:ascii="Times New Roman" w:hAnsi="Times New Roman" w:eastAsia="宋体" w:cs="Times New Roman"/>
                <w:color w:val="000000"/>
                <w:sz w:val="24"/>
                <w:szCs w:val="24"/>
                <w:lang w:eastAsia="zh-CN"/>
              </w:rPr>
              <w:t>脱模剂</w:t>
            </w:r>
            <w:r>
              <w:rPr>
                <w:rFonts w:hint="default" w:ascii="Times New Roman" w:hAnsi="Times New Roman" w:eastAsia="宋体" w:cs="Times New Roman"/>
                <w:color w:val="auto"/>
                <w:kern w:val="0"/>
                <w:sz w:val="24"/>
                <w:szCs w:val="24"/>
                <w:lang w:val="en-US" w:eastAsia="zh-CN" w:bidi="ar"/>
              </w:rPr>
              <w:t>装桶（</w:t>
            </w:r>
            <w:r>
              <w:rPr>
                <w:rFonts w:hint="default" w:ascii="Times New Roman" w:hAnsi="Times New Roman" w:cs="Times New Roman"/>
                <w:color w:val="auto"/>
                <w:sz w:val="24"/>
                <w:szCs w:val="24"/>
              </w:rPr>
              <w:t>25kg</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kern w:val="0"/>
                <w:sz w:val="24"/>
                <w:szCs w:val="24"/>
                <w:lang w:val="en-US" w:eastAsia="zh-CN" w:bidi="ar"/>
              </w:rPr>
              <w:t>桶）由生产厂商定期回收，继续用于</w:t>
            </w:r>
            <w:r>
              <w:rPr>
                <w:rFonts w:hint="default" w:ascii="Times New Roman" w:hAnsi="Times New Roman" w:cs="Times New Roman"/>
                <w:color w:val="auto"/>
                <w:kern w:val="0"/>
                <w:sz w:val="24"/>
                <w:szCs w:val="24"/>
                <w:lang w:val="en-US" w:eastAsia="zh-CN" w:bidi="ar"/>
              </w:rPr>
              <w:t>原料的灌装。</w:t>
            </w:r>
            <w:r>
              <w:rPr>
                <w:rFonts w:hint="default" w:ascii="Times New Roman" w:hAnsi="Times New Roman" w:eastAsia="宋体" w:cs="Times New Roman"/>
                <w:color w:val="auto"/>
                <w:kern w:val="0"/>
                <w:sz w:val="24"/>
                <w:szCs w:val="24"/>
                <w:lang w:val="en-US" w:eastAsia="zh-CN" w:bidi="ar"/>
              </w:rPr>
              <w:t>根据《固体废物鉴别标准 通则》（GB 34330-2017）任何不需要修复和加工即可用于其</w:t>
            </w:r>
            <w:r>
              <w:rPr>
                <w:rFonts w:hint="eastAsia" w:cs="Times New Roman"/>
                <w:color w:val="auto"/>
                <w:kern w:val="0"/>
                <w:sz w:val="24"/>
                <w:szCs w:val="24"/>
                <w:lang w:val="en-US" w:eastAsia="zh-CN" w:bidi="ar"/>
              </w:rPr>
              <w:t>原始</w:t>
            </w:r>
            <w:r>
              <w:rPr>
                <w:rFonts w:hint="default" w:ascii="Times New Roman" w:hAnsi="Times New Roman" w:eastAsia="宋体" w:cs="Times New Roman"/>
                <w:color w:val="auto"/>
                <w:kern w:val="0"/>
                <w:sz w:val="24"/>
                <w:szCs w:val="24"/>
                <w:lang w:val="en-US" w:eastAsia="zh-CN" w:bidi="ar"/>
              </w:rPr>
              <w:t>用途的物质不作为固体废物管理，本项目包装桶由生产厂商回收周转再利用，满足环保要求，因此不作为固废管理。</w:t>
            </w:r>
          </w:p>
          <w:p>
            <w:pPr>
              <w:adjustRightInd w:val="0"/>
              <w:snapToGrid w:val="0"/>
              <w:spacing w:line="500" w:lineRule="exact"/>
              <w:ind w:firstLine="482" w:firstLineChars="200"/>
              <w:rPr>
                <w:rFonts w:hint="default" w:ascii="Times New Roman" w:hAnsi="Times New Roman" w:cs="Times New Roman"/>
                <w:bCs/>
                <w:color w:val="auto"/>
                <w:sz w:val="24"/>
              </w:rPr>
            </w:pPr>
            <w:r>
              <w:rPr>
                <w:rFonts w:hint="default" w:ascii="Times New Roman" w:hAnsi="Times New Roman" w:cs="Times New Roman"/>
                <w:b/>
                <w:color w:val="auto"/>
                <w:sz w:val="24"/>
              </w:rPr>
              <w:t>含油抹布手套：</w:t>
            </w:r>
            <w:r>
              <w:rPr>
                <w:rFonts w:hint="default" w:ascii="Times New Roman" w:hAnsi="Times New Roman" w:cs="Times New Roman"/>
                <w:bCs/>
                <w:color w:val="auto"/>
                <w:sz w:val="24"/>
              </w:rPr>
              <w:t>项目</w:t>
            </w:r>
            <w:r>
              <w:rPr>
                <w:rFonts w:hint="eastAsia" w:cs="Times New Roman"/>
                <w:bCs/>
                <w:color w:val="auto"/>
                <w:sz w:val="24"/>
                <w:lang w:val="en-US" w:eastAsia="zh-CN"/>
              </w:rPr>
              <w:t>生产</w:t>
            </w:r>
            <w:r>
              <w:rPr>
                <w:rFonts w:hint="default" w:ascii="Times New Roman" w:hAnsi="Times New Roman" w:cs="Times New Roman"/>
                <w:bCs/>
                <w:color w:val="auto"/>
                <w:sz w:val="24"/>
              </w:rPr>
              <w:t>过程中员工使用抹布手套，</w:t>
            </w:r>
            <w:r>
              <w:rPr>
                <w:rFonts w:hint="eastAsia" w:cs="Times New Roman"/>
                <w:color w:val="auto"/>
                <w:sz w:val="24"/>
                <w:lang w:val="en-US" w:eastAsia="zh-CN"/>
              </w:rPr>
              <w:t>会</w:t>
            </w:r>
            <w:r>
              <w:rPr>
                <w:rFonts w:hint="default" w:ascii="Times New Roman" w:hAnsi="Times New Roman" w:eastAsia="宋体" w:cs="Times New Roman"/>
                <w:color w:val="auto"/>
                <w:sz w:val="24"/>
                <w:lang w:val="en-US" w:eastAsia="zh-CN"/>
              </w:rPr>
              <w:t>产生少量含油抹布手套</w:t>
            </w:r>
            <w:r>
              <w:rPr>
                <w:rFonts w:hint="default" w:ascii="Times New Roman" w:hAnsi="Times New Roman" w:cs="Times New Roman"/>
                <w:bCs/>
                <w:color w:val="auto"/>
                <w:sz w:val="24"/>
              </w:rPr>
              <w:t>，产生量约为0.05t/</w:t>
            </w:r>
            <w:r>
              <w:rPr>
                <w:rFonts w:hint="default" w:ascii="Times New Roman" w:hAnsi="Times New Roman" w:eastAsia="宋体" w:cs="Times New Roman"/>
                <w:bCs/>
                <w:color w:val="auto"/>
                <w:sz w:val="24"/>
              </w:rPr>
              <w:t>a</w:t>
            </w:r>
            <w:r>
              <w:rPr>
                <w:rFonts w:hint="eastAsia"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lang w:val="en-US" w:eastAsia="zh-CN"/>
              </w:rPr>
              <w:t>与生活垃圾</w:t>
            </w:r>
            <w:r>
              <w:rPr>
                <w:rFonts w:hint="default" w:ascii="Times New Roman" w:hAnsi="Times New Roman" w:eastAsia="宋体" w:cs="Times New Roman"/>
                <w:bCs/>
                <w:color w:val="auto"/>
                <w:sz w:val="24"/>
              </w:rPr>
              <w:t>难以</w:t>
            </w:r>
            <w:r>
              <w:rPr>
                <w:rFonts w:hint="eastAsia" w:ascii="Times New Roman" w:hAnsi="Times New Roman" w:eastAsia="宋体" w:cs="Times New Roman"/>
                <w:bCs/>
                <w:color w:val="auto"/>
                <w:sz w:val="24"/>
                <w:lang w:val="en-US" w:eastAsia="zh-CN"/>
              </w:rPr>
              <w:t>分开</w:t>
            </w:r>
            <w:r>
              <w:rPr>
                <w:rFonts w:hint="default" w:ascii="Times New Roman" w:hAnsi="Times New Roman" w:eastAsia="宋体" w:cs="Times New Roman"/>
                <w:bCs/>
                <w:color w:val="auto"/>
                <w:sz w:val="24"/>
              </w:rPr>
              <w:t>收集，根据《国</w:t>
            </w:r>
            <w:r>
              <w:rPr>
                <w:rFonts w:hint="default" w:ascii="Times New Roman" w:hAnsi="Times New Roman" w:cs="Times New Roman"/>
                <w:bCs/>
                <w:color w:val="auto"/>
                <w:sz w:val="24"/>
              </w:rPr>
              <w:t>家危险废物名录》（2021）中</w:t>
            </w:r>
            <w:r>
              <w:rPr>
                <w:rFonts w:hint="eastAsia" w:cs="Times New Roman"/>
                <w:bCs/>
                <w:color w:val="auto"/>
                <w:sz w:val="24"/>
                <w:lang w:val="en-US" w:eastAsia="zh-CN"/>
              </w:rPr>
              <w:t>“</w:t>
            </w:r>
            <w:r>
              <w:rPr>
                <w:rFonts w:hint="default" w:ascii="Times New Roman" w:hAnsi="Times New Roman" w:cs="Times New Roman"/>
                <w:bCs/>
                <w:color w:val="auto"/>
                <w:sz w:val="24"/>
              </w:rPr>
              <w:t>附录</w:t>
            </w:r>
            <w:r>
              <w:rPr>
                <w:rFonts w:hint="eastAsia" w:cs="Times New Roman"/>
                <w:bCs/>
                <w:color w:val="auto"/>
                <w:sz w:val="24"/>
                <w:lang w:eastAsia="zh-CN"/>
              </w:rPr>
              <w:t>”</w:t>
            </w:r>
            <w:r>
              <w:rPr>
                <w:rFonts w:hint="default" w:ascii="Times New Roman" w:hAnsi="Times New Roman" w:cs="Times New Roman"/>
                <w:bCs/>
                <w:color w:val="auto"/>
                <w:sz w:val="24"/>
              </w:rPr>
              <w:t>中</w:t>
            </w:r>
            <w:r>
              <w:rPr>
                <w:rFonts w:hint="eastAsia" w:cs="Times New Roman"/>
                <w:bCs/>
                <w:color w:val="auto"/>
                <w:sz w:val="24"/>
                <w:lang w:eastAsia="zh-CN"/>
              </w:rPr>
              <w:t>“</w:t>
            </w:r>
            <w:r>
              <w:rPr>
                <w:rFonts w:hint="default" w:ascii="Times New Roman" w:hAnsi="Times New Roman" w:cs="Times New Roman"/>
                <w:bCs/>
                <w:color w:val="auto"/>
                <w:sz w:val="24"/>
              </w:rPr>
              <w:t>危险废物豁免管理清单</w:t>
            </w:r>
            <w:r>
              <w:rPr>
                <w:rFonts w:hint="eastAsia" w:cs="Times New Roman"/>
                <w:bCs/>
                <w:color w:val="auto"/>
                <w:sz w:val="24"/>
                <w:lang w:eastAsia="zh-CN"/>
              </w:rPr>
              <w:t>”</w:t>
            </w:r>
            <w:r>
              <w:rPr>
                <w:rFonts w:hint="default" w:ascii="Times New Roman" w:hAnsi="Times New Roman" w:cs="Times New Roman"/>
                <w:bCs/>
                <w:color w:val="auto"/>
                <w:sz w:val="24"/>
              </w:rPr>
              <w:t>，废物类别</w:t>
            </w:r>
            <w:r>
              <w:rPr>
                <w:rFonts w:hint="eastAsia" w:cs="Times New Roman"/>
                <w:bCs/>
                <w:color w:val="auto"/>
                <w:sz w:val="24"/>
                <w:lang w:eastAsia="zh-CN"/>
              </w:rPr>
              <w:t>“</w:t>
            </w:r>
            <w:r>
              <w:rPr>
                <w:rFonts w:hint="default" w:ascii="Times New Roman" w:hAnsi="Times New Roman" w:cs="Times New Roman"/>
                <w:bCs/>
                <w:color w:val="auto"/>
                <w:sz w:val="24"/>
              </w:rPr>
              <w:t>HW49</w:t>
            </w:r>
            <w:r>
              <w:rPr>
                <w:rFonts w:hint="eastAsia" w:cs="Times New Roman"/>
                <w:bCs/>
                <w:color w:val="auto"/>
                <w:sz w:val="24"/>
                <w:lang w:eastAsia="zh-CN"/>
              </w:rPr>
              <w:t>”</w:t>
            </w:r>
            <w:r>
              <w:rPr>
                <w:rFonts w:hint="default" w:ascii="Times New Roman" w:hAnsi="Times New Roman" w:cs="Times New Roman"/>
                <w:bCs/>
                <w:color w:val="auto"/>
                <w:sz w:val="24"/>
              </w:rPr>
              <w:t>、废物代码</w:t>
            </w:r>
            <w:r>
              <w:rPr>
                <w:rFonts w:hint="eastAsia" w:cs="Times New Roman"/>
                <w:bCs/>
                <w:color w:val="auto"/>
                <w:sz w:val="24"/>
                <w:lang w:eastAsia="zh-CN"/>
              </w:rPr>
              <w:t>“</w:t>
            </w:r>
            <w:r>
              <w:rPr>
                <w:rFonts w:hint="default" w:ascii="Times New Roman" w:hAnsi="Times New Roman" w:cs="Times New Roman"/>
                <w:bCs/>
                <w:color w:val="auto"/>
                <w:sz w:val="24"/>
              </w:rPr>
              <w:t>900-041-49</w:t>
            </w:r>
            <w:r>
              <w:rPr>
                <w:rFonts w:hint="eastAsia" w:cs="Times New Roman"/>
                <w:bCs/>
                <w:color w:val="auto"/>
                <w:sz w:val="24"/>
                <w:lang w:eastAsia="zh-CN"/>
              </w:rPr>
              <w:t>”</w:t>
            </w:r>
            <w:r>
              <w:rPr>
                <w:rFonts w:hint="default" w:ascii="Times New Roman" w:hAnsi="Times New Roman" w:cs="Times New Roman"/>
                <w:bCs/>
                <w:color w:val="auto"/>
                <w:sz w:val="24"/>
              </w:rPr>
              <w:t>，危险废物</w:t>
            </w:r>
            <w:r>
              <w:rPr>
                <w:rFonts w:hint="eastAsia" w:cs="Times New Roman"/>
                <w:bCs/>
                <w:color w:val="auto"/>
                <w:sz w:val="24"/>
                <w:lang w:eastAsia="zh-CN"/>
              </w:rPr>
              <w:t>“</w:t>
            </w:r>
            <w:r>
              <w:rPr>
                <w:rFonts w:hint="default" w:ascii="Times New Roman" w:hAnsi="Times New Roman" w:cs="Times New Roman"/>
                <w:bCs/>
                <w:color w:val="auto"/>
                <w:sz w:val="24"/>
              </w:rPr>
              <w:t>废弃的含油抹布、劳保用品</w:t>
            </w:r>
            <w:r>
              <w:rPr>
                <w:rFonts w:hint="eastAsia" w:cs="Times New Roman"/>
                <w:bCs/>
                <w:color w:val="auto"/>
                <w:sz w:val="24"/>
                <w:lang w:eastAsia="zh-CN"/>
              </w:rPr>
              <w:t>”“</w:t>
            </w:r>
            <w:r>
              <w:rPr>
                <w:rFonts w:hint="default" w:ascii="Times New Roman" w:hAnsi="Times New Roman" w:cs="Times New Roman"/>
                <w:bCs/>
                <w:color w:val="auto"/>
                <w:sz w:val="24"/>
              </w:rPr>
              <w:t>全部环节</w:t>
            </w:r>
            <w:r>
              <w:rPr>
                <w:rFonts w:hint="eastAsia" w:cs="Times New Roman"/>
                <w:bCs/>
                <w:color w:val="auto"/>
                <w:sz w:val="24"/>
                <w:lang w:eastAsia="zh-CN"/>
              </w:rPr>
              <w:t>”</w:t>
            </w:r>
            <w:r>
              <w:rPr>
                <w:rFonts w:hint="default" w:ascii="Times New Roman" w:hAnsi="Times New Roman" w:cs="Times New Roman"/>
                <w:bCs/>
                <w:color w:val="auto"/>
                <w:sz w:val="24"/>
              </w:rPr>
              <w:t>豁免，豁免条件</w:t>
            </w:r>
            <w:r>
              <w:rPr>
                <w:rFonts w:hint="eastAsia" w:cs="Times New Roman"/>
                <w:bCs/>
                <w:color w:val="auto"/>
                <w:sz w:val="24"/>
                <w:lang w:eastAsia="zh-CN"/>
              </w:rPr>
              <w:t>“</w:t>
            </w:r>
            <w:r>
              <w:rPr>
                <w:rFonts w:hint="default" w:ascii="Times New Roman" w:hAnsi="Times New Roman" w:cs="Times New Roman"/>
                <w:bCs/>
                <w:color w:val="auto"/>
                <w:sz w:val="24"/>
              </w:rPr>
              <w:t>混入生活垃圾</w:t>
            </w:r>
            <w:r>
              <w:rPr>
                <w:rFonts w:hint="eastAsia" w:cs="Times New Roman"/>
                <w:bCs/>
                <w:color w:val="auto"/>
                <w:sz w:val="24"/>
                <w:lang w:eastAsia="zh-CN"/>
              </w:rPr>
              <w:t>”</w:t>
            </w:r>
            <w:r>
              <w:rPr>
                <w:rFonts w:hint="default" w:ascii="Times New Roman" w:hAnsi="Times New Roman" w:cs="Times New Roman"/>
                <w:bCs/>
                <w:color w:val="auto"/>
                <w:sz w:val="24"/>
              </w:rPr>
              <w:t>，豁免内容</w:t>
            </w:r>
            <w:r>
              <w:rPr>
                <w:rFonts w:hint="eastAsia" w:cs="Times New Roman"/>
                <w:bCs/>
                <w:color w:val="auto"/>
                <w:sz w:val="24"/>
                <w:lang w:eastAsia="zh-CN"/>
              </w:rPr>
              <w:t>“</w:t>
            </w:r>
            <w:r>
              <w:rPr>
                <w:rFonts w:hint="default" w:ascii="Times New Roman" w:hAnsi="Times New Roman" w:cs="Times New Roman"/>
                <w:bCs/>
                <w:color w:val="auto"/>
                <w:sz w:val="24"/>
              </w:rPr>
              <w:t>全过程不按危险废物管理</w:t>
            </w:r>
            <w:r>
              <w:rPr>
                <w:rFonts w:hint="eastAsia" w:cs="Times New Roman"/>
                <w:bCs/>
                <w:color w:val="auto"/>
                <w:sz w:val="24"/>
                <w:lang w:eastAsia="zh-CN"/>
              </w:rPr>
              <w:t>”</w:t>
            </w:r>
            <w:r>
              <w:rPr>
                <w:rFonts w:hint="default" w:ascii="Times New Roman" w:hAnsi="Times New Roman" w:cs="Times New Roman"/>
                <w:bCs/>
                <w:color w:val="auto"/>
                <w:sz w:val="24"/>
              </w:rPr>
              <w:t>。故全过程可不按危险废物管理，由环卫部门定期清运。</w:t>
            </w:r>
          </w:p>
          <w:p>
            <w:pPr>
              <w:adjustRightInd w:val="0"/>
              <w:snapToGrid w:val="0"/>
              <w:spacing w:line="500" w:lineRule="exact"/>
              <w:ind w:firstLine="480" w:firstLineChars="200"/>
              <w:rPr>
                <w:rFonts w:hint="eastAsia" w:ascii="Times New Roman" w:hAnsi="Times New Roman" w:eastAsia="宋体" w:cs="Times New Roman"/>
                <w:bCs/>
                <w:color w:val="auto"/>
                <w:sz w:val="24"/>
                <w:lang w:eastAsia="zh-CN"/>
              </w:rPr>
            </w:pPr>
            <w:r>
              <w:rPr>
                <w:rFonts w:hint="eastAsia" w:cs="Times New Roman"/>
                <w:bCs/>
                <w:color w:val="auto"/>
                <w:sz w:val="24"/>
                <w:lang w:eastAsia="zh-CN"/>
              </w:rPr>
              <w:t>生活垃圾：</w:t>
            </w:r>
            <w:r>
              <w:rPr>
                <w:rFonts w:hint="eastAsia" w:ascii="Times New Roman" w:hAnsi="Times New Roman" w:eastAsia="宋体" w:cs="Times New Roman"/>
                <w:bCs/>
                <w:color w:val="auto"/>
                <w:sz w:val="24"/>
                <w:lang w:val="en-US" w:eastAsia="zh-CN"/>
              </w:rPr>
              <w:t>生活垃圾按人均产生量为1</w:t>
            </w:r>
            <w:r>
              <w:rPr>
                <w:rFonts w:hint="default" w:ascii="Times New Roman" w:hAnsi="Times New Roman" w:eastAsia="宋体" w:cs="Times New Roman"/>
                <w:bCs/>
                <w:color w:val="auto"/>
                <w:sz w:val="24"/>
                <w:lang w:val="en-US" w:eastAsia="zh-CN"/>
              </w:rPr>
              <w:t>kg/d</w:t>
            </w:r>
            <w:r>
              <w:rPr>
                <w:rFonts w:hint="eastAsia" w:ascii="Times New Roman" w:hAnsi="Times New Roman" w:eastAsia="宋体" w:cs="Times New Roman"/>
                <w:bCs/>
                <w:color w:val="auto"/>
                <w:sz w:val="24"/>
                <w:lang w:val="en-US" w:eastAsia="zh-CN"/>
              </w:rPr>
              <w:t>计算，项目全厂劳动定员30人，则生活垃圾产生量为9</w:t>
            </w:r>
            <w:r>
              <w:rPr>
                <w:rFonts w:hint="default" w:ascii="Times New Roman" w:hAnsi="Times New Roman" w:eastAsia="宋体" w:cs="Times New Roman"/>
                <w:bCs/>
                <w:color w:val="auto"/>
                <w:sz w:val="24"/>
                <w:lang w:val="en-US" w:eastAsia="zh-CN"/>
              </w:rPr>
              <w:t>t/a</w:t>
            </w:r>
            <w:r>
              <w:rPr>
                <w:rFonts w:hint="eastAsia" w:ascii="Times New Roman" w:hAnsi="Times New Roman" w:eastAsia="宋体" w:cs="Times New Roman"/>
                <w:bCs/>
                <w:color w:val="auto"/>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结合生产工艺流程及生产运营过程中的副产物产生情况，根据《固体废物鉴别标准通则》的规定，判断其是否属于固体废物，给出判定依据及结果，见下表。</w:t>
            </w:r>
          </w:p>
          <w:p>
            <w:pPr>
              <w:pStyle w:val="58"/>
              <w:keepNext w:val="0"/>
              <w:keepLines w:val="0"/>
              <w:pageBreakBefore w:val="0"/>
              <w:tabs>
                <w:tab w:val="left" w:pos="3240"/>
              </w:tabs>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表4-</w:t>
            </w:r>
            <w:r>
              <w:rPr>
                <w:rFonts w:hint="default" w:ascii="Times New Roman" w:hAnsi="Times New Roman" w:eastAsia="宋体" w:cs="Times New Roman"/>
                <w:b/>
                <w:color w:val="auto"/>
                <w:sz w:val="21"/>
                <w:szCs w:val="21"/>
                <w:highlight w:val="none"/>
                <w:lang w:val="en-US" w:eastAsia="zh-CN"/>
              </w:rPr>
              <w:t>1</w:t>
            </w: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lang w:val="en-US" w:eastAsia="zh-CN"/>
              </w:rPr>
              <w:t>本</w:t>
            </w:r>
            <w:r>
              <w:rPr>
                <w:rFonts w:hint="default" w:ascii="Times New Roman" w:hAnsi="Times New Roman" w:eastAsia="宋体" w:cs="Times New Roman"/>
                <w:b/>
                <w:color w:val="auto"/>
                <w:sz w:val="21"/>
                <w:szCs w:val="21"/>
                <w:highlight w:val="none"/>
              </w:rPr>
              <w:t>项目固废</w:t>
            </w:r>
            <w:r>
              <w:rPr>
                <w:rFonts w:hint="default" w:ascii="Times New Roman" w:hAnsi="Times New Roman" w:eastAsia="宋体" w:cs="Times New Roman"/>
                <w:b/>
                <w:color w:val="auto"/>
                <w:sz w:val="21"/>
                <w:szCs w:val="21"/>
                <w:highlight w:val="none"/>
                <w:lang w:val="en-US" w:eastAsia="zh-CN"/>
              </w:rPr>
              <w:t>鉴别</w:t>
            </w:r>
            <w:r>
              <w:rPr>
                <w:rFonts w:hint="default" w:ascii="Times New Roman" w:hAnsi="Times New Roman" w:eastAsia="宋体" w:cs="Times New Roman"/>
                <w:b/>
                <w:color w:val="auto"/>
                <w:sz w:val="21"/>
                <w:szCs w:val="21"/>
                <w:highlight w:val="none"/>
              </w:rPr>
              <w:t>情况</w:t>
            </w:r>
            <w:r>
              <w:rPr>
                <w:rFonts w:hint="default" w:ascii="Times New Roman" w:hAnsi="Times New Roman" w:eastAsia="宋体" w:cs="Times New Roman"/>
                <w:b/>
                <w:color w:val="auto"/>
                <w:sz w:val="21"/>
                <w:szCs w:val="21"/>
                <w:highlight w:val="none"/>
                <w:lang w:val="en-US" w:eastAsia="zh-CN"/>
              </w:rPr>
              <w:t>汇总表</w:t>
            </w:r>
          </w:p>
          <w:tbl>
            <w:tblPr>
              <w:tblStyle w:val="27"/>
              <w:tblW w:w="490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58"/>
              <w:gridCol w:w="1410"/>
              <w:gridCol w:w="1153"/>
              <w:gridCol w:w="610"/>
              <w:gridCol w:w="1480"/>
              <w:gridCol w:w="1028"/>
              <w:gridCol w:w="931"/>
              <w:gridCol w:w="695"/>
              <w:gridCol w:w="9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64"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812"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副产物</w:t>
                  </w:r>
                  <w:r>
                    <w:rPr>
                      <w:rFonts w:hint="default" w:ascii="Times New Roman" w:hAnsi="Times New Roman" w:cs="Times New Roman"/>
                      <w:b/>
                      <w:bCs/>
                      <w:color w:val="auto"/>
                      <w:sz w:val="21"/>
                      <w:szCs w:val="21"/>
                    </w:rPr>
                    <w:t>名称</w:t>
                  </w:r>
                </w:p>
              </w:tc>
              <w:tc>
                <w:tcPr>
                  <w:tcW w:w="664"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产生</w:t>
                  </w:r>
                  <w:r>
                    <w:rPr>
                      <w:rFonts w:hint="default" w:ascii="Times New Roman" w:hAnsi="Times New Roman" w:cs="Times New Roman"/>
                      <w:b/>
                      <w:bCs/>
                      <w:color w:val="auto"/>
                      <w:sz w:val="21"/>
                      <w:szCs w:val="21"/>
                      <w:lang w:val="en-US" w:eastAsia="zh-CN"/>
                    </w:rPr>
                    <w:t>工序</w:t>
                  </w:r>
                </w:p>
              </w:tc>
              <w:tc>
                <w:tcPr>
                  <w:tcW w:w="351"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形态</w:t>
                  </w:r>
                </w:p>
              </w:tc>
              <w:tc>
                <w:tcPr>
                  <w:tcW w:w="852"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主要成分</w:t>
                  </w:r>
                </w:p>
              </w:tc>
              <w:tc>
                <w:tcPr>
                  <w:tcW w:w="592"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预测</w:t>
                  </w:r>
                  <w:r>
                    <w:rPr>
                      <w:rFonts w:hint="default" w:ascii="Times New Roman" w:hAnsi="Times New Roman" w:cs="Times New Roman"/>
                      <w:b/>
                      <w:bCs/>
                      <w:color w:val="auto"/>
                      <w:sz w:val="21"/>
                      <w:szCs w:val="21"/>
                    </w:rPr>
                    <w:t>产生量（t/a）</w:t>
                  </w:r>
                </w:p>
              </w:tc>
              <w:tc>
                <w:tcPr>
                  <w:tcW w:w="1463" w:type="pct"/>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种类判断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64"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p>
              </w:tc>
              <w:tc>
                <w:tcPr>
                  <w:tcW w:w="812"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lang w:val="en-US" w:eastAsia="zh-CN"/>
                    </w:rPr>
                  </w:pPr>
                </w:p>
              </w:tc>
              <w:tc>
                <w:tcPr>
                  <w:tcW w:w="664"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p>
              </w:tc>
              <w:tc>
                <w:tcPr>
                  <w:tcW w:w="351"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p>
              </w:tc>
              <w:tc>
                <w:tcPr>
                  <w:tcW w:w="852"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p>
              </w:tc>
              <w:tc>
                <w:tcPr>
                  <w:tcW w:w="592"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b/>
                      <w:bCs/>
                      <w:color w:val="auto"/>
                      <w:sz w:val="21"/>
                      <w:szCs w:val="21"/>
                      <w:lang w:val="en-US" w:eastAsia="zh-CN"/>
                    </w:rPr>
                  </w:pPr>
                </w:p>
              </w:tc>
              <w:tc>
                <w:tcPr>
                  <w:tcW w:w="53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固体废物</w:t>
                  </w:r>
                </w:p>
              </w:tc>
              <w:tc>
                <w:tcPr>
                  <w:tcW w:w="40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副产品</w:t>
                  </w:r>
                </w:p>
              </w:tc>
              <w:tc>
                <w:tcPr>
                  <w:tcW w:w="52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判定依据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64" w:type="pct"/>
                  <w:tcBorders>
                    <w:tl2br w:val="nil"/>
                    <w:tr2bl w:val="nil"/>
                  </w:tcBorders>
                  <w:noWrap w:val="0"/>
                  <w:vAlign w:val="center"/>
                </w:tcPr>
                <w:p>
                  <w:pPr>
                    <w:pStyle w:val="6"/>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12"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边角料</w:t>
                  </w:r>
                </w:p>
              </w:tc>
              <w:tc>
                <w:tcPr>
                  <w:tcW w:w="664"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裁切</w:t>
                  </w:r>
                </w:p>
              </w:tc>
              <w:tc>
                <w:tcPr>
                  <w:tcW w:w="35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固态</w:t>
                  </w:r>
                </w:p>
              </w:tc>
              <w:tc>
                <w:tcPr>
                  <w:tcW w:w="85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PET、</w:t>
                  </w:r>
                  <w:r>
                    <w:rPr>
                      <w:rFonts w:hint="default" w:ascii="Times New Roman" w:hAnsi="Times New Roman" w:cs="Times New Roman"/>
                      <w:color w:val="auto"/>
                      <w:sz w:val="21"/>
                      <w:szCs w:val="21"/>
                      <w:lang w:val="en-US" w:eastAsia="zh-CN"/>
                    </w:rPr>
                    <w:t>泡沫</w:t>
                  </w:r>
                </w:p>
              </w:tc>
              <w:tc>
                <w:tcPr>
                  <w:tcW w:w="59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bCs/>
                      <w:color w:val="auto"/>
                      <w:kern w:val="2"/>
                      <w:sz w:val="21"/>
                      <w:szCs w:val="21"/>
                      <w:lang w:val="en-US" w:eastAsia="zh-CN" w:bidi="ar-SA"/>
                    </w:rPr>
                    <w:t>11</w:t>
                  </w:r>
                </w:p>
              </w:tc>
              <w:tc>
                <w:tcPr>
                  <w:tcW w:w="53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w:t>
                  </w:r>
                </w:p>
              </w:tc>
              <w:tc>
                <w:tcPr>
                  <w:tcW w:w="400"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526"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《固体废物鉴别标准通则》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64" w:type="pct"/>
                  <w:tcBorders>
                    <w:tl2br w:val="nil"/>
                    <w:tr2bl w:val="nil"/>
                  </w:tcBorders>
                  <w:noWrap w:val="0"/>
                  <w:vAlign w:val="center"/>
                </w:tcPr>
                <w:p>
                  <w:pPr>
                    <w:pStyle w:val="6"/>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12"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次品</w:t>
                  </w:r>
                </w:p>
              </w:tc>
              <w:tc>
                <w:tcPr>
                  <w:tcW w:w="664" w:type="pct"/>
                  <w:tcBorders>
                    <w:tl2br w:val="nil"/>
                    <w:tr2bl w:val="nil"/>
                  </w:tcBorders>
                  <w:noWrap w:val="0"/>
                  <w:vAlign w:val="center"/>
                </w:tcPr>
                <w:p>
                  <w:pPr>
                    <w:pStyle w:val="6"/>
                    <w:adjustRightInd w:val="0"/>
                    <w:snapToGrid w:val="0"/>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检验</w:t>
                  </w:r>
                </w:p>
              </w:tc>
              <w:tc>
                <w:tcPr>
                  <w:tcW w:w="351"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固态</w:t>
                  </w:r>
                </w:p>
              </w:tc>
              <w:tc>
                <w:tcPr>
                  <w:tcW w:w="852"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2"/>
                      <w:sz w:val="21"/>
                      <w:szCs w:val="21"/>
                      <w:lang w:val="en-US" w:eastAsia="zh-CN" w:bidi="ar-SA"/>
                    </w:rPr>
                    <w:t>PET、</w:t>
                  </w:r>
                  <w:r>
                    <w:rPr>
                      <w:rFonts w:hint="default" w:ascii="Times New Roman" w:hAnsi="Times New Roman" w:cs="Times New Roman"/>
                      <w:color w:val="auto"/>
                      <w:sz w:val="21"/>
                      <w:szCs w:val="21"/>
                      <w:lang w:val="en-US" w:eastAsia="zh-CN"/>
                    </w:rPr>
                    <w:t>泡沫</w:t>
                  </w:r>
                </w:p>
              </w:tc>
              <w:tc>
                <w:tcPr>
                  <w:tcW w:w="592" w:type="pct"/>
                  <w:tcBorders>
                    <w:tl2br w:val="nil"/>
                    <w:tr2bl w:val="nil"/>
                  </w:tcBorders>
                  <w:noWrap w:val="0"/>
                  <w:vAlign w:val="center"/>
                </w:tcPr>
                <w:p>
                  <w:pPr>
                    <w:adjustRightInd w:val="0"/>
                    <w:snapToGrid w:val="0"/>
                    <w:jc w:val="center"/>
                    <w:rPr>
                      <w:rFonts w:hint="default" w:cs="Times New Roman"/>
                      <w:bCs/>
                      <w:color w:val="auto"/>
                      <w:kern w:val="2"/>
                      <w:sz w:val="21"/>
                      <w:szCs w:val="21"/>
                      <w:lang w:val="en-US" w:eastAsia="zh-CN" w:bidi="ar-SA"/>
                    </w:rPr>
                  </w:pPr>
                  <w:r>
                    <w:rPr>
                      <w:rFonts w:hint="eastAsia" w:cs="Times New Roman"/>
                      <w:bCs/>
                      <w:color w:val="auto"/>
                      <w:kern w:val="2"/>
                      <w:sz w:val="21"/>
                      <w:szCs w:val="21"/>
                      <w:lang w:val="en-US" w:eastAsia="zh-CN" w:bidi="ar-SA"/>
                    </w:rPr>
                    <w:t>5.5</w:t>
                  </w:r>
                </w:p>
              </w:tc>
              <w:tc>
                <w:tcPr>
                  <w:tcW w:w="53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p>
              </w:tc>
              <w:tc>
                <w:tcPr>
                  <w:tcW w:w="400"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26"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64" w:type="pct"/>
                  <w:tcBorders>
                    <w:tl2br w:val="nil"/>
                    <w:tr2bl w:val="nil"/>
                  </w:tcBorders>
                  <w:noWrap w:val="0"/>
                  <w:vAlign w:val="center"/>
                </w:tcPr>
                <w:p>
                  <w:pPr>
                    <w:pStyle w:val="6"/>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p>
              </w:tc>
              <w:tc>
                <w:tcPr>
                  <w:tcW w:w="812" w:type="pct"/>
                  <w:tcBorders>
                    <w:tl2br w:val="nil"/>
                    <w:tr2bl w:val="nil"/>
                  </w:tcBorders>
                  <w:noWrap w:val="0"/>
                  <w:vAlign w:val="center"/>
                </w:tcPr>
                <w:p>
                  <w:pPr>
                    <w:pStyle w:val="6"/>
                    <w:adjustRightInd w:val="0"/>
                    <w:snapToGrid w:val="0"/>
                    <w:ind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w:t>
                  </w:r>
                  <w:r>
                    <w:rPr>
                      <w:rFonts w:hint="eastAsia" w:ascii="Times New Roman" w:hAnsi="Times New Roman" w:cs="Times New Roman"/>
                      <w:color w:val="auto"/>
                      <w:sz w:val="21"/>
                      <w:szCs w:val="21"/>
                      <w:lang w:eastAsia="zh-CN"/>
                    </w:rPr>
                    <w:t>包装材料</w:t>
                  </w:r>
                </w:p>
              </w:tc>
              <w:tc>
                <w:tcPr>
                  <w:tcW w:w="664"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固态原料包装</w:t>
                  </w:r>
                </w:p>
              </w:tc>
              <w:tc>
                <w:tcPr>
                  <w:tcW w:w="351"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固态</w:t>
                  </w:r>
                </w:p>
              </w:tc>
              <w:tc>
                <w:tcPr>
                  <w:tcW w:w="852"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塑料</w:t>
                  </w:r>
                </w:p>
              </w:tc>
              <w:tc>
                <w:tcPr>
                  <w:tcW w:w="59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0.5</w:t>
                  </w:r>
                </w:p>
              </w:tc>
              <w:tc>
                <w:tcPr>
                  <w:tcW w:w="53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
                      <w:bCs/>
                      <w:color w:val="auto"/>
                      <w:sz w:val="21"/>
                      <w:szCs w:val="21"/>
                    </w:rPr>
                    <w:t>√</w:t>
                  </w:r>
                </w:p>
              </w:tc>
              <w:tc>
                <w:tcPr>
                  <w:tcW w:w="400"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526"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58" w:type="dxa"/>
                  <w:tcBorders>
                    <w:tl2br w:val="nil"/>
                    <w:tr2bl w:val="nil"/>
                  </w:tcBorders>
                  <w:noWrap w:val="0"/>
                  <w:vAlign w:val="center"/>
                </w:tcPr>
                <w:p>
                  <w:pPr>
                    <w:pStyle w:val="6"/>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812"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b w:val="0"/>
                      <w:bCs/>
                      <w:kern w:val="2"/>
                      <w:sz w:val="24"/>
                      <w:szCs w:val="24"/>
                      <w:lang w:val="en-US" w:eastAsia="zh-CN" w:bidi="ar-SA"/>
                    </w:rPr>
                    <w:t>清洗废液</w:t>
                  </w:r>
                </w:p>
              </w:tc>
              <w:tc>
                <w:tcPr>
                  <w:tcW w:w="664" w:type="pct"/>
                  <w:tcBorders>
                    <w:tl2br w:val="nil"/>
                    <w:tr2bl w:val="nil"/>
                  </w:tcBorders>
                  <w:noWrap w:val="0"/>
                  <w:vAlign w:val="center"/>
                </w:tcPr>
                <w:p>
                  <w:pPr>
                    <w:pStyle w:val="6"/>
                    <w:adjustRightInd w:val="0"/>
                    <w:snapToGrid w:val="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喷头清洗</w:t>
                  </w:r>
                </w:p>
              </w:tc>
              <w:tc>
                <w:tcPr>
                  <w:tcW w:w="351"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液态</w:t>
                  </w:r>
                </w:p>
              </w:tc>
              <w:tc>
                <w:tcPr>
                  <w:tcW w:w="852" w:type="pct"/>
                  <w:tcBorders>
                    <w:tl2br w:val="nil"/>
                    <w:tr2bl w:val="nil"/>
                  </w:tcBorders>
                  <w:noWrap w:val="0"/>
                  <w:vAlign w:val="center"/>
                </w:tcPr>
                <w:p>
                  <w:pPr>
                    <w:pStyle w:val="6"/>
                    <w:adjustRightInd w:val="0"/>
                    <w:snapToGrid w:val="0"/>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kern w:val="0"/>
                      <w:sz w:val="21"/>
                      <w:szCs w:val="21"/>
                      <w:highlight w:val="none"/>
                      <w:lang w:val="en-US" w:eastAsia="zh-CN" w:bidi="en-US"/>
                    </w:rPr>
                    <w:t>水、石蜡等</w:t>
                  </w:r>
                </w:p>
              </w:tc>
              <w:tc>
                <w:tcPr>
                  <w:tcW w:w="592" w:type="pct"/>
                  <w:tcBorders>
                    <w:tl2br w:val="nil"/>
                    <w:tr2bl w:val="nil"/>
                  </w:tcBorders>
                  <w:noWrap w:val="0"/>
                  <w:vAlign w:val="center"/>
                </w:tcPr>
                <w:p>
                  <w:pPr>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0.12</w:t>
                  </w:r>
                </w:p>
              </w:tc>
              <w:tc>
                <w:tcPr>
                  <w:tcW w:w="53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p>
              </w:tc>
              <w:tc>
                <w:tcPr>
                  <w:tcW w:w="40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526"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58" w:type="dxa"/>
                  <w:tcBorders>
                    <w:tl2br w:val="nil"/>
                    <w:tr2bl w:val="nil"/>
                  </w:tcBorders>
                  <w:noWrap w:val="0"/>
                  <w:vAlign w:val="center"/>
                </w:tcPr>
                <w:p>
                  <w:pPr>
                    <w:pStyle w:val="6"/>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812"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废液压油</w:t>
                  </w:r>
                </w:p>
              </w:tc>
              <w:tc>
                <w:tcPr>
                  <w:tcW w:w="664"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设备保养</w:t>
                  </w:r>
                </w:p>
              </w:tc>
              <w:tc>
                <w:tcPr>
                  <w:tcW w:w="351"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液态</w:t>
                  </w:r>
                </w:p>
              </w:tc>
              <w:tc>
                <w:tcPr>
                  <w:tcW w:w="852"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矿物</w:t>
                  </w:r>
                  <w:r>
                    <w:rPr>
                      <w:rFonts w:hint="default" w:ascii="Times New Roman" w:hAnsi="Times New Roman" w:eastAsia="宋体" w:cs="Times New Roman"/>
                      <w:color w:val="auto"/>
                      <w:sz w:val="21"/>
                      <w:szCs w:val="21"/>
                    </w:rPr>
                    <w:t>油</w:t>
                  </w:r>
                </w:p>
              </w:tc>
              <w:tc>
                <w:tcPr>
                  <w:tcW w:w="59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3t/3a</w:t>
                  </w:r>
                </w:p>
              </w:tc>
              <w:tc>
                <w:tcPr>
                  <w:tcW w:w="53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
                      <w:bCs/>
                      <w:color w:val="auto"/>
                      <w:sz w:val="21"/>
                      <w:szCs w:val="21"/>
                    </w:rPr>
                    <w:t>√</w:t>
                  </w:r>
                </w:p>
              </w:tc>
              <w:tc>
                <w:tcPr>
                  <w:tcW w:w="40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526"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58"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cs="Times New Roman"/>
                      <w:color w:val="auto"/>
                      <w:kern w:val="2"/>
                      <w:sz w:val="21"/>
                      <w:szCs w:val="21"/>
                      <w:lang w:val="en-US" w:eastAsia="zh-CN" w:bidi="ar-SA"/>
                    </w:rPr>
                    <w:t>6</w:t>
                  </w:r>
                </w:p>
              </w:tc>
              <w:tc>
                <w:tcPr>
                  <w:tcW w:w="812"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废活性炭</w:t>
                  </w:r>
                </w:p>
              </w:tc>
              <w:tc>
                <w:tcPr>
                  <w:tcW w:w="664" w:type="pct"/>
                  <w:tcBorders>
                    <w:tl2br w:val="nil"/>
                    <w:tr2bl w:val="nil"/>
                  </w:tcBorders>
                  <w:noWrap w:val="0"/>
                  <w:vAlign w:val="center"/>
                </w:tcPr>
                <w:p>
                  <w:pPr>
                    <w:pStyle w:val="6"/>
                    <w:adjustRightInd w:val="0"/>
                    <w:snapToGrid w:val="0"/>
                    <w:ind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废气处理</w:t>
                  </w:r>
                </w:p>
              </w:tc>
              <w:tc>
                <w:tcPr>
                  <w:tcW w:w="351" w:type="pct"/>
                  <w:tcBorders>
                    <w:tl2br w:val="nil"/>
                    <w:tr2bl w:val="nil"/>
                  </w:tcBorders>
                  <w:noWrap w:val="0"/>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固态</w:t>
                  </w:r>
                </w:p>
              </w:tc>
              <w:tc>
                <w:tcPr>
                  <w:tcW w:w="852" w:type="pct"/>
                  <w:tcBorders>
                    <w:tl2br w:val="nil"/>
                    <w:tr2bl w:val="nil"/>
                  </w:tcBorders>
                  <w:noWrap w:val="0"/>
                  <w:vAlign w:val="center"/>
                </w:tcPr>
                <w:p>
                  <w:pPr>
                    <w:pStyle w:val="6"/>
                    <w:adjustRightInd w:val="0"/>
                    <w:snapToGrid w:val="0"/>
                    <w:ind w:firstLine="0" w:firstLineChars="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废活性炭</w:t>
                  </w:r>
                </w:p>
              </w:tc>
              <w:tc>
                <w:tcPr>
                  <w:tcW w:w="592" w:type="pct"/>
                  <w:tcBorders>
                    <w:tl2br w:val="nil"/>
                    <w:tr2bl w:val="nil"/>
                  </w:tcBorders>
                  <w:noWrap w:val="0"/>
                  <w:vAlign w:val="center"/>
                </w:tcPr>
                <w:p>
                  <w:pPr>
                    <w:adjustRightInd w:val="0"/>
                    <w:snapToGrid w:val="0"/>
                    <w:jc w:val="center"/>
                    <w:rPr>
                      <w:rFonts w:hint="default" w:cs="Times New Roman"/>
                      <w:color w:val="auto"/>
                      <w:kern w:val="2"/>
                      <w:sz w:val="21"/>
                      <w:szCs w:val="21"/>
                      <w:lang w:val="en-US" w:eastAsia="zh-CN" w:bidi="ar-SA"/>
                    </w:rPr>
                  </w:pPr>
                  <w:r>
                    <w:rPr>
                      <w:rFonts w:hint="eastAsia" w:cs="Times New Roman"/>
                      <w:bCs/>
                      <w:color w:val="auto"/>
                      <w:sz w:val="21"/>
                      <w:szCs w:val="21"/>
                      <w:lang w:val="en-US" w:eastAsia="zh-CN"/>
                    </w:rPr>
                    <w:t>6.711</w:t>
                  </w:r>
                </w:p>
              </w:tc>
              <w:tc>
                <w:tcPr>
                  <w:tcW w:w="53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p>
              </w:tc>
              <w:tc>
                <w:tcPr>
                  <w:tcW w:w="40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26"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64"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812" w:type="pct"/>
                  <w:vAlign w:val="center"/>
                </w:tcPr>
                <w:p>
                  <w:pPr>
                    <w:pStyle w:val="6"/>
                    <w:adjustRightInd w:val="0"/>
                    <w:snapToGrid w:val="0"/>
                    <w:ind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含油抹布手套</w:t>
                  </w:r>
                </w:p>
              </w:tc>
              <w:tc>
                <w:tcPr>
                  <w:tcW w:w="664" w:type="pct"/>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设备保养</w:t>
                  </w:r>
                </w:p>
              </w:tc>
              <w:tc>
                <w:tcPr>
                  <w:tcW w:w="351" w:type="pct"/>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固态</w:t>
                  </w:r>
                </w:p>
              </w:tc>
              <w:tc>
                <w:tcPr>
                  <w:tcW w:w="852" w:type="pct"/>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油、手套、抹布</w:t>
                  </w:r>
                </w:p>
              </w:tc>
              <w:tc>
                <w:tcPr>
                  <w:tcW w:w="592"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0.05</w:t>
                  </w:r>
                </w:p>
              </w:tc>
              <w:tc>
                <w:tcPr>
                  <w:tcW w:w="536"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
                      <w:bCs/>
                      <w:color w:val="auto"/>
                      <w:sz w:val="21"/>
                      <w:szCs w:val="21"/>
                    </w:rPr>
                    <w:t>√</w:t>
                  </w:r>
                </w:p>
              </w:tc>
              <w:tc>
                <w:tcPr>
                  <w:tcW w:w="400"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526" w:type="pct"/>
                  <w:vMerge w:val="continue"/>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64" w:type="pct"/>
                  <w:vAlign w:val="center"/>
                </w:tcPr>
                <w:p>
                  <w:pPr>
                    <w:adjustRightInd w:val="0"/>
                    <w:snapToGrid w:val="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c>
                <w:tcPr>
                  <w:tcW w:w="812" w:type="pct"/>
                  <w:vAlign w:val="center"/>
                </w:tcPr>
                <w:p>
                  <w:pPr>
                    <w:pStyle w:val="6"/>
                    <w:adjustRightInd w:val="0"/>
                    <w:snapToGrid w:val="0"/>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生活垃圾</w:t>
                  </w:r>
                </w:p>
              </w:tc>
              <w:tc>
                <w:tcPr>
                  <w:tcW w:w="664" w:type="pct"/>
                  <w:vAlign w:val="center"/>
                </w:tcPr>
                <w:p>
                  <w:pPr>
                    <w:widowControl/>
                    <w:jc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color w:val="auto"/>
                      <w:kern w:val="0"/>
                    </w:rPr>
                    <w:t>日常办公</w:t>
                  </w:r>
                </w:p>
              </w:tc>
              <w:tc>
                <w:tcPr>
                  <w:tcW w:w="351" w:type="pct"/>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rPr>
                    <w:t>固态</w:t>
                  </w:r>
                </w:p>
              </w:tc>
              <w:tc>
                <w:tcPr>
                  <w:tcW w:w="852" w:type="pct"/>
                  <w:vAlign w:val="center"/>
                </w:tcPr>
                <w:p>
                  <w:pPr>
                    <w:widowControl/>
                    <w:jc w:val="center"/>
                    <w:rPr>
                      <w:rFonts w:hint="default" w:ascii="Times New Roman" w:hAnsi="Times New Roman" w:cs="Times New Roman"/>
                      <w:color w:val="auto"/>
                      <w:sz w:val="21"/>
                      <w:szCs w:val="21"/>
                    </w:rPr>
                  </w:pPr>
                  <w:r>
                    <w:rPr>
                      <w:rFonts w:hint="eastAsia" w:ascii="Times New Roman" w:hAnsi="Times New Roman" w:cs="Times New Roman"/>
                      <w:color w:val="auto"/>
                      <w:szCs w:val="21"/>
                      <w:lang w:val="en-US" w:eastAsia="zh-CN"/>
                    </w:rPr>
                    <w:t>纸张等</w:t>
                  </w:r>
                </w:p>
              </w:tc>
              <w:tc>
                <w:tcPr>
                  <w:tcW w:w="592" w:type="pct"/>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9</w:t>
                  </w:r>
                </w:p>
              </w:tc>
              <w:tc>
                <w:tcPr>
                  <w:tcW w:w="536"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p>
              </w:tc>
              <w:tc>
                <w:tcPr>
                  <w:tcW w:w="400"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26" w:type="pct"/>
                  <w:vMerge w:val="continue"/>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p>
              </w:tc>
            </w:tr>
          </w:tbl>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按照《建设项目危险废物环境影响评价指南》（环保部公告【2017】43号）要求，本项目营运期产生的固体废物的名称、类别、属性和数量等情况见</w:t>
            </w:r>
            <w:r>
              <w:rPr>
                <w:rFonts w:hint="default" w:ascii="Times New Roman" w:hAnsi="Times New Roman" w:cs="Times New Roman"/>
                <w:color w:val="auto"/>
                <w:sz w:val="24"/>
                <w:lang w:val="en-US" w:eastAsia="zh-CN"/>
              </w:rPr>
              <w:t>下</w:t>
            </w:r>
            <w:r>
              <w:rPr>
                <w:rFonts w:hint="default" w:ascii="Times New Roman" w:hAnsi="Times New Roman" w:cs="Times New Roman"/>
                <w:color w:val="auto"/>
                <w:sz w:val="24"/>
              </w:rPr>
              <w:t>表。</w:t>
            </w:r>
          </w:p>
          <w:p>
            <w:pPr>
              <w:pStyle w:val="58"/>
              <w:keepNext w:val="0"/>
              <w:keepLines w:val="0"/>
              <w:pageBreakBefore w:val="0"/>
              <w:widowControl w:val="0"/>
              <w:tabs>
                <w:tab w:val="left" w:pos="3240"/>
              </w:tabs>
              <w:kinsoku/>
              <w:wordWrap/>
              <w:overflowPunct/>
              <w:topLinePunct w:val="0"/>
              <w:autoSpaceDE/>
              <w:autoSpaceDN/>
              <w:bidi w:val="0"/>
              <w:adjustRightInd w:val="0"/>
              <w:snapToGrid w:val="0"/>
              <w:spacing w:line="500" w:lineRule="atLeast"/>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表4-</w:t>
            </w:r>
            <w:r>
              <w:rPr>
                <w:rFonts w:hint="eastAsia"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lang w:val="en-US" w:eastAsia="zh-CN"/>
              </w:rPr>
              <w:t>本项目</w:t>
            </w:r>
            <w:r>
              <w:rPr>
                <w:rFonts w:hint="eastAsia" w:ascii="Times New Roman" w:hAnsi="Times New Roman" w:eastAsia="宋体" w:cs="Times New Roman"/>
                <w:b/>
                <w:color w:val="auto"/>
                <w:sz w:val="21"/>
                <w:szCs w:val="21"/>
                <w:highlight w:val="none"/>
                <w:lang w:val="en-US" w:eastAsia="zh-CN"/>
              </w:rPr>
              <w:t>建成后全厂</w:t>
            </w:r>
            <w:r>
              <w:rPr>
                <w:rFonts w:hint="default" w:ascii="Times New Roman" w:hAnsi="Times New Roman" w:eastAsia="宋体" w:cs="Times New Roman"/>
                <w:b/>
                <w:color w:val="auto"/>
                <w:sz w:val="21"/>
                <w:szCs w:val="21"/>
                <w:highlight w:val="none"/>
                <w:lang w:val="en-US" w:eastAsia="zh-CN"/>
              </w:rPr>
              <w:t>固废产生情况</w:t>
            </w:r>
          </w:p>
          <w:tbl>
            <w:tblPr>
              <w:tblStyle w:val="27"/>
              <w:tblW w:w="495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351"/>
              <w:gridCol w:w="983"/>
              <w:gridCol w:w="627"/>
              <w:gridCol w:w="858"/>
              <w:gridCol w:w="560"/>
              <w:gridCol w:w="925"/>
              <w:gridCol w:w="1139"/>
              <w:gridCol w:w="588"/>
              <w:gridCol w:w="721"/>
              <w:gridCol w:w="1181"/>
              <w:gridCol w:w="8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29" w:hRule="atLeast"/>
                <w:jc w:val="center"/>
              </w:trPr>
              <w:tc>
                <w:tcPr>
                  <w:tcW w:w="200"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560"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固废名称</w:t>
                  </w:r>
                </w:p>
              </w:tc>
              <w:tc>
                <w:tcPr>
                  <w:tcW w:w="357" w:type="pct"/>
                  <w:tcBorders>
                    <w:bottom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属性</w:t>
                  </w:r>
                </w:p>
              </w:tc>
              <w:tc>
                <w:tcPr>
                  <w:tcW w:w="489"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产生来源</w:t>
                  </w:r>
                </w:p>
              </w:tc>
              <w:tc>
                <w:tcPr>
                  <w:tcW w:w="319"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形态</w:t>
                  </w:r>
                </w:p>
              </w:tc>
              <w:tc>
                <w:tcPr>
                  <w:tcW w:w="527"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主要成分</w:t>
                  </w:r>
                </w:p>
              </w:tc>
              <w:tc>
                <w:tcPr>
                  <w:tcW w:w="649"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危险特性鉴别方法</w:t>
                  </w:r>
                </w:p>
              </w:tc>
              <w:tc>
                <w:tcPr>
                  <w:tcW w:w="335"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废物特性</w:t>
                  </w:r>
                </w:p>
              </w:tc>
              <w:tc>
                <w:tcPr>
                  <w:tcW w:w="411"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废物类别</w:t>
                  </w:r>
                </w:p>
              </w:tc>
              <w:tc>
                <w:tcPr>
                  <w:tcW w:w="673"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废物代码</w:t>
                  </w:r>
                </w:p>
              </w:tc>
              <w:tc>
                <w:tcPr>
                  <w:tcW w:w="473"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估算产生量（t/a）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560" w:type="pct"/>
                  <w:vAlign w:val="center"/>
                </w:tcPr>
                <w:p>
                  <w:pPr>
                    <w:pStyle w:val="6"/>
                    <w:adjustRightInd w:val="0"/>
                    <w:snapToGrid w:val="0"/>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边角料</w:t>
                  </w:r>
                </w:p>
              </w:tc>
              <w:tc>
                <w:tcPr>
                  <w:tcW w:w="357" w:type="pct"/>
                  <w:vMerge w:val="restart"/>
                  <w:tcBorders>
                    <w:top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一般固废</w:t>
                  </w:r>
                </w:p>
              </w:tc>
              <w:tc>
                <w:tcPr>
                  <w:tcW w:w="489"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 w:val="21"/>
                      <w:szCs w:val="21"/>
                      <w:highlight w:val="none"/>
                      <w:lang w:val="en-US" w:eastAsia="zh-CN"/>
                    </w:rPr>
                    <w:t>裁切</w:t>
                  </w:r>
                </w:p>
              </w:tc>
              <w:tc>
                <w:tcPr>
                  <w:tcW w:w="319" w:type="pct"/>
                  <w:vAlign w:val="center"/>
                </w:tcPr>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 w:val="21"/>
                      <w:szCs w:val="21"/>
                    </w:rPr>
                    <w:t>固态</w:t>
                  </w:r>
                </w:p>
              </w:tc>
              <w:tc>
                <w:tcPr>
                  <w:tcW w:w="527" w:type="pct"/>
                  <w:vAlign w:val="center"/>
                </w:tcPr>
                <w:p>
                  <w:pPr>
                    <w:adjustRightInd w:val="0"/>
                    <w:snapToGrid w:val="0"/>
                    <w:jc w:val="center"/>
                    <w:rPr>
                      <w:rFonts w:hint="default" w:ascii="Times New Roman" w:hAnsi="Times New Roman" w:eastAsia="宋体" w:cs="Times New Roman"/>
                      <w:color w:val="auto"/>
                      <w:kern w:val="2"/>
                      <w:sz w:val="21"/>
                      <w:szCs w:val="20"/>
                      <w:lang w:val="en-US" w:eastAsia="zh-CN" w:bidi="ar-SA"/>
                    </w:rPr>
                  </w:pPr>
                  <w:r>
                    <w:rPr>
                      <w:rFonts w:hint="eastAsia" w:cs="Times New Roman"/>
                      <w:color w:val="auto"/>
                      <w:kern w:val="2"/>
                      <w:sz w:val="21"/>
                      <w:szCs w:val="21"/>
                      <w:lang w:val="en-US" w:eastAsia="zh-CN" w:bidi="ar-SA"/>
                    </w:rPr>
                    <w:t>PET、</w:t>
                  </w:r>
                  <w:r>
                    <w:rPr>
                      <w:rFonts w:hint="eastAsia" w:ascii="Times New Roman" w:hAnsi="Times New Roman" w:cs="Times New Roman"/>
                      <w:color w:val="auto"/>
                      <w:sz w:val="21"/>
                      <w:szCs w:val="21"/>
                      <w:lang w:val="en-US" w:eastAsia="zh-CN"/>
                    </w:rPr>
                    <w:t>泡沫</w:t>
                  </w:r>
                </w:p>
              </w:tc>
              <w:tc>
                <w:tcPr>
                  <w:tcW w:w="649" w:type="pct"/>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一般固体废物分类与代码(GBT39198</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-2020)</w:t>
                  </w:r>
                </w:p>
              </w:tc>
              <w:tc>
                <w:tcPr>
                  <w:tcW w:w="335"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11"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其他废物</w:t>
                  </w:r>
                </w:p>
              </w:tc>
              <w:tc>
                <w:tcPr>
                  <w:tcW w:w="673"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w:t>
                  </w:r>
                </w:p>
              </w:tc>
              <w:tc>
                <w:tcPr>
                  <w:tcW w:w="830" w:type="dxa"/>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cs="Times New Roman"/>
                      <w:bCs/>
                      <w:color w:val="auto"/>
                      <w:kern w:val="2"/>
                      <w:sz w:val="21"/>
                      <w:szCs w:val="21"/>
                      <w:lang w:val="en-US" w:eastAsia="zh-CN" w:bidi="ar-SA"/>
                    </w:rPr>
                    <w:t>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560" w:type="pct"/>
                  <w:vAlign w:val="center"/>
                </w:tcPr>
                <w:p>
                  <w:pPr>
                    <w:pStyle w:val="6"/>
                    <w:adjustRightInd w:val="0"/>
                    <w:snapToGrid w:val="0"/>
                    <w:ind w:firstLine="0" w:firstLineChars="0"/>
                    <w:jc w:val="center"/>
                    <w:rPr>
                      <w:rFonts w:hint="default" w:ascii="Times New Roman" w:hAnsi="Times New Roman" w:cs="Times New Roman"/>
                      <w:color w:val="auto"/>
                      <w:szCs w:val="21"/>
                    </w:rPr>
                  </w:pPr>
                  <w:r>
                    <w:rPr>
                      <w:rFonts w:hint="eastAsia" w:ascii="Times New Roman" w:hAnsi="Times New Roman" w:eastAsia="宋体" w:cs="Times New Roman"/>
                      <w:color w:val="auto"/>
                      <w:szCs w:val="21"/>
                      <w:lang w:val="en-US" w:eastAsia="zh-CN"/>
                    </w:rPr>
                    <w:t>次品</w:t>
                  </w:r>
                </w:p>
              </w:tc>
              <w:tc>
                <w:tcPr>
                  <w:tcW w:w="357" w:type="pct"/>
                  <w:vMerge w:val="continue"/>
                  <w:vAlign w:val="center"/>
                </w:tcPr>
                <w:p>
                  <w:pPr>
                    <w:adjustRightInd w:val="0"/>
                    <w:snapToGrid w:val="0"/>
                    <w:jc w:val="center"/>
                    <w:rPr>
                      <w:rFonts w:hint="default" w:ascii="Times New Roman" w:hAnsi="Times New Roman" w:cs="Times New Roman"/>
                      <w:color w:val="auto"/>
                      <w:szCs w:val="21"/>
                    </w:rPr>
                  </w:pPr>
                </w:p>
              </w:tc>
              <w:tc>
                <w:tcPr>
                  <w:tcW w:w="489" w:type="pct"/>
                  <w:vAlign w:val="center"/>
                </w:tcPr>
                <w:p>
                  <w:pPr>
                    <w:pStyle w:val="6"/>
                    <w:adjustRightInd w:val="0"/>
                    <w:snapToGrid w:val="0"/>
                    <w:ind w:firstLine="0" w:firstLineChars="0"/>
                    <w:jc w:val="center"/>
                    <w:rPr>
                      <w:rFonts w:hint="eastAsia" w:ascii="Times New Roman" w:hAnsi="Times New Roman" w:cs="Times New Roman"/>
                      <w:bCs/>
                      <w:color w:val="auto"/>
                      <w:szCs w:val="21"/>
                      <w:lang w:val="en-US" w:eastAsia="zh-CN"/>
                    </w:rPr>
                  </w:pPr>
                  <w:r>
                    <w:rPr>
                      <w:rFonts w:hint="eastAsia" w:ascii="Times New Roman" w:hAnsi="Times New Roman" w:cs="Times New Roman"/>
                      <w:color w:val="auto"/>
                      <w:sz w:val="21"/>
                      <w:szCs w:val="21"/>
                      <w:lang w:val="en-US" w:eastAsia="zh-CN"/>
                    </w:rPr>
                    <w:t>检验</w:t>
                  </w:r>
                </w:p>
              </w:tc>
              <w:tc>
                <w:tcPr>
                  <w:tcW w:w="319" w:type="pct"/>
                  <w:vAlign w:val="center"/>
                </w:tcPr>
                <w:p>
                  <w:pPr>
                    <w:pStyle w:val="6"/>
                    <w:adjustRightInd w:val="0"/>
                    <w:snapToGrid w:val="0"/>
                    <w:ind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固态</w:t>
                  </w:r>
                </w:p>
              </w:tc>
              <w:tc>
                <w:tcPr>
                  <w:tcW w:w="527" w:type="pct"/>
                  <w:vAlign w:val="center"/>
                </w:tcPr>
                <w:p>
                  <w:pPr>
                    <w:pStyle w:val="6"/>
                    <w:adjustRightInd w:val="0"/>
                    <w:snapToGrid w:val="0"/>
                    <w:ind w:firstLine="0" w:firstLineChars="0"/>
                    <w:jc w:val="center"/>
                    <w:rPr>
                      <w:rFonts w:hint="eastAsia" w:cs="Times New Roman"/>
                      <w:color w:val="auto"/>
                      <w:kern w:val="2"/>
                      <w:sz w:val="21"/>
                      <w:szCs w:val="20"/>
                      <w:lang w:val="en-US" w:eastAsia="zh-CN" w:bidi="ar-SA"/>
                    </w:rPr>
                  </w:pPr>
                  <w:r>
                    <w:rPr>
                      <w:rFonts w:hint="eastAsia" w:cs="Times New Roman"/>
                      <w:color w:val="auto"/>
                      <w:kern w:val="2"/>
                      <w:sz w:val="21"/>
                      <w:szCs w:val="21"/>
                      <w:lang w:val="en-US" w:eastAsia="zh-CN" w:bidi="ar-SA"/>
                    </w:rPr>
                    <w:t>PET、</w:t>
                  </w:r>
                  <w:r>
                    <w:rPr>
                      <w:rFonts w:hint="eastAsia" w:ascii="Times New Roman" w:hAnsi="Times New Roman" w:cs="Times New Roman"/>
                      <w:color w:val="auto"/>
                      <w:sz w:val="21"/>
                      <w:szCs w:val="21"/>
                      <w:lang w:val="en-US" w:eastAsia="zh-CN"/>
                    </w:rPr>
                    <w:t>泡沫</w:t>
                  </w:r>
                </w:p>
              </w:tc>
              <w:tc>
                <w:tcPr>
                  <w:tcW w:w="649" w:type="pct"/>
                  <w:vMerge w:val="continue"/>
                  <w:vAlign w:val="center"/>
                </w:tcPr>
                <w:p>
                  <w:pPr>
                    <w:adjustRightInd w:val="0"/>
                    <w:snapToGrid w:val="0"/>
                    <w:jc w:val="center"/>
                    <w:rPr>
                      <w:rFonts w:hint="default" w:ascii="Times New Roman" w:hAnsi="Times New Roman" w:cs="Times New Roman"/>
                      <w:color w:val="auto"/>
                      <w:szCs w:val="21"/>
                    </w:rPr>
                  </w:pPr>
                </w:p>
              </w:tc>
              <w:tc>
                <w:tcPr>
                  <w:tcW w:w="335"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11"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其他废物</w:t>
                  </w:r>
                </w:p>
              </w:tc>
              <w:tc>
                <w:tcPr>
                  <w:tcW w:w="673"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w:t>
                  </w:r>
                </w:p>
              </w:tc>
              <w:tc>
                <w:tcPr>
                  <w:tcW w:w="830" w:type="dxa"/>
                  <w:vAlign w:val="center"/>
                </w:tcPr>
                <w:p>
                  <w:pPr>
                    <w:adjustRightInd w:val="0"/>
                    <w:snapToGrid w:val="0"/>
                    <w:jc w:val="center"/>
                    <w:rPr>
                      <w:rFonts w:hint="default" w:cs="Times New Roman"/>
                      <w:bCs/>
                      <w:color w:val="auto"/>
                      <w:kern w:val="2"/>
                      <w:sz w:val="21"/>
                      <w:szCs w:val="21"/>
                      <w:lang w:val="en-US" w:eastAsia="zh-CN" w:bidi="ar-SA"/>
                    </w:rPr>
                  </w:pPr>
                  <w:r>
                    <w:rPr>
                      <w:rFonts w:hint="eastAsia" w:cs="Times New Roman"/>
                      <w:bCs/>
                      <w:color w:val="auto"/>
                      <w:kern w:val="2"/>
                      <w:sz w:val="21"/>
                      <w:szCs w:val="21"/>
                      <w:lang w:val="en-US" w:eastAsia="zh-CN" w:bidi="ar-SA"/>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560" w:type="pct"/>
                  <w:vAlign w:val="center"/>
                </w:tcPr>
                <w:p>
                  <w:pPr>
                    <w:pStyle w:val="6"/>
                    <w:adjustRightInd w:val="0"/>
                    <w:snapToGrid w:val="0"/>
                    <w:ind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 w:val="21"/>
                      <w:szCs w:val="21"/>
                    </w:rPr>
                    <w:t>废</w:t>
                  </w:r>
                  <w:r>
                    <w:rPr>
                      <w:rFonts w:hint="eastAsia" w:ascii="Times New Roman" w:hAnsi="Times New Roman" w:cs="Times New Roman"/>
                      <w:color w:val="auto"/>
                      <w:sz w:val="21"/>
                      <w:szCs w:val="21"/>
                      <w:lang w:eastAsia="zh-CN"/>
                    </w:rPr>
                    <w:t>包装材料</w:t>
                  </w:r>
                </w:p>
              </w:tc>
              <w:tc>
                <w:tcPr>
                  <w:tcW w:w="357" w:type="pct"/>
                  <w:vMerge w:val="continue"/>
                  <w:vAlign w:val="center"/>
                </w:tcPr>
                <w:p>
                  <w:pPr>
                    <w:adjustRightInd w:val="0"/>
                    <w:snapToGrid w:val="0"/>
                    <w:jc w:val="center"/>
                    <w:rPr>
                      <w:rFonts w:hint="default" w:ascii="Times New Roman" w:hAnsi="Times New Roman" w:cs="Times New Roman"/>
                      <w:color w:val="auto"/>
                      <w:szCs w:val="21"/>
                    </w:rPr>
                  </w:pPr>
                </w:p>
              </w:tc>
              <w:tc>
                <w:tcPr>
                  <w:tcW w:w="489"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sz w:val="21"/>
                      <w:szCs w:val="21"/>
                      <w:lang w:val="en-US" w:eastAsia="zh-CN"/>
                    </w:rPr>
                    <w:t>固态原料包装</w:t>
                  </w:r>
                </w:p>
              </w:tc>
              <w:tc>
                <w:tcPr>
                  <w:tcW w:w="319"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 w:val="21"/>
                      <w:szCs w:val="21"/>
                    </w:rPr>
                    <w:t>固态</w:t>
                  </w:r>
                </w:p>
              </w:tc>
              <w:tc>
                <w:tcPr>
                  <w:tcW w:w="527"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sz w:val="21"/>
                      <w:szCs w:val="21"/>
                      <w:lang w:val="en-US" w:eastAsia="zh-CN"/>
                    </w:rPr>
                    <w:t>塑料</w:t>
                  </w:r>
                </w:p>
              </w:tc>
              <w:tc>
                <w:tcPr>
                  <w:tcW w:w="649" w:type="pct"/>
                  <w:vMerge w:val="continue"/>
                  <w:vAlign w:val="center"/>
                </w:tcPr>
                <w:p>
                  <w:pPr>
                    <w:adjustRightInd w:val="0"/>
                    <w:snapToGrid w:val="0"/>
                    <w:jc w:val="center"/>
                    <w:rPr>
                      <w:rFonts w:hint="default" w:ascii="Times New Roman" w:hAnsi="Times New Roman" w:cs="Times New Roman"/>
                      <w:color w:val="auto"/>
                      <w:szCs w:val="21"/>
                    </w:rPr>
                  </w:pPr>
                </w:p>
              </w:tc>
              <w:tc>
                <w:tcPr>
                  <w:tcW w:w="335"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11" w:type="pct"/>
                  <w:vAlign w:val="center"/>
                </w:tcPr>
                <w:p>
                  <w:pPr>
                    <w:snapToGrid w:val="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废塑料制品</w:t>
                  </w:r>
                </w:p>
              </w:tc>
              <w:tc>
                <w:tcPr>
                  <w:tcW w:w="673" w:type="pct"/>
                  <w:vAlign w:val="center"/>
                </w:tcPr>
                <w:p>
                  <w:pPr>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06</w:t>
                  </w:r>
                </w:p>
              </w:tc>
              <w:tc>
                <w:tcPr>
                  <w:tcW w:w="830" w:type="dxa"/>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51" w:type="dxa"/>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w:t>
                  </w:r>
                </w:p>
              </w:tc>
              <w:tc>
                <w:tcPr>
                  <w:tcW w:w="560" w:type="pct"/>
                  <w:vAlign w:val="center"/>
                </w:tcPr>
                <w:p>
                  <w:pPr>
                    <w:pStyle w:val="6"/>
                    <w:adjustRightInd w:val="0"/>
                    <w:snapToGrid w:val="0"/>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清洗废液</w:t>
                  </w:r>
                </w:p>
              </w:tc>
              <w:tc>
                <w:tcPr>
                  <w:tcW w:w="357" w:type="pct"/>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危险固废</w:t>
                  </w:r>
                </w:p>
              </w:tc>
              <w:tc>
                <w:tcPr>
                  <w:tcW w:w="489" w:type="pct"/>
                  <w:vAlign w:val="center"/>
                </w:tcPr>
                <w:p>
                  <w:pPr>
                    <w:pStyle w:val="6"/>
                    <w:adjustRightInd w:val="0"/>
                    <w:snapToGrid w:val="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喷头清洗</w:t>
                  </w:r>
                </w:p>
              </w:tc>
              <w:tc>
                <w:tcPr>
                  <w:tcW w:w="319" w:type="pct"/>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液态</w:t>
                  </w:r>
                </w:p>
              </w:tc>
              <w:tc>
                <w:tcPr>
                  <w:tcW w:w="527" w:type="pct"/>
                  <w:vAlign w:val="center"/>
                </w:tcPr>
                <w:p>
                  <w:pPr>
                    <w:pStyle w:val="6"/>
                    <w:adjustRightInd w:val="0"/>
                    <w:snapToGrid w:val="0"/>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kern w:val="0"/>
                      <w:sz w:val="21"/>
                      <w:szCs w:val="21"/>
                      <w:highlight w:val="none"/>
                      <w:lang w:val="en-US" w:eastAsia="zh-CN" w:bidi="en-US"/>
                    </w:rPr>
                    <w:t>水、石蜡等</w:t>
                  </w:r>
                </w:p>
              </w:tc>
              <w:tc>
                <w:tcPr>
                  <w:tcW w:w="649" w:type="pct"/>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《国家危险废物名录》（2021年）</w:t>
                  </w:r>
                </w:p>
              </w:tc>
              <w:tc>
                <w:tcPr>
                  <w:tcW w:w="588" w:type="dxa"/>
                  <w:vAlign w:val="center"/>
                </w:tcPr>
                <w:p>
                  <w:pPr>
                    <w:pStyle w:val="56"/>
                    <w:keepNext w:val="0"/>
                    <w:keepLines w:val="0"/>
                    <w:pageBreakBefore w:val="0"/>
                    <w:widowControl w:val="0"/>
                    <w:kinsoku/>
                    <w:wordWrap/>
                    <w:overflowPunct/>
                    <w:topLinePunct w:val="0"/>
                    <w:bidi w:val="0"/>
                    <w:adjustRightInd w:val="0"/>
                    <w:snapToGrid w:val="0"/>
                    <w:ind w:left="0" w:lef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T/C</w:t>
                  </w:r>
                </w:p>
              </w:tc>
              <w:tc>
                <w:tcPr>
                  <w:tcW w:w="721" w:type="dxa"/>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HW17</w:t>
                  </w:r>
                </w:p>
              </w:tc>
              <w:tc>
                <w:tcPr>
                  <w:tcW w:w="1181" w:type="dxa"/>
                  <w:vAlign w:val="center"/>
                </w:tcPr>
                <w:p>
                  <w:pPr>
                    <w:adjustRightInd w:val="0"/>
                    <w:snapToGrid w:val="0"/>
                    <w:jc w:val="center"/>
                    <w:rPr>
                      <w:bCs/>
                      <w:color w:val="auto"/>
                      <w:sz w:val="21"/>
                      <w:szCs w:val="21"/>
                    </w:rPr>
                  </w:pPr>
                  <w:r>
                    <w:rPr>
                      <w:rFonts w:hint="default" w:ascii="Times New Roman" w:hAnsi="Times New Roman" w:eastAsia="宋体" w:cs="Times New Roman"/>
                      <w:color w:val="auto"/>
                      <w:szCs w:val="21"/>
                      <w:lang w:val="en-US" w:eastAsia="zh-CN"/>
                    </w:rPr>
                    <w:t>336</w:t>
                  </w:r>
                  <w:r>
                    <w:rPr>
                      <w:rFonts w:hint="default" w:ascii="Times New Roman" w:hAnsi="Times New Roman" w:eastAsia="宋体" w:cs="Times New Roman"/>
                      <w:color w:val="auto"/>
                      <w:szCs w:val="21"/>
                    </w:rPr>
                    <w:t>-0</w:t>
                  </w:r>
                  <w:r>
                    <w:rPr>
                      <w:rFonts w:hint="default" w:ascii="Times New Roman" w:hAnsi="Times New Roman" w:eastAsia="宋体" w:cs="Times New Roman"/>
                      <w:color w:val="auto"/>
                      <w:szCs w:val="21"/>
                      <w:lang w:val="en-US" w:eastAsia="zh-CN"/>
                    </w:rPr>
                    <w:t>64</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17</w:t>
                  </w:r>
                </w:p>
              </w:tc>
              <w:tc>
                <w:tcPr>
                  <w:tcW w:w="830" w:type="dxa"/>
                  <w:vAlign w:val="center"/>
                </w:tcPr>
                <w:p>
                  <w:pPr>
                    <w:adjustRightInd w:val="0"/>
                    <w:snapToGrid w:val="0"/>
                    <w:jc w:val="center"/>
                    <w:rPr>
                      <w:rFonts w:hint="default" w:cs="Times New Roman"/>
                      <w:color w:val="auto"/>
                      <w:kern w:val="2"/>
                      <w:sz w:val="21"/>
                      <w:szCs w:val="21"/>
                      <w:lang w:val="en-US" w:eastAsia="zh-CN" w:bidi="ar-SA"/>
                    </w:rPr>
                  </w:pPr>
                  <w:r>
                    <w:rPr>
                      <w:rFonts w:hint="eastAsia" w:cs="Times New Roman"/>
                      <w:color w:val="auto"/>
                      <w:sz w:val="21"/>
                      <w:szCs w:val="21"/>
                      <w:lang w:val="en-US" w:eastAsia="zh-CN"/>
                    </w:rPr>
                    <w:t>0.12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51" w:type="dxa"/>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val="en-US" w:eastAsia="zh-CN"/>
                    </w:rPr>
                    <w:t>5</w:t>
                  </w:r>
                </w:p>
              </w:tc>
              <w:tc>
                <w:tcPr>
                  <w:tcW w:w="560" w:type="pct"/>
                  <w:vAlign w:val="center"/>
                </w:tcPr>
                <w:p>
                  <w:pPr>
                    <w:pStyle w:val="6"/>
                    <w:adjustRightInd w:val="0"/>
                    <w:snapToGrid w:val="0"/>
                    <w:ind w:firstLine="0" w:firstLineChars="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废液压油</w:t>
                  </w:r>
                </w:p>
              </w:tc>
              <w:tc>
                <w:tcPr>
                  <w:tcW w:w="357" w:type="pct"/>
                  <w:vMerge w:val="continue"/>
                  <w:vAlign w:val="center"/>
                </w:tcPr>
                <w:p>
                  <w:pPr>
                    <w:adjustRightInd w:val="0"/>
                    <w:snapToGrid w:val="0"/>
                    <w:jc w:val="center"/>
                    <w:rPr>
                      <w:rFonts w:hint="default" w:ascii="Times New Roman" w:hAnsi="Times New Roman" w:cs="Times New Roman"/>
                      <w:color w:val="auto"/>
                      <w:szCs w:val="21"/>
                    </w:rPr>
                  </w:pPr>
                </w:p>
              </w:tc>
              <w:tc>
                <w:tcPr>
                  <w:tcW w:w="489" w:type="pct"/>
                  <w:vAlign w:val="center"/>
                </w:tcPr>
                <w:p>
                  <w:pPr>
                    <w:pStyle w:val="6"/>
                    <w:adjustRightInd w:val="0"/>
                    <w:snapToGrid w:val="0"/>
                    <w:ind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 w:val="21"/>
                      <w:szCs w:val="21"/>
                      <w:lang w:val="en-US" w:eastAsia="zh-CN"/>
                    </w:rPr>
                    <w:t>设备保养</w:t>
                  </w:r>
                </w:p>
              </w:tc>
              <w:tc>
                <w:tcPr>
                  <w:tcW w:w="319" w:type="pct"/>
                  <w:vAlign w:val="center"/>
                </w:tcPr>
                <w:p>
                  <w:pPr>
                    <w:pStyle w:val="6"/>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lang w:val="en-US" w:eastAsia="zh-CN"/>
                    </w:rPr>
                    <w:t>液态</w:t>
                  </w:r>
                </w:p>
              </w:tc>
              <w:tc>
                <w:tcPr>
                  <w:tcW w:w="527" w:type="pct"/>
                  <w:vAlign w:val="center"/>
                </w:tcPr>
                <w:p>
                  <w:pPr>
                    <w:pStyle w:val="6"/>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 w:val="21"/>
                      <w:szCs w:val="21"/>
                      <w:lang w:eastAsia="zh-CN"/>
                    </w:rPr>
                    <w:t>矿物</w:t>
                  </w:r>
                  <w:r>
                    <w:rPr>
                      <w:rFonts w:hint="default" w:ascii="Times New Roman" w:hAnsi="Times New Roman" w:eastAsia="宋体" w:cs="Times New Roman"/>
                      <w:color w:val="auto"/>
                      <w:sz w:val="21"/>
                      <w:szCs w:val="21"/>
                    </w:rPr>
                    <w:t>油</w:t>
                  </w:r>
                </w:p>
              </w:tc>
              <w:tc>
                <w:tcPr>
                  <w:tcW w:w="649" w:type="pct"/>
                  <w:vMerge w:val="continue"/>
                  <w:vAlign w:val="center"/>
                </w:tcPr>
                <w:p>
                  <w:pPr>
                    <w:adjustRightInd w:val="0"/>
                    <w:snapToGrid w:val="0"/>
                    <w:jc w:val="center"/>
                    <w:rPr>
                      <w:rFonts w:hint="default" w:ascii="Times New Roman" w:hAnsi="Times New Roman" w:cs="Times New Roman"/>
                      <w:color w:val="auto"/>
                      <w:szCs w:val="21"/>
                    </w:rPr>
                  </w:pPr>
                </w:p>
              </w:tc>
              <w:tc>
                <w:tcPr>
                  <w:tcW w:w="335" w:type="pct"/>
                  <w:vAlign w:val="center"/>
                </w:tcPr>
                <w:p>
                  <w:pPr>
                    <w:keepNext w:val="0"/>
                    <w:keepLines w:val="0"/>
                    <w:pageBreakBefore w:val="0"/>
                    <w:widowControl/>
                    <w:kinsoku/>
                    <w:wordWrap/>
                    <w:overflowPunct/>
                    <w:topLinePunct w:val="0"/>
                    <w:bidi w:val="0"/>
                    <w:snapToGrid w:val="0"/>
                    <w:ind w:left="0"/>
                    <w:jc w:val="center"/>
                    <w:textAlignment w:val="auto"/>
                    <w:rPr>
                      <w:rFonts w:hint="default" w:ascii="Times New Roman" w:hAnsi="Times New Roman" w:cs="Times New Roman"/>
                      <w:color w:val="auto"/>
                      <w:sz w:val="21"/>
                      <w:szCs w:val="21"/>
                    </w:rPr>
                  </w:pPr>
                  <w:r>
                    <w:rPr>
                      <w:bCs/>
                      <w:color w:val="auto"/>
                      <w:sz w:val="21"/>
                      <w:szCs w:val="21"/>
                    </w:rPr>
                    <w:t>T,I</w:t>
                  </w:r>
                </w:p>
              </w:tc>
              <w:tc>
                <w:tcPr>
                  <w:tcW w:w="411" w:type="pct"/>
                  <w:vAlign w:val="center"/>
                </w:tcPr>
                <w:p>
                  <w:pPr>
                    <w:widowControl/>
                    <w:snapToGrid w:val="0"/>
                    <w:jc w:val="center"/>
                    <w:rPr>
                      <w:rFonts w:hint="default" w:ascii="Times New Roman" w:hAnsi="Times New Roman" w:cs="Times New Roman"/>
                      <w:color w:val="auto"/>
                      <w:sz w:val="21"/>
                      <w:szCs w:val="21"/>
                    </w:rPr>
                  </w:pPr>
                  <w:r>
                    <w:rPr>
                      <w:bCs/>
                      <w:color w:val="auto"/>
                      <w:sz w:val="21"/>
                      <w:szCs w:val="21"/>
                    </w:rPr>
                    <w:t>HW08</w:t>
                  </w:r>
                </w:p>
              </w:tc>
              <w:tc>
                <w:tcPr>
                  <w:tcW w:w="673" w:type="pct"/>
                  <w:vAlign w:val="center"/>
                </w:tcPr>
                <w:p>
                  <w:pPr>
                    <w:widowControl/>
                    <w:snapToGrid w:val="0"/>
                    <w:jc w:val="center"/>
                    <w:rPr>
                      <w:rFonts w:hint="default" w:ascii="Times New Roman" w:hAnsi="Times New Roman" w:cs="Times New Roman"/>
                      <w:color w:val="auto"/>
                      <w:sz w:val="21"/>
                      <w:szCs w:val="21"/>
                    </w:rPr>
                  </w:pPr>
                  <w:r>
                    <w:rPr>
                      <w:bCs/>
                      <w:color w:val="auto"/>
                      <w:sz w:val="21"/>
                      <w:szCs w:val="21"/>
                    </w:rPr>
                    <w:t>900-21</w:t>
                  </w:r>
                  <w:r>
                    <w:rPr>
                      <w:rFonts w:hint="eastAsia"/>
                      <w:bCs/>
                      <w:color w:val="auto"/>
                      <w:sz w:val="21"/>
                      <w:szCs w:val="21"/>
                      <w:lang w:val="en-US" w:eastAsia="zh-CN"/>
                    </w:rPr>
                    <w:t>8</w:t>
                  </w:r>
                  <w:r>
                    <w:rPr>
                      <w:bCs/>
                      <w:color w:val="auto"/>
                      <w:sz w:val="21"/>
                      <w:szCs w:val="21"/>
                    </w:rPr>
                    <w:t>-08</w:t>
                  </w:r>
                </w:p>
              </w:tc>
              <w:tc>
                <w:tcPr>
                  <w:tcW w:w="830" w:type="dxa"/>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kern w:val="2"/>
                      <w:sz w:val="21"/>
                      <w:szCs w:val="21"/>
                      <w:lang w:val="en-US" w:eastAsia="zh-CN" w:bidi="ar-SA"/>
                    </w:rPr>
                    <w:t>3t/3a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51" w:type="dxa"/>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kern w:val="2"/>
                      <w:sz w:val="21"/>
                      <w:szCs w:val="21"/>
                      <w:lang w:val="en-US" w:eastAsia="zh-CN" w:bidi="ar-SA"/>
                    </w:rPr>
                    <w:t>6</w:t>
                  </w:r>
                </w:p>
              </w:tc>
              <w:tc>
                <w:tcPr>
                  <w:tcW w:w="560"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废活性炭</w:t>
                  </w:r>
                </w:p>
              </w:tc>
              <w:tc>
                <w:tcPr>
                  <w:tcW w:w="357" w:type="pct"/>
                  <w:vMerge w:val="continue"/>
                  <w:vAlign w:val="center"/>
                </w:tcPr>
                <w:p>
                  <w:pPr>
                    <w:adjustRightInd w:val="0"/>
                    <w:snapToGrid w:val="0"/>
                    <w:jc w:val="center"/>
                    <w:rPr>
                      <w:rFonts w:hint="default" w:ascii="Times New Roman" w:hAnsi="Times New Roman" w:cs="Times New Roman"/>
                      <w:color w:val="auto"/>
                      <w:szCs w:val="21"/>
                    </w:rPr>
                  </w:pPr>
                </w:p>
              </w:tc>
              <w:tc>
                <w:tcPr>
                  <w:tcW w:w="489"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sz w:val="21"/>
                      <w:szCs w:val="21"/>
                      <w:lang w:val="en-US" w:eastAsia="zh-CN"/>
                    </w:rPr>
                    <w:t>废气处理</w:t>
                  </w:r>
                </w:p>
              </w:tc>
              <w:tc>
                <w:tcPr>
                  <w:tcW w:w="319"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 w:val="21"/>
                      <w:szCs w:val="21"/>
                    </w:rPr>
                    <w:t>固态</w:t>
                  </w:r>
                </w:p>
              </w:tc>
              <w:tc>
                <w:tcPr>
                  <w:tcW w:w="527"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sz w:val="21"/>
                      <w:szCs w:val="21"/>
                    </w:rPr>
                    <w:t>废活性炭</w:t>
                  </w:r>
                </w:p>
              </w:tc>
              <w:tc>
                <w:tcPr>
                  <w:tcW w:w="649" w:type="pct"/>
                  <w:vMerge w:val="continue"/>
                  <w:vAlign w:val="center"/>
                </w:tcPr>
                <w:p>
                  <w:pPr>
                    <w:adjustRightInd w:val="0"/>
                    <w:snapToGrid w:val="0"/>
                    <w:jc w:val="center"/>
                    <w:rPr>
                      <w:rFonts w:hint="default" w:ascii="Times New Roman" w:hAnsi="Times New Roman" w:cs="Times New Roman"/>
                      <w:color w:val="auto"/>
                      <w:szCs w:val="21"/>
                    </w:rPr>
                  </w:pPr>
                </w:p>
              </w:tc>
              <w:tc>
                <w:tcPr>
                  <w:tcW w:w="335"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w:t>
                  </w:r>
                </w:p>
              </w:tc>
              <w:tc>
                <w:tcPr>
                  <w:tcW w:w="411"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HW49</w:t>
                  </w:r>
                </w:p>
              </w:tc>
              <w:tc>
                <w:tcPr>
                  <w:tcW w:w="673"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900-039-49</w:t>
                  </w:r>
                </w:p>
              </w:tc>
              <w:tc>
                <w:tcPr>
                  <w:tcW w:w="830" w:type="dxa"/>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cs="Times New Roman"/>
                      <w:bCs/>
                      <w:color w:val="auto"/>
                      <w:sz w:val="21"/>
                      <w:szCs w:val="21"/>
                      <w:lang w:val="en-US" w:eastAsia="zh-CN"/>
                    </w:rPr>
                    <w:t>6.711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51" w:type="dxa"/>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kern w:val="2"/>
                      <w:sz w:val="21"/>
                      <w:szCs w:val="21"/>
                      <w:lang w:val="en-US" w:eastAsia="zh-CN" w:bidi="ar-SA"/>
                    </w:rPr>
                    <w:t>7</w:t>
                  </w:r>
                </w:p>
              </w:tc>
              <w:tc>
                <w:tcPr>
                  <w:tcW w:w="560" w:type="pct"/>
                  <w:vAlign w:val="center"/>
                </w:tcPr>
                <w:p>
                  <w:pPr>
                    <w:pStyle w:val="6"/>
                    <w:adjustRightInd w:val="0"/>
                    <w:snapToGrid w:val="0"/>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含油抹布手套</w:t>
                  </w:r>
                </w:p>
              </w:tc>
              <w:tc>
                <w:tcPr>
                  <w:tcW w:w="357" w:type="pct"/>
                  <w:vMerge w:val="continue"/>
                  <w:vAlign w:val="center"/>
                </w:tcPr>
                <w:p>
                  <w:pPr>
                    <w:adjustRightInd w:val="0"/>
                    <w:snapToGrid w:val="0"/>
                    <w:jc w:val="center"/>
                    <w:rPr>
                      <w:rFonts w:hint="default" w:ascii="Times New Roman" w:hAnsi="Times New Roman" w:cs="Times New Roman"/>
                      <w:color w:val="auto"/>
                      <w:szCs w:val="21"/>
                    </w:rPr>
                  </w:pPr>
                </w:p>
              </w:tc>
              <w:tc>
                <w:tcPr>
                  <w:tcW w:w="489"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 w:val="21"/>
                      <w:szCs w:val="21"/>
                      <w:lang w:val="en-US" w:eastAsia="zh-CN"/>
                    </w:rPr>
                    <w:t>设备保养</w:t>
                  </w:r>
                </w:p>
              </w:tc>
              <w:tc>
                <w:tcPr>
                  <w:tcW w:w="319" w:type="pc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rPr>
                    <w:t>固态</w:t>
                  </w:r>
                </w:p>
              </w:tc>
              <w:tc>
                <w:tcPr>
                  <w:tcW w:w="527" w:type="pct"/>
                  <w:vAlign w:val="center"/>
                </w:tcPr>
                <w:p>
                  <w:pPr>
                    <w:pStyle w:val="6"/>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 w:val="21"/>
                      <w:szCs w:val="21"/>
                    </w:rPr>
                    <w:t>油、手套、抹布</w:t>
                  </w:r>
                </w:p>
              </w:tc>
              <w:tc>
                <w:tcPr>
                  <w:tcW w:w="649" w:type="pct"/>
                  <w:vMerge w:val="continue"/>
                  <w:vAlign w:val="center"/>
                </w:tcPr>
                <w:p>
                  <w:pPr>
                    <w:adjustRightInd w:val="0"/>
                    <w:snapToGrid w:val="0"/>
                    <w:jc w:val="center"/>
                    <w:rPr>
                      <w:rFonts w:hint="default" w:ascii="Times New Roman" w:hAnsi="Times New Roman" w:cs="Times New Roman"/>
                      <w:color w:val="auto"/>
                      <w:szCs w:val="21"/>
                    </w:rPr>
                  </w:pPr>
                </w:p>
              </w:tc>
              <w:tc>
                <w:tcPr>
                  <w:tcW w:w="335" w:type="pct"/>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T/In</w:t>
                  </w:r>
                </w:p>
              </w:tc>
              <w:tc>
                <w:tcPr>
                  <w:tcW w:w="411" w:type="pct"/>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HW49</w:t>
                  </w:r>
                </w:p>
              </w:tc>
              <w:tc>
                <w:tcPr>
                  <w:tcW w:w="673" w:type="pct"/>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900-041-49</w:t>
                  </w:r>
                </w:p>
              </w:tc>
              <w:tc>
                <w:tcPr>
                  <w:tcW w:w="830" w:type="dxa"/>
                  <w:vAlign w:val="center"/>
                </w:tcPr>
                <w:p>
                  <w:pPr>
                    <w:adjustRightInd w:val="0"/>
                    <w:snapToGrid w:val="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1"/>
                      <w:lang w:val="en-US" w:eastAsia="zh-CN" w:bidi="ar-SA"/>
                    </w:rPr>
                    <w:t>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0" w:type="pct"/>
                  <w:vAlign w:val="center"/>
                </w:tcPr>
                <w:p>
                  <w:pPr>
                    <w:adjustRightInd w:val="0"/>
                    <w:snapToGrid w:val="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c>
                <w:tcPr>
                  <w:tcW w:w="560" w:type="pct"/>
                  <w:vAlign w:val="center"/>
                </w:tcPr>
                <w:p>
                  <w:pPr>
                    <w:pStyle w:val="6"/>
                    <w:adjustRightInd w:val="0"/>
                    <w:snapToGrid w:val="0"/>
                    <w:ind w:firstLine="0" w:firstLineChars="0"/>
                    <w:jc w:val="center"/>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生活垃圾</w:t>
                  </w:r>
                </w:p>
              </w:tc>
              <w:tc>
                <w:tcPr>
                  <w:tcW w:w="357"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489" w:type="pct"/>
                  <w:vAlign w:val="center"/>
                </w:tcPr>
                <w:p>
                  <w:pPr>
                    <w:widowControl/>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rPr>
                    <w:t>日常办公</w:t>
                  </w:r>
                </w:p>
              </w:tc>
              <w:tc>
                <w:tcPr>
                  <w:tcW w:w="319" w:type="pct"/>
                  <w:vAlign w:val="center"/>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rPr>
                    <w:t>固态</w:t>
                  </w:r>
                </w:p>
              </w:tc>
              <w:tc>
                <w:tcPr>
                  <w:tcW w:w="527" w:type="pct"/>
                  <w:vAlign w:val="center"/>
                </w:tcPr>
                <w:p>
                  <w:pPr>
                    <w:widowControl/>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纸张等</w:t>
                  </w:r>
                </w:p>
              </w:tc>
              <w:tc>
                <w:tcPr>
                  <w:tcW w:w="649"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335"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11"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其他废物</w:t>
                  </w:r>
                </w:p>
              </w:tc>
              <w:tc>
                <w:tcPr>
                  <w:tcW w:w="673" w:type="pct"/>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w:t>
                  </w:r>
                </w:p>
              </w:tc>
              <w:tc>
                <w:tcPr>
                  <w:tcW w:w="830"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w:t>
                  </w:r>
                </w:p>
              </w:tc>
            </w:tr>
          </w:tbl>
          <w:p>
            <w:pPr>
              <w:adjustRightInd w:val="0"/>
              <w:snapToGrid w:val="0"/>
              <w:spacing w:line="500" w:lineRule="exact"/>
              <w:ind w:left="482"/>
              <w:rPr>
                <w:rFonts w:hint="default" w:ascii="Times New Roman" w:hAnsi="Times New Roman" w:cs="Times New Roman"/>
                <w:b/>
                <w:bCs/>
                <w:color w:val="auto"/>
                <w:sz w:val="24"/>
              </w:rPr>
            </w:pPr>
            <w:r>
              <w:rPr>
                <w:rFonts w:hint="eastAsia" w:cs="Times New Roman"/>
                <w:b/>
                <w:bCs/>
                <w:color w:val="auto"/>
                <w:sz w:val="24"/>
                <w:lang w:val="en-US" w:eastAsia="zh-CN"/>
              </w:rPr>
              <w:t>2、</w:t>
            </w:r>
            <w:r>
              <w:rPr>
                <w:rFonts w:hint="default" w:ascii="Times New Roman" w:hAnsi="Times New Roman" w:cs="Times New Roman"/>
                <w:b/>
                <w:bCs/>
                <w:color w:val="auto"/>
                <w:sz w:val="24"/>
                <w:lang w:val="en-US" w:eastAsia="zh-CN"/>
              </w:rPr>
              <w:t>处置</w:t>
            </w:r>
            <w:r>
              <w:rPr>
                <w:rFonts w:hint="default" w:ascii="Times New Roman" w:hAnsi="Times New Roman" w:cs="Times New Roman"/>
                <w:b/>
                <w:bCs/>
                <w:color w:val="auto"/>
                <w:sz w:val="24"/>
              </w:rPr>
              <w:t>措施</w:t>
            </w:r>
          </w:p>
          <w:p>
            <w:pPr>
              <w:adjustRightInd w:val="0"/>
              <w:snapToGrid w:val="0"/>
              <w:spacing w:line="50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本项目固体废物主要分为</w:t>
            </w:r>
            <w:r>
              <w:rPr>
                <w:rFonts w:hint="default" w:ascii="Times New Roman" w:hAnsi="Times New Roman" w:eastAsia="宋体" w:cs="Times New Roman"/>
                <w:color w:val="auto"/>
                <w:sz w:val="24"/>
                <w:szCs w:val="24"/>
              </w:rPr>
              <w:t>一般废物、危险废物和生活垃圾。</w:t>
            </w:r>
          </w:p>
          <w:p>
            <w:pPr>
              <w:adjustRightInd w:val="0"/>
              <w:snapToGrid w:val="0"/>
              <w:spacing w:line="50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边角料、</w:t>
            </w:r>
            <w:r>
              <w:rPr>
                <w:rFonts w:hint="eastAsia" w:cs="Times New Roman"/>
                <w:color w:val="auto"/>
                <w:sz w:val="24"/>
                <w:szCs w:val="24"/>
                <w:lang w:val="en-US" w:eastAsia="zh-CN"/>
              </w:rPr>
              <w:t>次品、废包装材料</w:t>
            </w:r>
            <w:r>
              <w:rPr>
                <w:rFonts w:hint="default" w:ascii="Times New Roman" w:hAnsi="Times New Roman" w:eastAsia="宋体" w:cs="Times New Roman"/>
                <w:color w:val="auto"/>
                <w:sz w:val="24"/>
                <w:szCs w:val="24"/>
              </w:rPr>
              <w:t>外售综合利用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清洗废液、废液压油、</w:t>
            </w:r>
            <w:r>
              <w:rPr>
                <w:rFonts w:hint="default" w:ascii="Times New Roman" w:hAnsi="Times New Roman" w:eastAsia="宋体" w:cs="Times New Roman"/>
                <w:color w:val="auto"/>
                <w:sz w:val="24"/>
                <w:szCs w:val="24"/>
                <w:lang w:val="en-US" w:eastAsia="zh-CN"/>
              </w:rPr>
              <w:t>废活性炭委托有资质单位处理；含油抹布手套</w:t>
            </w:r>
            <w:r>
              <w:rPr>
                <w:rFonts w:hint="eastAsia" w:ascii="Times New Roman" w:hAnsi="Times New Roman" w:eastAsia="宋体" w:cs="Times New Roman"/>
                <w:color w:val="auto"/>
                <w:sz w:val="24"/>
                <w:szCs w:val="24"/>
                <w:lang w:val="en-US" w:eastAsia="zh-CN"/>
              </w:rPr>
              <w:t>、生活垃圾</w:t>
            </w:r>
            <w:r>
              <w:rPr>
                <w:rFonts w:hint="default" w:ascii="Times New Roman" w:hAnsi="Times New Roman" w:eastAsia="宋体" w:cs="Times New Roman"/>
                <w:color w:val="auto"/>
                <w:sz w:val="24"/>
                <w:szCs w:val="24"/>
                <w:lang w:val="en-US" w:eastAsia="zh-CN"/>
              </w:rPr>
              <w:t>委托环卫清运。</w:t>
            </w:r>
          </w:p>
          <w:p>
            <w:pPr>
              <w:adjustRightInd w:val="0"/>
              <w:snapToGrid w:val="0"/>
              <w:spacing w:line="500" w:lineRule="exact"/>
              <w:ind w:firstLine="482" w:firstLineChars="200"/>
              <w:rPr>
                <w:rFonts w:hint="default" w:ascii="Times New Roman" w:hAnsi="Times New Roman" w:eastAsia="宋体" w:cs="Times New Roman"/>
                <w:b/>
                <w:bCs/>
                <w:color w:val="auto"/>
                <w:sz w:val="24"/>
                <w:lang w:val="en-US" w:eastAsia="zh-CN"/>
              </w:rPr>
            </w:pPr>
            <w:r>
              <w:rPr>
                <w:rFonts w:hint="eastAsia" w:cs="Times New Roman"/>
                <w:b/>
                <w:bCs/>
                <w:color w:val="auto"/>
                <w:sz w:val="24"/>
                <w:lang w:val="en-US" w:eastAsia="zh-CN"/>
              </w:rPr>
              <w:t>3、</w:t>
            </w:r>
            <w:r>
              <w:rPr>
                <w:rFonts w:hint="default" w:ascii="Times New Roman" w:hAnsi="Times New Roman" w:eastAsia="宋体" w:cs="Times New Roman"/>
                <w:b/>
                <w:bCs/>
                <w:color w:val="auto"/>
                <w:sz w:val="24"/>
                <w:lang w:val="en-US" w:eastAsia="zh-CN"/>
              </w:rPr>
              <w:t>处置利用情况</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eastAsia="宋体" w:cs="Times New Roman"/>
                <w:color w:val="auto"/>
                <w:sz w:val="24"/>
                <w:lang w:val="en-US" w:eastAsia="zh-CN"/>
              </w:rPr>
              <w:t>本项目固废均得到合理有效处置，不直接排向外环境。</w:t>
            </w:r>
          </w:p>
          <w:p>
            <w:pPr>
              <w:adjustRightInd w:val="0"/>
              <w:snapToGrid w:val="0"/>
              <w:spacing w:line="500" w:lineRule="exact"/>
              <w:ind w:firstLine="480" w:firstLineChars="20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color w:val="auto"/>
                <w:sz w:val="24"/>
              </w:rPr>
              <w:t>按照《建设项目危险废物环境影响评价指南》（环保部公告【2017】43号）要求，本项目固废产生及处理处置措施汇总表见</w:t>
            </w:r>
            <w:r>
              <w:rPr>
                <w:rFonts w:hint="default" w:ascii="Times New Roman" w:hAnsi="Times New Roman" w:cs="Times New Roman"/>
                <w:color w:val="auto"/>
                <w:sz w:val="24"/>
                <w:lang w:val="en-US" w:eastAsia="zh-CN"/>
              </w:rPr>
              <w:t>下</w:t>
            </w:r>
            <w:r>
              <w:rPr>
                <w:rFonts w:hint="default" w:ascii="Times New Roman" w:hAnsi="Times New Roman" w:cs="Times New Roman"/>
                <w:color w:val="auto"/>
                <w:sz w:val="24"/>
              </w:rPr>
              <w:t>表。</w:t>
            </w:r>
          </w:p>
          <w:p>
            <w:pPr>
              <w:pStyle w:val="58"/>
              <w:keepNext w:val="0"/>
              <w:keepLines w:val="0"/>
              <w:pageBreakBefore w:val="0"/>
              <w:tabs>
                <w:tab w:val="left" w:pos="3240"/>
              </w:tabs>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表4-</w:t>
            </w:r>
            <w:r>
              <w:rPr>
                <w:rFonts w:hint="eastAsia" w:ascii="Times New Roman" w:hAnsi="Times New Roman" w:cs="Times New Roman"/>
                <w:b/>
                <w:color w:val="auto"/>
                <w:sz w:val="21"/>
                <w:szCs w:val="21"/>
                <w:highlight w:val="none"/>
                <w:lang w:val="en-US" w:eastAsia="zh-CN"/>
              </w:rPr>
              <w:t>20</w:t>
            </w:r>
            <w:r>
              <w:rPr>
                <w:rFonts w:hint="default" w:ascii="Times New Roman" w:hAnsi="Times New Roman" w:eastAsia="宋体" w:cs="Times New Roman"/>
                <w:b/>
                <w:color w:val="auto"/>
                <w:sz w:val="21"/>
                <w:szCs w:val="21"/>
                <w:highlight w:val="none"/>
                <w:lang w:val="en-US" w:eastAsia="zh-CN"/>
              </w:rPr>
              <w:t>本项目</w:t>
            </w:r>
            <w:r>
              <w:rPr>
                <w:rFonts w:hint="eastAsia" w:ascii="Times New Roman" w:hAnsi="Times New Roman" w:eastAsia="宋体" w:cs="Times New Roman"/>
                <w:b/>
                <w:color w:val="auto"/>
                <w:sz w:val="21"/>
                <w:szCs w:val="21"/>
                <w:highlight w:val="none"/>
                <w:lang w:val="en-US" w:eastAsia="zh-CN"/>
              </w:rPr>
              <w:t>建成后全厂</w:t>
            </w:r>
            <w:r>
              <w:rPr>
                <w:rFonts w:hint="default" w:ascii="Times New Roman" w:hAnsi="Times New Roman" w:eastAsia="宋体" w:cs="Times New Roman"/>
                <w:b/>
                <w:color w:val="auto"/>
                <w:sz w:val="21"/>
                <w:szCs w:val="21"/>
                <w:highlight w:val="none"/>
                <w:lang w:val="en-US" w:eastAsia="zh-CN"/>
              </w:rPr>
              <w:t>固废产生及处理处置措施汇总表</w:t>
            </w:r>
          </w:p>
          <w:tbl>
            <w:tblPr>
              <w:tblStyle w:val="27"/>
              <w:tblW w:w="48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451"/>
              <w:gridCol w:w="1150"/>
              <w:gridCol w:w="692"/>
              <w:gridCol w:w="968"/>
              <w:gridCol w:w="668"/>
              <w:gridCol w:w="696"/>
              <w:gridCol w:w="1271"/>
              <w:gridCol w:w="1089"/>
              <w:gridCol w:w="805"/>
              <w:gridCol w:w="8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60"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663"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固废名称</w:t>
                  </w:r>
                </w:p>
              </w:tc>
              <w:tc>
                <w:tcPr>
                  <w:tcW w:w="399" w:type="pct"/>
                  <w:tcBorders>
                    <w:bottom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属性</w:t>
                  </w:r>
                </w:p>
              </w:tc>
              <w:tc>
                <w:tcPr>
                  <w:tcW w:w="558"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产生来源</w:t>
                  </w:r>
                </w:p>
              </w:tc>
              <w:tc>
                <w:tcPr>
                  <w:tcW w:w="385"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危废毒性</w:t>
                  </w:r>
                </w:p>
              </w:tc>
              <w:tc>
                <w:tcPr>
                  <w:tcW w:w="401"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废物类别</w:t>
                  </w:r>
                </w:p>
              </w:tc>
              <w:tc>
                <w:tcPr>
                  <w:tcW w:w="733"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废物代码</w:t>
                  </w:r>
                </w:p>
              </w:tc>
              <w:tc>
                <w:tcPr>
                  <w:tcW w:w="628" w:type="pct"/>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估算产生量（t/a）</w:t>
                  </w:r>
                </w:p>
              </w:tc>
              <w:tc>
                <w:tcPr>
                  <w:tcW w:w="464"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利用处置方式</w:t>
                  </w:r>
                </w:p>
              </w:tc>
              <w:tc>
                <w:tcPr>
                  <w:tcW w:w="504"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利用处置单位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60"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663"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边角料</w:t>
                  </w:r>
                </w:p>
              </w:tc>
              <w:tc>
                <w:tcPr>
                  <w:tcW w:w="399" w:type="pct"/>
                  <w:vMerge w:val="restart"/>
                  <w:tcBorders>
                    <w:top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一般固废</w:t>
                  </w:r>
                </w:p>
              </w:tc>
              <w:tc>
                <w:tcPr>
                  <w:tcW w:w="558"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 w:val="21"/>
                      <w:szCs w:val="21"/>
                      <w:highlight w:val="none"/>
                      <w:lang w:val="en-US" w:eastAsia="zh-CN"/>
                    </w:rPr>
                    <w:t>裁切</w:t>
                  </w:r>
                </w:p>
              </w:tc>
              <w:tc>
                <w:tcPr>
                  <w:tcW w:w="668" w:type="dxa"/>
                  <w:vAlign w:val="center"/>
                </w:tcPr>
                <w:p>
                  <w:pPr>
                    <w:snapToGrid w:val="0"/>
                    <w:jc w:val="center"/>
                    <w:rPr>
                      <w:rFonts w:hint="default" w:ascii="Times New Roman" w:hAnsi="Times New Roman" w:cs="Times New Roman"/>
                      <w:bCs/>
                      <w:color w:val="auto"/>
                      <w:szCs w:val="21"/>
                      <w:lang w:val="en-US" w:eastAsia="zh-CN"/>
                    </w:rPr>
                  </w:pPr>
                  <w:r>
                    <w:rPr>
                      <w:rFonts w:hint="default" w:ascii="Times New Roman" w:hAnsi="Times New Roman" w:cs="Times New Roman"/>
                      <w:color w:val="auto"/>
                      <w:sz w:val="21"/>
                      <w:szCs w:val="21"/>
                    </w:rPr>
                    <w:t>/</w:t>
                  </w:r>
                </w:p>
              </w:tc>
              <w:tc>
                <w:tcPr>
                  <w:tcW w:w="696" w:type="dxa"/>
                  <w:vAlign w:val="center"/>
                </w:tcPr>
                <w:p>
                  <w:pPr>
                    <w:snapToGrid w:val="0"/>
                    <w:jc w:val="center"/>
                    <w:rPr>
                      <w:rFonts w:hint="default" w:ascii="Times New Roman" w:hAnsi="Times New Roman" w:cs="Times New Roman"/>
                      <w:bCs/>
                      <w:color w:val="auto"/>
                      <w:szCs w:val="21"/>
                      <w:lang w:val="en-US" w:eastAsia="zh-CN"/>
                    </w:rPr>
                  </w:pPr>
                  <w:r>
                    <w:rPr>
                      <w:rFonts w:hint="default" w:ascii="Times New Roman" w:hAnsi="Times New Roman" w:cs="Times New Roman"/>
                      <w:color w:val="auto"/>
                      <w:sz w:val="21"/>
                      <w:szCs w:val="21"/>
                    </w:rPr>
                    <w:t>其他废物</w:t>
                  </w:r>
                </w:p>
              </w:tc>
              <w:tc>
                <w:tcPr>
                  <w:tcW w:w="1271" w:type="dxa"/>
                  <w:vAlign w:val="center"/>
                </w:tcPr>
                <w:p>
                  <w:pPr>
                    <w:snapToGrid w:val="0"/>
                    <w:jc w:val="center"/>
                    <w:rPr>
                      <w:rFonts w:hint="default" w:ascii="Times New Roman" w:hAnsi="Times New Roman" w:cs="Times New Roman"/>
                      <w:bCs/>
                      <w:color w:val="auto"/>
                      <w:szCs w:val="21"/>
                      <w:lang w:val="en-US" w:eastAsia="zh-CN"/>
                    </w:rPr>
                  </w:pPr>
                  <w:r>
                    <w:rPr>
                      <w:rFonts w:hint="default" w:ascii="Times New Roman" w:hAnsi="Times New Roman" w:cs="Times New Roman"/>
                      <w:color w:val="auto"/>
                      <w:sz w:val="21"/>
                      <w:szCs w:val="21"/>
                    </w:rPr>
                    <w:t>99</w:t>
                  </w:r>
                </w:p>
              </w:tc>
              <w:tc>
                <w:tcPr>
                  <w:tcW w:w="1089" w:type="dxa"/>
                  <w:vAlign w:val="center"/>
                </w:tcPr>
                <w:p>
                  <w:pPr>
                    <w:adjustRightInd w:val="0"/>
                    <w:snapToGrid w:val="0"/>
                    <w:jc w:val="center"/>
                    <w:rPr>
                      <w:rFonts w:hint="default" w:ascii="Times New Roman" w:hAnsi="Times New Roman" w:cs="Times New Roman"/>
                      <w:bCs/>
                      <w:color w:val="auto"/>
                      <w:szCs w:val="21"/>
                      <w:lang w:val="en-US" w:eastAsia="zh-CN"/>
                    </w:rPr>
                  </w:pPr>
                  <w:r>
                    <w:rPr>
                      <w:rFonts w:hint="eastAsia" w:eastAsia="仿宋" w:cs="Times New Roman"/>
                      <w:b w:val="0"/>
                      <w:bCs/>
                      <w:color w:val="auto"/>
                      <w:kern w:val="2"/>
                      <w:sz w:val="21"/>
                      <w:szCs w:val="21"/>
                      <w:lang w:val="en-US" w:eastAsia="zh-CN" w:bidi="ar-SA"/>
                    </w:rPr>
                    <w:t>11</w:t>
                  </w:r>
                </w:p>
              </w:tc>
              <w:tc>
                <w:tcPr>
                  <w:tcW w:w="464" w:type="pct"/>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Cs/>
                      <w:color w:val="auto"/>
                      <w:szCs w:val="21"/>
                    </w:rPr>
                    <w:t>外售综合利用</w:t>
                  </w:r>
                </w:p>
              </w:tc>
              <w:tc>
                <w:tcPr>
                  <w:tcW w:w="504" w:type="pct"/>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Cs/>
                      <w:color w:val="auto"/>
                      <w:szCs w:val="21"/>
                    </w:rPr>
                    <w:t>物资回收单位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6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3" w:type="pct"/>
                  <w:vAlign w:val="center"/>
                </w:tcPr>
                <w:p>
                  <w:pPr>
                    <w:pStyle w:val="6"/>
                    <w:adjustRightInd w:val="0"/>
                    <w:snapToGrid w:val="0"/>
                    <w:ind w:firstLine="0" w:firstLineChars="0"/>
                    <w:jc w:val="center"/>
                    <w:rPr>
                      <w:rFonts w:hint="default" w:ascii="Times New Roman" w:hAnsi="Times New Roman" w:cs="Times New Roman"/>
                      <w:color w:val="auto"/>
                      <w:szCs w:val="21"/>
                    </w:rPr>
                  </w:pPr>
                  <w:r>
                    <w:rPr>
                      <w:rFonts w:hint="eastAsia" w:ascii="Times New Roman" w:hAnsi="Times New Roman" w:eastAsia="宋体" w:cs="Times New Roman"/>
                      <w:color w:val="auto"/>
                      <w:szCs w:val="21"/>
                      <w:lang w:val="en-US" w:eastAsia="zh-CN"/>
                    </w:rPr>
                    <w:t>次品</w:t>
                  </w:r>
                </w:p>
              </w:tc>
              <w:tc>
                <w:tcPr>
                  <w:tcW w:w="399" w:type="pct"/>
                  <w:vMerge w:val="continue"/>
                  <w:vAlign w:val="center"/>
                </w:tcPr>
                <w:p>
                  <w:pPr>
                    <w:adjustRightInd w:val="0"/>
                    <w:snapToGrid w:val="0"/>
                    <w:jc w:val="center"/>
                    <w:rPr>
                      <w:rFonts w:hint="default" w:ascii="Times New Roman" w:hAnsi="Times New Roman" w:cs="Times New Roman"/>
                      <w:color w:val="auto"/>
                      <w:szCs w:val="21"/>
                    </w:rPr>
                  </w:pPr>
                </w:p>
              </w:tc>
              <w:tc>
                <w:tcPr>
                  <w:tcW w:w="558" w:type="pct"/>
                  <w:vAlign w:val="center"/>
                </w:tcPr>
                <w:p>
                  <w:pPr>
                    <w:pStyle w:val="6"/>
                    <w:adjustRightInd w:val="0"/>
                    <w:snapToGrid w:val="0"/>
                    <w:ind w:firstLine="0" w:firstLineChars="0"/>
                    <w:jc w:val="center"/>
                    <w:rPr>
                      <w:rFonts w:hint="eastAsia" w:ascii="Times New Roman" w:hAnsi="Times New Roman" w:cs="Times New Roman"/>
                      <w:bCs/>
                      <w:color w:val="auto"/>
                      <w:szCs w:val="21"/>
                      <w:lang w:val="en-US" w:eastAsia="zh-CN"/>
                    </w:rPr>
                  </w:pPr>
                  <w:r>
                    <w:rPr>
                      <w:rFonts w:hint="eastAsia" w:ascii="Times New Roman" w:hAnsi="Times New Roman" w:cs="Times New Roman"/>
                      <w:color w:val="auto"/>
                      <w:sz w:val="21"/>
                      <w:szCs w:val="21"/>
                      <w:lang w:val="en-US" w:eastAsia="zh-CN"/>
                    </w:rPr>
                    <w:t>检验</w:t>
                  </w:r>
                </w:p>
              </w:tc>
              <w:tc>
                <w:tcPr>
                  <w:tcW w:w="668" w:type="dxa"/>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96" w:type="dxa"/>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其他废物</w:t>
                  </w:r>
                </w:p>
              </w:tc>
              <w:tc>
                <w:tcPr>
                  <w:tcW w:w="1271" w:type="dxa"/>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w:t>
                  </w:r>
                </w:p>
              </w:tc>
              <w:tc>
                <w:tcPr>
                  <w:tcW w:w="1089" w:type="dxa"/>
                  <w:vAlign w:val="center"/>
                </w:tcPr>
                <w:p>
                  <w:pPr>
                    <w:adjustRightInd w:val="0"/>
                    <w:snapToGrid w:val="0"/>
                    <w:jc w:val="center"/>
                    <w:rPr>
                      <w:rFonts w:hint="default" w:cs="Times New Roman"/>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5.5</w:t>
                  </w:r>
                </w:p>
              </w:tc>
              <w:tc>
                <w:tcPr>
                  <w:tcW w:w="464" w:type="pct"/>
                  <w:vMerge w:val="continue"/>
                  <w:vAlign w:val="center"/>
                </w:tcPr>
                <w:p>
                  <w:pPr>
                    <w:adjustRightInd w:val="0"/>
                    <w:snapToGrid w:val="0"/>
                    <w:jc w:val="center"/>
                    <w:rPr>
                      <w:rFonts w:hint="default" w:ascii="Times New Roman" w:hAnsi="Times New Roman" w:cs="Times New Roman"/>
                      <w:bCs/>
                      <w:color w:val="auto"/>
                      <w:szCs w:val="21"/>
                    </w:rPr>
                  </w:pPr>
                </w:p>
              </w:tc>
              <w:tc>
                <w:tcPr>
                  <w:tcW w:w="504" w:type="pct"/>
                  <w:vMerge w:val="continue"/>
                  <w:vAlign w:val="center"/>
                </w:tcPr>
                <w:p>
                  <w:pPr>
                    <w:adjustRightInd w:val="0"/>
                    <w:snapToGrid w:val="0"/>
                    <w:jc w:val="center"/>
                    <w:rPr>
                      <w:rFonts w:hint="default" w:ascii="Times New Roman" w:hAnsi="Times New Roman"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60"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w:t>
                  </w:r>
                </w:p>
              </w:tc>
              <w:tc>
                <w:tcPr>
                  <w:tcW w:w="663"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废</w:t>
                  </w:r>
                  <w:r>
                    <w:rPr>
                      <w:rFonts w:hint="eastAsia" w:ascii="Times New Roman" w:hAnsi="Times New Roman" w:cs="Times New Roman"/>
                      <w:color w:val="auto"/>
                      <w:sz w:val="21"/>
                      <w:szCs w:val="21"/>
                      <w:lang w:eastAsia="zh-CN"/>
                    </w:rPr>
                    <w:t>包装材料</w:t>
                  </w:r>
                </w:p>
              </w:tc>
              <w:tc>
                <w:tcPr>
                  <w:tcW w:w="399" w:type="pct"/>
                  <w:vMerge w:val="continue"/>
                  <w:vAlign w:val="center"/>
                </w:tcPr>
                <w:p>
                  <w:pPr>
                    <w:adjustRightInd w:val="0"/>
                    <w:snapToGrid w:val="0"/>
                    <w:jc w:val="center"/>
                    <w:rPr>
                      <w:rFonts w:hint="default" w:ascii="Times New Roman" w:hAnsi="Times New Roman" w:cs="Times New Roman"/>
                      <w:color w:val="auto"/>
                      <w:szCs w:val="21"/>
                    </w:rPr>
                  </w:pPr>
                </w:p>
              </w:tc>
              <w:tc>
                <w:tcPr>
                  <w:tcW w:w="558"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sz w:val="21"/>
                      <w:szCs w:val="21"/>
                      <w:lang w:val="en-US" w:eastAsia="zh-CN"/>
                    </w:rPr>
                    <w:t>固态原料包装</w:t>
                  </w:r>
                </w:p>
              </w:tc>
              <w:tc>
                <w:tcPr>
                  <w:tcW w:w="668" w:type="dxa"/>
                  <w:vAlign w:val="center"/>
                </w:tcPr>
                <w:p>
                  <w:pPr>
                    <w:snapToGrid w:val="0"/>
                    <w:jc w:val="center"/>
                    <w:rPr>
                      <w:rFonts w:hint="default" w:ascii="Times New Roman" w:hAnsi="Times New Roman" w:cs="Times New Roman"/>
                      <w:bCs/>
                      <w:color w:val="auto"/>
                      <w:szCs w:val="21"/>
                      <w:lang w:val="en-US" w:eastAsia="zh-CN"/>
                    </w:rPr>
                  </w:pPr>
                  <w:r>
                    <w:rPr>
                      <w:rFonts w:hint="default" w:ascii="Times New Roman" w:hAnsi="Times New Roman" w:cs="Times New Roman"/>
                      <w:color w:val="auto"/>
                      <w:sz w:val="21"/>
                      <w:szCs w:val="21"/>
                    </w:rPr>
                    <w:t>/</w:t>
                  </w:r>
                </w:p>
              </w:tc>
              <w:tc>
                <w:tcPr>
                  <w:tcW w:w="696" w:type="dxa"/>
                  <w:vAlign w:val="center"/>
                </w:tcPr>
                <w:p>
                  <w:pPr>
                    <w:snapToGrid w:val="0"/>
                    <w:jc w:val="center"/>
                    <w:rPr>
                      <w:rFonts w:hint="default" w:ascii="Times New Roman" w:hAnsi="Times New Roman" w:cs="Times New Roman"/>
                      <w:bCs/>
                      <w:color w:val="auto"/>
                      <w:szCs w:val="21"/>
                      <w:lang w:val="en-US" w:eastAsia="zh-CN"/>
                    </w:rPr>
                  </w:pPr>
                  <w:r>
                    <w:rPr>
                      <w:rFonts w:hint="eastAsia" w:cs="Times New Roman"/>
                      <w:color w:val="auto"/>
                      <w:sz w:val="21"/>
                      <w:szCs w:val="21"/>
                      <w:lang w:eastAsia="zh-CN"/>
                    </w:rPr>
                    <w:t>废塑料制品</w:t>
                  </w:r>
                </w:p>
              </w:tc>
              <w:tc>
                <w:tcPr>
                  <w:tcW w:w="1271" w:type="dxa"/>
                  <w:vAlign w:val="center"/>
                </w:tcPr>
                <w:p>
                  <w:pPr>
                    <w:snapToGrid w:val="0"/>
                    <w:jc w:val="center"/>
                    <w:rPr>
                      <w:rFonts w:hint="default" w:ascii="Times New Roman" w:hAnsi="Times New Roman" w:cs="Times New Roman"/>
                      <w:bCs/>
                      <w:color w:val="auto"/>
                      <w:szCs w:val="21"/>
                      <w:lang w:val="en-US" w:eastAsia="zh-CN"/>
                    </w:rPr>
                  </w:pPr>
                  <w:r>
                    <w:rPr>
                      <w:rFonts w:hint="eastAsia" w:ascii="Times New Roman" w:hAnsi="Times New Roman" w:cs="Times New Roman"/>
                      <w:color w:val="auto"/>
                      <w:sz w:val="21"/>
                      <w:szCs w:val="21"/>
                      <w:lang w:val="en-US" w:eastAsia="zh-CN"/>
                    </w:rPr>
                    <w:t>06</w:t>
                  </w:r>
                </w:p>
              </w:tc>
              <w:tc>
                <w:tcPr>
                  <w:tcW w:w="1089" w:type="dxa"/>
                  <w:vAlign w:val="center"/>
                </w:tcPr>
                <w:p>
                  <w:pPr>
                    <w:adjustRightInd w:val="0"/>
                    <w:snapToGrid w:val="0"/>
                    <w:jc w:val="center"/>
                    <w:rPr>
                      <w:rFonts w:hint="default" w:ascii="Times New Roman" w:hAnsi="Times New Roman" w:cs="Times New Roman"/>
                      <w:bCs/>
                      <w:color w:val="auto"/>
                      <w:szCs w:val="21"/>
                      <w:lang w:val="en-US" w:eastAsia="zh-CN"/>
                    </w:rPr>
                  </w:pPr>
                  <w:r>
                    <w:rPr>
                      <w:rFonts w:hint="eastAsia" w:cs="Times New Roman"/>
                      <w:bCs/>
                      <w:color w:val="auto"/>
                      <w:kern w:val="2"/>
                      <w:sz w:val="21"/>
                      <w:szCs w:val="21"/>
                      <w:lang w:val="en-US" w:eastAsia="zh-CN" w:bidi="ar-SA"/>
                    </w:rPr>
                    <w:t>0.5</w:t>
                  </w:r>
                </w:p>
              </w:tc>
              <w:tc>
                <w:tcPr>
                  <w:tcW w:w="464" w:type="pct"/>
                  <w:vMerge w:val="continue"/>
                  <w:vAlign w:val="center"/>
                </w:tcPr>
                <w:p>
                  <w:pPr>
                    <w:adjustRightInd w:val="0"/>
                    <w:snapToGrid w:val="0"/>
                    <w:jc w:val="center"/>
                    <w:rPr>
                      <w:rFonts w:hint="default" w:ascii="Times New Roman" w:hAnsi="Times New Roman" w:cs="Times New Roman"/>
                      <w:color w:val="auto"/>
                      <w:szCs w:val="21"/>
                    </w:rPr>
                  </w:pPr>
                </w:p>
              </w:tc>
              <w:tc>
                <w:tcPr>
                  <w:tcW w:w="504" w:type="pct"/>
                  <w:vMerge w:val="continue"/>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60" w:type="pct"/>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w:t>
                  </w:r>
                </w:p>
              </w:tc>
              <w:tc>
                <w:tcPr>
                  <w:tcW w:w="663" w:type="pct"/>
                  <w:vAlign w:val="center"/>
                </w:tcPr>
                <w:p>
                  <w:pPr>
                    <w:pStyle w:val="6"/>
                    <w:adjustRightInd w:val="0"/>
                    <w:snapToGrid w:val="0"/>
                    <w:ind w:firstLine="0" w:firstLineChars="0"/>
                    <w:jc w:val="center"/>
                    <w:rPr>
                      <w:rFonts w:hint="eastAsia" w:ascii="Times New Roman" w:hAnsi="Times New Roman" w:cs="Times New Roman"/>
                      <w:color w:val="auto"/>
                      <w:szCs w:val="21"/>
                      <w:lang w:eastAsia="zh-CN"/>
                    </w:rPr>
                  </w:pPr>
                  <w:r>
                    <w:rPr>
                      <w:rFonts w:hint="eastAsia" w:ascii="Times New Roman" w:hAnsi="Times New Roman" w:eastAsia="宋体" w:cs="Times New Roman"/>
                      <w:color w:val="auto"/>
                      <w:sz w:val="21"/>
                      <w:szCs w:val="21"/>
                      <w:lang w:val="en-US" w:eastAsia="zh-CN"/>
                    </w:rPr>
                    <w:t>清洗废液</w:t>
                  </w:r>
                </w:p>
              </w:tc>
              <w:tc>
                <w:tcPr>
                  <w:tcW w:w="399" w:type="pct"/>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危险固废</w:t>
                  </w:r>
                </w:p>
              </w:tc>
              <w:tc>
                <w:tcPr>
                  <w:tcW w:w="558" w:type="pct"/>
                  <w:vAlign w:val="center"/>
                </w:tcPr>
                <w:p>
                  <w:pPr>
                    <w:pStyle w:val="6"/>
                    <w:adjustRightInd w:val="0"/>
                    <w:snapToGrid w:val="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喷头清洗</w:t>
                  </w:r>
                </w:p>
              </w:tc>
              <w:tc>
                <w:tcPr>
                  <w:tcW w:w="668" w:type="dxa"/>
                  <w:vAlign w:val="center"/>
                </w:tcPr>
                <w:p>
                  <w:pPr>
                    <w:pStyle w:val="56"/>
                    <w:keepNext w:val="0"/>
                    <w:keepLines w:val="0"/>
                    <w:pageBreakBefore w:val="0"/>
                    <w:widowControl w:val="0"/>
                    <w:kinsoku/>
                    <w:wordWrap/>
                    <w:overflowPunct/>
                    <w:topLinePunct w:val="0"/>
                    <w:bidi w:val="0"/>
                    <w:adjustRightInd w:val="0"/>
                    <w:snapToGrid w:val="0"/>
                    <w:ind w:left="0" w:leftChars="0"/>
                    <w:jc w:val="center"/>
                    <w:textAlignment w:val="auto"/>
                    <w:rPr>
                      <w:bCs/>
                      <w:color w:val="auto"/>
                      <w:sz w:val="21"/>
                      <w:szCs w:val="21"/>
                    </w:rPr>
                  </w:pPr>
                  <w:r>
                    <w:rPr>
                      <w:rFonts w:hint="default" w:ascii="Times New Roman" w:hAnsi="Times New Roman" w:eastAsia="宋体" w:cs="Times New Roman"/>
                      <w:color w:val="auto"/>
                      <w:kern w:val="2"/>
                      <w:sz w:val="21"/>
                      <w:szCs w:val="21"/>
                      <w:lang w:val="en-US" w:eastAsia="zh-CN" w:bidi="ar-SA"/>
                    </w:rPr>
                    <w:t>T/C</w:t>
                  </w:r>
                </w:p>
              </w:tc>
              <w:tc>
                <w:tcPr>
                  <w:tcW w:w="696" w:type="dxa"/>
                  <w:vAlign w:val="center"/>
                </w:tcPr>
                <w:p>
                  <w:pPr>
                    <w:keepNext w:val="0"/>
                    <w:keepLines w:val="0"/>
                    <w:pageBreakBefore w:val="0"/>
                    <w:widowControl w:val="0"/>
                    <w:kinsoku/>
                    <w:wordWrap/>
                    <w:overflowPunct/>
                    <w:topLinePunct w:val="0"/>
                    <w:bidi w:val="0"/>
                    <w:adjustRightInd w:val="0"/>
                    <w:snapToGrid w:val="0"/>
                    <w:jc w:val="center"/>
                    <w:textAlignment w:val="auto"/>
                    <w:rPr>
                      <w:bCs/>
                      <w:color w:val="auto"/>
                      <w:sz w:val="21"/>
                      <w:szCs w:val="21"/>
                    </w:rPr>
                  </w:pPr>
                  <w:r>
                    <w:rPr>
                      <w:rFonts w:hint="default" w:ascii="Times New Roman" w:hAnsi="Times New Roman" w:eastAsia="宋体" w:cs="Times New Roman"/>
                      <w:color w:val="auto"/>
                      <w:kern w:val="2"/>
                      <w:sz w:val="21"/>
                      <w:szCs w:val="21"/>
                      <w:lang w:val="en-US" w:eastAsia="zh-CN" w:bidi="ar-SA"/>
                    </w:rPr>
                    <w:t>HW17</w:t>
                  </w:r>
                </w:p>
              </w:tc>
              <w:tc>
                <w:tcPr>
                  <w:tcW w:w="1271" w:type="dxa"/>
                  <w:vAlign w:val="center"/>
                </w:tcPr>
                <w:p>
                  <w:pPr>
                    <w:adjustRightInd w:val="0"/>
                    <w:snapToGrid w:val="0"/>
                    <w:jc w:val="center"/>
                    <w:rPr>
                      <w:bCs/>
                      <w:color w:val="auto"/>
                      <w:sz w:val="21"/>
                      <w:szCs w:val="21"/>
                    </w:rPr>
                  </w:pPr>
                  <w:r>
                    <w:rPr>
                      <w:rFonts w:hint="default" w:ascii="Times New Roman" w:hAnsi="Times New Roman" w:eastAsia="宋体" w:cs="Times New Roman"/>
                      <w:color w:val="auto"/>
                      <w:szCs w:val="21"/>
                      <w:lang w:val="en-US" w:eastAsia="zh-CN"/>
                    </w:rPr>
                    <w:t>336</w:t>
                  </w:r>
                  <w:r>
                    <w:rPr>
                      <w:rFonts w:hint="default" w:ascii="Times New Roman" w:hAnsi="Times New Roman" w:eastAsia="宋体" w:cs="Times New Roman"/>
                      <w:color w:val="auto"/>
                      <w:szCs w:val="21"/>
                    </w:rPr>
                    <w:t>-0</w:t>
                  </w:r>
                  <w:r>
                    <w:rPr>
                      <w:rFonts w:hint="default" w:ascii="Times New Roman" w:hAnsi="Times New Roman" w:eastAsia="宋体" w:cs="Times New Roman"/>
                      <w:color w:val="auto"/>
                      <w:szCs w:val="21"/>
                      <w:lang w:val="en-US" w:eastAsia="zh-CN"/>
                    </w:rPr>
                    <w:t>64</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17</w:t>
                  </w:r>
                </w:p>
              </w:tc>
              <w:tc>
                <w:tcPr>
                  <w:tcW w:w="1089" w:type="dxa"/>
                  <w:vAlign w:val="center"/>
                </w:tcPr>
                <w:p>
                  <w:pPr>
                    <w:adjustRightInd w:val="0"/>
                    <w:snapToGrid w:val="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0.12</w:t>
                  </w:r>
                </w:p>
              </w:tc>
              <w:tc>
                <w:tcPr>
                  <w:tcW w:w="464" w:type="pct"/>
                  <w:vMerge w:val="restart"/>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bCs/>
                      <w:color w:val="auto"/>
                      <w:szCs w:val="21"/>
                      <w:lang w:val="en-US" w:eastAsia="zh-CN"/>
                    </w:rPr>
                    <w:t>委托处置</w:t>
                  </w:r>
                </w:p>
              </w:tc>
              <w:tc>
                <w:tcPr>
                  <w:tcW w:w="504" w:type="pct"/>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Cs/>
                      <w:color w:val="auto"/>
                      <w:szCs w:val="21"/>
                    </w:rPr>
                    <w:t>有资质单位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60"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5</w:t>
                  </w:r>
                </w:p>
              </w:tc>
              <w:tc>
                <w:tcPr>
                  <w:tcW w:w="663"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废液压油</w:t>
                  </w:r>
                </w:p>
              </w:tc>
              <w:tc>
                <w:tcPr>
                  <w:tcW w:w="399" w:type="pct"/>
                  <w:vMerge w:val="continue"/>
                  <w:vAlign w:val="center"/>
                </w:tcPr>
                <w:p>
                  <w:pPr>
                    <w:adjustRightInd w:val="0"/>
                    <w:snapToGrid w:val="0"/>
                    <w:jc w:val="center"/>
                    <w:rPr>
                      <w:rFonts w:hint="default" w:ascii="Times New Roman" w:hAnsi="Times New Roman" w:cs="Times New Roman"/>
                      <w:color w:val="auto"/>
                      <w:szCs w:val="21"/>
                    </w:rPr>
                  </w:pPr>
                </w:p>
              </w:tc>
              <w:tc>
                <w:tcPr>
                  <w:tcW w:w="558"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 w:val="21"/>
                      <w:szCs w:val="21"/>
                      <w:lang w:val="en-US" w:eastAsia="zh-CN"/>
                    </w:rPr>
                    <w:t>设备保养</w:t>
                  </w:r>
                </w:p>
              </w:tc>
              <w:tc>
                <w:tcPr>
                  <w:tcW w:w="668" w:type="dxa"/>
                  <w:vAlign w:val="center"/>
                </w:tcPr>
                <w:p>
                  <w:pPr>
                    <w:keepNext w:val="0"/>
                    <w:keepLines w:val="0"/>
                    <w:pageBreakBefore w:val="0"/>
                    <w:widowControl/>
                    <w:kinsoku/>
                    <w:wordWrap/>
                    <w:overflowPunct/>
                    <w:topLinePunct w:val="0"/>
                    <w:bidi w:val="0"/>
                    <w:snapToGrid w:val="0"/>
                    <w:ind w:left="0" w:leftChars="0"/>
                    <w:jc w:val="center"/>
                    <w:textAlignment w:val="auto"/>
                    <w:rPr>
                      <w:rFonts w:hint="default" w:ascii="Times New Roman" w:hAnsi="Times New Roman" w:cs="Times New Roman"/>
                      <w:bCs/>
                      <w:color w:val="auto"/>
                      <w:szCs w:val="21"/>
                      <w:lang w:val="en-US" w:eastAsia="zh-CN"/>
                    </w:rPr>
                  </w:pPr>
                  <w:r>
                    <w:rPr>
                      <w:bCs/>
                      <w:color w:val="auto"/>
                      <w:sz w:val="21"/>
                      <w:szCs w:val="21"/>
                    </w:rPr>
                    <w:t>T,I</w:t>
                  </w:r>
                </w:p>
              </w:tc>
              <w:tc>
                <w:tcPr>
                  <w:tcW w:w="696" w:type="dxa"/>
                  <w:vAlign w:val="center"/>
                </w:tcPr>
                <w:p>
                  <w:pPr>
                    <w:widowControl/>
                    <w:snapToGrid w:val="0"/>
                    <w:jc w:val="center"/>
                    <w:rPr>
                      <w:rFonts w:hint="default" w:ascii="Times New Roman" w:hAnsi="Times New Roman" w:cs="Times New Roman"/>
                      <w:bCs/>
                      <w:color w:val="auto"/>
                      <w:szCs w:val="21"/>
                      <w:lang w:val="en-US" w:eastAsia="zh-CN"/>
                    </w:rPr>
                  </w:pPr>
                  <w:r>
                    <w:rPr>
                      <w:bCs/>
                      <w:color w:val="auto"/>
                      <w:sz w:val="21"/>
                      <w:szCs w:val="21"/>
                    </w:rPr>
                    <w:t>HW08</w:t>
                  </w:r>
                </w:p>
              </w:tc>
              <w:tc>
                <w:tcPr>
                  <w:tcW w:w="1271" w:type="dxa"/>
                  <w:vAlign w:val="center"/>
                </w:tcPr>
                <w:p>
                  <w:pPr>
                    <w:widowControl/>
                    <w:snapToGrid w:val="0"/>
                    <w:jc w:val="center"/>
                    <w:rPr>
                      <w:rFonts w:hint="default" w:ascii="Times New Roman" w:hAnsi="Times New Roman" w:cs="Times New Roman"/>
                      <w:bCs/>
                      <w:color w:val="auto"/>
                      <w:szCs w:val="21"/>
                      <w:lang w:val="en-US" w:eastAsia="zh-CN"/>
                    </w:rPr>
                  </w:pPr>
                  <w:r>
                    <w:rPr>
                      <w:bCs/>
                      <w:color w:val="auto"/>
                      <w:sz w:val="21"/>
                      <w:szCs w:val="21"/>
                    </w:rPr>
                    <w:t>900-21</w:t>
                  </w:r>
                  <w:r>
                    <w:rPr>
                      <w:rFonts w:hint="eastAsia"/>
                      <w:bCs/>
                      <w:color w:val="auto"/>
                      <w:sz w:val="21"/>
                      <w:szCs w:val="21"/>
                      <w:lang w:val="en-US" w:eastAsia="zh-CN"/>
                    </w:rPr>
                    <w:t>8</w:t>
                  </w:r>
                  <w:r>
                    <w:rPr>
                      <w:bCs/>
                      <w:color w:val="auto"/>
                      <w:sz w:val="21"/>
                      <w:szCs w:val="21"/>
                    </w:rPr>
                    <w:t>-08</w:t>
                  </w:r>
                </w:p>
              </w:tc>
              <w:tc>
                <w:tcPr>
                  <w:tcW w:w="1089" w:type="dxa"/>
                  <w:vAlign w:val="center"/>
                </w:tcPr>
                <w:p>
                  <w:pPr>
                    <w:adjustRightInd w:val="0"/>
                    <w:snapToGrid w:val="0"/>
                    <w:jc w:val="center"/>
                    <w:rPr>
                      <w:rFonts w:hint="default" w:ascii="Times New Roman" w:hAnsi="Times New Roman" w:cs="Times New Roman"/>
                      <w:bCs/>
                      <w:color w:val="auto"/>
                      <w:szCs w:val="21"/>
                      <w:lang w:val="en-US" w:eastAsia="zh-CN"/>
                    </w:rPr>
                  </w:pPr>
                  <w:r>
                    <w:rPr>
                      <w:rFonts w:hint="eastAsia" w:cs="Times New Roman"/>
                      <w:color w:val="auto"/>
                      <w:kern w:val="2"/>
                      <w:sz w:val="21"/>
                      <w:szCs w:val="21"/>
                      <w:lang w:val="en-US" w:eastAsia="zh-CN" w:bidi="ar-SA"/>
                    </w:rPr>
                    <w:t>3t/3a</w:t>
                  </w:r>
                </w:p>
              </w:tc>
              <w:tc>
                <w:tcPr>
                  <w:tcW w:w="464" w:type="pct"/>
                  <w:vMerge w:val="continue"/>
                  <w:vAlign w:val="center"/>
                </w:tcPr>
                <w:p>
                  <w:pPr>
                    <w:adjustRightInd w:val="0"/>
                    <w:snapToGrid w:val="0"/>
                    <w:jc w:val="center"/>
                    <w:rPr>
                      <w:rFonts w:hint="default" w:ascii="Times New Roman" w:hAnsi="Times New Roman" w:eastAsia="宋体" w:cs="Times New Roman"/>
                      <w:color w:val="auto"/>
                      <w:szCs w:val="21"/>
                      <w:lang w:eastAsia="zh-CN"/>
                    </w:rPr>
                  </w:pPr>
                </w:p>
              </w:tc>
              <w:tc>
                <w:tcPr>
                  <w:tcW w:w="504" w:type="pct"/>
                  <w:vMerge w:val="continue"/>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60"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663"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废活性炭</w:t>
                  </w:r>
                </w:p>
              </w:tc>
              <w:tc>
                <w:tcPr>
                  <w:tcW w:w="399" w:type="pct"/>
                  <w:vMerge w:val="continue"/>
                  <w:vAlign w:val="center"/>
                </w:tcPr>
                <w:p>
                  <w:pPr>
                    <w:adjustRightInd w:val="0"/>
                    <w:snapToGrid w:val="0"/>
                    <w:jc w:val="center"/>
                    <w:rPr>
                      <w:rFonts w:hint="default" w:ascii="Times New Roman" w:hAnsi="Times New Roman" w:cs="Times New Roman"/>
                      <w:color w:val="auto"/>
                      <w:szCs w:val="21"/>
                    </w:rPr>
                  </w:pPr>
                </w:p>
              </w:tc>
              <w:tc>
                <w:tcPr>
                  <w:tcW w:w="558" w:type="pct"/>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sz w:val="21"/>
                      <w:szCs w:val="21"/>
                      <w:lang w:val="en-US" w:eastAsia="zh-CN"/>
                    </w:rPr>
                    <w:t>废气处理</w:t>
                  </w:r>
                </w:p>
              </w:tc>
              <w:tc>
                <w:tcPr>
                  <w:tcW w:w="668" w:type="dxa"/>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T</w:t>
                  </w:r>
                </w:p>
              </w:tc>
              <w:tc>
                <w:tcPr>
                  <w:tcW w:w="696" w:type="dxa"/>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HW49</w:t>
                  </w:r>
                </w:p>
              </w:tc>
              <w:tc>
                <w:tcPr>
                  <w:tcW w:w="1271" w:type="dxa"/>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900-039-49</w:t>
                  </w:r>
                </w:p>
              </w:tc>
              <w:tc>
                <w:tcPr>
                  <w:tcW w:w="1089" w:type="dxa"/>
                  <w:vAlign w:val="center"/>
                </w:tcPr>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s="Times New Roman"/>
                      <w:bCs/>
                      <w:color w:val="auto"/>
                      <w:sz w:val="21"/>
                      <w:szCs w:val="21"/>
                      <w:lang w:val="en-US" w:eastAsia="zh-CN"/>
                    </w:rPr>
                    <w:t>6.711</w:t>
                  </w:r>
                </w:p>
              </w:tc>
              <w:tc>
                <w:tcPr>
                  <w:tcW w:w="464" w:type="pct"/>
                  <w:vMerge w:val="continue"/>
                  <w:vAlign w:val="center"/>
                </w:tcPr>
                <w:p>
                  <w:pPr>
                    <w:adjustRightInd w:val="0"/>
                    <w:snapToGrid w:val="0"/>
                    <w:jc w:val="center"/>
                    <w:rPr>
                      <w:rFonts w:hint="default" w:ascii="Times New Roman" w:hAnsi="Times New Roman" w:cs="Times New Roman"/>
                      <w:color w:val="auto"/>
                      <w:szCs w:val="21"/>
                    </w:rPr>
                  </w:pPr>
                </w:p>
              </w:tc>
              <w:tc>
                <w:tcPr>
                  <w:tcW w:w="504" w:type="pct"/>
                  <w:vMerge w:val="continue"/>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60"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663" w:type="pct"/>
                  <w:vAlign w:val="center"/>
                </w:tcPr>
                <w:p>
                  <w:pPr>
                    <w:pStyle w:val="6"/>
                    <w:adjustRightInd w:val="0"/>
                    <w:snapToGrid w:val="0"/>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含油抹布手套</w:t>
                  </w:r>
                </w:p>
              </w:tc>
              <w:tc>
                <w:tcPr>
                  <w:tcW w:w="399" w:type="pct"/>
                  <w:vMerge w:val="continue"/>
                  <w:vAlign w:val="center"/>
                </w:tcPr>
                <w:p>
                  <w:pPr>
                    <w:adjustRightInd w:val="0"/>
                    <w:snapToGrid w:val="0"/>
                    <w:jc w:val="center"/>
                    <w:rPr>
                      <w:rFonts w:hint="default" w:ascii="Times New Roman" w:hAnsi="Times New Roman" w:cs="Times New Roman"/>
                      <w:color w:val="auto"/>
                      <w:szCs w:val="21"/>
                    </w:rPr>
                  </w:pPr>
                </w:p>
              </w:tc>
              <w:tc>
                <w:tcPr>
                  <w:tcW w:w="558" w:type="pct"/>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设备保养</w:t>
                  </w:r>
                </w:p>
              </w:tc>
              <w:tc>
                <w:tcPr>
                  <w:tcW w:w="668"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T/In</w:t>
                  </w:r>
                </w:p>
              </w:tc>
              <w:tc>
                <w:tcPr>
                  <w:tcW w:w="696"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HW49</w:t>
                  </w:r>
                </w:p>
              </w:tc>
              <w:tc>
                <w:tcPr>
                  <w:tcW w:w="1271"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900-041-49</w:t>
                  </w:r>
                </w:p>
              </w:tc>
              <w:tc>
                <w:tcPr>
                  <w:tcW w:w="1089" w:type="dxa"/>
                  <w:vAlign w:val="center"/>
                </w:tcPr>
                <w:p>
                  <w:pPr>
                    <w:widowControl/>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0.05</w:t>
                  </w:r>
                </w:p>
              </w:tc>
              <w:tc>
                <w:tcPr>
                  <w:tcW w:w="968" w:type="pct"/>
                  <w:gridSpan w:val="2"/>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Cs/>
                      <w:color w:val="auto"/>
                      <w:szCs w:val="21"/>
                    </w:rPr>
                    <w:t>环卫清运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60" w:type="pct"/>
                  <w:vAlign w:val="center"/>
                </w:tcPr>
                <w:p>
                  <w:pPr>
                    <w:adjustRightInd w:val="0"/>
                    <w:snapToGrid w:val="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c>
                <w:tcPr>
                  <w:tcW w:w="663" w:type="pct"/>
                  <w:vAlign w:val="center"/>
                </w:tcPr>
                <w:p>
                  <w:pPr>
                    <w:pStyle w:val="6"/>
                    <w:adjustRightInd w:val="0"/>
                    <w:snapToGrid w:val="0"/>
                    <w:ind w:firstLine="0" w:firstLineChars="0"/>
                    <w:jc w:val="center"/>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生活垃圾</w:t>
                  </w:r>
                </w:p>
              </w:tc>
              <w:tc>
                <w:tcPr>
                  <w:tcW w:w="399"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558" w:type="pct"/>
                  <w:vAlign w:val="center"/>
                </w:tcPr>
                <w:p>
                  <w:pPr>
                    <w:widowControl/>
                    <w:jc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color w:val="auto"/>
                      <w:kern w:val="0"/>
                    </w:rPr>
                    <w:t>日常办公</w:t>
                  </w:r>
                </w:p>
              </w:tc>
              <w:tc>
                <w:tcPr>
                  <w:tcW w:w="668" w:type="dxa"/>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96" w:type="dxa"/>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其他废物</w:t>
                  </w:r>
                </w:p>
              </w:tc>
              <w:tc>
                <w:tcPr>
                  <w:tcW w:w="1271" w:type="dxa"/>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w:t>
                  </w:r>
                </w:p>
              </w:tc>
              <w:tc>
                <w:tcPr>
                  <w:tcW w:w="1089" w:type="dxa"/>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1"/>
                      <w:lang w:val="en-US" w:eastAsia="zh-CN"/>
                    </w:rPr>
                    <w:t>9</w:t>
                  </w:r>
                </w:p>
              </w:tc>
              <w:tc>
                <w:tcPr>
                  <w:tcW w:w="968" w:type="pct"/>
                  <w:gridSpan w:val="2"/>
                  <w:vMerge w:val="continue"/>
                  <w:vAlign w:val="center"/>
                </w:tcPr>
                <w:p>
                  <w:pPr>
                    <w:adjustRightInd w:val="0"/>
                    <w:snapToGrid w:val="0"/>
                    <w:jc w:val="center"/>
                    <w:rPr>
                      <w:rFonts w:hint="default" w:ascii="Times New Roman" w:hAnsi="Times New Roman" w:cs="Times New Roman"/>
                      <w:bCs/>
                      <w:color w:val="auto"/>
                      <w:szCs w:val="21"/>
                    </w:rPr>
                  </w:pPr>
                </w:p>
              </w:tc>
            </w:tr>
          </w:tbl>
          <w:p>
            <w:pPr>
              <w:adjustRightInd w:val="0"/>
              <w:snapToGrid w:val="0"/>
              <w:spacing w:line="500" w:lineRule="exact"/>
              <w:ind w:firstLine="482" w:firstLineChars="200"/>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lang w:val="en-US" w:eastAsia="zh-CN"/>
              </w:rPr>
              <w:t>固废环境影响分析</w:t>
            </w:r>
          </w:p>
          <w:p>
            <w:pPr>
              <w:adjustRightInd w:val="0"/>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临时贮存可行性分析：</w:t>
            </w:r>
          </w:p>
          <w:p>
            <w:pPr>
              <w:adjustRightInd w:val="0"/>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项目产生的废物应分类收集、分类贮存，并张贴标签储存在专门的场所内，一般固废、生活垃圾、危险废物应分开储存，不得混放。危废每季度周转一次，危废暂存场所按照《危险废物贮存污染控制标准》规范要求设置，设有防风、防雨、防晒、防渗漏等措施，并设置危险废物标识和警示牌。各堆场场所按照《环境保护图形标志-固体废物贮存（处置场）》设置标示牌。</w:t>
            </w:r>
          </w:p>
          <w:p>
            <w:pPr>
              <w:adjustRightInd w:val="0"/>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cs="Times New Roman"/>
                <w:bCs/>
                <w:color w:val="auto"/>
                <w:sz w:val="24"/>
              </w:rPr>
              <w:t>根据《省生态环境厅关于进一步加强危险废物污染防治工作的实施意见》（苏环办【2019】327号）要求，企业应根据危险废物的种类和特性进行分区、分类贮存，设置防雨、防火、防雷、防扬散、防渗漏装置及泄漏液体收集装置。对易爆、易燃及排出有毒气体的危险废物进行预处理，稳定后贮存，否则按易爆、易燃危险品贮存。贮存废弃剧毒化学品的，应按照公安机关要求落实治安防范措施。</w:t>
            </w:r>
            <w:r>
              <w:rPr>
                <w:rFonts w:hint="default" w:ascii="Times New Roman" w:hAnsi="Times New Roman" w:eastAsia="宋体" w:cs="Times New Roman"/>
                <w:bCs/>
                <w:color w:val="auto"/>
                <w:sz w:val="24"/>
                <w:lang w:val="en-US" w:eastAsia="zh-CN"/>
              </w:rPr>
              <w:t>危险废物经营单位需制定废物入场控制措施，并不得接受核准经营许可以外的种类；贮存设施周转的累积贮存量不得超过年许可经营能力的六分之一，贮存期限原则上不得超过三个月。</w:t>
            </w:r>
          </w:p>
          <w:p>
            <w:pPr>
              <w:adjustRightInd w:val="0"/>
              <w:snapToGrid w:val="0"/>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危废库房内暂存期限不超过3个月，则暂存期本项目</w:t>
            </w:r>
            <w:r>
              <w:rPr>
                <w:rFonts w:hint="default" w:ascii="Times New Roman" w:hAnsi="Times New Roman" w:cs="Times New Roman"/>
                <w:color w:val="auto"/>
                <w:sz w:val="24"/>
                <w:szCs w:val="24"/>
                <w:highlight w:val="none"/>
                <w:lang w:val="en-US" w:eastAsia="zh-CN"/>
              </w:rPr>
              <w:t>危废</w:t>
            </w:r>
            <w:r>
              <w:rPr>
                <w:rFonts w:hint="default" w:ascii="Times New Roman" w:hAnsi="Times New Roman" w:cs="Times New Roman"/>
                <w:color w:val="auto"/>
                <w:sz w:val="24"/>
                <w:szCs w:val="24"/>
                <w:highlight w:val="none"/>
              </w:rPr>
              <w:t>最大存放量</w:t>
            </w:r>
            <w:r>
              <w:rPr>
                <w:rFonts w:hint="eastAsia" w:cs="Times New Roman"/>
                <w:color w:val="auto"/>
                <w:sz w:val="24"/>
                <w:szCs w:val="24"/>
                <w:highlight w:val="none"/>
                <w:lang w:eastAsia="zh-CN"/>
              </w:rPr>
              <w:t>清洗废液约</w:t>
            </w:r>
            <w:r>
              <w:rPr>
                <w:rFonts w:hint="eastAsia" w:cs="Times New Roman"/>
                <w:color w:val="auto"/>
                <w:sz w:val="24"/>
                <w:szCs w:val="24"/>
                <w:highlight w:val="none"/>
                <w:lang w:val="en-US" w:eastAsia="zh-CN"/>
              </w:rPr>
              <w:t>0.03t，</w:t>
            </w:r>
            <w:r>
              <w:rPr>
                <w:rFonts w:hint="default" w:ascii="Times New Roman" w:hAnsi="Times New Roman" w:cs="Times New Roman"/>
                <w:color w:val="auto"/>
                <w:sz w:val="24"/>
                <w:szCs w:val="24"/>
                <w:highlight w:val="none"/>
                <w:lang w:val="en-US" w:eastAsia="zh-CN"/>
              </w:rPr>
              <w:t>废</w:t>
            </w:r>
            <w:r>
              <w:rPr>
                <w:rFonts w:hint="eastAsia" w:cs="Times New Roman"/>
                <w:color w:val="auto"/>
                <w:sz w:val="24"/>
                <w:szCs w:val="24"/>
                <w:highlight w:val="none"/>
                <w:lang w:val="en-US" w:eastAsia="zh-CN"/>
              </w:rPr>
              <w:t>液压油</w:t>
            </w:r>
            <w:r>
              <w:rPr>
                <w:rFonts w:hint="default" w:ascii="Times New Roman" w:hAnsi="Times New Roman" w:cs="Times New Roman"/>
                <w:color w:val="auto"/>
                <w:sz w:val="24"/>
                <w:szCs w:val="24"/>
                <w:highlight w:val="none"/>
              </w:rPr>
              <w:t>约为</w:t>
            </w:r>
            <w:r>
              <w:rPr>
                <w:rFonts w:hint="eastAsia" w:cs="Times New Roman"/>
                <w:color w:val="auto"/>
                <w:sz w:val="24"/>
                <w:szCs w:val="24"/>
                <w:highlight w:val="none"/>
                <w:lang w:val="en-US" w:eastAsia="zh-CN"/>
              </w:rPr>
              <w:t>3t</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废活性炭</w:t>
            </w:r>
            <w:r>
              <w:rPr>
                <w:rFonts w:hint="default" w:ascii="Times New Roman" w:hAnsi="Times New Roman" w:cs="Times New Roman"/>
                <w:color w:val="auto"/>
                <w:sz w:val="24"/>
                <w:szCs w:val="24"/>
                <w:highlight w:val="none"/>
              </w:rPr>
              <w:t>最大约为</w:t>
            </w:r>
            <w:r>
              <w:rPr>
                <w:rFonts w:hint="eastAsia" w:cs="Times New Roman"/>
                <w:color w:val="auto"/>
                <w:sz w:val="24"/>
                <w:szCs w:val="24"/>
                <w:highlight w:val="none"/>
                <w:lang w:val="en-US" w:eastAsia="zh-CN"/>
              </w:rPr>
              <w:t>1.68</w:t>
            </w:r>
            <w:r>
              <w:rPr>
                <w:rFonts w:hint="default" w:ascii="Times New Roman" w:hAnsi="Times New Roman" w:cs="Times New Roman"/>
                <w:color w:val="auto"/>
                <w:sz w:val="24"/>
                <w:szCs w:val="24"/>
                <w:highlight w:val="none"/>
              </w:rPr>
              <w:t>t。危险废物采用吨袋、吨桶或塑料桶存放，不同危险废物分开存放，每个托盘尺寸为1m*1m，占地面积1m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，则本项目</w:t>
            </w:r>
            <w:r>
              <w:rPr>
                <w:rFonts w:hint="eastAsia" w:cs="Times New Roman"/>
                <w:color w:val="auto"/>
                <w:sz w:val="24"/>
                <w:szCs w:val="24"/>
                <w:highlight w:val="none"/>
                <w:lang w:eastAsia="zh-CN"/>
              </w:rPr>
              <w:t>清洗废液</w:t>
            </w:r>
            <w:r>
              <w:rPr>
                <w:rFonts w:hint="default" w:ascii="Times New Roman" w:hAnsi="Times New Roman" w:cs="Times New Roman"/>
                <w:color w:val="auto"/>
                <w:sz w:val="24"/>
                <w:szCs w:val="24"/>
                <w:highlight w:val="none"/>
              </w:rPr>
              <w:t>最大贮存面积需</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废</w:t>
            </w:r>
            <w:r>
              <w:rPr>
                <w:rFonts w:hint="eastAsia" w:cs="Times New Roman"/>
                <w:color w:val="auto"/>
                <w:sz w:val="24"/>
                <w:szCs w:val="24"/>
                <w:highlight w:val="none"/>
                <w:lang w:val="en-US" w:eastAsia="zh-CN"/>
              </w:rPr>
              <w:t>液压油</w:t>
            </w:r>
            <w:r>
              <w:rPr>
                <w:rFonts w:hint="default" w:ascii="Times New Roman" w:hAnsi="Times New Roman" w:cs="Times New Roman"/>
                <w:color w:val="auto"/>
                <w:sz w:val="24"/>
                <w:szCs w:val="24"/>
                <w:highlight w:val="none"/>
              </w:rPr>
              <w:t>最大贮存面积需</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lang w:eastAsia="zh-CN"/>
              </w:rPr>
              <w:t>，废活性炭</w:t>
            </w:r>
            <w:r>
              <w:rPr>
                <w:rFonts w:hint="default" w:ascii="Times New Roman" w:hAnsi="Times New Roman" w:cs="Times New Roman"/>
                <w:color w:val="auto"/>
                <w:sz w:val="24"/>
                <w:szCs w:val="24"/>
                <w:highlight w:val="none"/>
              </w:rPr>
              <w:t>最大贮存面积需</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本项目</w:t>
            </w:r>
            <w:r>
              <w:rPr>
                <w:rFonts w:hint="eastAsia" w:cs="Times New Roman"/>
                <w:color w:val="auto"/>
                <w:sz w:val="24"/>
                <w:szCs w:val="24"/>
                <w:highlight w:val="none"/>
                <w:lang w:val="en-US" w:eastAsia="zh-CN"/>
              </w:rPr>
              <w:t>将现有的危废库房（5</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eastAsia" w:cs="Times New Roman"/>
                <w:color w:val="auto"/>
                <w:sz w:val="24"/>
                <w:szCs w:val="24"/>
                <w:highlight w:val="none"/>
                <w:lang w:val="en-US" w:eastAsia="zh-CN"/>
              </w:rPr>
              <w:t>）扩建至1</w:t>
            </w:r>
            <w:r>
              <w:rPr>
                <w:rFonts w:hint="default" w:ascii="Times New Roman" w:hAnsi="Times New Roman" w:cs="Times New Roman"/>
                <w:color w:val="auto"/>
                <w:sz w:val="24"/>
                <w:szCs w:val="24"/>
                <w:highlight w:val="none"/>
              </w:rPr>
              <w:t>0m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 xml:space="preserve"> ，可以满足本项目</w:t>
            </w:r>
            <w:r>
              <w:rPr>
                <w:rFonts w:hint="eastAsia" w:cs="Times New Roman"/>
                <w:color w:val="auto"/>
                <w:sz w:val="24"/>
                <w:szCs w:val="24"/>
                <w:highlight w:val="none"/>
                <w:lang w:eastAsia="zh-CN"/>
              </w:rPr>
              <w:t>危废暂存</w:t>
            </w:r>
            <w:r>
              <w:rPr>
                <w:rFonts w:hint="default" w:ascii="Times New Roman" w:hAnsi="Times New Roman" w:cs="Times New Roman"/>
                <w:color w:val="auto"/>
                <w:sz w:val="24"/>
                <w:szCs w:val="24"/>
                <w:highlight w:val="none"/>
              </w:rPr>
              <w:t>需要。</w:t>
            </w:r>
          </w:p>
          <w:p>
            <w:pPr>
              <w:pStyle w:val="85"/>
              <w:keepNext w:val="0"/>
              <w:keepLines w:val="0"/>
              <w:pageBreakBefore w:val="0"/>
              <w:widowControl w:val="0"/>
              <w:kinsoku/>
              <w:wordWrap/>
              <w:overflowPunct/>
              <w:topLinePunct w:val="0"/>
              <w:autoSpaceDE w:val="0"/>
              <w:autoSpaceDN w:val="0"/>
              <w:bidi w:val="0"/>
              <w:adjustRightInd w:val="0"/>
              <w:snapToGrid w:val="0"/>
              <w:spacing w:beforeLines="0" w:line="500" w:lineRule="exact"/>
              <w:ind w:firstLine="0" w:firstLineChars="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表4-</w:t>
            </w:r>
            <w:r>
              <w:rPr>
                <w:rFonts w:hint="eastAsia" w:cs="Times New Roman"/>
                <w:b/>
                <w:color w:val="auto"/>
                <w:sz w:val="21"/>
                <w:szCs w:val="21"/>
                <w:lang w:val="en-US" w:eastAsia="zh-CN"/>
              </w:rPr>
              <w:t>21</w:t>
            </w:r>
            <w:r>
              <w:rPr>
                <w:rFonts w:hint="default" w:ascii="Times New Roman" w:hAnsi="Times New Roman" w:cs="Times New Roman"/>
                <w:b/>
                <w:color w:val="auto"/>
                <w:sz w:val="21"/>
                <w:szCs w:val="21"/>
                <w:lang w:val="en-US" w:eastAsia="zh-CN"/>
              </w:rPr>
              <w:t xml:space="preserve"> </w:t>
            </w:r>
            <w:r>
              <w:rPr>
                <w:rFonts w:hint="eastAsia" w:cs="Times New Roman"/>
                <w:b/>
                <w:color w:val="auto"/>
                <w:sz w:val="21"/>
                <w:szCs w:val="21"/>
                <w:lang w:val="en-US" w:eastAsia="zh-CN"/>
              </w:rPr>
              <w:t>全厂</w:t>
            </w:r>
            <w:r>
              <w:rPr>
                <w:rFonts w:hint="default" w:ascii="Times New Roman" w:hAnsi="Times New Roman" w:eastAsia="宋体" w:cs="Times New Roman"/>
                <w:b/>
                <w:color w:val="auto"/>
                <w:sz w:val="21"/>
                <w:szCs w:val="21"/>
                <w:lang w:val="en-US" w:eastAsia="zh-CN"/>
              </w:rPr>
              <w:t>危险废物贮存场所（设施）基本情况表</w:t>
            </w:r>
          </w:p>
          <w:tbl>
            <w:tblPr>
              <w:tblStyle w:val="27"/>
              <w:tblW w:w="495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79" w:type="dxa"/>
                <w:bottom w:w="0" w:type="dxa"/>
                <w:right w:w="79" w:type="dxa"/>
              </w:tblCellMar>
            </w:tblPr>
            <w:tblGrid>
              <w:gridCol w:w="425"/>
              <w:gridCol w:w="936"/>
              <w:gridCol w:w="1062"/>
              <w:gridCol w:w="874"/>
              <w:gridCol w:w="1310"/>
              <w:gridCol w:w="548"/>
              <w:gridCol w:w="823"/>
              <w:gridCol w:w="918"/>
              <w:gridCol w:w="973"/>
              <w:gridCol w:w="9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242" w:type="pct"/>
                  <w:tcBorders>
                    <w:tl2br w:val="nil"/>
                    <w:tr2bl w:val="nil"/>
                  </w:tcBorders>
                  <w:vAlign w:val="center"/>
                </w:tcPr>
                <w:p>
                  <w:pPr>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序号</w:t>
                  </w:r>
                </w:p>
              </w:tc>
              <w:tc>
                <w:tcPr>
                  <w:tcW w:w="533" w:type="pct"/>
                  <w:tcBorders>
                    <w:tl2br w:val="nil"/>
                    <w:tr2bl w:val="nil"/>
                  </w:tcBorders>
                  <w:vAlign w:val="center"/>
                </w:tcPr>
                <w:p>
                  <w:pPr>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贮存场所（设施）名称</w:t>
                  </w:r>
                </w:p>
              </w:tc>
              <w:tc>
                <w:tcPr>
                  <w:tcW w:w="605" w:type="pct"/>
                  <w:tcBorders>
                    <w:tl2br w:val="nil"/>
                    <w:tr2bl w:val="nil"/>
                  </w:tcBorders>
                  <w:vAlign w:val="center"/>
                </w:tcPr>
                <w:p>
                  <w:pPr>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危险废物名称</w:t>
                  </w:r>
                </w:p>
              </w:tc>
              <w:tc>
                <w:tcPr>
                  <w:tcW w:w="498" w:type="pct"/>
                  <w:tcBorders>
                    <w:tl2br w:val="nil"/>
                    <w:tr2bl w:val="nil"/>
                  </w:tcBorders>
                  <w:vAlign w:val="center"/>
                </w:tcPr>
                <w:p>
                  <w:pPr>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危险废物类别</w:t>
                  </w:r>
                </w:p>
              </w:tc>
              <w:tc>
                <w:tcPr>
                  <w:tcW w:w="746" w:type="pct"/>
                  <w:tcBorders>
                    <w:tl2br w:val="nil"/>
                    <w:tr2bl w:val="nil"/>
                  </w:tcBorders>
                  <w:vAlign w:val="center"/>
                </w:tcPr>
                <w:p>
                  <w:pPr>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危险废物代码</w:t>
                  </w:r>
                </w:p>
              </w:tc>
              <w:tc>
                <w:tcPr>
                  <w:tcW w:w="312" w:type="pct"/>
                  <w:tcBorders>
                    <w:tl2br w:val="nil"/>
                    <w:tr2bl w:val="nil"/>
                  </w:tcBorders>
                  <w:vAlign w:val="center"/>
                </w:tcPr>
                <w:p>
                  <w:pPr>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位置</w:t>
                  </w:r>
                </w:p>
              </w:tc>
              <w:tc>
                <w:tcPr>
                  <w:tcW w:w="469" w:type="pct"/>
                  <w:tcBorders>
                    <w:tl2br w:val="nil"/>
                    <w:tr2bl w:val="nil"/>
                  </w:tcBorders>
                  <w:vAlign w:val="center"/>
                </w:tcPr>
                <w:p>
                  <w:pPr>
                    <w:pStyle w:val="8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占地面积（m</w:t>
                  </w:r>
                  <w:r>
                    <w:rPr>
                      <w:rFonts w:hint="default" w:ascii="Times New Roman" w:hAnsi="Times New Roman" w:cs="Times New Roman"/>
                      <w:b/>
                      <w:bCs/>
                      <w:color w:val="auto"/>
                      <w:sz w:val="21"/>
                      <w:szCs w:val="21"/>
                      <w:vertAlign w:val="superscript"/>
                    </w:rPr>
                    <w:t>2</w:t>
                  </w:r>
                  <w:r>
                    <w:rPr>
                      <w:rFonts w:hint="default" w:ascii="Times New Roman" w:hAnsi="Times New Roman" w:cs="Times New Roman"/>
                      <w:b/>
                      <w:bCs/>
                      <w:color w:val="auto"/>
                      <w:sz w:val="21"/>
                      <w:szCs w:val="21"/>
                    </w:rPr>
                    <w:t>）</w:t>
                  </w:r>
                </w:p>
              </w:tc>
              <w:tc>
                <w:tcPr>
                  <w:tcW w:w="523" w:type="pct"/>
                  <w:tcBorders>
                    <w:tl2br w:val="nil"/>
                    <w:tr2bl w:val="nil"/>
                  </w:tcBorders>
                  <w:vAlign w:val="center"/>
                </w:tcPr>
                <w:p>
                  <w:pPr>
                    <w:pStyle w:val="8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贮存方式</w:t>
                  </w:r>
                </w:p>
              </w:tc>
              <w:tc>
                <w:tcPr>
                  <w:tcW w:w="554" w:type="pct"/>
                  <w:tcBorders>
                    <w:tl2br w:val="nil"/>
                    <w:tr2bl w:val="nil"/>
                  </w:tcBorders>
                  <w:vAlign w:val="center"/>
                </w:tcPr>
                <w:p>
                  <w:pPr>
                    <w:pStyle w:val="8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pStyle w:val="8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能力（t）</w:t>
                  </w:r>
                </w:p>
              </w:tc>
              <w:tc>
                <w:tcPr>
                  <w:tcW w:w="513" w:type="pct"/>
                  <w:tcBorders>
                    <w:tl2br w:val="nil"/>
                    <w:tr2bl w:val="nil"/>
                  </w:tcBorders>
                  <w:vAlign w:val="center"/>
                </w:tcPr>
                <w:p>
                  <w:pPr>
                    <w:pStyle w:val="8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pStyle w:val="8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9" w:type="dxa"/>
                  <w:bottom w:w="0" w:type="dxa"/>
                  <w:right w:w="79" w:type="dxa"/>
                </w:tblCellMar>
              </w:tblPrEx>
              <w:trPr>
                <w:trHeight w:val="397" w:hRule="atLeast"/>
                <w:jc w:val="center"/>
              </w:trPr>
              <w:tc>
                <w:tcPr>
                  <w:tcW w:w="242" w:type="pct"/>
                  <w:tcBorders>
                    <w:tl2br w:val="nil"/>
                    <w:tr2bl w:val="nil"/>
                  </w:tcBorders>
                  <w:vAlign w:val="center"/>
                </w:tcPr>
                <w:p>
                  <w:pPr>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w:t>
                  </w:r>
                </w:p>
              </w:tc>
              <w:tc>
                <w:tcPr>
                  <w:tcW w:w="533" w:type="pct"/>
                  <w:vMerge w:val="restart"/>
                  <w:tcBorders>
                    <w:tl2br w:val="nil"/>
                    <w:tr2bl w:val="nil"/>
                  </w:tcBorders>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危废</w:t>
                  </w:r>
                </w:p>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仓库</w:t>
                  </w:r>
                </w:p>
              </w:tc>
              <w:tc>
                <w:tcPr>
                  <w:tcW w:w="605" w:type="pct"/>
                  <w:tcBorders>
                    <w:tl2br w:val="nil"/>
                    <w:tr2bl w:val="nil"/>
                  </w:tcBorders>
                  <w:vAlign w:val="center"/>
                </w:tcPr>
                <w:p>
                  <w:pPr>
                    <w:pStyle w:val="6"/>
                    <w:adjustRightInd w:val="0"/>
                    <w:snapToGrid w:val="0"/>
                    <w:ind w:firstLine="0" w:firstLineChars="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清洗废液</w:t>
                  </w:r>
                </w:p>
              </w:tc>
              <w:tc>
                <w:tcPr>
                  <w:tcW w:w="498"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Cs/>
                      <w:color w:val="auto"/>
                      <w:sz w:val="21"/>
                      <w:szCs w:val="21"/>
                    </w:rPr>
                  </w:pPr>
                  <w:r>
                    <w:rPr>
                      <w:rFonts w:hint="default" w:ascii="Times New Roman" w:hAnsi="Times New Roman" w:eastAsia="宋体" w:cs="Times New Roman"/>
                      <w:color w:val="auto"/>
                      <w:kern w:val="2"/>
                      <w:sz w:val="21"/>
                      <w:szCs w:val="21"/>
                      <w:lang w:val="en-US" w:eastAsia="zh-CN" w:bidi="ar-SA"/>
                    </w:rPr>
                    <w:t>HW17</w:t>
                  </w:r>
                </w:p>
              </w:tc>
              <w:tc>
                <w:tcPr>
                  <w:tcW w:w="746" w:type="pct"/>
                  <w:tcBorders>
                    <w:tl2br w:val="nil"/>
                    <w:tr2bl w:val="nil"/>
                  </w:tcBorders>
                  <w:vAlign w:val="center"/>
                </w:tcPr>
                <w:p>
                  <w:pPr>
                    <w:adjustRightInd w:val="0"/>
                    <w:snapToGrid w:val="0"/>
                    <w:jc w:val="center"/>
                    <w:rPr>
                      <w:bCs/>
                      <w:color w:val="auto"/>
                      <w:sz w:val="21"/>
                      <w:szCs w:val="21"/>
                    </w:rPr>
                  </w:pPr>
                  <w:r>
                    <w:rPr>
                      <w:rFonts w:hint="default" w:ascii="Times New Roman" w:hAnsi="Times New Roman" w:eastAsia="宋体" w:cs="Times New Roman"/>
                      <w:color w:val="auto"/>
                      <w:szCs w:val="21"/>
                      <w:lang w:val="en-US" w:eastAsia="zh-CN"/>
                    </w:rPr>
                    <w:t>336</w:t>
                  </w:r>
                  <w:r>
                    <w:rPr>
                      <w:rFonts w:hint="default" w:ascii="Times New Roman" w:hAnsi="Times New Roman" w:eastAsia="宋体" w:cs="Times New Roman"/>
                      <w:color w:val="auto"/>
                      <w:szCs w:val="21"/>
                    </w:rPr>
                    <w:t>-0</w:t>
                  </w:r>
                  <w:r>
                    <w:rPr>
                      <w:rFonts w:hint="default" w:ascii="Times New Roman" w:hAnsi="Times New Roman" w:eastAsia="宋体" w:cs="Times New Roman"/>
                      <w:color w:val="auto"/>
                      <w:szCs w:val="21"/>
                      <w:lang w:val="en-US" w:eastAsia="zh-CN"/>
                    </w:rPr>
                    <w:t>64</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17</w:t>
                  </w:r>
                </w:p>
              </w:tc>
              <w:tc>
                <w:tcPr>
                  <w:tcW w:w="312" w:type="pct"/>
                  <w:vMerge w:val="restart"/>
                  <w:tcBorders>
                    <w:tl2br w:val="nil"/>
                    <w:tr2bl w:val="nil"/>
                  </w:tcBorders>
                  <w:vAlign w:val="center"/>
                </w:tcPr>
                <w:p>
                  <w:pPr>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仓库内</w:t>
                  </w:r>
                </w:p>
              </w:tc>
              <w:tc>
                <w:tcPr>
                  <w:tcW w:w="469" w:type="pct"/>
                  <w:vMerge w:val="restart"/>
                  <w:tcBorders>
                    <w:tl2br w:val="nil"/>
                    <w:tr2bl w:val="nil"/>
                  </w:tcBorders>
                  <w:vAlign w:val="center"/>
                </w:tcPr>
                <w:p>
                  <w:pPr>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10</w:t>
                  </w:r>
                </w:p>
              </w:tc>
              <w:tc>
                <w:tcPr>
                  <w:tcW w:w="523" w:type="pct"/>
                  <w:vMerge w:val="restart"/>
                  <w:tcBorders>
                    <w:tl2br w:val="nil"/>
                    <w:tr2bl w:val="nil"/>
                  </w:tcBorders>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贴上标签，密封桶/袋装，分区放置</w:t>
                  </w:r>
                </w:p>
              </w:tc>
              <w:tc>
                <w:tcPr>
                  <w:tcW w:w="554" w:type="pct"/>
                  <w:tcBorders>
                    <w:tl2br w:val="nil"/>
                    <w:tr2bl w:val="nil"/>
                  </w:tcBorders>
                  <w:vAlign w:val="center"/>
                </w:tcPr>
                <w:p>
                  <w:pPr>
                    <w:widowControl/>
                    <w:jc w:val="center"/>
                    <w:rPr>
                      <w:rFonts w:hint="default" w:cs="Times New Roman"/>
                      <w:color w:val="auto"/>
                      <w:kern w:val="0"/>
                      <w:lang w:val="en-US" w:eastAsia="zh-CN"/>
                    </w:rPr>
                  </w:pPr>
                  <w:r>
                    <w:rPr>
                      <w:rFonts w:hint="eastAsia" w:cs="Times New Roman"/>
                      <w:color w:val="auto"/>
                      <w:kern w:val="0"/>
                      <w:lang w:val="en-US" w:eastAsia="zh-CN"/>
                    </w:rPr>
                    <w:t>0.03</w:t>
                  </w:r>
                </w:p>
              </w:tc>
              <w:tc>
                <w:tcPr>
                  <w:tcW w:w="513" w:type="pct"/>
                  <w:tcBorders>
                    <w:tl2br w:val="nil"/>
                    <w:tr2bl w:val="nil"/>
                  </w:tcBorders>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9" w:type="dxa"/>
                  <w:bottom w:w="0" w:type="dxa"/>
                  <w:right w:w="79" w:type="dxa"/>
                </w:tblCellMar>
              </w:tblPrEx>
              <w:trPr>
                <w:trHeight w:val="397" w:hRule="atLeast"/>
                <w:jc w:val="center"/>
              </w:trPr>
              <w:tc>
                <w:tcPr>
                  <w:tcW w:w="242" w:type="pct"/>
                  <w:tcBorders>
                    <w:tl2br w:val="nil"/>
                    <w:tr2bl w:val="nil"/>
                  </w:tcBorders>
                  <w:vAlign w:val="center"/>
                </w:tcPr>
                <w:p>
                  <w:pPr>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2</w:t>
                  </w:r>
                </w:p>
              </w:tc>
              <w:tc>
                <w:tcPr>
                  <w:tcW w:w="533" w:type="pct"/>
                  <w:vMerge w:val="continue"/>
                  <w:tcBorders>
                    <w:tl2br w:val="nil"/>
                    <w:tr2bl w:val="nil"/>
                  </w:tcBorders>
                  <w:vAlign w:val="center"/>
                </w:tcPr>
                <w:p>
                  <w:pPr>
                    <w:jc w:val="center"/>
                    <w:rPr>
                      <w:rFonts w:hint="default" w:ascii="Times New Roman" w:hAnsi="Times New Roman" w:cs="Times New Roman"/>
                      <w:color w:val="auto"/>
                      <w:kern w:val="0"/>
                      <w:szCs w:val="21"/>
                    </w:rPr>
                  </w:pPr>
                </w:p>
              </w:tc>
              <w:tc>
                <w:tcPr>
                  <w:tcW w:w="605" w:type="pct"/>
                  <w:tcBorders>
                    <w:tl2br w:val="nil"/>
                    <w:tr2bl w:val="nil"/>
                  </w:tcBorders>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eastAsia="zh-CN"/>
                    </w:rPr>
                    <w:t>废液压油</w:t>
                  </w:r>
                </w:p>
              </w:tc>
              <w:tc>
                <w:tcPr>
                  <w:tcW w:w="498" w:type="pct"/>
                  <w:tcBorders>
                    <w:tl2br w:val="nil"/>
                    <w:tr2bl w:val="nil"/>
                  </w:tcBorders>
                  <w:vAlign w:val="center"/>
                </w:tcPr>
                <w:p>
                  <w:pPr>
                    <w:widowControl/>
                    <w:snapToGrid w:val="0"/>
                    <w:jc w:val="center"/>
                    <w:rPr>
                      <w:rFonts w:hint="default" w:ascii="Times New Roman" w:hAnsi="Times New Roman" w:eastAsia="宋体" w:cs="Times New Roman"/>
                      <w:color w:val="auto"/>
                      <w:kern w:val="2"/>
                      <w:sz w:val="21"/>
                      <w:szCs w:val="21"/>
                      <w:lang w:val="en-US" w:eastAsia="zh-CN" w:bidi="ar-SA"/>
                    </w:rPr>
                  </w:pPr>
                  <w:r>
                    <w:rPr>
                      <w:bCs/>
                      <w:color w:val="auto"/>
                      <w:sz w:val="21"/>
                      <w:szCs w:val="21"/>
                    </w:rPr>
                    <w:t>HW08</w:t>
                  </w:r>
                </w:p>
              </w:tc>
              <w:tc>
                <w:tcPr>
                  <w:tcW w:w="746" w:type="pct"/>
                  <w:tcBorders>
                    <w:tl2br w:val="nil"/>
                    <w:tr2bl w:val="nil"/>
                  </w:tcBorders>
                  <w:vAlign w:val="center"/>
                </w:tcPr>
                <w:p>
                  <w:pPr>
                    <w:widowControl/>
                    <w:snapToGrid w:val="0"/>
                    <w:jc w:val="center"/>
                    <w:rPr>
                      <w:rFonts w:hint="default" w:ascii="Times New Roman" w:hAnsi="Times New Roman" w:eastAsia="宋体" w:cs="Times New Roman"/>
                      <w:color w:val="auto"/>
                      <w:kern w:val="2"/>
                      <w:sz w:val="21"/>
                      <w:szCs w:val="21"/>
                      <w:lang w:val="en-US" w:eastAsia="zh-CN" w:bidi="ar-SA"/>
                    </w:rPr>
                  </w:pPr>
                  <w:r>
                    <w:rPr>
                      <w:bCs/>
                      <w:color w:val="auto"/>
                      <w:sz w:val="21"/>
                      <w:szCs w:val="21"/>
                    </w:rPr>
                    <w:t>900-21</w:t>
                  </w:r>
                  <w:r>
                    <w:rPr>
                      <w:rFonts w:hint="eastAsia"/>
                      <w:bCs/>
                      <w:color w:val="auto"/>
                      <w:sz w:val="21"/>
                      <w:szCs w:val="21"/>
                      <w:lang w:val="en-US" w:eastAsia="zh-CN"/>
                    </w:rPr>
                    <w:t>8</w:t>
                  </w:r>
                  <w:r>
                    <w:rPr>
                      <w:bCs/>
                      <w:color w:val="auto"/>
                      <w:sz w:val="21"/>
                      <w:szCs w:val="21"/>
                    </w:rPr>
                    <w:t>-08</w:t>
                  </w:r>
                </w:p>
              </w:tc>
              <w:tc>
                <w:tcPr>
                  <w:tcW w:w="312" w:type="pct"/>
                  <w:vMerge w:val="continue"/>
                  <w:tcBorders>
                    <w:tl2br w:val="nil"/>
                    <w:tr2bl w:val="nil"/>
                  </w:tcBorders>
                  <w:vAlign w:val="center"/>
                </w:tcPr>
                <w:p>
                  <w:pPr>
                    <w:jc w:val="center"/>
                    <w:rPr>
                      <w:rFonts w:hint="default" w:ascii="Times New Roman" w:hAnsi="Times New Roman" w:eastAsia="宋体" w:cs="Times New Roman"/>
                      <w:color w:val="auto"/>
                      <w:kern w:val="0"/>
                      <w:szCs w:val="21"/>
                      <w:lang w:val="en-US" w:eastAsia="zh-CN"/>
                    </w:rPr>
                  </w:pPr>
                </w:p>
              </w:tc>
              <w:tc>
                <w:tcPr>
                  <w:tcW w:w="469" w:type="pct"/>
                  <w:vMerge w:val="continue"/>
                  <w:tcBorders>
                    <w:tl2br w:val="nil"/>
                    <w:tr2bl w:val="nil"/>
                  </w:tcBorders>
                  <w:vAlign w:val="center"/>
                </w:tcPr>
                <w:p>
                  <w:pPr>
                    <w:jc w:val="center"/>
                    <w:rPr>
                      <w:rFonts w:hint="default" w:ascii="Times New Roman" w:hAnsi="Times New Roman" w:eastAsia="宋体" w:cs="Times New Roman"/>
                      <w:color w:val="auto"/>
                      <w:kern w:val="0"/>
                      <w:szCs w:val="21"/>
                      <w:lang w:val="en-US" w:eastAsia="zh-CN"/>
                    </w:rPr>
                  </w:pPr>
                </w:p>
              </w:tc>
              <w:tc>
                <w:tcPr>
                  <w:tcW w:w="523" w:type="pct"/>
                  <w:vMerge w:val="continue"/>
                  <w:tcBorders>
                    <w:tl2br w:val="nil"/>
                    <w:tr2bl w:val="nil"/>
                  </w:tcBorders>
                  <w:vAlign w:val="center"/>
                </w:tcPr>
                <w:p>
                  <w:pPr>
                    <w:jc w:val="center"/>
                    <w:rPr>
                      <w:rFonts w:hint="default" w:ascii="Times New Roman" w:hAnsi="Times New Roman" w:cs="Times New Roman"/>
                      <w:color w:val="auto"/>
                      <w:kern w:val="0"/>
                      <w:szCs w:val="21"/>
                    </w:rPr>
                  </w:pPr>
                </w:p>
              </w:tc>
              <w:tc>
                <w:tcPr>
                  <w:tcW w:w="554" w:type="pct"/>
                  <w:tcBorders>
                    <w:tl2br w:val="nil"/>
                    <w:tr2bl w:val="nil"/>
                  </w:tcBorders>
                  <w:vAlign w:val="center"/>
                </w:tcPr>
                <w:p>
                  <w:pPr>
                    <w:widowControl/>
                    <w:jc w:val="center"/>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3</w:t>
                  </w:r>
                  <w:r>
                    <w:rPr>
                      <w:rFonts w:hint="eastAsia" w:ascii="Times New Roman" w:hAnsi="Times New Roman" w:eastAsia="宋体" w:cs="Times New Roman"/>
                      <w:color w:val="auto"/>
                      <w:kern w:val="0"/>
                      <w:lang w:val="en-US" w:eastAsia="zh-CN"/>
                    </w:rPr>
                    <w:t xml:space="preserve"> </w:t>
                  </w:r>
                </w:p>
              </w:tc>
              <w:tc>
                <w:tcPr>
                  <w:tcW w:w="513" w:type="pct"/>
                  <w:tcBorders>
                    <w:tl2br w:val="nil"/>
                    <w:tr2bl w:val="nil"/>
                  </w:tcBorders>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9" w:type="dxa"/>
                  <w:bottom w:w="0" w:type="dxa"/>
                  <w:right w:w="79" w:type="dxa"/>
                </w:tblCellMar>
              </w:tblPrEx>
              <w:trPr>
                <w:trHeight w:val="397" w:hRule="atLeast"/>
                <w:jc w:val="center"/>
              </w:trPr>
              <w:tc>
                <w:tcPr>
                  <w:tcW w:w="242" w:type="pct"/>
                  <w:tcBorders>
                    <w:tl2br w:val="nil"/>
                    <w:tr2bl w:val="nil"/>
                  </w:tcBorders>
                  <w:vAlign w:val="center"/>
                </w:tcPr>
                <w:p>
                  <w:pPr>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3</w:t>
                  </w:r>
                </w:p>
              </w:tc>
              <w:tc>
                <w:tcPr>
                  <w:tcW w:w="533" w:type="pct"/>
                  <w:vMerge w:val="continue"/>
                  <w:tcBorders>
                    <w:tl2br w:val="nil"/>
                    <w:tr2bl w:val="nil"/>
                  </w:tcBorders>
                  <w:vAlign w:val="center"/>
                </w:tcPr>
                <w:p>
                  <w:pPr>
                    <w:jc w:val="center"/>
                    <w:rPr>
                      <w:rFonts w:hint="default" w:ascii="Times New Roman" w:hAnsi="Times New Roman" w:cs="Times New Roman"/>
                      <w:color w:val="auto"/>
                      <w:kern w:val="0"/>
                      <w:szCs w:val="21"/>
                    </w:rPr>
                  </w:pPr>
                </w:p>
              </w:tc>
              <w:tc>
                <w:tcPr>
                  <w:tcW w:w="605" w:type="pct"/>
                  <w:tcBorders>
                    <w:tl2br w:val="nil"/>
                    <w:tr2bl w:val="nil"/>
                  </w:tcBorders>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废活性炭</w:t>
                  </w:r>
                </w:p>
              </w:tc>
              <w:tc>
                <w:tcPr>
                  <w:tcW w:w="498" w:type="pct"/>
                  <w:tcBorders>
                    <w:tl2br w:val="nil"/>
                    <w:tr2bl w:val="nil"/>
                  </w:tcBorders>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HW49</w:t>
                  </w:r>
                </w:p>
              </w:tc>
              <w:tc>
                <w:tcPr>
                  <w:tcW w:w="746" w:type="pct"/>
                  <w:tcBorders>
                    <w:tl2br w:val="nil"/>
                    <w:tr2bl w:val="nil"/>
                  </w:tcBorders>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900-039-49</w:t>
                  </w:r>
                </w:p>
              </w:tc>
              <w:tc>
                <w:tcPr>
                  <w:tcW w:w="312" w:type="pct"/>
                  <w:vMerge w:val="continue"/>
                  <w:tcBorders>
                    <w:tl2br w:val="nil"/>
                    <w:tr2bl w:val="nil"/>
                  </w:tcBorders>
                  <w:vAlign w:val="center"/>
                </w:tcPr>
                <w:p>
                  <w:pPr>
                    <w:jc w:val="center"/>
                    <w:rPr>
                      <w:rFonts w:hint="default" w:ascii="Times New Roman" w:hAnsi="Times New Roman" w:cs="Times New Roman"/>
                      <w:color w:val="auto"/>
                      <w:kern w:val="0"/>
                      <w:szCs w:val="21"/>
                    </w:rPr>
                  </w:pPr>
                </w:p>
              </w:tc>
              <w:tc>
                <w:tcPr>
                  <w:tcW w:w="469" w:type="pct"/>
                  <w:vMerge w:val="continue"/>
                  <w:tcBorders>
                    <w:tl2br w:val="nil"/>
                    <w:tr2bl w:val="nil"/>
                  </w:tcBorders>
                  <w:vAlign w:val="center"/>
                </w:tcPr>
                <w:p>
                  <w:pPr>
                    <w:jc w:val="center"/>
                    <w:rPr>
                      <w:rFonts w:hint="default" w:ascii="Times New Roman" w:hAnsi="Times New Roman" w:cs="Times New Roman"/>
                      <w:color w:val="auto"/>
                      <w:kern w:val="0"/>
                      <w:szCs w:val="21"/>
                    </w:rPr>
                  </w:pPr>
                </w:p>
              </w:tc>
              <w:tc>
                <w:tcPr>
                  <w:tcW w:w="523" w:type="pct"/>
                  <w:vMerge w:val="continue"/>
                  <w:tcBorders>
                    <w:tl2br w:val="nil"/>
                    <w:tr2bl w:val="nil"/>
                  </w:tcBorders>
                  <w:vAlign w:val="center"/>
                </w:tcPr>
                <w:p>
                  <w:pPr>
                    <w:jc w:val="center"/>
                    <w:rPr>
                      <w:rFonts w:hint="default" w:ascii="Times New Roman" w:hAnsi="Times New Roman" w:cs="Times New Roman"/>
                      <w:color w:val="auto"/>
                      <w:kern w:val="0"/>
                      <w:szCs w:val="21"/>
                    </w:rPr>
                  </w:pPr>
                </w:p>
              </w:tc>
              <w:tc>
                <w:tcPr>
                  <w:tcW w:w="554" w:type="pct"/>
                  <w:tcBorders>
                    <w:tl2br w:val="nil"/>
                    <w:tr2bl w:val="nil"/>
                  </w:tcBorders>
                  <w:vAlign w:val="center"/>
                </w:tcPr>
                <w:p>
                  <w:pPr>
                    <w:widowControl/>
                    <w:jc w:val="center"/>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1.68</w:t>
                  </w:r>
                </w:p>
              </w:tc>
              <w:tc>
                <w:tcPr>
                  <w:tcW w:w="513" w:type="pct"/>
                  <w:tcBorders>
                    <w:tl2br w:val="nil"/>
                    <w:tr2bl w:val="nil"/>
                  </w:tcBorders>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3个月</w:t>
                  </w:r>
                </w:p>
              </w:tc>
            </w:tr>
          </w:tbl>
          <w:p>
            <w:pPr>
              <w:pStyle w:val="6"/>
              <w:adjustRightInd w:val="0"/>
              <w:snapToGrid w:val="0"/>
              <w:spacing w:line="500" w:lineRule="exact"/>
              <w:ind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lang w:val="en-US" w:eastAsia="zh-CN"/>
              </w:rPr>
              <w:t>5、</w:t>
            </w:r>
            <w:r>
              <w:rPr>
                <w:rFonts w:hint="default" w:ascii="Times New Roman" w:hAnsi="Times New Roman" w:cs="Times New Roman"/>
                <w:b/>
                <w:bCs/>
                <w:color w:val="auto"/>
                <w:sz w:val="24"/>
              </w:rPr>
              <w:t>环境管理要求</w:t>
            </w:r>
          </w:p>
          <w:p>
            <w:pPr>
              <w:adjustRightInd w:val="0"/>
              <w:snapToGrid w:val="0"/>
              <w:spacing w:line="500" w:lineRule="exact"/>
              <w:ind w:firstLine="480" w:firstLineChars="200"/>
              <w:rPr>
                <w:rFonts w:hint="default"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①</w:t>
            </w:r>
            <w:r>
              <w:rPr>
                <w:rFonts w:hint="default" w:ascii="Times New Roman" w:hAnsi="Times New Roman" w:eastAsia="宋体" w:cs="Times New Roman"/>
                <w:bCs/>
                <w:color w:val="auto"/>
                <w:sz w:val="24"/>
                <w:lang w:eastAsia="zh-CN"/>
              </w:rPr>
              <w:t>危险</w:t>
            </w:r>
            <w:r>
              <w:rPr>
                <w:rFonts w:hint="default" w:ascii="Times New Roman" w:hAnsi="Times New Roman" w:eastAsia="宋体" w:cs="Times New Roman"/>
                <w:bCs/>
                <w:color w:val="auto"/>
                <w:sz w:val="24"/>
                <w:lang w:val="en-US" w:eastAsia="zh-CN"/>
              </w:rPr>
              <w:t>废物</w:t>
            </w:r>
            <w:r>
              <w:rPr>
                <w:rFonts w:hint="default" w:ascii="Times New Roman" w:hAnsi="Times New Roman" w:eastAsia="宋体" w:cs="Times New Roman"/>
                <w:bCs/>
                <w:color w:val="auto"/>
                <w:sz w:val="24"/>
                <w:lang w:eastAsia="zh-CN"/>
              </w:rPr>
              <w:t>管理要求</w:t>
            </w:r>
          </w:p>
          <w:p>
            <w:pPr>
              <w:adjustRightInd w:val="0"/>
              <w:snapToGrid w:val="0"/>
              <w:spacing w:line="500" w:lineRule="exact"/>
              <w:ind w:firstLine="480" w:firstLineChars="200"/>
              <w:rPr>
                <w:rFonts w:hint="default" w:ascii="Times New Roman" w:hAnsi="Times New Roman" w:eastAsia="宋体" w:cs="Times New Roman"/>
                <w:bCs/>
                <w:color w:val="auto"/>
                <w:sz w:val="24"/>
                <w:lang w:eastAsia="zh-CN"/>
              </w:rPr>
            </w:pPr>
            <w:r>
              <w:rPr>
                <w:rFonts w:hint="default" w:ascii="Times New Roman" w:hAnsi="Times New Roman" w:cs="Times New Roman"/>
                <w:bCs/>
                <w:color w:val="auto"/>
                <w:sz w:val="24"/>
              </w:rPr>
              <w:t>根据《省生态环境厅关于进一步加强危险废物污染防治工作的实施意见》（</w:t>
            </w:r>
            <w:r>
              <w:rPr>
                <w:rFonts w:hint="default" w:ascii="Times New Roman" w:hAnsi="Times New Roman" w:eastAsia="宋体" w:cs="Times New Roman"/>
                <w:bCs/>
                <w:color w:val="auto"/>
                <w:sz w:val="24"/>
                <w:lang w:eastAsia="zh-CN"/>
              </w:rPr>
              <w:t>苏环办【2019】327号）要求：</w:t>
            </w:r>
          </w:p>
          <w:p>
            <w:pPr>
              <w:adjustRightInd w:val="0"/>
              <w:snapToGrid w:val="0"/>
              <w:spacing w:line="500" w:lineRule="exact"/>
              <w:ind w:firstLine="480" w:firstLineChars="200"/>
              <w:rPr>
                <w:rFonts w:hint="default"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强化危废申报登记。应按规定申报危废产生、贮存、转移、利用处置等信息，制定危险废物年度管理计划，并在“江苏省危险废物动态管理信息系统”中备案。管理计划如需调整变更的，应重新在系统中申请备案。应结合自身实际，建立危废台账，如实记载危险废物种类、数量、性质、产生环节、流向、贮存、利用处理等信息，并在“江苏省危险废物动态管理信息系统”中进行如实规范申报，申报数据应与台账、管理计划数据相一致。</w:t>
            </w:r>
          </w:p>
          <w:p>
            <w:pPr>
              <w:adjustRightInd w:val="0"/>
              <w:snapToGrid w:val="0"/>
              <w:spacing w:line="500" w:lineRule="exact"/>
              <w:ind w:firstLine="480" w:firstLineChars="200"/>
              <w:rPr>
                <w:rFonts w:hint="default"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落实信息公开制度。按照要求在厂门口显著位置设置危险废物信息公开栏，主动公开危险废物产生、利用处置等情况；有官方网站的，在官网同时公开相关信息。</w:t>
            </w:r>
          </w:p>
          <w:p>
            <w:pPr>
              <w:adjustRightInd w:val="0"/>
              <w:snapToGrid w:val="0"/>
              <w:spacing w:line="500" w:lineRule="exact"/>
              <w:ind w:firstLine="480" w:firstLineChars="200"/>
              <w:rPr>
                <w:rFonts w:hint="default" w:ascii="Times New Roman" w:hAnsi="Times New Roman" w:cs="Times New Roman"/>
                <w:color w:val="auto"/>
              </w:rPr>
            </w:pPr>
            <w:r>
              <w:rPr>
                <w:rFonts w:hint="default" w:ascii="Times New Roman" w:hAnsi="Times New Roman" w:cs="Times New Roman"/>
                <w:color w:val="auto"/>
                <w:kern w:val="0"/>
                <w:sz w:val="24"/>
              </w:rPr>
              <w:t>根据《省生态环境厅关于进一步加强危险废物环境管理工作的通知》（苏环办【2021】207号），危险废物产生后必须用容器或包装袋密封储存，产生的危险固废暂存在危废仓库前通过“江苏省危险废物全生命周期监控系统”进行危险废物日常申报登记，并自动生成二维码包装标识，在容器显著位置张贴带有二维码的标识，同时同步记录纸质危废台账。</w:t>
            </w:r>
          </w:p>
          <w:p>
            <w:pPr>
              <w:adjustRightInd w:val="0"/>
              <w:snapToGrid w:val="0"/>
              <w:spacing w:line="500" w:lineRule="exact"/>
              <w:ind w:firstLine="480" w:firstLineChars="200"/>
              <w:rPr>
                <w:rFonts w:hint="default"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②</w:t>
            </w:r>
            <w:r>
              <w:rPr>
                <w:rFonts w:hint="default" w:ascii="Times New Roman" w:hAnsi="Times New Roman" w:eastAsia="宋体" w:cs="Times New Roman"/>
                <w:bCs/>
                <w:color w:val="auto"/>
                <w:sz w:val="24"/>
                <w:lang w:eastAsia="zh-CN"/>
              </w:rPr>
              <w:t>一般工业固废管理要求</w:t>
            </w:r>
          </w:p>
          <w:p>
            <w:pPr>
              <w:pStyle w:val="6"/>
              <w:adjustRightInd w:val="0"/>
              <w:snapToGrid w:val="0"/>
              <w:spacing w:line="500" w:lineRule="exact"/>
              <w:ind w:firstLine="480" w:firstLineChars="200"/>
              <w:rPr>
                <w:rFonts w:hint="default" w:ascii="Times New Roman" w:hAnsi="Times New Roman" w:eastAsia="宋体" w:cs="Times New Roman"/>
                <w:color w:val="auto"/>
                <w:kern w:val="0"/>
                <w:sz w:val="24"/>
              </w:rPr>
            </w:pPr>
            <w:r>
              <w:rPr>
                <w:rFonts w:hint="default" w:ascii="Times New Roman" w:hAnsi="Times New Roman" w:cs="Times New Roman"/>
                <w:color w:val="auto"/>
                <w:kern w:val="0"/>
                <w:sz w:val="24"/>
              </w:rPr>
              <w:t>建设单位应严格执行《</w:t>
            </w:r>
            <w:r>
              <w:rPr>
                <w:rFonts w:hint="default" w:ascii="Times New Roman" w:hAnsi="Times New Roman" w:cs="Times New Roman"/>
                <w:color w:val="auto"/>
                <w:kern w:val="0"/>
                <w:sz w:val="24"/>
                <w:lang w:val="en-US" w:eastAsia="zh-CN"/>
              </w:rPr>
              <w:t>一般工业固体废物贮存和填埋污染控制标准</w:t>
            </w:r>
            <w:r>
              <w:rPr>
                <w:rFonts w:hint="default" w:ascii="Times New Roman" w:hAnsi="Times New Roman" w:cs="Times New Roman"/>
                <w:color w:val="auto"/>
                <w:kern w:val="0"/>
                <w:sz w:val="24"/>
              </w:rPr>
              <w:t>》（GB18599-2020），</w:t>
            </w:r>
            <w:r>
              <w:rPr>
                <w:rFonts w:hint="default" w:ascii="Times New Roman" w:hAnsi="Times New Roman" w:cs="Times New Roman"/>
                <w:color w:val="auto"/>
                <w:sz w:val="24"/>
              </w:rPr>
              <w:t>边角料</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次品、废包装材料</w:t>
            </w:r>
            <w:r>
              <w:rPr>
                <w:rFonts w:hint="default" w:ascii="Times New Roman" w:hAnsi="Times New Roman" w:cs="Times New Roman"/>
                <w:color w:val="auto"/>
                <w:kern w:val="0"/>
                <w:sz w:val="24"/>
                <w:szCs w:val="24"/>
              </w:rPr>
              <w:t>收集后分别送至现有一般固废暂</w:t>
            </w:r>
            <w:r>
              <w:rPr>
                <w:rFonts w:hint="default" w:ascii="Times New Roman" w:hAnsi="Times New Roman" w:eastAsia="宋体" w:cs="Times New Roman"/>
                <w:color w:val="auto"/>
                <w:kern w:val="0"/>
                <w:sz w:val="24"/>
                <w:szCs w:val="24"/>
              </w:rPr>
              <w:t>存场所进行分类暂存，杜绝混合存放。</w:t>
            </w:r>
          </w:p>
          <w:p>
            <w:pPr>
              <w:pStyle w:val="6"/>
              <w:adjustRightInd w:val="0"/>
              <w:snapToGrid w:val="0"/>
              <w:spacing w:line="500" w:lineRule="exact"/>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lang w:val="en-US" w:eastAsia="zh-CN"/>
              </w:rPr>
              <w:t>企业在做好废物产生、收集、贮运、处置各环节的措施及厂内管理后，固废均能得到合理、有效的处置。因此，厂内产生的固体废物经有效处理和处置后对环境影响较小。</w:t>
            </w:r>
          </w:p>
          <w:p>
            <w:pPr>
              <w:pStyle w:val="6"/>
              <w:adjustRightInd w:val="0"/>
              <w:snapToGrid w:val="0"/>
              <w:spacing w:line="500" w:lineRule="exact"/>
              <w:ind w:firstLine="0"/>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eastAsia="zh-CN"/>
              </w:rPr>
              <w:t>五</w:t>
            </w:r>
            <w:r>
              <w:rPr>
                <w:rFonts w:hint="default" w:ascii="Times New Roman" w:hAnsi="Times New Roman" w:cs="Times New Roman"/>
                <w:b/>
                <w:bCs/>
                <w:color w:val="auto"/>
                <w:sz w:val="24"/>
                <w:szCs w:val="24"/>
              </w:rPr>
              <w:t>、土壤、地下水</w:t>
            </w:r>
          </w:p>
          <w:p>
            <w:pPr>
              <w:adjustRightInd w:val="0"/>
              <w:snapToGrid w:val="0"/>
              <w:spacing w:line="50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1、</w:t>
            </w:r>
            <w:r>
              <w:rPr>
                <w:rFonts w:hint="default" w:ascii="Times New Roman" w:hAnsi="Times New Roman" w:cs="Times New Roman"/>
                <w:color w:val="auto"/>
                <w:sz w:val="24"/>
              </w:rPr>
              <w:t>土壤、地下水环境影响分析</w:t>
            </w:r>
          </w:p>
          <w:p>
            <w:pPr>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color w:val="auto"/>
                <w:sz w:val="24"/>
              </w:rPr>
              <w:t>本项目无新增生活污水</w:t>
            </w:r>
            <w:r>
              <w:rPr>
                <w:rFonts w:hint="eastAsia" w:cs="Times New Roman"/>
                <w:color w:val="auto"/>
                <w:sz w:val="24"/>
                <w:lang w:eastAsia="zh-CN"/>
              </w:rPr>
              <w:t>和</w:t>
            </w:r>
            <w:r>
              <w:rPr>
                <w:rFonts w:hint="default" w:ascii="Times New Roman" w:hAnsi="Times New Roman" w:cs="Times New Roman"/>
                <w:color w:val="auto"/>
                <w:sz w:val="24"/>
                <w:lang w:val="en-US" w:eastAsia="zh-CN"/>
              </w:rPr>
              <w:t>工</w:t>
            </w:r>
            <w:r>
              <w:rPr>
                <w:rFonts w:hint="default" w:ascii="Times New Roman" w:hAnsi="Times New Roman" w:cs="Times New Roman"/>
                <w:color w:val="auto"/>
                <w:sz w:val="24"/>
              </w:rPr>
              <w:t>业废水。在建设项目正常运行过程中，落实各项污染防渗措施的情况下，本项目不会对当地</w:t>
            </w:r>
            <w:r>
              <w:rPr>
                <w:rFonts w:hint="default" w:ascii="Times New Roman" w:hAnsi="Times New Roman" w:cs="Times New Roman"/>
                <w:color w:val="auto"/>
                <w:sz w:val="24"/>
                <w:lang w:val="en-US" w:eastAsia="zh-CN"/>
              </w:rPr>
              <w:t>土壤及</w:t>
            </w:r>
            <w:r>
              <w:rPr>
                <w:rFonts w:hint="default" w:ascii="Times New Roman" w:hAnsi="Times New Roman" w:cs="Times New Roman"/>
                <w:color w:val="auto"/>
                <w:sz w:val="24"/>
              </w:rPr>
              <w:t>地下水水质产生影响。若产生泄漏，污染物下渗则可能会在厂区及周边较小范围内造成</w:t>
            </w:r>
            <w:r>
              <w:rPr>
                <w:rFonts w:hint="default" w:ascii="Times New Roman" w:hAnsi="Times New Roman" w:cs="Times New Roman"/>
                <w:color w:val="auto"/>
                <w:sz w:val="24"/>
                <w:lang w:val="en-US" w:eastAsia="zh-CN"/>
              </w:rPr>
              <w:t>土壤及地下水</w:t>
            </w:r>
            <w:r>
              <w:rPr>
                <w:rFonts w:hint="default" w:ascii="Times New Roman" w:hAnsi="Times New Roman" w:cs="Times New Roman"/>
                <w:color w:val="auto"/>
                <w:sz w:val="24"/>
              </w:rPr>
              <w:t>水质污染。项目所在地水文地质单元内水力梯度小，水流速度较慢，污染物不易随水流迁移。区域地层以风化基岩为主，透水性较小，污染物在其中迁移距离较小，对地下水基本无影响。</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若固体废物不考虑设置废物堆放处或者没有适当的防漏措施，其中的有害组分很容易经过风化、雨水淋溶、地表径流的侵蚀，产生有毒液体渗入土壤，</w:t>
            </w:r>
            <w:r>
              <w:rPr>
                <w:rFonts w:hint="default" w:ascii="Times New Roman" w:hAnsi="Times New Roman" w:cs="Times New Roman"/>
                <w:color w:val="auto"/>
                <w:sz w:val="24"/>
                <w:lang w:val="en-US" w:eastAsia="zh-CN"/>
              </w:rPr>
              <w:t>对土壤环境造成污染</w:t>
            </w:r>
            <w:r>
              <w:rPr>
                <w:rFonts w:hint="default" w:ascii="Times New Roman" w:hAnsi="Times New Roman" w:cs="Times New Roman"/>
                <w:color w:val="auto"/>
                <w:sz w:val="24"/>
              </w:rPr>
              <w:t>。同时这些水分经土壤渗入地下水，对地下水水质也造成污染。本项目设置有危废仓库暂存危险废物，且危险废物仓库采取 “三防”（防扬散、防流失、防渗漏）和防腐措施。因此，项目运行期可有效避免由于固废的泄露而造成土壤环境的污染。</w:t>
            </w:r>
          </w:p>
          <w:p>
            <w:pPr>
              <w:adjustRightInd w:val="0"/>
              <w:snapToGrid w:val="0"/>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大气沉降主要考虑重点重金属、持久性有机污染物（特别是二噁英，典型行业有铅蓄电池和危废焚烧等）、难降解有机污染物（苯系物等）以及最高法司法解释中规定的（主要有危废、剧毒化合物、重金属、农药等持久性有机污染物）。本项目废气不属于重点重金属、持久性有机污染物或难降解有机污染物，大气沉降对土壤基本无影响。</w:t>
            </w:r>
          </w:p>
          <w:p>
            <w:pPr>
              <w:snapToGrid w:val="0"/>
              <w:spacing w:line="500" w:lineRule="exact"/>
              <w:ind w:firstLine="480" w:firstLineChars="200"/>
              <w:rPr>
                <w:rFonts w:hint="default" w:ascii="Times New Roman" w:hAnsi="Times New Roman" w:cs="Times New Roman"/>
                <w:bCs/>
                <w:color w:val="auto"/>
                <w:sz w:val="24"/>
              </w:rPr>
            </w:pPr>
            <w:r>
              <w:rPr>
                <w:rFonts w:hint="eastAsia" w:cs="Times New Roman"/>
                <w:color w:val="auto"/>
                <w:sz w:val="24"/>
                <w:lang w:val="en-US" w:eastAsia="zh-CN"/>
              </w:rPr>
              <w:t>2、</w:t>
            </w:r>
            <w:r>
              <w:rPr>
                <w:rFonts w:hint="default" w:ascii="Times New Roman" w:hAnsi="Times New Roman" w:cs="Times New Roman"/>
                <w:bCs/>
                <w:color w:val="auto"/>
                <w:sz w:val="24"/>
              </w:rPr>
              <w:t>土壤</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rPr>
              <w:t>地下水污染防治措施</w:t>
            </w:r>
          </w:p>
          <w:p>
            <w:pPr>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本项目土壤地下水污染防治措施按照“源头控制、分区防治、污染监控、应急响应”相结合的原则，从污染物的产生、入渗、扩散、应急响应进行控制。</w:t>
            </w:r>
          </w:p>
          <w:p>
            <w:pPr>
              <w:spacing w:line="500" w:lineRule="exact"/>
              <w:ind w:firstLine="480" w:firstLineChars="200"/>
              <w:rPr>
                <w:rFonts w:hint="default" w:ascii="Times New Roman" w:hAnsi="Times New Roman" w:cs="Times New Roman"/>
                <w:bCs/>
                <w:color w:val="auto"/>
                <w:sz w:val="24"/>
              </w:rPr>
            </w:pPr>
            <w:r>
              <w:rPr>
                <w:rFonts w:hint="eastAsia" w:cs="Times New Roman"/>
                <w:bCs/>
                <w:color w:val="auto"/>
                <w:sz w:val="24"/>
                <w:lang w:eastAsia="zh-CN"/>
              </w:rPr>
              <w:t>（</w:t>
            </w:r>
            <w:r>
              <w:rPr>
                <w:rFonts w:hint="eastAsia" w:cs="Times New Roman"/>
                <w:bCs/>
                <w:color w:val="auto"/>
                <w:sz w:val="24"/>
                <w:lang w:val="en-US" w:eastAsia="zh-CN"/>
              </w:rPr>
              <w:t>1</w:t>
            </w:r>
            <w:r>
              <w:rPr>
                <w:rFonts w:hint="eastAsia" w:cs="Times New Roman"/>
                <w:bCs/>
                <w:color w:val="auto"/>
                <w:sz w:val="24"/>
                <w:lang w:eastAsia="zh-CN"/>
              </w:rPr>
              <w:t>）</w:t>
            </w:r>
            <w:r>
              <w:rPr>
                <w:rFonts w:hint="default" w:ascii="Times New Roman" w:hAnsi="Times New Roman" w:cs="Times New Roman"/>
                <w:bCs/>
                <w:color w:val="auto"/>
                <w:sz w:val="24"/>
              </w:rPr>
              <w:t>源头控制措施</w:t>
            </w:r>
          </w:p>
          <w:p>
            <w:pPr>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项目以先进工艺、管道、设备、污水储存，尽可能从源头上减少废水产生；严格按照国家相关规范要求，对工艺、管道、设备、污水储存及处理构筑物采取相应的措施，以防止和降低废水的跑、冒、滴、漏，将废水泄漏的环境风险事故降到最低程度。</w:t>
            </w:r>
          </w:p>
          <w:p>
            <w:pPr>
              <w:spacing w:line="500" w:lineRule="exact"/>
              <w:ind w:firstLine="480" w:firstLineChars="200"/>
              <w:rPr>
                <w:rFonts w:hint="default" w:ascii="Times New Roman" w:hAnsi="Times New Roman" w:cs="Times New Roman"/>
                <w:bCs/>
                <w:color w:val="auto"/>
                <w:sz w:val="24"/>
              </w:rPr>
            </w:pPr>
            <w:r>
              <w:rPr>
                <w:rFonts w:hint="eastAsia" w:cs="Times New Roman"/>
                <w:bCs/>
                <w:color w:val="auto"/>
                <w:sz w:val="24"/>
                <w:lang w:eastAsia="zh-CN"/>
              </w:rPr>
              <w:t>（</w:t>
            </w:r>
            <w:r>
              <w:rPr>
                <w:rFonts w:hint="eastAsia" w:cs="Times New Roman"/>
                <w:bCs/>
                <w:color w:val="auto"/>
                <w:sz w:val="24"/>
                <w:lang w:val="en-US" w:eastAsia="zh-CN"/>
              </w:rPr>
              <w:t>2</w:t>
            </w:r>
            <w:r>
              <w:rPr>
                <w:rFonts w:hint="eastAsia" w:cs="Times New Roman"/>
                <w:bCs/>
                <w:color w:val="auto"/>
                <w:sz w:val="24"/>
                <w:lang w:eastAsia="zh-CN"/>
              </w:rPr>
              <w:t>）</w:t>
            </w:r>
            <w:r>
              <w:rPr>
                <w:rFonts w:hint="default" w:ascii="Times New Roman" w:hAnsi="Times New Roman" w:cs="Times New Roman"/>
                <w:bCs/>
                <w:color w:val="auto"/>
                <w:sz w:val="24"/>
              </w:rPr>
              <w:t>分区防渗措施</w:t>
            </w:r>
          </w:p>
          <w:p>
            <w:pPr>
              <w:spacing w:line="500" w:lineRule="exact"/>
              <w:ind w:firstLine="480" w:firstLineChars="200"/>
              <w:rPr>
                <w:rFonts w:hint="default" w:ascii="Times New Roman" w:hAnsi="Times New Roman" w:eastAsia="宋体" w:cs="Times New Roman"/>
                <w:bCs/>
                <w:color w:val="auto"/>
                <w:sz w:val="24"/>
              </w:rPr>
            </w:pPr>
            <w:bookmarkStart w:id="6" w:name="OLE_LINK23"/>
            <w:r>
              <w:rPr>
                <w:rFonts w:hint="default" w:ascii="Times New Roman" w:hAnsi="Times New Roman" w:cs="Times New Roman"/>
                <w:bCs/>
                <w:color w:val="auto"/>
                <w:sz w:val="24"/>
              </w:rPr>
              <w:t>①</w:t>
            </w:r>
            <w:r>
              <w:rPr>
                <w:rFonts w:hint="default" w:ascii="Times New Roman" w:hAnsi="Times New Roman" w:eastAsia="宋体" w:cs="Times New Roman"/>
                <w:bCs/>
                <w:color w:val="auto"/>
                <w:sz w:val="24"/>
              </w:rPr>
              <w:t>重点防渗区</w:t>
            </w:r>
            <w:bookmarkEnd w:id="6"/>
          </w:p>
          <w:p>
            <w:pPr>
              <w:spacing w:line="50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rPr>
              <w:t>本项目建成后，</w:t>
            </w:r>
            <w:r>
              <w:rPr>
                <w:rFonts w:hint="eastAsia" w:ascii="Times New Roman" w:hAnsi="Times New Roman" w:eastAsia="宋体" w:cs="Times New Roman"/>
                <w:bCs/>
                <w:color w:val="auto"/>
                <w:sz w:val="24"/>
                <w:lang w:eastAsia="zh-CN"/>
              </w:rPr>
              <w:t>厂区</w:t>
            </w:r>
            <w:r>
              <w:rPr>
                <w:rFonts w:hint="default" w:ascii="Times New Roman" w:hAnsi="Times New Roman" w:eastAsia="宋体" w:cs="Times New Roman"/>
                <w:bCs/>
                <w:color w:val="auto"/>
                <w:sz w:val="24"/>
              </w:rPr>
              <w:t>重点防渗区包括</w:t>
            </w:r>
            <w:r>
              <w:rPr>
                <w:rFonts w:hint="eastAsia" w:eastAsia="宋体" w:cs="Times New Roman"/>
                <w:bCs/>
                <w:color w:val="auto"/>
                <w:sz w:val="24"/>
                <w:lang w:eastAsia="zh-CN"/>
              </w:rPr>
              <w:t>油品暂存区、</w:t>
            </w:r>
            <w:r>
              <w:rPr>
                <w:rFonts w:hint="eastAsia" w:cs="Times New Roman"/>
                <w:color w:val="auto"/>
                <w:sz w:val="24"/>
                <w:szCs w:val="24"/>
                <w:highlight w:val="none"/>
                <w:lang w:eastAsia="zh-CN"/>
              </w:rPr>
              <w:t>化学品暂存</w:t>
            </w:r>
            <w:r>
              <w:rPr>
                <w:rFonts w:hint="eastAsia" w:eastAsia="宋体" w:cs="Times New Roman"/>
                <w:bCs/>
                <w:color w:val="auto"/>
                <w:sz w:val="24"/>
                <w:lang w:eastAsia="zh-CN"/>
              </w:rPr>
              <w:t>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危废仓库</w:t>
            </w:r>
            <w:r>
              <w:rPr>
                <w:rFonts w:hint="default" w:ascii="Times New Roman" w:hAnsi="Times New Roman" w:eastAsia="宋体" w:cs="Times New Roman"/>
                <w:bCs/>
                <w:color w:val="auto"/>
                <w:sz w:val="24"/>
                <w:szCs w:val="24"/>
              </w:rPr>
              <w:t>等。</w:t>
            </w:r>
          </w:p>
          <w:p>
            <w:pPr>
              <w:spacing w:line="500" w:lineRule="exact"/>
              <w:ind w:firstLine="480" w:firstLineChars="200"/>
              <w:rPr>
                <w:rFonts w:hint="default" w:ascii="Times New Roman" w:hAnsi="Times New Roman" w:eastAsia="宋体" w:cs="Times New Roman"/>
                <w:bCs/>
                <w:color w:val="auto"/>
                <w:sz w:val="24"/>
              </w:rPr>
            </w:pPr>
            <w:r>
              <w:rPr>
                <w:rFonts w:hint="eastAsia" w:eastAsia="宋体" w:cs="Times New Roman"/>
                <w:bCs/>
                <w:color w:val="auto"/>
                <w:sz w:val="24"/>
                <w:lang w:eastAsia="zh-CN"/>
              </w:rPr>
              <w:t>油品暂存区、</w:t>
            </w:r>
            <w:r>
              <w:rPr>
                <w:rFonts w:hint="eastAsia" w:cs="Times New Roman"/>
                <w:color w:val="auto"/>
                <w:sz w:val="24"/>
                <w:szCs w:val="24"/>
                <w:highlight w:val="none"/>
                <w:lang w:eastAsia="zh-CN"/>
              </w:rPr>
              <w:t>化学品暂存</w:t>
            </w:r>
            <w:r>
              <w:rPr>
                <w:rFonts w:hint="eastAsia" w:eastAsia="宋体" w:cs="Times New Roman"/>
                <w:bCs/>
                <w:color w:val="auto"/>
                <w:sz w:val="24"/>
                <w:lang w:eastAsia="zh-CN"/>
              </w:rPr>
              <w:t>区为新建设施，</w:t>
            </w:r>
            <w:r>
              <w:rPr>
                <w:rFonts w:hint="default" w:ascii="Times New Roman" w:hAnsi="Times New Roman" w:cs="Times New Roman"/>
                <w:color w:val="auto"/>
                <w:sz w:val="24"/>
                <w:szCs w:val="24"/>
                <w:highlight w:val="none"/>
              </w:rPr>
              <w:t>危废仓库</w:t>
            </w:r>
            <w:r>
              <w:rPr>
                <w:rFonts w:hint="eastAsia" w:cs="Times New Roman"/>
                <w:color w:val="auto"/>
                <w:sz w:val="24"/>
                <w:szCs w:val="24"/>
                <w:highlight w:val="none"/>
                <w:lang w:eastAsia="zh-CN"/>
              </w:rPr>
              <w:t>需扩建，新建或扩建的</w:t>
            </w:r>
            <w:r>
              <w:rPr>
                <w:rFonts w:hint="default" w:ascii="Times New Roman" w:hAnsi="Times New Roman" w:eastAsia="宋体" w:cs="Times New Roman"/>
                <w:bCs/>
                <w:color w:val="auto"/>
                <w:sz w:val="24"/>
              </w:rPr>
              <w:t>重点防渗区</w:t>
            </w:r>
            <w:r>
              <w:rPr>
                <w:rFonts w:hint="eastAsia" w:eastAsia="宋体" w:cs="Times New Roman"/>
                <w:bCs/>
                <w:color w:val="auto"/>
                <w:sz w:val="24"/>
                <w:lang w:eastAsia="zh-CN"/>
              </w:rPr>
              <w:t>需</w:t>
            </w:r>
            <w:r>
              <w:rPr>
                <w:rFonts w:hint="eastAsia" w:ascii="Times New Roman" w:hAnsi="Times New Roman" w:eastAsia="宋体" w:cs="Times New Roman"/>
                <w:bCs/>
                <w:color w:val="auto"/>
                <w:sz w:val="24"/>
                <w:lang w:eastAsia="zh-CN"/>
              </w:rPr>
              <w:t>参照</w:t>
            </w:r>
            <w:r>
              <w:rPr>
                <w:rFonts w:hint="default" w:ascii="Times New Roman" w:hAnsi="Times New Roman" w:eastAsia="宋体" w:cs="Times New Roman"/>
                <w:bCs/>
                <w:color w:val="auto"/>
                <w:sz w:val="24"/>
              </w:rPr>
              <w:t>《危险废物贮存污染控制标准》（GB18597-2023）进行防渗设计，</w:t>
            </w:r>
            <w:r>
              <w:rPr>
                <w:rFonts w:hint="eastAsia" w:eastAsia="宋体" w:cs="Times New Roman"/>
                <w:bCs/>
                <w:color w:val="auto"/>
                <w:sz w:val="24"/>
                <w:lang w:eastAsia="zh-CN"/>
              </w:rPr>
              <w:t>设置</w:t>
            </w:r>
            <w:r>
              <w:rPr>
                <w:rFonts w:hint="default" w:ascii="Times New Roman" w:hAnsi="Times New Roman" w:eastAsia="宋体" w:cs="Times New Roman"/>
                <w:bCs/>
                <w:color w:val="auto"/>
                <w:sz w:val="24"/>
              </w:rPr>
              <w:t>耐腐蚀的硬化地面和基础防渗层</w:t>
            </w:r>
            <w:r>
              <w:rPr>
                <w:rFonts w:hint="eastAsia"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渗透系数小于1.0×10-10厘米/秒</w:t>
            </w:r>
            <w:r>
              <w:rPr>
                <w:rFonts w:hint="eastAsia" w:ascii="Times New Roman" w:hAnsi="Times New Roman" w:eastAsia="宋体" w:cs="Times New Roman"/>
                <w:bCs/>
                <w:color w:val="auto"/>
                <w:sz w:val="24"/>
                <w:lang w:eastAsia="zh-CN"/>
              </w:rPr>
              <w:t>；</w:t>
            </w:r>
            <w:r>
              <w:rPr>
                <w:rFonts w:hint="eastAsia" w:eastAsia="宋体" w:cs="Times New Roman"/>
                <w:bCs/>
                <w:color w:val="auto"/>
                <w:sz w:val="24"/>
                <w:lang w:eastAsia="zh-CN"/>
              </w:rPr>
              <w:t>油品暂存区、</w:t>
            </w:r>
            <w:r>
              <w:rPr>
                <w:rFonts w:hint="eastAsia" w:cs="Times New Roman"/>
                <w:color w:val="auto"/>
                <w:sz w:val="24"/>
                <w:szCs w:val="24"/>
                <w:highlight w:val="none"/>
                <w:lang w:eastAsia="zh-CN"/>
              </w:rPr>
              <w:t>化学品暂存</w:t>
            </w:r>
            <w:r>
              <w:rPr>
                <w:rFonts w:hint="eastAsia" w:eastAsia="宋体" w:cs="Times New Roman"/>
                <w:bCs/>
                <w:color w:val="auto"/>
                <w:sz w:val="24"/>
                <w:lang w:eastAsia="zh-CN"/>
              </w:rPr>
              <w:t>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危废仓库</w:t>
            </w:r>
            <w:r>
              <w:rPr>
                <w:rFonts w:hint="eastAsia" w:cs="Times New Roman"/>
                <w:color w:val="auto"/>
                <w:sz w:val="24"/>
                <w:szCs w:val="24"/>
                <w:highlight w:val="none"/>
                <w:lang w:eastAsia="zh-CN"/>
              </w:rPr>
              <w:t>需设置在车间</w:t>
            </w:r>
            <w:r>
              <w:rPr>
                <w:rFonts w:hint="eastAsia" w:ascii="Times New Roman" w:hAnsi="Times New Roman" w:cs="Times New Roman"/>
                <w:color w:val="auto"/>
                <w:sz w:val="24"/>
                <w:szCs w:val="24"/>
                <w:highlight w:val="none"/>
                <w:lang w:eastAsia="zh-CN"/>
              </w:rPr>
              <w:t>内，</w:t>
            </w:r>
            <w:r>
              <w:rPr>
                <w:rFonts w:hint="default" w:ascii="Times New Roman" w:hAnsi="Times New Roman" w:eastAsia="宋体" w:cs="Times New Roman"/>
                <w:bCs/>
                <w:color w:val="auto"/>
                <w:sz w:val="24"/>
              </w:rPr>
              <w:t>具备防风、防雨和防晒功能，并设计径流疏通系统，保证不受25年一遇暴雨的影响。</w:t>
            </w:r>
          </w:p>
          <w:p>
            <w:pPr>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cs="Times New Roman"/>
                <w:bCs/>
                <w:color w:val="auto"/>
                <w:sz w:val="24"/>
              </w:rPr>
              <w:t>②</w:t>
            </w:r>
            <w:r>
              <w:rPr>
                <w:rFonts w:hint="default" w:ascii="Times New Roman" w:hAnsi="Times New Roman" w:eastAsia="宋体" w:cs="Times New Roman"/>
                <w:bCs/>
                <w:color w:val="auto"/>
                <w:sz w:val="24"/>
              </w:rPr>
              <w:t>一般防渗区</w:t>
            </w:r>
          </w:p>
          <w:p>
            <w:pPr>
              <w:spacing w:line="500" w:lineRule="exact"/>
              <w:ind w:firstLine="480" w:firstLineChars="200"/>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rPr>
              <w:t>本项目建成后，一般防渗区主要为</w:t>
            </w:r>
            <w:r>
              <w:rPr>
                <w:rFonts w:hint="default" w:ascii="Times New Roman" w:hAnsi="Times New Roman" w:eastAsia="宋体" w:cs="Times New Roman"/>
                <w:bCs/>
                <w:color w:val="auto"/>
                <w:sz w:val="24"/>
                <w:lang w:val="en-US" w:eastAsia="zh-CN"/>
              </w:rPr>
              <w:t>车间</w:t>
            </w:r>
            <w:r>
              <w:rPr>
                <w:rFonts w:hint="eastAsia" w:ascii="Times New Roman" w:hAnsi="Times New Roman" w:eastAsia="宋体" w:cs="Times New Roman"/>
                <w:bCs/>
                <w:color w:val="auto"/>
                <w:sz w:val="24"/>
                <w:lang w:val="en-US" w:eastAsia="zh-CN"/>
              </w:rPr>
              <w:t>、</w:t>
            </w:r>
            <w:r>
              <w:rPr>
                <w:rFonts w:hint="eastAsia" w:ascii="Times New Roman" w:hAnsi="Times New Roman" w:eastAsia="宋体" w:cs="Times New Roman"/>
                <w:bCs/>
                <w:color w:val="auto"/>
                <w:sz w:val="24"/>
                <w:lang w:eastAsia="zh-CN"/>
              </w:rPr>
              <w:t>一般固废库房</w:t>
            </w:r>
            <w:r>
              <w:rPr>
                <w:rFonts w:hint="default" w:ascii="Times New Roman" w:hAnsi="Times New Roman" w:eastAsia="宋体" w:cs="Times New Roman"/>
                <w:bCs/>
                <w:color w:val="auto"/>
                <w:sz w:val="24"/>
              </w:rPr>
              <w:t>等。其中</w:t>
            </w:r>
            <w:r>
              <w:rPr>
                <w:rFonts w:hint="default" w:ascii="Times New Roman" w:hAnsi="Times New Roman" w:eastAsia="宋体" w:cs="Times New Roman"/>
                <w:bCs/>
                <w:color w:val="auto"/>
                <w:sz w:val="24"/>
                <w:lang w:val="en-US" w:eastAsia="zh-CN"/>
              </w:rPr>
              <w:t>车间</w:t>
            </w:r>
            <w:r>
              <w:rPr>
                <w:rFonts w:hint="eastAsia" w:ascii="Times New Roman" w:hAnsi="Times New Roman" w:eastAsia="宋体" w:cs="Times New Roman"/>
                <w:bCs/>
                <w:color w:val="auto"/>
                <w:sz w:val="24"/>
                <w:lang w:eastAsia="zh-CN"/>
              </w:rPr>
              <w:t>已</w:t>
            </w:r>
            <w:r>
              <w:rPr>
                <w:rFonts w:hint="default" w:ascii="Times New Roman" w:hAnsi="Times New Roman" w:eastAsia="宋体" w:cs="Times New Roman"/>
                <w:bCs/>
                <w:color w:val="auto"/>
                <w:sz w:val="24"/>
              </w:rPr>
              <w:t>进行水泥硬化处理，确保渗透系数≤10</w:t>
            </w:r>
            <w:r>
              <w:rPr>
                <w:rFonts w:hint="default" w:ascii="Times New Roman" w:hAnsi="Times New Roman" w:eastAsia="宋体" w:cs="Times New Roman"/>
                <w:bCs/>
                <w:color w:val="auto"/>
                <w:sz w:val="24"/>
                <w:vertAlign w:val="superscript"/>
              </w:rPr>
              <w:t>-7</w:t>
            </w:r>
            <w:r>
              <w:rPr>
                <w:rFonts w:hint="default" w:ascii="Times New Roman" w:hAnsi="Times New Roman" w:eastAsia="宋体" w:cs="Times New Roman"/>
                <w:bCs/>
                <w:color w:val="auto"/>
                <w:sz w:val="24"/>
              </w:rPr>
              <w:t>cm/s</w:t>
            </w:r>
            <w:r>
              <w:rPr>
                <w:rFonts w:hint="eastAsia" w:ascii="Times New Roman" w:hAnsi="Times New Roman" w:eastAsia="宋体" w:cs="Times New Roman"/>
                <w:bCs/>
                <w:color w:val="auto"/>
                <w:sz w:val="24"/>
                <w:lang w:eastAsia="zh-CN"/>
              </w:rPr>
              <w:t>。一般固废库房</w:t>
            </w:r>
            <w:r>
              <w:rPr>
                <w:rFonts w:hint="eastAsia" w:ascii="Times New Roman" w:hAnsi="Times New Roman" w:eastAsia="宋体" w:cs="Times New Roman"/>
                <w:bCs/>
                <w:color w:val="auto"/>
                <w:sz w:val="24"/>
                <w:lang w:val="en-US" w:eastAsia="zh-CN"/>
              </w:rPr>
              <w:t>为</w:t>
            </w:r>
            <w:r>
              <w:rPr>
                <w:rFonts w:hint="eastAsia" w:eastAsia="宋体" w:cs="Times New Roman"/>
                <w:bCs/>
                <w:color w:val="auto"/>
                <w:sz w:val="24"/>
                <w:lang w:eastAsia="zh-CN"/>
              </w:rPr>
              <w:t>新建设施</w:t>
            </w:r>
            <w:r>
              <w:rPr>
                <w:rFonts w:hint="eastAsia" w:ascii="Times New Roman" w:hAnsi="Times New Roman" w:eastAsia="宋体" w:cs="Times New Roman"/>
                <w:bCs/>
                <w:color w:val="auto"/>
                <w:sz w:val="24"/>
                <w:lang w:val="en-US" w:eastAsia="zh-CN"/>
              </w:rPr>
              <w:t>，需按照</w:t>
            </w:r>
            <w:r>
              <w:rPr>
                <w:rFonts w:hint="default" w:ascii="Times New Roman" w:hAnsi="Times New Roman" w:eastAsia="宋体" w:cs="Times New Roman"/>
                <w:bCs/>
                <w:color w:val="auto"/>
                <w:sz w:val="24"/>
              </w:rPr>
              <w:t>一般防渗区</w:t>
            </w:r>
            <w:r>
              <w:rPr>
                <w:rFonts w:hint="eastAsia" w:ascii="Times New Roman" w:hAnsi="Times New Roman" w:eastAsia="宋体" w:cs="Times New Roman"/>
                <w:bCs/>
                <w:color w:val="auto"/>
                <w:sz w:val="24"/>
                <w:lang w:eastAsia="zh-CN"/>
              </w:rPr>
              <w:t>要求采用</w:t>
            </w:r>
            <w:r>
              <w:rPr>
                <w:rFonts w:hint="default" w:ascii="Times New Roman" w:hAnsi="Times New Roman" w:cs="Times New Roman"/>
                <w:bCs/>
                <w:color w:val="auto"/>
                <w:sz w:val="24"/>
              </w:rPr>
              <w:t>人工大理石或水泥防渗结构</w:t>
            </w:r>
            <w:r>
              <w:rPr>
                <w:rFonts w:hint="default" w:ascii="Times New Roman" w:hAnsi="Times New Roman" w:eastAsia="宋体" w:cs="Times New Roman"/>
                <w:bCs/>
                <w:color w:val="auto"/>
                <w:sz w:val="24"/>
              </w:rPr>
              <w:t>，</w:t>
            </w:r>
            <w:r>
              <w:rPr>
                <w:rFonts w:hint="default" w:ascii="Times New Roman" w:hAnsi="Times New Roman" w:cs="Times New Roman"/>
                <w:bCs/>
                <w:color w:val="auto"/>
                <w:sz w:val="24"/>
              </w:rPr>
              <w:t>车间地面全部进行粘土夯实、混凝硬化</w:t>
            </w:r>
            <w:r>
              <w:rPr>
                <w:rFonts w:hint="eastAsia" w:ascii="Times New Roman" w:hAnsi="Times New Roman" w:cs="Times New Roman"/>
                <w:bCs/>
                <w:color w:val="auto"/>
                <w:sz w:val="24"/>
                <w:lang w:eastAsia="zh-CN"/>
              </w:rPr>
              <w:t>，</w:t>
            </w:r>
            <w:r>
              <w:rPr>
                <w:rFonts w:hint="default" w:ascii="Times New Roman" w:hAnsi="Times New Roman" w:eastAsia="宋体" w:cs="Times New Roman"/>
                <w:bCs/>
                <w:color w:val="auto"/>
                <w:sz w:val="24"/>
              </w:rPr>
              <w:t>确保渗透系数≤10</w:t>
            </w:r>
            <w:r>
              <w:rPr>
                <w:rFonts w:hint="default" w:ascii="Times New Roman" w:hAnsi="Times New Roman" w:eastAsia="宋体" w:cs="Times New Roman"/>
                <w:bCs/>
                <w:color w:val="auto"/>
                <w:sz w:val="24"/>
                <w:vertAlign w:val="superscript"/>
              </w:rPr>
              <w:t>-7</w:t>
            </w:r>
            <w:r>
              <w:rPr>
                <w:rFonts w:hint="default" w:ascii="Times New Roman" w:hAnsi="Times New Roman" w:eastAsia="宋体" w:cs="Times New Roman"/>
                <w:bCs/>
                <w:color w:val="auto"/>
                <w:sz w:val="24"/>
              </w:rPr>
              <w:t>cm/s</w:t>
            </w:r>
            <w:r>
              <w:rPr>
                <w:rFonts w:hint="eastAsia" w:ascii="Times New Roman" w:hAnsi="Times New Roman" w:eastAsia="宋体" w:cs="Times New Roman"/>
                <w:bCs/>
                <w:color w:val="auto"/>
                <w:sz w:val="24"/>
                <w:lang w:eastAsia="zh-CN"/>
              </w:rPr>
              <w:t>。</w:t>
            </w:r>
          </w:p>
          <w:p>
            <w:pPr>
              <w:spacing w:line="500" w:lineRule="exact"/>
              <w:ind w:firstLine="480" w:firstLineChars="200"/>
              <w:rPr>
                <w:rFonts w:hint="default" w:ascii="Times New Roman" w:hAnsi="Times New Roman" w:cs="Times New Roman"/>
                <w:bCs/>
                <w:color w:val="auto"/>
                <w:sz w:val="24"/>
              </w:rPr>
            </w:pPr>
            <w:r>
              <w:rPr>
                <w:rFonts w:hint="eastAsia" w:cs="Times New Roman"/>
                <w:bCs/>
                <w:color w:val="auto"/>
                <w:sz w:val="24"/>
                <w:lang w:eastAsia="zh-CN"/>
              </w:rPr>
              <w:t>（</w:t>
            </w:r>
            <w:r>
              <w:rPr>
                <w:rFonts w:hint="eastAsia" w:cs="Times New Roman"/>
                <w:bCs/>
                <w:color w:val="auto"/>
                <w:sz w:val="24"/>
                <w:lang w:val="en-US" w:eastAsia="zh-CN"/>
              </w:rPr>
              <w:t>3</w:t>
            </w:r>
            <w:r>
              <w:rPr>
                <w:rFonts w:hint="eastAsia" w:cs="Times New Roman"/>
                <w:bCs/>
                <w:color w:val="auto"/>
                <w:sz w:val="24"/>
                <w:lang w:eastAsia="zh-CN"/>
              </w:rPr>
              <w:t>）</w:t>
            </w:r>
            <w:r>
              <w:rPr>
                <w:rFonts w:hint="default" w:ascii="Times New Roman" w:hAnsi="Times New Roman" w:cs="Times New Roman"/>
                <w:bCs/>
                <w:color w:val="auto"/>
                <w:sz w:val="24"/>
              </w:rPr>
              <w:t>应急处置</w:t>
            </w:r>
          </w:p>
          <w:p>
            <w:pPr>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当发生异常情况，需要马上采取紧急措施。按照装置制定的环境事故应急预案，启动应急预案。在第一时间内尽快上报主管领导，启动周围社会预案，密切关注地下水水质变化情况。组织专业队伍负责查找环境事故发生地点，分析事故原因，尽量将紧急时间局部化，如可能应予以消除，尽量缩小环境事故对人和财产的影响，减低事故后果的手段，包括切断生产装置或设施。对事故现场进项调查、监测、处理。对事故后果进行评估，采取紧急措施制止事故的扩散、扩大，并制定防止类似事件发生的措施。如果本公司力量不足，需要请求社会应急力量协助。</w:t>
            </w:r>
          </w:p>
          <w:p>
            <w:pPr>
              <w:adjustRightInd w:val="0"/>
              <w:snapToGrid w:val="0"/>
              <w:spacing w:line="500" w:lineRule="exact"/>
              <w:rPr>
                <w:rFonts w:hint="default" w:ascii="Times New Roman" w:hAnsi="Times New Roman" w:cs="Times New Roman"/>
                <w:b/>
                <w:bCs/>
                <w:color w:val="auto"/>
                <w:sz w:val="24"/>
              </w:rPr>
            </w:pPr>
            <w:r>
              <w:rPr>
                <w:rFonts w:hint="eastAsia" w:cs="Times New Roman"/>
                <w:b/>
                <w:bCs/>
                <w:color w:val="auto"/>
                <w:sz w:val="24"/>
                <w:lang w:eastAsia="zh-CN"/>
              </w:rPr>
              <w:t>六</w:t>
            </w:r>
            <w:r>
              <w:rPr>
                <w:rFonts w:hint="default" w:ascii="Times New Roman" w:hAnsi="Times New Roman" w:cs="Times New Roman"/>
                <w:b/>
                <w:bCs/>
                <w:color w:val="auto"/>
                <w:sz w:val="24"/>
              </w:rPr>
              <w:t>、生态</w:t>
            </w:r>
          </w:p>
          <w:p>
            <w:pPr>
              <w:adjustRightInd w:val="0"/>
              <w:snapToGrid w:val="0"/>
              <w:spacing w:line="500" w:lineRule="exact"/>
              <w:ind w:firstLine="480" w:firstLineChars="200"/>
              <w:rPr>
                <w:rFonts w:hint="default" w:ascii="Times New Roman" w:hAnsi="Times New Roman" w:cs="Times New Roman"/>
                <w:bCs/>
                <w:color w:val="auto"/>
                <w:sz w:val="24"/>
                <w:szCs w:val="22"/>
              </w:rPr>
            </w:pPr>
            <w:r>
              <w:rPr>
                <w:rFonts w:hint="default" w:ascii="Times New Roman" w:hAnsi="Times New Roman" w:cs="Times New Roman"/>
                <w:bCs/>
                <w:color w:val="auto"/>
                <w:sz w:val="24"/>
                <w:szCs w:val="22"/>
              </w:rPr>
              <w:t>本项目不在已划定的生态空间管控区域和生态红线区内，无须设置生态保护措施。</w:t>
            </w:r>
          </w:p>
          <w:p>
            <w:pPr>
              <w:adjustRightInd w:val="0"/>
              <w:snapToGrid w:val="0"/>
              <w:spacing w:line="500" w:lineRule="exact"/>
              <w:rPr>
                <w:rFonts w:hint="default" w:ascii="Times New Roman" w:hAnsi="Times New Roman" w:cs="Times New Roman"/>
                <w:b/>
                <w:bCs/>
                <w:color w:val="auto"/>
                <w:sz w:val="24"/>
              </w:rPr>
            </w:pPr>
            <w:r>
              <w:rPr>
                <w:rFonts w:hint="eastAsia" w:cs="Times New Roman"/>
                <w:b/>
                <w:bCs/>
                <w:color w:val="auto"/>
                <w:sz w:val="24"/>
                <w:lang w:eastAsia="zh-CN"/>
              </w:rPr>
              <w:t>七</w:t>
            </w:r>
            <w:r>
              <w:rPr>
                <w:rFonts w:hint="default" w:ascii="Times New Roman" w:hAnsi="Times New Roman" w:cs="Times New Roman"/>
                <w:b/>
                <w:bCs/>
                <w:color w:val="auto"/>
                <w:sz w:val="24"/>
              </w:rPr>
              <w:t>、环境风险</w:t>
            </w:r>
          </w:p>
          <w:p>
            <w:pPr>
              <w:spacing w:line="50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1、</w:t>
            </w:r>
            <w:r>
              <w:rPr>
                <w:rFonts w:hint="default" w:ascii="Times New Roman" w:hAnsi="Times New Roman" w:cs="Times New Roman"/>
                <w:bCs/>
                <w:color w:val="auto"/>
                <w:sz w:val="24"/>
              </w:rPr>
              <w:t>风险识别</w:t>
            </w:r>
          </w:p>
          <w:p>
            <w:pPr>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本项目涉及的风险物质最大存储量与临界量见下表。</w:t>
            </w:r>
          </w:p>
          <w:p>
            <w:pPr>
              <w:spacing w:line="5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表4</w:t>
            </w:r>
            <w:r>
              <w:rPr>
                <w:rFonts w:hint="eastAsia" w:cs="Times New Roman"/>
                <w:b/>
                <w:bCs/>
                <w:color w:val="auto"/>
                <w:szCs w:val="21"/>
                <w:highlight w:val="none"/>
                <w:lang w:val="en-US" w:eastAsia="zh-CN"/>
              </w:rPr>
              <w:t>-22</w:t>
            </w:r>
            <w:r>
              <w:rPr>
                <w:rFonts w:hint="default" w:ascii="Times New Roman" w:hAnsi="Times New Roman" w:cs="Times New Roman"/>
                <w:b/>
                <w:bCs/>
                <w:color w:val="auto"/>
                <w:szCs w:val="21"/>
                <w:highlight w:val="none"/>
                <w:lang w:val="en-US" w:eastAsia="zh-CN"/>
              </w:rPr>
              <w:t xml:space="preserve">  </w:t>
            </w:r>
            <w:r>
              <w:rPr>
                <w:rFonts w:hint="default" w:ascii="Times New Roman" w:hAnsi="Times New Roman" w:cs="Times New Roman"/>
                <w:b/>
                <w:bCs/>
                <w:color w:val="auto"/>
                <w:szCs w:val="21"/>
                <w:highlight w:val="none"/>
              </w:rPr>
              <w:t>风险物质与临界量比值结果表</w:t>
            </w:r>
          </w:p>
          <w:tbl>
            <w:tblPr>
              <w:tblStyle w:val="28"/>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597"/>
              <w:gridCol w:w="1749"/>
              <w:gridCol w:w="1400"/>
              <w:gridCol w:w="1671"/>
              <w:gridCol w:w="16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903" w:type="pct"/>
                  <w:vAlign w:val="center"/>
                </w:tcPr>
                <w:p>
                  <w:pPr>
                    <w:adjustRightInd w:val="0"/>
                    <w:snapToGrid w:val="0"/>
                    <w:jc w:val="center"/>
                    <w:rPr>
                      <w:rFonts w:hint="default" w:ascii="Times New Roman" w:hAnsi="Times New Roman" w:cs="Times New Roman"/>
                      <w:b/>
                      <w:color w:val="auto"/>
                    </w:rPr>
                  </w:pPr>
                  <w:r>
                    <w:rPr>
                      <w:rFonts w:hint="default" w:ascii="Times New Roman" w:hAnsi="Times New Roman" w:cs="Times New Roman"/>
                      <w:b/>
                      <w:color w:val="auto"/>
                      <w:szCs w:val="21"/>
                    </w:rPr>
                    <w:t>名称</w:t>
                  </w:r>
                </w:p>
              </w:tc>
              <w:tc>
                <w:tcPr>
                  <w:tcW w:w="989" w:type="pct"/>
                  <w:tcBorders>
                    <w:right w:val="single" w:color="000000" w:sz="4" w:space="0"/>
                  </w:tcBorders>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最大存在总量（t）</w:t>
                  </w:r>
                </w:p>
              </w:tc>
              <w:tc>
                <w:tcPr>
                  <w:tcW w:w="790" w:type="pct"/>
                  <w:tcBorders>
                    <w:left w:val="single" w:color="000000" w:sz="4" w:space="0"/>
                  </w:tcBorders>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临界量（t）</w:t>
                  </w:r>
                </w:p>
              </w:tc>
              <w:tc>
                <w:tcPr>
                  <w:tcW w:w="945"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最大储存量与临界量的比值（q</w:t>
                  </w:r>
                  <w:r>
                    <w:rPr>
                      <w:rFonts w:hint="default" w:ascii="Times New Roman" w:hAnsi="Times New Roman" w:cs="Times New Roman"/>
                      <w:b/>
                      <w:color w:val="auto"/>
                      <w:szCs w:val="21"/>
                      <w:vertAlign w:val="subscript"/>
                    </w:rPr>
                    <w:t>i</w:t>
                  </w:r>
                  <w:r>
                    <w:rPr>
                      <w:rFonts w:hint="default" w:ascii="Times New Roman" w:hAnsi="Times New Roman" w:cs="Times New Roman"/>
                      <w:b/>
                      <w:color w:val="auto"/>
                      <w:szCs w:val="21"/>
                    </w:rPr>
                    <w:t>/Q</w:t>
                  </w:r>
                  <w:r>
                    <w:rPr>
                      <w:rFonts w:hint="default" w:ascii="Times New Roman" w:hAnsi="Times New Roman" w:cs="Times New Roman"/>
                      <w:b/>
                      <w:color w:val="auto"/>
                      <w:szCs w:val="21"/>
                      <w:vertAlign w:val="subscript"/>
                    </w:rPr>
                    <w:t>i</w:t>
                  </w:r>
                  <w:r>
                    <w:rPr>
                      <w:rFonts w:hint="default" w:ascii="Times New Roman" w:hAnsi="Times New Roman" w:cs="Times New Roman"/>
                      <w:b/>
                      <w:color w:val="auto"/>
                      <w:szCs w:val="21"/>
                    </w:rPr>
                    <w:t>）</w:t>
                  </w:r>
                </w:p>
              </w:tc>
              <w:tc>
                <w:tcPr>
                  <w:tcW w:w="945" w:type="pct"/>
                  <w:vAlign w:val="center"/>
                </w:tcPr>
                <w:p>
                  <w:pPr>
                    <w:adjustRightInd w:val="0"/>
                    <w:snapToGrid w:val="0"/>
                    <w:jc w:val="center"/>
                    <w:rPr>
                      <w:rFonts w:hint="eastAsia" w:ascii="Times New Roman" w:hAnsi="Times New Roman" w:eastAsia="宋体" w:cs="Times New Roman"/>
                      <w:b/>
                      <w:color w:val="auto"/>
                      <w:szCs w:val="21"/>
                      <w:lang w:eastAsia="zh-CN"/>
                    </w:rPr>
                  </w:pPr>
                  <w:r>
                    <w:rPr>
                      <w:rFonts w:hint="eastAsia" w:cs="Times New Roman"/>
                      <w:b/>
                      <w:color w:val="auto"/>
                      <w:szCs w:val="21"/>
                      <w:lang w:eastAsia="zh-CN"/>
                    </w:rPr>
                    <w:t>储存地点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597" w:type="dxa"/>
                  <w:vAlign w:val="center"/>
                </w:tcPr>
                <w:p>
                  <w:pPr>
                    <w:pStyle w:val="25"/>
                    <w:keepNext w:val="0"/>
                    <w:keepLines w:val="0"/>
                    <w:widowControl/>
                    <w:suppressLineNumbers w:val="0"/>
                    <w:ind w:left="0" w:leftChars="0" w:right="0" w:rightChars="0"/>
                    <w:jc w:val="center"/>
                    <w:rPr>
                      <w:rFonts w:hint="default" w:ascii="Times New Roman" w:hAnsi="Times New Roman" w:cs="Times New Roman"/>
                      <w:color w:val="auto"/>
                      <w:szCs w:val="21"/>
                    </w:rPr>
                  </w:pPr>
                  <w:r>
                    <w:rPr>
                      <w:rFonts w:hint="eastAsia" w:ascii="Times New Roman" w:hAnsi="Times New Roman" w:eastAsia="宋体" w:cs="Times New Roman"/>
                      <w:kern w:val="2"/>
                      <w:sz w:val="21"/>
                      <w:szCs w:val="21"/>
                      <w:lang w:val="en-US" w:eastAsia="zh-CN" w:bidi="ar-SA"/>
                    </w:rPr>
                    <w:t>发泡A料</w:t>
                  </w:r>
                </w:p>
              </w:tc>
              <w:tc>
                <w:tcPr>
                  <w:tcW w:w="989" w:type="pct"/>
                  <w:tcBorders>
                    <w:right w:val="single" w:color="000000"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w:t>
                  </w:r>
                </w:p>
              </w:tc>
              <w:tc>
                <w:tcPr>
                  <w:tcW w:w="790" w:type="pct"/>
                  <w:tcBorders>
                    <w:left w:val="single" w:color="000000" w:sz="4" w:space="0"/>
                  </w:tcBorders>
                  <w:vAlign w:val="center"/>
                </w:tcPr>
                <w:p>
                  <w:pPr>
                    <w:adjustRightInd w:val="0"/>
                    <w:snapToGrid w:val="0"/>
                    <w:jc w:val="center"/>
                    <w:rPr>
                      <w:rFonts w:hint="default" w:ascii="Times New Roman" w:hAnsi="Times New Roman" w:cs="Times New Roman"/>
                      <w:color w:val="auto"/>
                      <w:szCs w:val="21"/>
                      <w:lang w:val="en-US"/>
                    </w:rPr>
                  </w:pPr>
                  <w:r>
                    <w:rPr>
                      <w:rFonts w:hint="eastAsia" w:cs="Times New Roman"/>
                      <w:color w:val="auto"/>
                      <w:szCs w:val="21"/>
                      <w:lang w:val="en-US" w:eastAsia="zh-CN"/>
                    </w:rPr>
                    <w:t>100</w:t>
                  </w:r>
                </w:p>
              </w:tc>
              <w:tc>
                <w:tcPr>
                  <w:tcW w:w="1671"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w:t>
                  </w:r>
                </w:p>
              </w:tc>
              <w:tc>
                <w:tcPr>
                  <w:tcW w:w="945"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化学品暂存区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597" w:type="dxa"/>
                  <w:vAlign w:val="center"/>
                </w:tcPr>
                <w:p>
                  <w:pPr>
                    <w:pStyle w:val="25"/>
                    <w:keepNext w:val="0"/>
                    <w:keepLines w:val="0"/>
                    <w:widowControl/>
                    <w:suppressLineNumbers w:val="0"/>
                    <w:ind w:left="0" w:leftChars="0" w:right="0" w:rightChars="0"/>
                    <w:jc w:val="center"/>
                    <w:rPr>
                      <w:rFonts w:hint="default" w:ascii="Times New Roman" w:hAnsi="Times New Roman" w:cs="Times New Roman"/>
                      <w:color w:val="auto"/>
                      <w:szCs w:val="21"/>
                    </w:rPr>
                  </w:pPr>
                  <w:r>
                    <w:rPr>
                      <w:rFonts w:hint="eastAsia" w:ascii="Times New Roman" w:hAnsi="Times New Roman" w:eastAsia="宋体" w:cs="Times New Roman"/>
                      <w:kern w:val="2"/>
                      <w:sz w:val="21"/>
                      <w:szCs w:val="21"/>
                      <w:lang w:val="en-US" w:eastAsia="zh-CN" w:bidi="ar-SA"/>
                    </w:rPr>
                    <w:t>发泡B料</w:t>
                  </w:r>
                </w:p>
              </w:tc>
              <w:tc>
                <w:tcPr>
                  <w:tcW w:w="989" w:type="pct"/>
                  <w:tcBorders>
                    <w:right w:val="single" w:color="000000"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0.4</w:t>
                  </w:r>
                </w:p>
              </w:tc>
              <w:tc>
                <w:tcPr>
                  <w:tcW w:w="790" w:type="pct"/>
                  <w:tcBorders>
                    <w:left w:val="single" w:color="000000"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0.5</w:t>
                  </w:r>
                </w:p>
              </w:tc>
              <w:tc>
                <w:tcPr>
                  <w:tcW w:w="1671"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0.8</w:t>
                  </w:r>
                </w:p>
              </w:tc>
              <w:tc>
                <w:tcPr>
                  <w:tcW w:w="945"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化学品暂存区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3</w:t>
                  </w:r>
                </w:p>
              </w:tc>
              <w:tc>
                <w:tcPr>
                  <w:tcW w:w="159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000000"/>
                      <w:sz w:val="21"/>
                      <w:szCs w:val="21"/>
                      <w:lang w:val="en-US" w:eastAsia="zh-CN"/>
                    </w:rPr>
                    <w:t>水性</w:t>
                  </w:r>
                  <w:r>
                    <w:rPr>
                      <w:rFonts w:hint="eastAsia" w:ascii="Times New Roman" w:hAnsi="Times New Roman" w:eastAsia="宋体" w:cs="Times New Roman"/>
                      <w:color w:val="000000"/>
                      <w:sz w:val="21"/>
                      <w:szCs w:val="21"/>
                      <w:lang w:eastAsia="zh-CN"/>
                    </w:rPr>
                    <w:t>脱模剂</w:t>
                  </w:r>
                </w:p>
              </w:tc>
              <w:tc>
                <w:tcPr>
                  <w:tcW w:w="989" w:type="pct"/>
                  <w:tcBorders>
                    <w:bottom w:val="single" w:color="000000" w:sz="4" w:space="0"/>
                    <w:right w:val="single" w:color="000000"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0.1</w:t>
                  </w:r>
                </w:p>
              </w:tc>
              <w:tc>
                <w:tcPr>
                  <w:tcW w:w="790" w:type="pct"/>
                  <w:tcBorders>
                    <w:left w:val="single" w:color="000000" w:sz="4" w:space="0"/>
                    <w:bottom w:val="single" w:color="000000"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w:t>
                  </w:r>
                </w:p>
              </w:tc>
              <w:tc>
                <w:tcPr>
                  <w:tcW w:w="1671"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0.001</w:t>
                  </w:r>
                </w:p>
              </w:tc>
              <w:tc>
                <w:tcPr>
                  <w:tcW w:w="945"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化学品暂存区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w:t>
                  </w:r>
                </w:p>
              </w:tc>
              <w:tc>
                <w:tcPr>
                  <w:tcW w:w="1597" w:type="dxa"/>
                  <w:vAlign w:val="center"/>
                </w:tcPr>
                <w:p>
                  <w:pPr>
                    <w:pStyle w:val="69"/>
                    <w:spacing w:line="70" w:lineRule="atLeast"/>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color w:val="000000"/>
                      <w:sz w:val="21"/>
                      <w:szCs w:val="21"/>
                      <w:highlight w:val="none"/>
                      <w:lang w:eastAsia="zh-CN"/>
                    </w:rPr>
                    <w:t>液压油</w:t>
                  </w:r>
                </w:p>
              </w:tc>
              <w:tc>
                <w:tcPr>
                  <w:tcW w:w="989" w:type="pct"/>
                  <w:tcBorders>
                    <w:bottom w:val="single" w:color="000000" w:sz="4" w:space="0"/>
                    <w:right w:val="single" w:color="000000"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0.17</w:t>
                  </w:r>
                </w:p>
              </w:tc>
              <w:tc>
                <w:tcPr>
                  <w:tcW w:w="790" w:type="pct"/>
                  <w:tcBorders>
                    <w:left w:val="single" w:color="000000" w:sz="4" w:space="0"/>
                    <w:bottom w:val="single" w:color="000000"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2500</w:t>
                  </w:r>
                </w:p>
              </w:tc>
              <w:tc>
                <w:tcPr>
                  <w:tcW w:w="1671"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0.000068</w:t>
                  </w:r>
                </w:p>
              </w:tc>
              <w:tc>
                <w:tcPr>
                  <w:tcW w:w="945"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油品暂存区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5</w:t>
                  </w:r>
                </w:p>
              </w:tc>
              <w:tc>
                <w:tcPr>
                  <w:tcW w:w="1597" w:type="dxa"/>
                  <w:vAlign w:val="center"/>
                </w:tcPr>
                <w:p>
                  <w:pPr>
                    <w:pStyle w:val="69"/>
                    <w:spacing w:line="70" w:lineRule="atLeast"/>
                    <w:jc w:val="center"/>
                    <w:rPr>
                      <w:rFonts w:hint="eastAsia" w:ascii="Times New Roman" w:hAnsi="Times New Roman" w:eastAsia="宋体"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清洗废液</w:t>
                  </w:r>
                </w:p>
              </w:tc>
              <w:tc>
                <w:tcPr>
                  <w:tcW w:w="989" w:type="pct"/>
                  <w:tcBorders>
                    <w:bottom w:val="single" w:color="000000" w:sz="4" w:space="0"/>
                    <w:right w:val="single" w:color="000000" w:sz="4" w:space="0"/>
                  </w:tcBorders>
                  <w:vAlign w:val="center"/>
                </w:tcPr>
                <w:p>
                  <w:pPr>
                    <w:adjustRightInd w:val="0"/>
                    <w:snapToGrid w:val="0"/>
                    <w:jc w:val="center"/>
                    <w:rPr>
                      <w:rFonts w:hint="default" w:cs="Times New Roman"/>
                      <w:color w:val="auto"/>
                      <w:szCs w:val="21"/>
                      <w:lang w:val="en-US" w:eastAsia="zh-CN"/>
                    </w:rPr>
                  </w:pPr>
                  <w:r>
                    <w:rPr>
                      <w:rFonts w:hint="eastAsia" w:cs="Times New Roman"/>
                      <w:color w:val="auto"/>
                      <w:szCs w:val="21"/>
                      <w:lang w:val="en-US" w:eastAsia="zh-CN"/>
                    </w:rPr>
                    <w:t>0.03</w:t>
                  </w:r>
                </w:p>
              </w:tc>
              <w:tc>
                <w:tcPr>
                  <w:tcW w:w="790" w:type="pct"/>
                  <w:tcBorders>
                    <w:left w:val="single" w:color="000000" w:sz="4" w:space="0"/>
                    <w:bottom w:val="single" w:color="000000" w:sz="4" w:space="0"/>
                  </w:tcBorders>
                  <w:vAlign w:val="center"/>
                </w:tcPr>
                <w:p>
                  <w:pPr>
                    <w:adjustRightInd w:val="0"/>
                    <w:snapToGrid w:val="0"/>
                    <w:jc w:val="center"/>
                    <w:rPr>
                      <w:rFonts w:hint="default" w:cs="Times New Roman"/>
                      <w:color w:val="auto"/>
                      <w:szCs w:val="21"/>
                      <w:lang w:val="en-US" w:eastAsia="zh-CN"/>
                    </w:rPr>
                  </w:pPr>
                  <w:r>
                    <w:rPr>
                      <w:rFonts w:hint="eastAsia" w:cs="Times New Roman"/>
                      <w:color w:val="auto"/>
                      <w:szCs w:val="21"/>
                      <w:lang w:val="en-US" w:eastAsia="zh-CN"/>
                    </w:rPr>
                    <w:t>100</w:t>
                  </w:r>
                </w:p>
              </w:tc>
              <w:tc>
                <w:tcPr>
                  <w:tcW w:w="1671"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0.0003</w:t>
                  </w:r>
                </w:p>
              </w:tc>
              <w:tc>
                <w:tcPr>
                  <w:tcW w:w="945" w:type="pct"/>
                  <w:vAlign w:val="center"/>
                </w:tcPr>
                <w:p>
                  <w:pPr>
                    <w:adjustRightInd w:val="0"/>
                    <w:snapToGrid w:val="0"/>
                    <w:jc w:val="center"/>
                    <w:rPr>
                      <w:rFonts w:hint="eastAsia" w:cs="Times New Roman"/>
                      <w:color w:val="auto"/>
                      <w:szCs w:val="21"/>
                      <w:lang w:val="en-US" w:eastAsia="zh-CN"/>
                    </w:rPr>
                  </w:pPr>
                  <w:r>
                    <w:rPr>
                      <w:rFonts w:hint="eastAsia" w:cs="Times New Roman"/>
                      <w:color w:val="auto"/>
                      <w:szCs w:val="21"/>
                      <w:lang w:val="en-US" w:eastAsia="zh-CN"/>
                    </w:rPr>
                    <w:t>危废仓库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6</w:t>
                  </w:r>
                </w:p>
              </w:tc>
              <w:tc>
                <w:tcPr>
                  <w:tcW w:w="903" w:type="pct"/>
                  <w:vAlign w:val="center"/>
                </w:tcPr>
                <w:p>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废液压油</w:t>
                  </w:r>
                </w:p>
              </w:tc>
              <w:tc>
                <w:tcPr>
                  <w:tcW w:w="989" w:type="pct"/>
                  <w:tcBorders>
                    <w:bottom w:val="single" w:color="000000" w:sz="4" w:space="0"/>
                    <w:right w:val="single" w:color="000000"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w:t>
                  </w:r>
                </w:p>
              </w:tc>
              <w:tc>
                <w:tcPr>
                  <w:tcW w:w="790" w:type="pct"/>
                  <w:tcBorders>
                    <w:left w:val="single" w:color="000000" w:sz="4" w:space="0"/>
                    <w:bottom w:val="single" w:color="000000"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w:t>
                  </w:r>
                  <w:r>
                    <w:rPr>
                      <w:rFonts w:hint="eastAsia" w:cs="Times New Roman"/>
                      <w:color w:val="auto"/>
                      <w:szCs w:val="21"/>
                      <w:lang w:val="en-US" w:eastAsia="zh-CN"/>
                    </w:rPr>
                    <w:t>0</w:t>
                  </w:r>
                </w:p>
              </w:tc>
              <w:tc>
                <w:tcPr>
                  <w:tcW w:w="1671"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0.03</w:t>
                  </w:r>
                </w:p>
              </w:tc>
              <w:tc>
                <w:tcPr>
                  <w:tcW w:w="945"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危废仓库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7</w:t>
                  </w:r>
                </w:p>
              </w:tc>
              <w:tc>
                <w:tcPr>
                  <w:tcW w:w="903" w:type="pct"/>
                  <w:vAlign w:val="center"/>
                </w:tcPr>
                <w:p>
                  <w:pPr>
                    <w:jc w:val="center"/>
                    <w:rPr>
                      <w:rFonts w:hint="eastAsia" w:ascii="Times New Roman" w:hAnsi="Times New Roman" w:eastAsia="宋体" w:cs="Times New Roman"/>
                      <w:color w:val="auto"/>
                      <w:lang w:eastAsia="zh-CN"/>
                    </w:rPr>
                  </w:pPr>
                  <w:r>
                    <w:rPr>
                      <w:rFonts w:hint="eastAsia" w:cs="Times New Roman"/>
                      <w:color w:val="auto"/>
                      <w:szCs w:val="21"/>
                      <w:lang w:eastAsia="zh-CN"/>
                    </w:rPr>
                    <w:t>废活性炭</w:t>
                  </w:r>
                </w:p>
              </w:tc>
              <w:tc>
                <w:tcPr>
                  <w:tcW w:w="989" w:type="pct"/>
                  <w:tcBorders>
                    <w:top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1.68</w:t>
                  </w:r>
                </w:p>
              </w:tc>
              <w:tc>
                <w:tcPr>
                  <w:tcW w:w="790" w:type="pct"/>
                  <w:tcBorders>
                    <w:top w:val="single" w:color="000000" w:sz="4" w:space="0"/>
                    <w:left w:val="single" w:color="000000" w:sz="4" w:space="0"/>
                    <w:bottom w:val="single" w:color="000000" w:sz="4" w:space="0"/>
                  </w:tcBorders>
                  <w:vAlign w:val="center"/>
                </w:tcPr>
                <w:p>
                  <w:pPr>
                    <w:pStyle w:val="6"/>
                    <w:adjustRightInd w:val="0"/>
                    <w:snapToGrid w:val="0"/>
                    <w:ind w:firstLine="0"/>
                    <w:jc w:val="center"/>
                    <w:rPr>
                      <w:rFonts w:hint="default" w:ascii="Times New Roman" w:hAnsi="Times New Roman" w:cs="Times New Roman"/>
                      <w:color w:val="auto"/>
                      <w:szCs w:val="21"/>
                    </w:rPr>
                  </w:pPr>
                  <w:r>
                    <w:rPr>
                      <w:rFonts w:hint="default" w:ascii="Times New Roman" w:hAnsi="Times New Roman" w:cs="Times New Roman"/>
                      <w:bCs/>
                      <w:color w:val="auto"/>
                      <w:szCs w:val="21"/>
                    </w:rPr>
                    <w:t>100</w:t>
                  </w:r>
                </w:p>
              </w:tc>
              <w:tc>
                <w:tcPr>
                  <w:tcW w:w="1671"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0.0168</w:t>
                  </w:r>
                </w:p>
              </w:tc>
              <w:tc>
                <w:tcPr>
                  <w:tcW w:w="945" w:type="pct"/>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危废仓库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pct"/>
                  <w:gridSpan w:val="4"/>
                  <w:vAlign w:val="center"/>
                </w:tcPr>
                <w:p>
                  <w:pPr>
                    <w:pStyle w:val="6"/>
                    <w:adjustRightInd w:val="0"/>
                    <w:snapToGrid w:val="0"/>
                    <w:ind w:firstLine="0"/>
                    <w:jc w:val="center"/>
                    <w:rPr>
                      <w:rFonts w:hint="default" w:ascii="Times New Roman" w:hAnsi="Times New Roman" w:cs="Times New Roman"/>
                      <w:color w:val="auto"/>
                      <w:szCs w:val="21"/>
                    </w:rPr>
                  </w:pPr>
                  <w:r>
                    <w:rPr>
                      <w:rFonts w:hint="default" w:ascii="Times New Roman" w:hAnsi="Times New Roman" w:cs="Times New Roman"/>
                      <w:color w:val="auto"/>
                      <w:szCs w:val="21"/>
                    </w:rPr>
                    <w:t>合计</w:t>
                  </w:r>
                </w:p>
              </w:tc>
              <w:tc>
                <w:tcPr>
                  <w:tcW w:w="1671"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0.86</w:t>
                  </w:r>
                  <w:r>
                    <w:rPr>
                      <w:rFonts w:hint="eastAsia" w:cs="Times New Roman"/>
                      <w:color w:val="auto"/>
                      <w:szCs w:val="21"/>
                      <w:lang w:val="en-US" w:eastAsia="zh-CN"/>
                    </w:rPr>
                    <w:t>81</w:t>
                  </w:r>
                  <w:r>
                    <w:rPr>
                      <w:rFonts w:hint="eastAsia" w:ascii="Times New Roman" w:hAnsi="Times New Roman" w:eastAsia="宋体" w:cs="Times New Roman"/>
                      <w:color w:val="auto"/>
                      <w:szCs w:val="21"/>
                      <w:lang w:val="en-US" w:eastAsia="zh-CN"/>
                    </w:rPr>
                    <w:t>68</w:t>
                  </w:r>
                </w:p>
              </w:tc>
              <w:tc>
                <w:tcPr>
                  <w:tcW w:w="945" w:type="pct"/>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w:t>
                  </w:r>
                </w:p>
              </w:tc>
            </w:tr>
          </w:tbl>
          <w:p>
            <w:pPr>
              <w:adjustRightInd w:val="0"/>
              <w:snapToGrid w:val="0"/>
              <w:rPr>
                <w:rFonts w:hint="default" w:ascii="Times New Roman" w:hAnsi="Times New Roman" w:cs="Times New Roman"/>
                <w:bCs/>
                <w:color w:val="auto"/>
                <w:szCs w:val="21"/>
              </w:rPr>
            </w:pPr>
            <w:r>
              <w:rPr>
                <w:rFonts w:hint="default" w:ascii="Times New Roman" w:hAnsi="Times New Roman" w:cs="Times New Roman"/>
                <w:b/>
                <w:color w:val="auto"/>
                <w:szCs w:val="21"/>
              </w:rPr>
              <w:t>注：</w:t>
            </w:r>
            <w:r>
              <w:rPr>
                <w:rFonts w:hint="eastAsia" w:cs="Times New Roman"/>
                <w:b/>
                <w:color w:val="auto"/>
                <w:szCs w:val="21"/>
                <w:lang w:eastAsia="zh-CN"/>
              </w:rPr>
              <w:t>液压</w:t>
            </w:r>
            <w:r>
              <w:rPr>
                <w:rFonts w:hint="eastAsia" w:ascii="Times New Roman" w:hAnsi="Times New Roman" w:eastAsia="宋体" w:cs="Times New Roman"/>
                <w:b/>
                <w:color w:val="auto"/>
                <w:szCs w:val="21"/>
                <w:lang w:eastAsia="zh-CN"/>
              </w:rPr>
              <w:t>油</w:t>
            </w:r>
            <w:r>
              <w:rPr>
                <w:rFonts w:hint="default" w:ascii="Times New Roman" w:hAnsi="Times New Roman" w:eastAsia="宋体" w:cs="Times New Roman"/>
                <w:b/>
                <w:color w:val="auto"/>
                <w:szCs w:val="21"/>
              </w:rPr>
              <w:t>临界量参照《建设项目环境风险评价技术导则》（HJ169—2018）表B.1中“油类物质”临界值；</w:t>
            </w:r>
            <w:r>
              <w:rPr>
                <w:rFonts w:hint="eastAsia" w:ascii="Times New Roman" w:hAnsi="Times New Roman" w:eastAsia="宋体" w:cs="Times New Roman"/>
                <w:b/>
                <w:color w:val="auto"/>
                <w:szCs w:val="21"/>
                <w:lang w:eastAsia="zh-CN"/>
              </w:rPr>
              <w:t>发泡</w:t>
            </w:r>
            <w:r>
              <w:rPr>
                <w:rFonts w:hint="default" w:ascii="Times New Roman" w:hAnsi="Times New Roman" w:eastAsia="宋体" w:cs="Times New Roman"/>
                <w:b/>
                <w:color w:val="auto"/>
                <w:szCs w:val="21"/>
                <w:lang w:val="en-US" w:eastAsia="zh-CN"/>
              </w:rPr>
              <w:t>A料</w:t>
            </w:r>
            <w:r>
              <w:rPr>
                <w:rFonts w:hint="eastAsia" w:ascii="Times New Roman" w:hAnsi="Times New Roman" w:eastAsia="宋体" w:cs="Times New Roman"/>
                <w:b/>
                <w:color w:val="auto"/>
                <w:szCs w:val="21"/>
                <w:lang w:val="en-US" w:eastAsia="zh-CN"/>
              </w:rPr>
              <w:t>、脱模剂、危废参照</w:t>
            </w:r>
            <w:r>
              <w:rPr>
                <w:rFonts w:hint="default" w:ascii="Times New Roman" w:hAnsi="Times New Roman" w:eastAsia="宋体" w:cs="Times New Roman"/>
                <w:b/>
                <w:color w:val="auto"/>
                <w:szCs w:val="21"/>
                <w:lang w:val="en-US" w:eastAsia="zh-CN"/>
              </w:rPr>
              <w:t>《建设项目环境风险评价技术导则》（HJ169-2018）</w:t>
            </w:r>
            <w:r>
              <w:rPr>
                <w:rFonts w:hint="eastAsia" w:ascii="Times New Roman" w:hAnsi="Times New Roman" w:eastAsia="宋体" w:cs="Times New Roman"/>
                <w:b/>
                <w:color w:val="auto"/>
                <w:szCs w:val="21"/>
                <w:lang w:val="en-US" w:eastAsia="zh-CN"/>
              </w:rPr>
              <w:t xml:space="preserve"> 中附录 B 表 B.2 危害水环境物质</w:t>
            </w:r>
            <w:r>
              <w:rPr>
                <w:rFonts w:hint="default" w:ascii="Times New Roman" w:hAnsi="Times New Roman" w:eastAsia="宋体" w:cs="Times New Roman"/>
                <w:b/>
                <w:color w:val="auto"/>
                <w:szCs w:val="21"/>
              </w:rPr>
              <w:t>临界值</w:t>
            </w:r>
            <w:r>
              <w:rPr>
                <w:rFonts w:hint="default" w:ascii="Times New Roman" w:hAnsi="Times New Roman" w:eastAsia="宋体" w:cs="Times New Roman"/>
                <w:b/>
                <w:color w:val="auto"/>
                <w:szCs w:val="21"/>
                <w:lang w:val="en-US" w:eastAsia="zh-CN"/>
              </w:rPr>
              <w:t>。</w:t>
            </w:r>
          </w:p>
          <w:p>
            <w:pPr>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color w:val="auto"/>
                <w:sz w:val="24"/>
              </w:rPr>
              <w:t>由上表可知风险物质与临界量比值Q＜1，故本项目环境风险潜势等级低。</w:t>
            </w:r>
          </w:p>
          <w:p>
            <w:pPr>
              <w:snapToGrid w:val="0"/>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通过对本项目的风</w:t>
            </w:r>
            <w:r>
              <w:rPr>
                <w:rFonts w:hint="default" w:ascii="Times New Roman" w:hAnsi="Times New Roman" w:cs="Times New Roman"/>
                <w:bCs/>
                <w:color w:val="auto"/>
                <w:sz w:val="24"/>
                <w:szCs w:val="24"/>
              </w:rPr>
              <w:t>险识别，参考同类企业的有关资料，本项目可能发生的突发环境事件为</w:t>
            </w:r>
            <w:r>
              <w:rPr>
                <w:rFonts w:hint="eastAsia" w:cs="Times New Roman"/>
                <w:bCs/>
                <w:color w:val="auto"/>
                <w:sz w:val="24"/>
                <w:szCs w:val="24"/>
                <w:lang w:eastAsia="zh-CN"/>
              </w:rPr>
              <w:t>：</w:t>
            </w:r>
            <w:r>
              <w:rPr>
                <w:rFonts w:hint="default" w:ascii="Times New Roman" w:hAnsi="Times New Roman" w:cs="Times New Roman"/>
                <w:bCs/>
                <w:color w:val="auto"/>
                <w:sz w:val="24"/>
                <w:szCs w:val="24"/>
              </w:rPr>
              <w:t>①存放</w:t>
            </w:r>
            <w:r>
              <w:rPr>
                <w:rFonts w:hint="eastAsia" w:ascii="Times New Roman" w:hAnsi="Times New Roman" w:eastAsia="宋体" w:cs="Times New Roman"/>
                <w:kern w:val="2"/>
                <w:sz w:val="24"/>
                <w:szCs w:val="24"/>
                <w:lang w:val="en-US" w:eastAsia="zh-CN" w:bidi="ar-SA"/>
              </w:rPr>
              <w:t>发泡A料</w:t>
            </w:r>
            <w:r>
              <w:rPr>
                <w:rFonts w:hint="default" w:ascii="Times New Roman" w:hAnsi="Times New Roman" w:cs="Times New Roman"/>
                <w:bCs/>
                <w:color w:val="auto"/>
                <w:sz w:val="24"/>
                <w:szCs w:val="24"/>
              </w:rPr>
              <w:t>、</w:t>
            </w:r>
            <w:r>
              <w:rPr>
                <w:rFonts w:hint="eastAsia" w:ascii="Times New Roman" w:hAnsi="Times New Roman" w:eastAsia="宋体" w:cs="Times New Roman"/>
                <w:kern w:val="2"/>
                <w:sz w:val="24"/>
                <w:szCs w:val="24"/>
                <w:lang w:val="en-US" w:eastAsia="zh-CN" w:bidi="ar-SA"/>
              </w:rPr>
              <w:t>发泡B料</w:t>
            </w:r>
            <w:r>
              <w:rPr>
                <w:rFonts w:hint="default" w:ascii="Times New Roman" w:hAnsi="Times New Roman" w:cs="Times New Roman"/>
                <w:bCs/>
                <w:color w:val="auto"/>
                <w:sz w:val="24"/>
                <w:szCs w:val="24"/>
                <w:lang w:eastAsia="zh-CN"/>
              </w:rPr>
              <w:t>、</w:t>
            </w:r>
            <w:r>
              <w:rPr>
                <w:rFonts w:hint="eastAsia" w:ascii="Times New Roman" w:hAnsi="Times New Roman" w:eastAsia="宋体" w:cs="Times New Roman"/>
                <w:color w:val="000000"/>
                <w:sz w:val="24"/>
                <w:szCs w:val="24"/>
                <w:lang w:val="en-US" w:eastAsia="zh-CN"/>
              </w:rPr>
              <w:t>水性</w:t>
            </w:r>
            <w:r>
              <w:rPr>
                <w:rFonts w:hint="eastAsia" w:ascii="Times New Roman" w:hAnsi="Times New Roman" w:eastAsia="宋体" w:cs="Times New Roman"/>
                <w:color w:val="000000"/>
                <w:sz w:val="24"/>
                <w:szCs w:val="24"/>
                <w:lang w:eastAsia="zh-CN"/>
              </w:rPr>
              <w:t>脱模剂</w:t>
            </w:r>
            <w:r>
              <w:rPr>
                <w:rFonts w:hint="default" w:ascii="Times New Roman" w:hAnsi="Times New Roman" w:cs="Times New Roman"/>
                <w:bCs/>
                <w:color w:val="auto"/>
                <w:sz w:val="24"/>
                <w:szCs w:val="24"/>
              </w:rPr>
              <w:t>等的容器破损导致物料泄露进入厂区内雨水管道，通过雨水冲刷和下渗影响土壤、地表水和地下水环境；②项目部分</w:t>
            </w:r>
            <w:r>
              <w:rPr>
                <w:rFonts w:hint="eastAsia" w:cs="Times New Roman"/>
                <w:bCs/>
                <w:color w:val="auto"/>
                <w:sz w:val="24"/>
                <w:szCs w:val="24"/>
                <w:lang w:eastAsia="zh-CN"/>
              </w:rPr>
              <w:t>物料可燃或易</w:t>
            </w:r>
            <w:r>
              <w:rPr>
                <w:rFonts w:hint="default" w:ascii="Times New Roman" w:hAnsi="Times New Roman" w:cs="Times New Roman"/>
                <w:bCs/>
                <w:color w:val="auto"/>
                <w:sz w:val="24"/>
                <w:szCs w:val="24"/>
                <w:lang w:val="en-US" w:eastAsia="zh-CN"/>
              </w:rPr>
              <w:t>燃</w:t>
            </w:r>
            <w:r>
              <w:rPr>
                <w:rFonts w:hint="default" w:ascii="Times New Roman" w:hAnsi="Times New Roman" w:cs="Times New Roman"/>
                <w:bCs/>
                <w:color w:val="auto"/>
                <w:sz w:val="24"/>
                <w:szCs w:val="24"/>
              </w:rPr>
              <w:t>，遇明火可能发生火灾爆炸事故，产生次生/伴生环境事故</w:t>
            </w:r>
            <w:r>
              <w:rPr>
                <w:rFonts w:hint="default" w:ascii="Times New Roman" w:hAnsi="Times New Roman" w:cs="Times New Roman"/>
                <w:bCs/>
                <w:color w:val="auto"/>
                <w:sz w:val="24"/>
              </w:rPr>
              <w:t>。</w:t>
            </w:r>
          </w:p>
          <w:p>
            <w:pPr>
              <w:snapToGrid w:val="0"/>
              <w:spacing w:line="50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2、</w:t>
            </w:r>
            <w:r>
              <w:rPr>
                <w:rFonts w:hint="default" w:ascii="Times New Roman" w:hAnsi="Times New Roman" w:cs="Times New Roman"/>
                <w:bCs/>
                <w:color w:val="auto"/>
                <w:sz w:val="24"/>
              </w:rPr>
              <w:t>环境风险防范及应急管理要求</w:t>
            </w:r>
          </w:p>
          <w:p>
            <w:pPr>
              <w:snapToGrid w:val="0"/>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根据国家环境保护部《关于进一步加强环境影响评价管理防范环境风险的通知（环发[2012]77号文）》的要求：“提出环境风险应急预案和事故防范、减缓措施，特别要针对特征污染物提出有效地防止二次污染的应急措施”，对发生概率小，但危害严重的事故采取安全措施，防患于未然。因此，建议本项目在设计、建设和营运过程中，应科学规划、合理布局。采取必要的防泄漏措施，建立严格的安全生产制度，大力提高操作人员的素质和水平，以最大限度地降低事故的发生率，同时制定详细的应急救援预案。</w:t>
            </w:r>
          </w:p>
          <w:p>
            <w:pPr>
              <w:snapToGrid w:val="0"/>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lang w:val="en-US" w:eastAsia="zh-CN"/>
              </w:rPr>
              <w:t>1）</w:t>
            </w:r>
            <w:r>
              <w:rPr>
                <w:rFonts w:hint="default" w:ascii="Times New Roman" w:hAnsi="Times New Roman" w:cs="Times New Roman"/>
                <w:bCs/>
                <w:color w:val="auto"/>
                <w:sz w:val="24"/>
              </w:rPr>
              <w:t>管理、储存、使用、运输中的防范措施</w:t>
            </w:r>
          </w:p>
          <w:p>
            <w:pPr>
              <w:snapToGrid w:val="0"/>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加强对液态物料和危险废物的管理；制定相应的安全操作规程，要求操作人员严格按操作规程作业；对相关作业人员定期进行安全培训教育；对作业场所定期进行安全检查。液态物料和危险废物在厂区内转运时，通道、出入口和通向消防设施的道路保持畅通，运输人员应配置必要且质量合格的防护器材。</w:t>
            </w:r>
          </w:p>
          <w:p>
            <w:pPr>
              <w:snapToGrid w:val="0"/>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lang w:val="en-US" w:eastAsia="zh-CN"/>
              </w:rPr>
              <w:t>2）</w:t>
            </w:r>
            <w:r>
              <w:rPr>
                <w:rFonts w:hint="default" w:ascii="Times New Roman" w:hAnsi="Times New Roman" w:cs="Times New Roman"/>
                <w:bCs/>
                <w:color w:val="auto"/>
                <w:sz w:val="24"/>
              </w:rPr>
              <w:t>存放区风险防范措施</w:t>
            </w:r>
          </w:p>
          <w:p>
            <w:pPr>
              <w:snapToGrid w:val="0"/>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lang w:val="en-US" w:eastAsia="zh-CN"/>
              </w:rPr>
              <w:t>化学品</w:t>
            </w:r>
            <w:r>
              <w:rPr>
                <w:rFonts w:hint="eastAsia" w:cs="Times New Roman"/>
                <w:bCs/>
                <w:color w:val="auto"/>
                <w:sz w:val="24"/>
                <w:lang w:val="en-US" w:eastAsia="zh-CN"/>
              </w:rPr>
              <w:t>、油品</w:t>
            </w:r>
            <w:r>
              <w:rPr>
                <w:rFonts w:hint="default" w:ascii="Times New Roman" w:hAnsi="Times New Roman" w:cs="Times New Roman"/>
                <w:bCs/>
                <w:color w:val="auto"/>
                <w:sz w:val="24"/>
              </w:rPr>
              <w:t>必须设置于阴凉、通风的库房，库房必须防渗、防漏、防雨；仓库、危废仓库内应设置一个收集桶，当泄漏事故发生时，可及时将泄漏的物料或废料收集至桶内暂存，最终作为危险废物处理；仓库、危废仓库应配备吸附剂等材料，防止发生事故时能对事故进行应急处理。</w:t>
            </w:r>
          </w:p>
          <w:p>
            <w:pPr>
              <w:snapToGrid w:val="0"/>
              <w:spacing w:line="50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3</w:t>
            </w:r>
            <w:r>
              <w:rPr>
                <w:rFonts w:hint="default" w:ascii="Times New Roman" w:hAnsi="Times New Roman" w:cs="Times New Roman"/>
                <w:bCs/>
                <w:color w:val="auto"/>
                <w:sz w:val="24"/>
                <w:lang w:val="en-US" w:eastAsia="zh-CN"/>
              </w:rPr>
              <w:t>）</w:t>
            </w:r>
            <w:r>
              <w:rPr>
                <w:rFonts w:hint="default" w:ascii="Times New Roman" w:hAnsi="Times New Roman" w:cs="Times New Roman"/>
                <w:bCs/>
                <w:color w:val="auto"/>
                <w:sz w:val="24"/>
              </w:rPr>
              <w:t>事故应急对策措施</w:t>
            </w:r>
          </w:p>
          <w:p>
            <w:pPr>
              <w:snapToGrid w:val="0"/>
              <w:spacing w:line="50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小量泄漏：尽可能采用不产生冲击、静电火花的工具进行泄漏物的回收，将泄漏物收集在密闭容器内，用砂土、活性炭或其它惰性材料吸收</w:t>
            </w:r>
            <w:r>
              <w:rPr>
                <w:rFonts w:hint="eastAsia" w:ascii="Times New Roman" w:hAnsi="Times New Roman" w:cs="Times New Roman"/>
                <w:bCs/>
                <w:color w:val="auto"/>
                <w:sz w:val="24"/>
                <w:lang w:val="en-US" w:eastAsia="zh-CN"/>
              </w:rPr>
              <w:t>残液</w:t>
            </w:r>
            <w:r>
              <w:rPr>
                <w:rFonts w:hint="default" w:ascii="Times New Roman" w:hAnsi="Times New Roman" w:cs="Times New Roman"/>
                <w:bCs/>
                <w:color w:val="auto"/>
                <w:sz w:val="24"/>
              </w:rPr>
              <w:t>，也可以用不燃性分散剂制成的乳液刷洗。</w:t>
            </w:r>
          </w:p>
          <w:p>
            <w:pPr>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cs="Times New Roman"/>
                <w:bCs/>
                <w:color w:val="auto"/>
                <w:sz w:val="24"/>
              </w:rPr>
              <w:t>大量泄漏：用泡沫覆盖，降低蒸汽灾害。喷雾状水冷却和稀释蒸汽，保护现场人员。用</w:t>
            </w:r>
            <w:r>
              <w:rPr>
                <w:rFonts w:hint="default" w:ascii="Times New Roman" w:hAnsi="Times New Roman" w:eastAsia="宋体" w:cs="Times New Roman"/>
                <w:bCs/>
                <w:color w:val="auto"/>
                <w:sz w:val="24"/>
              </w:rPr>
              <w:t>防爆泵转移至槽车或专用收集器内，回收或运至废物处理场所处理。</w:t>
            </w:r>
          </w:p>
          <w:p>
            <w:pPr>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4）火灾爆炸事故风险防范措施</w:t>
            </w:r>
          </w:p>
          <w:p>
            <w:pPr>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cs="Times New Roman"/>
                <w:bCs/>
                <w:color w:val="auto"/>
                <w:sz w:val="24"/>
              </w:rPr>
              <w:t>①</w:t>
            </w:r>
            <w:r>
              <w:rPr>
                <w:rFonts w:hint="default" w:ascii="Times New Roman" w:hAnsi="Times New Roman" w:eastAsia="宋体" w:cs="Times New Roman"/>
                <w:bCs/>
                <w:color w:val="auto"/>
                <w:sz w:val="24"/>
                <w:lang w:val="en-US" w:eastAsia="zh-CN"/>
              </w:rPr>
              <w:t>定期对储运设备进行安全检测，检测内容、时间、人员应有记录保存。安全检测应根据设备的安全性、危险性设定检测频次。</w:t>
            </w:r>
          </w:p>
          <w:p>
            <w:pPr>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cs="Times New Roman"/>
                <w:bCs/>
                <w:color w:val="auto"/>
                <w:sz w:val="24"/>
              </w:rPr>
              <w:t>②</w:t>
            </w:r>
            <w:r>
              <w:rPr>
                <w:rFonts w:hint="default" w:ascii="Times New Roman" w:hAnsi="Times New Roman" w:eastAsia="宋体" w:cs="Times New Roman"/>
                <w:bCs/>
                <w:color w:val="auto"/>
                <w:sz w:val="24"/>
                <w:lang w:val="en-US" w:eastAsia="zh-CN"/>
              </w:rPr>
              <w:t>在管道以及其他设备上，设置永久性接地装置；在危险操作时，操作人员应使用抗静电工作帽和具有导电性的作业鞋；有防雷装置，特别防止雷击。</w:t>
            </w:r>
          </w:p>
          <w:p>
            <w:pPr>
              <w:snapToGrid w:val="0"/>
              <w:spacing w:line="500" w:lineRule="exact"/>
              <w:ind w:firstLine="480" w:firstLineChars="200"/>
              <w:rPr>
                <w:rFonts w:hint="default" w:ascii="Times New Roman" w:hAnsi="Times New Roman" w:eastAsia="宋体" w:cs="Times New Roman"/>
                <w:bCs/>
                <w:color w:val="auto"/>
                <w:sz w:val="24"/>
                <w:lang w:val="en-US" w:eastAsia="zh-CN"/>
              </w:rPr>
            </w:pPr>
            <w:r>
              <w:rPr>
                <w:rFonts w:hint="default" w:ascii="Times New Roman" w:hAnsi="Times New Roman" w:cs="Times New Roman"/>
                <w:bCs/>
                <w:color w:val="auto"/>
                <w:sz w:val="24"/>
              </w:rPr>
              <w:t>③</w:t>
            </w:r>
            <w:r>
              <w:rPr>
                <w:rFonts w:hint="default" w:ascii="Times New Roman" w:hAnsi="Times New Roman" w:eastAsia="宋体" w:cs="Times New Roman"/>
                <w:bCs/>
                <w:color w:val="auto"/>
                <w:sz w:val="24"/>
                <w:lang w:val="en-US" w:eastAsia="zh-CN"/>
              </w:rPr>
              <w:t>应加强火源的管理，严禁烟火带入，对设备需进行维修焊接，应经安全部门确认、准许，并有记录。</w:t>
            </w:r>
          </w:p>
          <w:p>
            <w:pPr>
              <w:snapToGrid w:val="0"/>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④要有完善的安全消防措施。各重点部位建议设置灭火器，并且对其作定期检查。</w:t>
            </w:r>
          </w:p>
          <w:p>
            <w:pPr>
              <w:snapToGrid w:val="0"/>
              <w:spacing w:line="500" w:lineRule="exact"/>
              <w:ind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5）</w:t>
            </w:r>
            <w:r>
              <w:rPr>
                <w:rFonts w:hint="eastAsia" w:ascii="Times New Roman" w:hAnsi="Times New Roman" w:eastAsia="宋体" w:cs="Times New Roman"/>
                <w:bCs/>
                <w:color w:val="auto"/>
                <w:sz w:val="24"/>
                <w:lang w:val="en-US" w:eastAsia="zh-CN"/>
              </w:rPr>
              <w:t>废气</w:t>
            </w:r>
            <w:r>
              <w:rPr>
                <w:rFonts w:hint="eastAsia" w:cs="Times New Roman"/>
                <w:bCs/>
                <w:color w:val="auto"/>
                <w:sz w:val="24"/>
                <w:lang w:val="en-US" w:eastAsia="zh-CN"/>
              </w:rPr>
              <w:t>处理设施</w:t>
            </w:r>
            <w:r>
              <w:rPr>
                <w:rFonts w:hint="eastAsia" w:ascii="Times New Roman" w:hAnsi="Times New Roman" w:eastAsia="宋体" w:cs="Times New Roman"/>
                <w:bCs/>
                <w:color w:val="auto"/>
                <w:sz w:val="24"/>
                <w:lang w:val="en-US" w:eastAsia="zh-CN"/>
              </w:rPr>
              <w:t>风险防范措施</w:t>
            </w:r>
          </w:p>
          <w:p>
            <w:pPr>
              <w:snapToGrid w:val="0"/>
              <w:spacing w:line="500" w:lineRule="exact"/>
              <w:ind w:firstLine="480" w:firstLineChars="200"/>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加强“二级活性炭吸附”装置运行维护管理，做到治理设施较生产设备“先启后停”，在治理设施达到正常运行条件后方可启动生产设备，在生产设备停止、残留VOCs废气收集处理完毕后，方可停运治理设施，防止易燃废气的集聚；及时清理、更换过活性炭等治理设施耗材，确保设施能够稳定高效运行；厂区内应设置可燃气体泄漏报警装置。</w:t>
            </w:r>
          </w:p>
          <w:p>
            <w:pPr>
              <w:numPr>
                <w:ilvl w:val="0"/>
                <w:numId w:val="2"/>
              </w:numPr>
              <w:adjustRightInd w:val="0"/>
              <w:snapToGrid w:val="0"/>
              <w:spacing w:line="480" w:lineRule="exact"/>
              <w:ind w:firstLine="480" w:firstLineChars="200"/>
              <w:rPr>
                <w:rFonts w:hint="eastAsia" w:ascii="Cambria Math" w:hAnsi="Cambria Math" w:cs="Times New Roman"/>
                <w:color w:val="auto"/>
                <w:kern w:val="2"/>
                <w:sz w:val="24"/>
                <w:szCs w:val="24"/>
                <w:lang w:val="en-US" w:eastAsia="zh-CN" w:bidi="ar-SA"/>
              </w:rPr>
            </w:pPr>
            <w:r>
              <w:rPr>
                <w:rFonts w:hint="eastAsia" w:ascii="Cambria Math" w:hAnsi="Cambria Math" w:cs="Times New Roman"/>
                <w:color w:val="auto"/>
                <w:kern w:val="2"/>
                <w:sz w:val="24"/>
                <w:szCs w:val="24"/>
                <w:lang w:val="en-US" w:eastAsia="zh-CN" w:bidi="ar-SA"/>
              </w:rPr>
              <w:t>事故应急池设置</w:t>
            </w:r>
          </w:p>
          <w:p>
            <w:pPr>
              <w:numPr>
                <w:ilvl w:val="0"/>
                <w:numId w:val="0"/>
              </w:numPr>
              <w:adjustRightInd w:val="0"/>
              <w:snapToGrid w:val="0"/>
              <w:spacing w:line="480" w:lineRule="exact"/>
              <w:ind w:firstLine="480" w:firstLineChars="200"/>
              <w:rPr>
                <w:color w:val="auto"/>
                <w:sz w:val="24"/>
                <w:szCs w:val="24"/>
              </w:rPr>
            </w:pPr>
            <w:r>
              <w:rPr>
                <w:rFonts w:hint="eastAsia"/>
                <w:color w:val="auto"/>
                <w:sz w:val="24"/>
                <w:szCs w:val="24"/>
                <w:lang w:eastAsia="zh-CN"/>
              </w:rPr>
              <w:t>企业需</w:t>
            </w:r>
            <w:r>
              <w:rPr>
                <w:rFonts w:hint="eastAsia"/>
                <w:color w:val="auto"/>
                <w:sz w:val="24"/>
                <w:szCs w:val="24"/>
              </w:rPr>
              <w:t>委托专业单位建设事故应急池，</w:t>
            </w:r>
            <w:r>
              <w:rPr>
                <w:color w:val="auto"/>
                <w:sz w:val="24"/>
                <w:szCs w:val="24"/>
              </w:rPr>
              <w:t>事故应急水池容量按下式计算：</w:t>
            </w:r>
          </w:p>
          <w:p>
            <w:pPr>
              <w:adjustRightInd w:val="0"/>
              <w:snapToGrid w:val="0"/>
              <w:spacing w:line="480" w:lineRule="exact"/>
              <w:ind w:firstLine="480" w:firstLineChars="200"/>
              <w:rPr>
                <w:color w:val="auto"/>
                <w:sz w:val="24"/>
                <w:szCs w:val="24"/>
              </w:rPr>
            </w:pPr>
            <w:r>
              <w:rPr>
                <w:color w:val="auto"/>
                <w:sz w:val="24"/>
                <w:szCs w:val="24"/>
              </w:rPr>
              <w:t> V</w:t>
            </w:r>
            <w:r>
              <w:rPr>
                <w:color w:val="auto"/>
                <w:sz w:val="24"/>
                <w:szCs w:val="24"/>
                <w:vertAlign w:val="subscript"/>
              </w:rPr>
              <w:t>a</w:t>
            </w:r>
            <w:r>
              <w:rPr>
                <w:color w:val="auto"/>
                <w:sz w:val="24"/>
                <w:szCs w:val="24"/>
              </w:rPr>
              <w:t>=(V</w:t>
            </w:r>
            <w:r>
              <w:rPr>
                <w:color w:val="auto"/>
                <w:sz w:val="24"/>
                <w:szCs w:val="24"/>
                <w:vertAlign w:val="subscript"/>
              </w:rPr>
              <w:t>1</w:t>
            </w:r>
            <w:r>
              <w:rPr>
                <w:color w:val="auto"/>
                <w:sz w:val="24"/>
                <w:szCs w:val="24"/>
              </w:rPr>
              <w:t>+V</w:t>
            </w:r>
            <w:r>
              <w:rPr>
                <w:color w:val="auto"/>
                <w:sz w:val="24"/>
                <w:szCs w:val="24"/>
                <w:vertAlign w:val="subscript"/>
              </w:rPr>
              <w:t>2</w:t>
            </w:r>
            <w:r>
              <w:rPr>
                <w:color w:val="auto"/>
                <w:sz w:val="24"/>
                <w:szCs w:val="24"/>
              </w:rPr>
              <w:t>-V</w:t>
            </w:r>
            <w:r>
              <w:rPr>
                <w:color w:val="auto"/>
                <w:sz w:val="24"/>
                <w:szCs w:val="24"/>
                <w:vertAlign w:val="subscript"/>
              </w:rPr>
              <w:t>3</w:t>
            </w:r>
            <w:r>
              <w:rPr>
                <w:color w:val="auto"/>
                <w:sz w:val="24"/>
                <w:szCs w:val="24"/>
              </w:rPr>
              <w:t>)</w:t>
            </w:r>
            <w:r>
              <w:rPr>
                <w:color w:val="auto"/>
                <w:sz w:val="24"/>
                <w:szCs w:val="24"/>
                <w:vertAlign w:val="subscript"/>
              </w:rPr>
              <w:t>max</w:t>
            </w:r>
            <w:r>
              <w:rPr>
                <w:color w:val="auto"/>
                <w:sz w:val="24"/>
                <w:szCs w:val="24"/>
              </w:rPr>
              <w:t>+V</w:t>
            </w:r>
            <w:r>
              <w:rPr>
                <w:color w:val="auto"/>
                <w:sz w:val="24"/>
                <w:szCs w:val="24"/>
                <w:vertAlign w:val="subscript"/>
              </w:rPr>
              <w:t>4</w:t>
            </w:r>
            <w:r>
              <w:rPr>
                <w:color w:val="auto"/>
                <w:sz w:val="24"/>
                <w:szCs w:val="24"/>
              </w:rPr>
              <w:t>+V</w:t>
            </w:r>
            <w:r>
              <w:rPr>
                <w:color w:val="auto"/>
                <w:sz w:val="24"/>
                <w:szCs w:val="24"/>
                <w:vertAlign w:val="subscript"/>
              </w:rPr>
              <w:t>5</w:t>
            </w:r>
          </w:p>
          <w:p>
            <w:pPr>
              <w:adjustRightInd w:val="0"/>
              <w:snapToGrid w:val="0"/>
              <w:spacing w:line="480" w:lineRule="exact"/>
              <w:ind w:firstLine="480" w:firstLineChars="200"/>
              <w:rPr>
                <w:color w:val="auto"/>
                <w:sz w:val="24"/>
                <w:szCs w:val="24"/>
              </w:rPr>
            </w:pPr>
            <w:r>
              <w:rPr>
                <w:color w:val="auto"/>
                <w:sz w:val="24"/>
                <w:szCs w:val="24"/>
              </w:rPr>
              <w:t>[注：(V</w:t>
            </w:r>
            <w:r>
              <w:rPr>
                <w:color w:val="auto"/>
                <w:sz w:val="24"/>
                <w:szCs w:val="24"/>
                <w:vertAlign w:val="subscript"/>
              </w:rPr>
              <w:t>1</w:t>
            </w:r>
            <w:r>
              <w:rPr>
                <w:color w:val="auto"/>
                <w:sz w:val="24"/>
                <w:szCs w:val="24"/>
              </w:rPr>
              <w:t>+V</w:t>
            </w:r>
            <w:r>
              <w:rPr>
                <w:color w:val="auto"/>
                <w:sz w:val="24"/>
                <w:szCs w:val="24"/>
                <w:vertAlign w:val="subscript"/>
              </w:rPr>
              <w:t>2</w:t>
            </w:r>
            <w:r>
              <w:rPr>
                <w:color w:val="auto"/>
                <w:sz w:val="24"/>
                <w:szCs w:val="24"/>
              </w:rPr>
              <w:t>-V</w:t>
            </w:r>
            <w:r>
              <w:rPr>
                <w:color w:val="auto"/>
                <w:sz w:val="24"/>
                <w:szCs w:val="24"/>
                <w:vertAlign w:val="subscript"/>
              </w:rPr>
              <w:t>3</w:t>
            </w:r>
            <w:r>
              <w:rPr>
                <w:color w:val="auto"/>
                <w:sz w:val="24"/>
                <w:szCs w:val="24"/>
              </w:rPr>
              <w:t>)</w:t>
            </w:r>
            <w:r>
              <w:rPr>
                <w:color w:val="auto"/>
                <w:sz w:val="24"/>
                <w:szCs w:val="24"/>
                <w:vertAlign w:val="subscript"/>
              </w:rPr>
              <w:t>max</w:t>
            </w:r>
            <w:r>
              <w:rPr>
                <w:color w:val="auto"/>
                <w:sz w:val="24"/>
                <w:szCs w:val="24"/>
              </w:rPr>
              <w:t>是指对收集系统范围内不同罐组或装置分别计算V</w:t>
            </w:r>
            <w:r>
              <w:rPr>
                <w:color w:val="auto"/>
                <w:sz w:val="24"/>
                <w:szCs w:val="24"/>
                <w:vertAlign w:val="subscript"/>
              </w:rPr>
              <w:t>1</w:t>
            </w:r>
            <w:r>
              <w:rPr>
                <w:color w:val="auto"/>
                <w:sz w:val="24"/>
                <w:szCs w:val="24"/>
              </w:rPr>
              <w:t>+V</w:t>
            </w:r>
            <w:r>
              <w:rPr>
                <w:color w:val="auto"/>
                <w:sz w:val="24"/>
                <w:szCs w:val="24"/>
                <w:vertAlign w:val="subscript"/>
              </w:rPr>
              <w:t>2</w:t>
            </w:r>
            <w:r>
              <w:rPr>
                <w:color w:val="auto"/>
                <w:sz w:val="24"/>
                <w:szCs w:val="24"/>
              </w:rPr>
              <w:t>-V</w:t>
            </w:r>
            <w:r>
              <w:rPr>
                <w:color w:val="auto"/>
                <w:sz w:val="24"/>
                <w:szCs w:val="24"/>
                <w:vertAlign w:val="subscript"/>
              </w:rPr>
              <w:t>3</w:t>
            </w:r>
            <w:r>
              <w:rPr>
                <w:color w:val="auto"/>
                <w:sz w:val="24"/>
                <w:szCs w:val="24"/>
              </w:rPr>
              <w:t>，取其中最大值。]</w:t>
            </w:r>
          </w:p>
          <w:p>
            <w:pPr>
              <w:tabs>
                <w:tab w:val="left" w:pos="2205"/>
                <w:tab w:val="center" w:pos="4532"/>
              </w:tabs>
              <w:autoSpaceDE w:val="0"/>
              <w:autoSpaceDN w:val="0"/>
              <w:adjustRightInd w:val="0"/>
              <w:snapToGrid w:val="0"/>
              <w:spacing w:line="480" w:lineRule="exact"/>
              <w:ind w:firstLine="480" w:firstLineChars="200"/>
              <w:rPr>
                <w:color w:val="auto"/>
                <w:sz w:val="24"/>
                <w:szCs w:val="24"/>
              </w:rPr>
            </w:pPr>
            <w:r>
              <w:rPr>
                <w:color w:val="auto"/>
                <w:sz w:val="24"/>
                <w:szCs w:val="24"/>
              </w:rPr>
              <w:t>Va：事故应急池容积，m</w:t>
            </w:r>
            <w:r>
              <w:rPr>
                <w:color w:val="auto"/>
                <w:sz w:val="24"/>
                <w:szCs w:val="24"/>
                <w:vertAlign w:val="superscript"/>
              </w:rPr>
              <w:t>3</w:t>
            </w:r>
            <w:r>
              <w:rPr>
                <w:color w:val="auto"/>
                <w:sz w:val="24"/>
                <w:szCs w:val="24"/>
              </w:rPr>
              <w:t>；</w:t>
            </w:r>
          </w:p>
          <w:p>
            <w:pPr>
              <w:tabs>
                <w:tab w:val="left" w:pos="2205"/>
                <w:tab w:val="center" w:pos="4532"/>
              </w:tabs>
              <w:autoSpaceDE w:val="0"/>
              <w:autoSpaceDN w:val="0"/>
              <w:adjustRightInd w:val="0"/>
              <w:snapToGrid w:val="0"/>
              <w:spacing w:line="480" w:lineRule="exact"/>
              <w:ind w:firstLine="480" w:firstLineChars="200"/>
              <w:rPr>
                <w:color w:val="auto"/>
                <w:sz w:val="24"/>
                <w:szCs w:val="24"/>
              </w:rPr>
            </w:pPr>
            <w:r>
              <w:rPr>
                <w:color w:val="auto"/>
                <w:sz w:val="24"/>
                <w:szCs w:val="24"/>
              </w:rPr>
              <w:t>V</w:t>
            </w:r>
            <w:r>
              <w:rPr>
                <w:color w:val="auto"/>
                <w:sz w:val="24"/>
                <w:szCs w:val="24"/>
                <w:vertAlign w:val="subscript"/>
              </w:rPr>
              <w:t>1</w:t>
            </w:r>
            <w:r>
              <w:rPr>
                <w:color w:val="auto"/>
                <w:sz w:val="24"/>
                <w:szCs w:val="24"/>
              </w:rPr>
              <w:t>：事故一个罐或一个装置物料量，m</w:t>
            </w:r>
            <w:r>
              <w:rPr>
                <w:color w:val="auto"/>
                <w:sz w:val="24"/>
                <w:szCs w:val="24"/>
                <w:vertAlign w:val="superscript"/>
              </w:rPr>
              <w:t>3</w:t>
            </w:r>
            <w:r>
              <w:rPr>
                <w:color w:val="auto"/>
                <w:sz w:val="24"/>
                <w:szCs w:val="24"/>
              </w:rPr>
              <w:t>；</w:t>
            </w:r>
          </w:p>
          <w:p>
            <w:pPr>
              <w:tabs>
                <w:tab w:val="left" w:pos="2205"/>
                <w:tab w:val="center" w:pos="4532"/>
              </w:tabs>
              <w:autoSpaceDE w:val="0"/>
              <w:autoSpaceDN w:val="0"/>
              <w:adjustRightInd w:val="0"/>
              <w:snapToGrid w:val="0"/>
              <w:spacing w:line="480" w:lineRule="exact"/>
              <w:ind w:firstLine="480" w:firstLineChars="200"/>
              <w:rPr>
                <w:color w:val="auto"/>
                <w:sz w:val="24"/>
                <w:szCs w:val="24"/>
              </w:rPr>
            </w:pPr>
            <w:r>
              <w:rPr>
                <w:color w:val="auto"/>
                <w:sz w:val="24"/>
                <w:szCs w:val="24"/>
              </w:rPr>
              <w:t>V</w:t>
            </w:r>
            <w:r>
              <w:rPr>
                <w:color w:val="auto"/>
                <w:sz w:val="24"/>
                <w:szCs w:val="24"/>
                <w:vertAlign w:val="subscript"/>
              </w:rPr>
              <w:t>2</w:t>
            </w:r>
            <w:r>
              <w:rPr>
                <w:color w:val="auto"/>
                <w:sz w:val="24"/>
                <w:szCs w:val="24"/>
              </w:rPr>
              <w:t>：事故状态下最大消防水量，m</w:t>
            </w:r>
            <w:r>
              <w:rPr>
                <w:color w:val="auto"/>
                <w:sz w:val="24"/>
                <w:szCs w:val="24"/>
                <w:vertAlign w:val="superscript"/>
              </w:rPr>
              <w:t>3</w:t>
            </w:r>
            <w:r>
              <w:rPr>
                <w:color w:val="auto"/>
                <w:sz w:val="24"/>
                <w:szCs w:val="24"/>
              </w:rPr>
              <w:t>；</w:t>
            </w:r>
          </w:p>
          <w:p>
            <w:pPr>
              <w:tabs>
                <w:tab w:val="left" w:pos="2205"/>
                <w:tab w:val="center" w:pos="4532"/>
              </w:tabs>
              <w:autoSpaceDE w:val="0"/>
              <w:autoSpaceDN w:val="0"/>
              <w:adjustRightInd w:val="0"/>
              <w:snapToGrid w:val="0"/>
              <w:spacing w:line="480" w:lineRule="exact"/>
              <w:ind w:firstLine="480" w:firstLineChars="200"/>
              <w:rPr>
                <w:color w:val="auto"/>
                <w:sz w:val="24"/>
                <w:szCs w:val="24"/>
              </w:rPr>
            </w:pPr>
            <w:r>
              <w:rPr>
                <w:color w:val="auto"/>
                <w:sz w:val="24"/>
                <w:szCs w:val="24"/>
              </w:rPr>
              <w:t>V</w:t>
            </w:r>
            <w:r>
              <w:rPr>
                <w:color w:val="auto"/>
                <w:sz w:val="24"/>
                <w:szCs w:val="24"/>
                <w:vertAlign w:val="subscript"/>
              </w:rPr>
              <w:t>3</w:t>
            </w:r>
            <w:r>
              <w:rPr>
                <w:color w:val="auto"/>
                <w:sz w:val="24"/>
                <w:szCs w:val="24"/>
              </w:rPr>
              <w:t>：事故时可以转输到其它储存或处理设施的物料量，m</w:t>
            </w:r>
            <w:r>
              <w:rPr>
                <w:color w:val="auto"/>
                <w:sz w:val="24"/>
                <w:szCs w:val="24"/>
                <w:vertAlign w:val="superscript"/>
              </w:rPr>
              <w:t>3</w:t>
            </w:r>
            <w:r>
              <w:rPr>
                <w:color w:val="auto"/>
                <w:sz w:val="24"/>
                <w:szCs w:val="24"/>
              </w:rPr>
              <w:t>；</w:t>
            </w:r>
          </w:p>
          <w:p>
            <w:pPr>
              <w:tabs>
                <w:tab w:val="left" w:pos="2205"/>
                <w:tab w:val="center" w:pos="4532"/>
              </w:tabs>
              <w:autoSpaceDE w:val="0"/>
              <w:autoSpaceDN w:val="0"/>
              <w:adjustRightInd w:val="0"/>
              <w:snapToGrid w:val="0"/>
              <w:spacing w:line="480" w:lineRule="exact"/>
              <w:ind w:firstLine="480" w:firstLineChars="200"/>
              <w:rPr>
                <w:color w:val="auto"/>
                <w:sz w:val="24"/>
                <w:szCs w:val="24"/>
              </w:rPr>
            </w:pPr>
            <w:r>
              <w:rPr>
                <w:color w:val="auto"/>
                <w:sz w:val="24"/>
                <w:szCs w:val="24"/>
              </w:rPr>
              <w:t>V</w:t>
            </w:r>
            <w:r>
              <w:rPr>
                <w:color w:val="auto"/>
                <w:sz w:val="24"/>
                <w:szCs w:val="24"/>
                <w:vertAlign w:val="subscript"/>
              </w:rPr>
              <w:t>4</w:t>
            </w:r>
            <w:r>
              <w:rPr>
                <w:color w:val="auto"/>
                <w:sz w:val="24"/>
                <w:szCs w:val="24"/>
              </w:rPr>
              <w:t>：发生事故时必须进入该收集系统的生产废水量，m</w:t>
            </w:r>
            <w:r>
              <w:rPr>
                <w:color w:val="auto"/>
                <w:sz w:val="24"/>
                <w:szCs w:val="24"/>
                <w:vertAlign w:val="superscript"/>
              </w:rPr>
              <w:t>3</w:t>
            </w:r>
            <w:r>
              <w:rPr>
                <w:color w:val="auto"/>
                <w:sz w:val="24"/>
                <w:szCs w:val="24"/>
              </w:rPr>
              <w:t>；</w:t>
            </w:r>
          </w:p>
          <w:p>
            <w:pPr>
              <w:tabs>
                <w:tab w:val="left" w:pos="2205"/>
                <w:tab w:val="center" w:pos="4532"/>
              </w:tabs>
              <w:autoSpaceDE w:val="0"/>
              <w:autoSpaceDN w:val="0"/>
              <w:adjustRightInd w:val="0"/>
              <w:snapToGrid w:val="0"/>
              <w:spacing w:line="480" w:lineRule="exact"/>
              <w:ind w:firstLine="480" w:firstLineChars="200"/>
              <w:rPr>
                <w:color w:val="auto"/>
                <w:sz w:val="24"/>
                <w:szCs w:val="24"/>
              </w:rPr>
            </w:pPr>
            <w:r>
              <w:rPr>
                <w:color w:val="auto"/>
                <w:sz w:val="24"/>
                <w:szCs w:val="24"/>
              </w:rPr>
              <w:t>V</w:t>
            </w:r>
            <w:r>
              <w:rPr>
                <w:color w:val="auto"/>
                <w:sz w:val="24"/>
                <w:szCs w:val="24"/>
                <w:vertAlign w:val="subscript"/>
              </w:rPr>
              <w:t>5</w:t>
            </w:r>
            <w:r>
              <w:rPr>
                <w:color w:val="auto"/>
                <w:sz w:val="24"/>
                <w:szCs w:val="24"/>
              </w:rPr>
              <w:t>：发生事故时可能进入该收集系统的降雨量，m</w:t>
            </w:r>
            <w:r>
              <w:rPr>
                <w:color w:val="auto"/>
                <w:sz w:val="24"/>
                <w:szCs w:val="24"/>
                <w:vertAlign w:val="superscript"/>
              </w:rPr>
              <w:t>3</w:t>
            </w:r>
            <w:r>
              <w:rPr>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firstLine="520" w:firstLineChars="200"/>
              <w:rPr>
                <w:color w:val="auto"/>
                <w:spacing w:val="10"/>
                <w:sz w:val="24"/>
                <w:szCs w:val="24"/>
              </w:rPr>
            </w:pPr>
            <w:r>
              <w:rPr>
                <w:color w:val="auto"/>
                <w:spacing w:val="10"/>
                <w:sz w:val="24"/>
                <w:szCs w:val="24"/>
              </w:rPr>
              <w:t>V</w:t>
            </w:r>
            <w:r>
              <w:rPr>
                <w:color w:val="auto"/>
                <w:spacing w:val="10"/>
                <w:sz w:val="24"/>
                <w:szCs w:val="24"/>
                <w:vertAlign w:val="subscript"/>
              </w:rPr>
              <w:t>1</w:t>
            </w:r>
            <w:r>
              <w:rPr>
                <w:color w:val="auto"/>
                <w:sz w:val="24"/>
                <w:szCs w:val="24"/>
              </w:rPr>
              <w:t>：</w:t>
            </w:r>
            <w:r>
              <w:rPr>
                <w:rFonts w:hint="eastAsia"/>
                <w:color w:val="auto"/>
                <w:sz w:val="24"/>
                <w:szCs w:val="24"/>
              </w:rPr>
              <w:t>项目液态物料最大包装规格为</w:t>
            </w:r>
            <w:r>
              <w:rPr>
                <w:rFonts w:hint="eastAsia"/>
                <w:color w:val="auto"/>
                <w:sz w:val="24"/>
                <w:szCs w:val="24"/>
                <w:lang w:val="en-US" w:eastAsia="zh-CN"/>
              </w:rPr>
              <w:t>0.2</w:t>
            </w:r>
            <w:r>
              <w:rPr>
                <w:color w:val="auto"/>
                <w:spacing w:val="10"/>
                <w:sz w:val="24"/>
                <w:szCs w:val="24"/>
              </w:rPr>
              <w:t>m</w:t>
            </w:r>
            <w:r>
              <w:rPr>
                <w:color w:val="auto"/>
                <w:spacing w:val="10"/>
                <w:sz w:val="24"/>
                <w:szCs w:val="24"/>
                <w:vertAlign w:val="superscript"/>
              </w:rPr>
              <w:t>3</w:t>
            </w:r>
            <w:r>
              <w:rPr>
                <w:rFonts w:hint="eastAsia"/>
                <w:color w:val="auto"/>
                <w:sz w:val="24"/>
                <w:szCs w:val="24"/>
              </w:rPr>
              <w:t>，则</w:t>
            </w:r>
            <w:r>
              <w:rPr>
                <w:color w:val="auto"/>
                <w:spacing w:val="10"/>
                <w:sz w:val="24"/>
                <w:szCs w:val="24"/>
              </w:rPr>
              <w:t>V</w:t>
            </w:r>
            <w:r>
              <w:rPr>
                <w:color w:val="auto"/>
                <w:spacing w:val="10"/>
                <w:sz w:val="24"/>
                <w:szCs w:val="24"/>
                <w:vertAlign w:val="subscript"/>
              </w:rPr>
              <w:t>1</w:t>
            </w:r>
            <w:r>
              <w:rPr>
                <w:color w:val="auto"/>
                <w:spacing w:val="10"/>
                <w:sz w:val="24"/>
                <w:szCs w:val="24"/>
              </w:rPr>
              <w:t>=</w:t>
            </w:r>
            <w:r>
              <w:rPr>
                <w:rFonts w:hint="eastAsia"/>
                <w:color w:val="auto"/>
                <w:spacing w:val="10"/>
                <w:sz w:val="24"/>
                <w:szCs w:val="24"/>
                <w:lang w:val="en-US" w:eastAsia="zh-CN"/>
              </w:rPr>
              <w:t>0.2</w:t>
            </w:r>
            <w:r>
              <w:rPr>
                <w:color w:val="auto"/>
                <w:spacing w:val="10"/>
                <w:sz w:val="24"/>
                <w:szCs w:val="24"/>
              </w:rPr>
              <w:t>m</w:t>
            </w:r>
            <w:r>
              <w:rPr>
                <w:color w:val="auto"/>
                <w:spacing w:val="10"/>
                <w:sz w:val="24"/>
                <w:szCs w:val="24"/>
                <w:vertAlign w:val="superscript"/>
              </w:rPr>
              <w:t>3</w:t>
            </w:r>
            <w:r>
              <w:rPr>
                <w:color w:val="auto"/>
                <w:spacing w:val="10"/>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pacing w:val="10"/>
                <w:sz w:val="24"/>
                <w:szCs w:val="24"/>
              </w:rPr>
            </w:pPr>
            <w:r>
              <w:rPr>
                <w:color w:val="auto"/>
                <w:sz w:val="24"/>
                <w:szCs w:val="24"/>
              </w:rPr>
              <w:t>V</w:t>
            </w:r>
            <w:r>
              <w:rPr>
                <w:color w:val="auto"/>
                <w:sz w:val="24"/>
                <w:szCs w:val="24"/>
                <w:vertAlign w:val="subscript"/>
              </w:rPr>
              <w:t>2</w:t>
            </w:r>
            <w:r>
              <w:rPr>
                <w:color w:val="auto"/>
                <w:sz w:val="24"/>
                <w:szCs w:val="24"/>
              </w:rPr>
              <w:t>：</w:t>
            </w:r>
            <w:r>
              <w:rPr>
                <w:color w:val="auto"/>
                <w:spacing w:val="10"/>
                <w:sz w:val="24"/>
                <w:szCs w:val="24"/>
              </w:rPr>
              <w:t>根据《建筑设计防火规范》(GB50016-2014)（2018年修订），在进行城镇、居住区、企事业单位规划和建筑设计时，必须同时设计消防给水系统，消防用水可由给水管网、天然水源或消防水池供给。则发生一次火灾时厂房室外消防用水量为：1</w:t>
            </w:r>
            <w:r>
              <w:rPr>
                <w:rFonts w:hint="eastAsia"/>
                <w:color w:val="auto"/>
                <w:spacing w:val="10"/>
                <w:sz w:val="24"/>
                <w:szCs w:val="24"/>
                <w:lang w:val="en-US" w:eastAsia="zh-CN"/>
              </w:rPr>
              <w:t>5</w:t>
            </w:r>
            <w:r>
              <w:rPr>
                <w:color w:val="auto"/>
                <w:spacing w:val="10"/>
                <w:sz w:val="24"/>
                <w:szCs w:val="24"/>
              </w:rPr>
              <w:t>×3600×10</w:t>
            </w:r>
            <w:r>
              <w:rPr>
                <w:color w:val="auto"/>
                <w:spacing w:val="10"/>
                <w:sz w:val="24"/>
                <w:szCs w:val="24"/>
                <w:vertAlign w:val="superscript"/>
              </w:rPr>
              <w:t>-3</w:t>
            </w:r>
            <w:r>
              <w:rPr>
                <w:color w:val="auto"/>
                <w:spacing w:val="10"/>
                <w:sz w:val="24"/>
                <w:szCs w:val="24"/>
              </w:rPr>
              <w:t>×</w:t>
            </w:r>
            <w:r>
              <w:rPr>
                <w:rFonts w:hint="eastAsia"/>
                <w:color w:val="auto"/>
                <w:spacing w:val="10"/>
                <w:sz w:val="24"/>
                <w:szCs w:val="24"/>
              </w:rPr>
              <w:t>2</w:t>
            </w:r>
            <w:r>
              <w:rPr>
                <w:color w:val="auto"/>
                <w:spacing w:val="10"/>
                <w:sz w:val="24"/>
                <w:szCs w:val="24"/>
              </w:rPr>
              <w:t>=</w:t>
            </w:r>
            <w:r>
              <w:rPr>
                <w:rFonts w:hint="eastAsia"/>
                <w:color w:val="auto"/>
                <w:spacing w:val="10"/>
                <w:sz w:val="24"/>
                <w:szCs w:val="24"/>
                <w:lang w:val="en-US" w:eastAsia="zh-CN"/>
              </w:rPr>
              <w:t>108</w:t>
            </w:r>
            <w:r>
              <w:rPr>
                <w:color w:val="auto"/>
                <w:spacing w:val="10"/>
                <w:sz w:val="24"/>
                <w:szCs w:val="24"/>
              </w:rPr>
              <w:t>m</w:t>
            </w:r>
            <w:r>
              <w:rPr>
                <w:color w:val="auto"/>
                <w:spacing w:val="10"/>
                <w:sz w:val="24"/>
                <w:szCs w:val="24"/>
                <w:vertAlign w:val="superscript"/>
              </w:rPr>
              <w:t>3</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auto"/>
                <w:sz w:val="24"/>
                <w:szCs w:val="24"/>
              </w:rPr>
            </w:pPr>
            <w:r>
              <w:rPr>
                <w:color w:val="auto"/>
                <w:sz w:val="24"/>
                <w:szCs w:val="24"/>
              </w:rPr>
              <w:t>V</w:t>
            </w:r>
            <w:r>
              <w:rPr>
                <w:color w:val="auto"/>
                <w:sz w:val="24"/>
                <w:szCs w:val="24"/>
                <w:vertAlign w:val="subscript"/>
              </w:rPr>
              <w:t>3</w:t>
            </w:r>
            <w:r>
              <w:rPr>
                <w:color w:val="auto"/>
                <w:sz w:val="24"/>
                <w:szCs w:val="24"/>
              </w:rPr>
              <w:t>：公司</w:t>
            </w:r>
            <w:r>
              <w:rPr>
                <w:rFonts w:hint="eastAsia"/>
                <w:color w:val="auto"/>
                <w:sz w:val="24"/>
                <w:szCs w:val="24"/>
                <w:lang w:eastAsia="zh-CN"/>
              </w:rPr>
              <w:t>厂区</w:t>
            </w:r>
            <w:r>
              <w:rPr>
                <w:color w:val="auto"/>
                <w:sz w:val="24"/>
                <w:szCs w:val="24"/>
              </w:rPr>
              <w:t>雨水管网总长度约为</w:t>
            </w:r>
            <w:r>
              <w:rPr>
                <w:rFonts w:hint="eastAsia"/>
                <w:color w:val="auto"/>
                <w:sz w:val="24"/>
                <w:szCs w:val="24"/>
                <w:lang w:val="en-US" w:eastAsia="zh-CN"/>
              </w:rPr>
              <w:t>40</w:t>
            </w:r>
            <w:r>
              <w:rPr>
                <w:color w:val="auto"/>
                <w:sz w:val="24"/>
                <w:szCs w:val="24"/>
              </w:rPr>
              <w:t>0m，管内径为0.</w:t>
            </w:r>
            <w:r>
              <w:rPr>
                <w:rFonts w:hint="eastAsia"/>
                <w:color w:val="auto"/>
                <w:sz w:val="24"/>
                <w:szCs w:val="24"/>
              </w:rPr>
              <w:t>4</w:t>
            </w:r>
            <w:r>
              <w:rPr>
                <w:color w:val="auto"/>
                <w:sz w:val="24"/>
                <w:szCs w:val="24"/>
              </w:rPr>
              <w:t>m，则雨水管网总容积约为</w:t>
            </w:r>
            <w:r>
              <w:rPr>
                <w:rFonts w:hint="eastAsia"/>
                <w:color w:val="auto"/>
                <w:sz w:val="24"/>
                <w:szCs w:val="24"/>
                <w:lang w:val="en-US" w:eastAsia="zh-CN"/>
              </w:rPr>
              <w:t>50</w:t>
            </w:r>
            <w:r>
              <w:rPr>
                <w:color w:val="auto"/>
                <w:sz w:val="24"/>
                <w:szCs w:val="24"/>
              </w:rPr>
              <w:t>m</w:t>
            </w:r>
            <w:r>
              <w:rPr>
                <w:color w:val="auto"/>
                <w:sz w:val="24"/>
                <w:szCs w:val="24"/>
                <w:vertAlign w:val="superscript"/>
              </w:rPr>
              <w:t>3</w:t>
            </w:r>
            <w:r>
              <w:rPr>
                <w:color w:val="auto"/>
                <w:sz w:val="24"/>
                <w:szCs w:val="24"/>
              </w:rPr>
              <w:t>，事故时可容纳消防尾水量为</w:t>
            </w:r>
            <w:r>
              <w:rPr>
                <w:rFonts w:hint="eastAsia"/>
                <w:color w:val="auto"/>
                <w:sz w:val="24"/>
                <w:szCs w:val="24"/>
                <w:lang w:val="en-US" w:eastAsia="zh-CN"/>
              </w:rPr>
              <w:t>40</w:t>
            </w:r>
            <w:r>
              <w:rPr>
                <w:color w:val="auto"/>
                <w:sz w:val="24"/>
                <w:szCs w:val="24"/>
              </w:rPr>
              <w:t>m</w:t>
            </w:r>
            <w:r>
              <w:rPr>
                <w:color w:val="auto"/>
                <w:sz w:val="24"/>
                <w:szCs w:val="24"/>
                <w:vertAlign w:val="superscript"/>
              </w:rPr>
              <w:t>3</w:t>
            </w:r>
            <w:r>
              <w:rPr>
                <w:color w:val="auto"/>
                <w:sz w:val="24"/>
                <w:szCs w:val="24"/>
              </w:rPr>
              <w:t>（以雨水管网总容积的</w:t>
            </w:r>
            <w:r>
              <w:rPr>
                <w:rFonts w:hint="eastAsia"/>
                <w:color w:val="auto"/>
                <w:sz w:val="24"/>
                <w:szCs w:val="24"/>
                <w:lang w:val="en-US" w:eastAsia="zh-CN"/>
              </w:rPr>
              <w:t>8</w:t>
            </w:r>
            <w:r>
              <w:rPr>
                <w:color w:val="auto"/>
                <w:sz w:val="24"/>
                <w:szCs w:val="24"/>
              </w:rPr>
              <w:t>0%计），则V</w:t>
            </w:r>
            <w:r>
              <w:rPr>
                <w:color w:val="auto"/>
                <w:sz w:val="24"/>
                <w:szCs w:val="24"/>
                <w:vertAlign w:val="subscript"/>
              </w:rPr>
              <w:t>3</w:t>
            </w:r>
            <w:r>
              <w:rPr>
                <w:color w:val="auto"/>
                <w:sz w:val="24"/>
                <w:szCs w:val="24"/>
              </w:rPr>
              <w:t>＝</w:t>
            </w:r>
            <w:r>
              <w:rPr>
                <w:rFonts w:hint="eastAsia"/>
                <w:color w:val="auto"/>
                <w:sz w:val="24"/>
                <w:szCs w:val="24"/>
                <w:lang w:val="en-US" w:eastAsia="zh-CN"/>
              </w:rPr>
              <w:t>40</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 xml:space="preserve">  </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szCs w:val="24"/>
              </w:rPr>
            </w:pPr>
            <w:r>
              <w:rPr>
                <w:color w:val="auto"/>
                <w:sz w:val="24"/>
                <w:szCs w:val="24"/>
              </w:rPr>
              <w:t>V</w:t>
            </w:r>
            <w:r>
              <w:rPr>
                <w:color w:val="auto"/>
                <w:sz w:val="24"/>
                <w:szCs w:val="24"/>
                <w:vertAlign w:val="subscript"/>
              </w:rPr>
              <w:t>4</w:t>
            </w:r>
            <w:r>
              <w:rPr>
                <w:color w:val="auto"/>
                <w:sz w:val="24"/>
                <w:szCs w:val="24"/>
              </w:rPr>
              <w:t>：发生事故时无生产废水量进入该系统，取0m</w:t>
            </w:r>
            <w:r>
              <w:rPr>
                <w:color w:val="auto"/>
                <w:sz w:val="24"/>
                <w:szCs w:val="24"/>
                <w:vertAlign w:val="superscript"/>
              </w:rPr>
              <w:t>3</w:t>
            </w:r>
            <w:r>
              <w:rPr>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szCs w:val="24"/>
              </w:rPr>
            </w:pPr>
            <w:r>
              <w:rPr>
                <w:color w:val="auto"/>
                <w:sz w:val="24"/>
                <w:szCs w:val="24"/>
              </w:rPr>
              <w:t>V</w:t>
            </w:r>
            <w:r>
              <w:rPr>
                <w:color w:val="auto"/>
                <w:sz w:val="24"/>
                <w:szCs w:val="24"/>
                <w:vertAlign w:val="subscript"/>
              </w:rPr>
              <w:t>5</w:t>
            </w:r>
            <w:r>
              <w:rPr>
                <w:color w:val="auto"/>
                <w:sz w:val="24"/>
                <w:szCs w:val="24"/>
              </w:rPr>
              <w:t>：发生事故时可能进入该收集系统的降雨量，发生事故时可能进入该收集系统的降雨量，V</w:t>
            </w:r>
            <w:r>
              <w:rPr>
                <w:color w:val="auto"/>
                <w:sz w:val="24"/>
                <w:szCs w:val="24"/>
                <w:vertAlign w:val="subscript"/>
              </w:rPr>
              <w:t>5</w:t>
            </w:r>
            <w:r>
              <w:rPr>
                <w:color w:val="auto"/>
                <w:sz w:val="24"/>
                <w:szCs w:val="24"/>
              </w:rPr>
              <w:t>=10qF；</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szCs w:val="24"/>
              </w:rPr>
            </w:pPr>
            <w:r>
              <w:rPr>
                <w:color w:val="auto"/>
                <w:sz w:val="24"/>
                <w:szCs w:val="24"/>
              </w:rPr>
              <w:t>q：降雨强度，mm；按平均日降雨量；</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szCs w:val="24"/>
              </w:rPr>
            </w:pPr>
            <w:r>
              <w:rPr>
                <w:color w:val="auto"/>
                <w:sz w:val="24"/>
                <w:szCs w:val="24"/>
              </w:rPr>
              <w:t>q=q</w:t>
            </w:r>
            <w:r>
              <w:rPr>
                <w:color w:val="auto"/>
                <w:sz w:val="24"/>
                <w:szCs w:val="24"/>
                <w:vertAlign w:val="subscript"/>
              </w:rPr>
              <w:t>a</w:t>
            </w:r>
            <w:r>
              <w:rPr>
                <w:color w:val="auto"/>
                <w:sz w:val="24"/>
                <w:szCs w:val="24"/>
              </w:rPr>
              <w:t>/n</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szCs w:val="24"/>
              </w:rPr>
            </w:pPr>
            <w:r>
              <w:rPr>
                <w:color w:val="auto"/>
                <w:sz w:val="24"/>
                <w:szCs w:val="24"/>
              </w:rPr>
              <w:t>q</w:t>
            </w:r>
            <w:r>
              <w:rPr>
                <w:color w:val="auto"/>
                <w:sz w:val="24"/>
                <w:szCs w:val="24"/>
                <w:vertAlign w:val="subscript"/>
              </w:rPr>
              <w:t>a</w:t>
            </w:r>
            <w:r>
              <w:rPr>
                <w:color w:val="auto"/>
                <w:sz w:val="24"/>
                <w:szCs w:val="24"/>
              </w:rPr>
              <w:t>：年平均降雨量，取1074mm；</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szCs w:val="24"/>
              </w:rPr>
            </w:pPr>
            <w:r>
              <w:rPr>
                <w:color w:val="auto"/>
                <w:sz w:val="24"/>
                <w:szCs w:val="24"/>
              </w:rPr>
              <w:t>n：年平均降雨日数，取126天；</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szCs w:val="24"/>
              </w:rPr>
            </w:pPr>
            <w:r>
              <w:rPr>
                <w:color w:val="auto"/>
                <w:sz w:val="24"/>
                <w:szCs w:val="24"/>
              </w:rPr>
              <w:t>F：必须进入事故废水收集系统的雨水汇水面积ha，</w:t>
            </w:r>
            <w:r>
              <w:rPr>
                <w:rFonts w:hint="eastAsia"/>
                <w:color w:val="auto"/>
                <w:sz w:val="24"/>
                <w:szCs w:val="24"/>
                <w:lang w:eastAsia="zh-CN"/>
              </w:rPr>
              <w:t>项目生产车间、办公楼占地面积约</w:t>
            </w:r>
            <w:r>
              <w:rPr>
                <w:rFonts w:hint="eastAsia"/>
                <w:color w:val="auto"/>
                <w:sz w:val="24"/>
                <w:szCs w:val="24"/>
                <w:lang w:val="en-US" w:eastAsia="zh-CN"/>
              </w:rPr>
              <w:t>3962.7m</w:t>
            </w:r>
            <w:r>
              <w:rPr>
                <w:rFonts w:hint="eastAsia"/>
                <w:color w:val="auto"/>
                <w:sz w:val="24"/>
                <w:szCs w:val="24"/>
                <w:vertAlign w:val="superscript"/>
                <w:lang w:val="en-US" w:eastAsia="zh-CN"/>
              </w:rPr>
              <w:t>2</w:t>
            </w:r>
            <w:r>
              <w:rPr>
                <w:rFonts w:hint="eastAsia"/>
                <w:color w:val="auto"/>
                <w:sz w:val="24"/>
                <w:szCs w:val="24"/>
                <w:lang w:val="en-US" w:eastAsia="zh-CN"/>
              </w:rPr>
              <w:t>，故取0.4</w:t>
            </w:r>
            <w:r>
              <w:rPr>
                <w:color w:val="auto"/>
                <w:sz w:val="24"/>
                <w:szCs w:val="24"/>
              </w:rPr>
              <w:t>ha；</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szCs w:val="24"/>
              </w:rPr>
            </w:pPr>
            <w:r>
              <w:rPr>
                <w:color w:val="auto"/>
                <w:sz w:val="24"/>
                <w:szCs w:val="24"/>
              </w:rPr>
              <w:t>由此计算V</w:t>
            </w:r>
            <w:r>
              <w:rPr>
                <w:color w:val="auto"/>
                <w:sz w:val="24"/>
                <w:szCs w:val="24"/>
                <w:vertAlign w:val="subscript"/>
              </w:rPr>
              <w:t>5</w:t>
            </w:r>
            <w:r>
              <w:rPr>
                <w:color w:val="auto"/>
                <w:sz w:val="24"/>
                <w:szCs w:val="24"/>
              </w:rPr>
              <w:t>为</w:t>
            </w:r>
            <w:r>
              <w:rPr>
                <w:rFonts w:hint="eastAsia"/>
                <w:color w:val="auto"/>
                <w:sz w:val="24"/>
                <w:szCs w:val="24"/>
                <w:lang w:val="en-US" w:eastAsia="zh-CN"/>
              </w:rPr>
              <w:t>34</w:t>
            </w:r>
            <w:r>
              <w:rPr>
                <w:color w:val="auto"/>
                <w:sz w:val="24"/>
                <w:szCs w:val="24"/>
              </w:rPr>
              <w:t>m</w:t>
            </w:r>
            <w:r>
              <w:rPr>
                <w:color w:val="auto"/>
                <w:sz w:val="24"/>
                <w:szCs w:val="24"/>
                <w:vertAlign w:val="superscript"/>
              </w:rPr>
              <w:t>3</w:t>
            </w:r>
            <w:r>
              <w:rPr>
                <w:color w:val="auto"/>
                <w:sz w:val="24"/>
                <w:szCs w:val="24"/>
              </w:rPr>
              <w:t>。</w:t>
            </w:r>
          </w:p>
          <w:p>
            <w:pPr>
              <w:pStyle w:val="12"/>
              <w:keepNext w:val="0"/>
              <w:keepLines w:val="0"/>
              <w:pageBreakBefore w:val="0"/>
              <w:widowControl w:val="0"/>
              <w:kinsoku/>
              <w:wordWrap/>
              <w:overflowPunct/>
              <w:topLinePunct w:val="0"/>
              <w:bidi w:val="0"/>
              <w:adjustRightInd w:val="0"/>
              <w:spacing w:before="0" w:after="0" w:line="360" w:lineRule="auto"/>
              <w:ind w:right="0" w:firstLine="480" w:firstLineChars="200"/>
              <w:rPr>
                <w:b/>
                <w:color w:val="auto"/>
                <w:sz w:val="24"/>
                <w:szCs w:val="24"/>
              </w:rPr>
            </w:pPr>
            <w:r>
              <w:rPr>
                <w:color w:val="auto"/>
                <w:sz w:val="24"/>
                <w:szCs w:val="24"/>
              </w:rPr>
              <w:t>V</w:t>
            </w:r>
            <w:r>
              <w:rPr>
                <w:color w:val="auto"/>
                <w:sz w:val="24"/>
                <w:szCs w:val="24"/>
                <w:vertAlign w:val="subscript"/>
              </w:rPr>
              <w:t>a</w:t>
            </w:r>
            <w:r>
              <w:rPr>
                <w:color w:val="auto"/>
                <w:sz w:val="24"/>
                <w:szCs w:val="24"/>
              </w:rPr>
              <w:t>=</w:t>
            </w:r>
            <w:r>
              <w:rPr>
                <w:rFonts w:hint="eastAsia"/>
                <w:color w:val="auto"/>
                <w:sz w:val="24"/>
                <w:szCs w:val="24"/>
                <w:lang w:val="en-US" w:eastAsia="zh-CN"/>
              </w:rPr>
              <w:t>0.2</w:t>
            </w:r>
            <w:r>
              <w:rPr>
                <w:color w:val="auto"/>
                <w:sz w:val="24"/>
                <w:szCs w:val="24"/>
              </w:rPr>
              <w:t>+</w:t>
            </w:r>
            <w:r>
              <w:rPr>
                <w:rFonts w:hint="eastAsia"/>
                <w:color w:val="auto"/>
                <w:sz w:val="24"/>
                <w:szCs w:val="24"/>
                <w:lang w:val="en-US" w:eastAsia="zh-CN"/>
              </w:rPr>
              <w:t>108</w:t>
            </w:r>
            <w:r>
              <w:rPr>
                <w:color w:val="auto"/>
                <w:sz w:val="24"/>
                <w:szCs w:val="24"/>
              </w:rPr>
              <w:t>-</w:t>
            </w:r>
            <w:r>
              <w:rPr>
                <w:rFonts w:hint="eastAsia"/>
                <w:color w:val="auto"/>
                <w:sz w:val="24"/>
                <w:szCs w:val="24"/>
                <w:lang w:val="en-US" w:eastAsia="zh-CN"/>
              </w:rPr>
              <w:t>40</w:t>
            </w:r>
            <w:r>
              <w:rPr>
                <w:color w:val="auto"/>
                <w:sz w:val="24"/>
                <w:szCs w:val="24"/>
              </w:rPr>
              <w:t>+0+</w:t>
            </w:r>
            <w:r>
              <w:rPr>
                <w:rFonts w:hint="eastAsia"/>
                <w:color w:val="auto"/>
                <w:sz w:val="24"/>
                <w:szCs w:val="24"/>
                <w:lang w:val="en-US" w:eastAsia="zh-CN"/>
              </w:rPr>
              <w:t>34</w:t>
            </w:r>
            <w:r>
              <w:rPr>
                <w:color w:val="auto"/>
                <w:sz w:val="24"/>
                <w:szCs w:val="24"/>
              </w:rPr>
              <w:t>=</w:t>
            </w:r>
            <w:r>
              <w:rPr>
                <w:rFonts w:hint="eastAsia"/>
                <w:color w:val="auto"/>
                <w:sz w:val="24"/>
                <w:szCs w:val="24"/>
                <w:lang w:val="en-US" w:eastAsia="zh-CN"/>
              </w:rPr>
              <w:t>102.2</w:t>
            </w:r>
            <w:r>
              <w:rPr>
                <w:color w:val="auto"/>
                <w:sz w:val="24"/>
                <w:szCs w:val="24"/>
              </w:rPr>
              <w:t>m</w:t>
            </w:r>
            <w:r>
              <w:rPr>
                <w:color w:val="auto"/>
                <w:sz w:val="24"/>
                <w:szCs w:val="24"/>
                <w:vertAlign w:val="superscript"/>
              </w:rPr>
              <w:t>3</w:t>
            </w:r>
          </w:p>
          <w:p>
            <w:pPr>
              <w:keepNext w:val="0"/>
              <w:keepLines w:val="0"/>
              <w:pageBreakBefore w:val="0"/>
              <w:widowControl w:val="0"/>
              <w:kinsoku/>
              <w:wordWrap/>
              <w:overflowPunct/>
              <w:topLinePunct w:val="0"/>
              <w:bidi w:val="0"/>
              <w:adjustRightInd w:val="0"/>
              <w:snapToGrid w:val="0"/>
              <w:spacing w:line="360" w:lineRule="auto"/>
              <w:ind w:firstLine="482"/>
              <w:rPr>
                <w:rFonts w:hint="eastAsia" w:ascii="Times New Roman" w:hAnsi="Times New Roman" w:cs="Times New Roman"/>
                <w:color w:val="auto"/>
                <w:sz w:val="24"/>
                <w:szCs w:val="24"/>
              </w:rPr>
            </w:pPr>
            <w:r>
              <w:rPr>
                <w:color w:val="auto"/>
                <w:sz w:val="24"/>
                <w:szCs w:val="24"/>
              </w:rPr>
              <w:t>公司需</w:t>
            </w:r>
            <w:r>
              <w:rPr>
                <w:rFonts w:hint="eastAsia"/>
                <w:color w:val="auto"/>
                <w:sz w:val="24"/>
                <w:szCs w:val="24"/>
              </w:rPr>
              <w:t>新建</w:t>
            </w:r>
            <w:r>
              <w:rPr>
                <w:color w:val="auto"/>
                <w:sz w:val="24"/>
                <w:szCs w:val="24"/>
              </w:rPr>
              <w:t>一座容积约</w:t>
            </w:r>
            <w:r>
              <w:rPr>
                <w:rFonts w:hint="eastAsia"/>
                <w:color w:val="auto"/>
                <w:sz w:val="24"/>
                <w:szCs w:val="24"/>
                <w:lang w:val="en-US" w:eastAsia="zh-CN"/>
              </w:rPr>
              <w:t>105</w:t>
            </w:r>
            <w:r>
              <w:rPr>
                <w:color w:val="auto"/>
                <w:sz w:val="24"/>
                <w:szCs w:val="24"/>
              </w:rPr>
              <w:t>m</w:t>
            </w:r>
            <w:r>
              <w:rPr>
                <w:color w:val="auto"/>
                <w:sz w:val="24"/>
                <w:szCs w:val="24"/>
                <w:vertAlign w:val="superscript"/>
              </w:rPr>
              <w:t>3</w:t>
            </w:r>
            <w:r>
              <w:rPr>
                <w:color w:val="auto"/>
                <w:sz w:val="24"/>
                <w:szCs w:val="24"/>
              </w:rPr>
              <w:t>事故应急池，并配备应急泵、与雨水口相连通的应急管线</w:t>
            </w:r>
            <w:r>
              <w:rPr>
                <w:rFonts w:hint="eastAsia" w:ascii="Times New Roman" w:hAnsi="Times New Roman" w:cs="Times New Roman"/>
                <w:color w:val="auto"/>
                <w:sz w:val="24"/>
                <w:szCs w:val="24"/>
              </w:rPr>
              <w:t>等应急措施，同时</w:t>
            </w:r>
            <w:r>
              <w:rPr>
                <w:rFonts w:hint="eastAsia" w:cs="Times New Roman"/>
                <w:color w:val="auto"/>
                <w:sz w:val="24"/>
                <w:szCs w:val="24"/>
                <w:lang w:eastAsia="zh-CN"/>
              </w:rPr>
              <w:t>厂</w:t>
            </w:r>
            <w:r>
              <w:rPr>
                <w:rFonts w:hint="eastAsia" w:ascii="Times New Roman" w:hAnsi="Times New Roman" w:cs="Times New Roman"/>
                <w:color w:val="auto"/>
                <w:sz w:val="24"/>
                <w:szCs w:val="24"/>
                <w:lang w:eastAsia="zh-CN"/>
              </w:rPr>
              <w:t>区</w:t>
            </w:r>
            <w:r>
              <w:rPr>
                <w:rFonts w:hint="eastAsia" w:ascii="Times New Roman" w:hAnsi="Times New Roman" w:cs="Times New Roman"/>
                <w:color w:val="auto"/>
                <w:sz w:val="24"/>
                <w:szCs w:val="24"/>
              </w:rPr>
              <w:t>雨水排放口</w:t>
            </w:r>
            <w:r>
              <w:rPr>
                <w:rFonts w:hint="eastAsia" w:cs="Times New Roman"/>
                <w:color w:val="auto"/>
                <w:sz w:val="24"/>
                <w:szCs w:val="24"/>
                <w:lang w:eastAsia="zh-CN"/>
              </w:rPr>
              <w:t>需</w:t>
            </w:r>
            <w:r>
              <w:rPr>
                <w:rFonts w:hint="eastAsia" w:ascii="Times New Roman" w:hAnsi="Times New Roman" w:cs="Times New Roman"/>
                <w:color w:val="auto"/>
                <w:sz w:val="24"/>
                <w:szCs w:val="24"/>
              </w:rPr>
              <w:t>安装截流阀，</w:t>
            </w:r>
            <w:r>
              <w:rPr>
                <w:rFonts w:hint="eastAsia" w:ascii="Times New Roman" w:hAnsi="Times New Roman" w:cs="Times New Roman"/>
                <w:color w:val="auto"/>
                <w:sz w:val="24"/>
                <w:szCs w:val="24"/>
                <w:lang w:eastAsia="zh-CN"/>
              </w:rPr>
              <w:t>可</w:t>
            </w:r>
            <w:r>
              <w:rPr>
                <w:rFonts w:hint="eastAsia" w:ascii="Times New Roman" w:hAnsi="Times New Roman" w:cs="Times New Roman"/>
                <w:color w:val="auto"/>
                <w:sz w:val="24"/>
                <w:szCs w:val="24"/>
              </w:rPr>
              <w:t>确保事故时的消防废水、泄漏废液能进入该水池储存，不排入外环境。</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7）企</w:t>
            </w:r>
            <w:r>
              <w:rPr>
                <w:rFonts w:hint="eastAsia" w:ascii="Times New Roman" w:hAnsi="Times New Roman" w:eastAsia="宋体" w:cs="Times New Roman"/>
                <w:color w:val="auto"/>
                <w:sz w:val="24"/>
                <w:szCs w:val="24"/>
                <w:lang w:val="en-US" w:eastAsia="zh-CN"/>
              </w:rPr>
              <w:t>业</w:t>
            </w:r>
            <w:r>
              <w:rPr>
                <w:rFonts w:hint="eastAsia" w:ascii="Times New Roman" w:hAnsi="Times New Roman" w:eastAsia="宋体" w:cs="Times New Roman"/>
                <w:color w:val="auto"/>
                <w:sz w:val="24"/>
                <w:szCs w:val="24"/>
              </w:rPr>
              <w:t>环境风险三级防范</w:t>
            </w:r>
            <w:r>
              <w:rPr>
                <w:rFonts w:hint="eastAsia" w:ascii="Times New Roman" w:hAnsi="Times New Roman" w:eastAsia="宋体" w:cs="Times New Roman"/>
                <w:color w:val="auto"/>
                <w:sz w:val="24"/>
                <w:szCs w:val="24"/>
                <w:lang w:eastAsia="zh-CN"/>
              </w:rPr>
              <w:t>措施</w:t>
            </w:r>
          </w:p>
          <w:p>
            <w:pPr>
              <w:pStyle w:val="98"/>
              <w:keepNext w:val="0"/>
              <w:keepLines w:val="0"/>
              <w:pageBreakBefore w:val="0"/>
              <w:widowControl w:val="0"/>
              <w:tabs>
                <w:tab w:val="left" w:pos="840"/>
              </w:tabs>
              <w:kinsoku/>
              <w:wordWrap/>
              <w:overflowPunct/>
              <w:topLinePunct w:val="0"/>
              <w:bidi w:val="0"/>
              <w:snapToGrid/>
              <w:spacing w:line="360" w:lineRule="auto"/>
              <w:ind w:firstLine="480" w:firstLineChars="200"/>
              <w:rPr>
                <w:rFonts w:hint="default" w:ascii="Times New Roman" w:hAnsi="Times New Roman" w:eastAsia="宋体" w:cs="Times New Roman"/>
                <w:snapToGrid/>
                <w:color w:val="auto"/>
                <w:spacing w:val="0"/>
                <w:kern w:val="2"/>
                <w:sz w:val="24"/>
                <w:szCs w:val="24"/>
                <w:lang w:val="en-US" w:eastAsia="zh-CN" w:bidi="ar-SA"/>
              </w:rPr>
            </w:pPr>
            <w:r>
              <w:rPr>
                <w:rFonts w:hint="default" w:ascii="Times New Roman" w:hAnsi="Times New Roman" w:eastAsia="宋体" w:cs="Times New Roman"/>
                <w:snapToGrid/>
                <w:color w:val="auto"/>
                <w:spacing w:val="0"/>
                <w:kern w:val="2"/>
                <w:sz w:val="24"/>
                <w:szCs w:val="24"/>
                <w:lang w:val="en-US" w:eastAsia="zh-CN" w:bidi="ar-SA"/>
              </w:rPr>
              <w:t>一级防控措施：利用</w:t>
            </w:r>
            <w:r>
              <w:rPr>
                <w:rFonts w:hint="eastAsia" w:ascii="Times New Roman" w:hAnsi="Times New Roman" w:eastAsia="宋体" w:cs="Times New Roman"/>
                <w:snapToGrid/>
                <w:color w:val="auto"/>
                <w:spacing w:val="0"/>
                <w:kern w:val="2"/>
                <w:sz w:val="24"/>
                <w:szCs w:val="24"/>
                <w:lang w:val="en-US" w:eastAsia="zh-CN" w:bidi="ar-SA"/>
              </w:rPr>
              <w:t>车间</w:t>
            </w:r>
            <w:r>
              <w:rPr>
                <w:rFonts w:hint="default" w:ascii="Times New Roman" w:hAnsi="Times New Roman" w:eastAsia="宋体" w:cs="Times New Roman"/>
                <w:snapToGrid/>
                <w:color w:val="auto"/>
                <w:spacing w:val="0"/>
                <w:kern w:val="2"/>
                <w:sz w:val="24"/>
                <w:szCs w:val="24"/>
                <w:lang w:val="en-US" w:eastAsia="zh-CN" w:bidi="ar-SA"/>
              </w:rPr>
              <w:t>存储区收集装置作为一级防控措施，主要防控泄漏</w:t>
            </w:r>
            <w:r>
              <w:rPr>
                <w:rFonts w:hint="eastAsia" w:ascii="Times New Roman" w:hAnsi="Times New Roman" w:eastAsia="宋体" w:cs="Times New Roman"/>
                <w:snapToGrid/>
                <w:color w:val="auto"/>
                <w:spacing w:val="0"/>
                <w:kern w:val="2"/>
                <w:sz w:val="24"/>
                <w:szCs w:val="24"/>
                <w:lang w:val="en-US" w:eastAsia="zh-CN" w:bidi="ar-SA"/>
              </w:rPr>
              <w:t>少量</w:t>
            </w:r>
            <w:r>
              <w:rPr>
                <w:rFonts w:hint="default" w:ascii="Times New Roman" w:hAnsi="Times New Roman" w:eastAsia="宋体" w:cs="Times New Roman"/>
                <w:snapToGrid/>
                <w:color w:val="auto"/>
                <w:spacing w:val="0"/>
                <w:kern w:val="2"/>
                <w:sz w:val="24"/>
                <w:szCs w:val="24"/>
                <w:lang w:val="en-US" w:eastAsia="zh-CN" w:bidi="ar-SA"/>
              </w:rPr>
              <w:t>物料。二级防控措施：</w:t>
            </w:r>
            <w:r>
              <w:rPr>
                <w:rFonts w:hint="eastAsia" w:ascii="Times New Roman" w:hAnsi="Times New Roman" w:eastAsia="宋体" w:cs="Times New Roman"/>
                <w:snapToGrid/>
                <w:color w:val="auto"/>
                <w:spacing w:val="0"/>
                <w:kern w:val="2"/>
                <w:sz w:val="24"/>
                <w:szCs w:val="24"/>
                <w:lang w:val="en-US" w:eastAsia="zh-CN" w:bidi="ar-SA"/>
              </w:rPr>
              <w:t>利用</w:t>
            </w:r>
            <w:r>
              <w:rPr>
                <w:rFonts w:hint="default" w:ascii="Times New Roman" w:hAnsi="Times New Roman" w:eastAsia="宋体" w:cs="Times New Roman"/>
                <w:snapToGrid/>
                <w:color w:val="auto"/>
                <w:spacing w:val="0"/>
                <w:kern w:val="2"/>
                <w:sz w:val="24"/>
                <w:szCs w:val="24"/>
                <w:lang w:val="en-US" w:eastAsia="zh-CN" w:bidi="ar-SA"/>
              </w:rPr>
              <w:t>事故池作为二级防控措施，用于事故状态下储存泄漏物料、事故废水。三级防控措施：当厂区二级防控系统失效时，在厂区附近的</w:t>
            </w:r>
            <w:r>
              <w:rPr>
                <w:rFonts w:hint="eastAsia" w:ascii="Times New Roman" w:hAnsi="Times New Roman" w:eastAsia="宋体" w:cs="Times New Roman"/>
                <w:snapToGrid/>
                <w:color w:val="auto"/>
                <w:spacing w:val="0"/>
                <w:kern w:val="2"/>
                <w:sz w:val="24"/>
                <w:szCs w:val="24"/>
                <w:lang w:val="en-US" w:eastAsia="zh-CN" w:bidi="ar-SA"/>
              </w:rPr>
              <w:t>市政</w:t>
            </w:r>
            <w:r>
              <w:rPr>
                <w:rFonts w:hint="default" w:ascii="Times New Roman" w:hAnsi="Times New Roman" w:eastAsia="宋体" w:cs="Times New Roman"/>
                <w:snapToGrid/>
                <w:color w:val="auto"/>
                <w:spacing w:val="0"/>
                <w:kern w:val="2"/>
                <w:sz w:val="24"/>
                <w:szCs w:val="24"/>
                <w:lang w:val="en-US" w:eastAsia="zh-CN" w:bidi="ar-SA"/>
              </w:rPr>
              <w:t>雨水管网上游、下游方向安装2道应急截流闸，建立临时外部应急事故池，防止事故废水进一步污染下游水环境</w:t>
            </w:r>
            <w:r>
              <w:rPr>
                <w:rFonts w:hint="eastAsia" w:ascii="Times New Roman" w:hAnsi="Times New Roman" w:eastAsia="宋体" w:cs="Times New Roman"/>
                <w:snapToGrid/>
                <w:color w:val="auto"/>
                <w:spacing w:val="0"/>
                <w:kern w:val="2"/>
                <w:sz w:val="24"/>
                <w:szCs w:val="24"/>
                <w:lang w:val="en-US" w:eastAsia="zh-CN" w:bidi="ar-SA"/>
              </w:rPr>
              <w:t>。</w:t>
            </w:r>
          </w:p>
          <w:p>
            <w:pPr>
              <w:keepNext w:val="0"/>
              <w:keepLines w:val="0"/>
              <w:pageBreakBefore w:val="0"/>
              <w:widowControl w:val="0"/>
              <w:kinsoku/>
              <w:wordWrap/>
              <w:overflowPunct/>
              <w:topLinePunct w:val="0"/>
              <w:bidi w:val="0"/>
              <w:adjustRightInd w:val="0"/>
              <w:snapToGrid w:val="0"/>
              <w:spacing w:line="360" w:lineRule="auto"/>
              <w:ind w:firstLine="482"/>
              <w:rPr>
                <w:rFonts w:hint="eastAsia" w:ascii="Times New Roman" w:hAnsi="Times New Roman" w:cs="Times New Roman"/>
                <w:color w:val="auto"/>
                <w:sz w:val="24"/>
                <w:szCs w:val="24"/>
              </w:rPr>
            </w:pPr>
            <w:r>
              <w:rPr>
                <w:rFonts w:hint="eastAsia" w:cs="Times New Roman"/>
                <w:color w:val="auto"/>
                <w:sz w:val="24"/>
                <w:szCs w:val="24"/>
                <w:lang w:val="en-US" w:eastAsia="zh-CN"/>
              </w:rPr>
              <w:t>6</w:t>
            </w:r>
            <w:r>
              <w:rPr>
                <w:rFonts w:hint="eastAsia" w:ascii="Times New Roman" w:hAnsi="Times New Roman" w:cs="Times New Roman"/>
                <w:color w:val="auto"/>
                <w:sz w:val="24"/>
                <w:szCs w:val="24"/>
              </w:rPr>
              <w:t>）与常州市金坛区应急管理局的联动</w:t>
            </w:r>
          </w:p>
          <w:p>
            <w:pPr>
              <w:keepNext w:val="0"/>
              <w:keepLines w:val="0"/>
              <w:pageBreakBefore w:val="0"/>
              <w:widowControl w:val="0"/>
              <w:kinsoku/>
              <w:wordWrap/>
              <w:overflowPunct/>
              <w:topLinePunct w:val="0"/>
              <w:bidi w:val="0"/>
              <w:adjustRightInd w:val="0"/>
              <w:snapToGrid w:val="0"/>
              <w:spacing w:line="360" w:lineRule="auto"/>
              <w:ind w:firstLine="482"/>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省生态环境厅关于做好安全生产专项整治工作实施方案》(苏环办[2020]16号)、《关于做好生态环境和应急管理部门联动工作的意见》（苏环办[2020]101号）相关要求，项目建成后需开展大气、固废等污染防治措施安全论证并获得常州市金坛区应急管理局的许可。</w:t>
            </w:r>
          </w:p>
          <w:p>
            <w:pPr>
              <w:keepNext w:val="0"/>
              <w:keepLines w:val="0"/>
              <w:pageBreakBefore w:val="0"/>
              <w:widowControl w:val="0"/>
              <w:kinsoku/>
              <w:wordWrap/>
              <w:overflowPunct/>
              <w:topLinePunct w:val="0"/>
              <w:bidi w:val="0"/>
              <w:snapToGrid w:val="0"/>
              <w:spacing w:line="360" w:lineRule="auto"/>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3、</w:t>
            </w:r>
            <w:r>
              <w:rPr>
                <w:rFonts w:hint="default" w:ascii="Times New Roman" w:hAnsi="Times New Roman" w:cs="Times New Roman"/>
                <w:bCs/>
                <w:color w:val="auto"/>
                <w:sz w:val="24"/>
              </w:rPr>
              <w:t>突发环境事件应急预案风险应急计划</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default" w:ascii="Times New Roman" w:hAnsi="Times New Roman" w:cs="Times New Roman"/>
                <w:bCs/>
                <w:color w:val="auto"/>
                <w:sz w:val="24"/>
                <w:szCs w:val="22"/>
              </w:rPr>
            </w:pPr>
            <w:r>
              <w:rPr>
                <w:rFonts w:hint="default" w:ascii="Times New Roman" w:hAnsi="Times New Roman" w:cs="Times New Roman"/>
                <w:bCs/>
                <w:color w:val="auto"/>
                <w:sz w:val="24"/>
              </w:rPr>
              <w:t>企业可委托有资质单位编制突发环境事件应急预案，并按规定报县级以上生态环境主管部门备案。</w:t>
            </w:r>
          </w:p>
          <w:p>
            <w:pPr>
              <w:keepNext w:val="0"/>
              <w:keepLines w:val="0"/>
              <w:pageBreakBefore w:val="0"/>
              <w:widowControl w:val="0"/>
              <w:kinsoku/>
              <w:wordWrap/>
              <w:overflowPunct/>
              <w:topLinePunct w:val="0"/>
              <w:bidi w:val="0"/>
              <w:adjustRightInd w:val="0"/>
              <w:snapToGrid w:val="0"/>
              <w:spacing w:line="360" w:lineRule="auto"/>
              <w:rPr>
                <w:rFonts w:hint="default" w:ascii="Times New Roman" w:hAnsi="Times New Roman" w:cs="Times New Roman"/>
                <w:b/>
                <w:bCs/>
                <w:color w:val="auto"/>
                <w:sz w:val="24"/>
              </w:rPr>
            </w:pPr>
            <w:r>
              <w:rPr>
                <w:rFonts w:hint="eastAsia" w:cs="Times New Roman"/>
                <w:b/>
                <w:bCs/>
                <w:color w:val="auto"/>
                <w:sz w:val="24"/>
                <w:lang w:eastAsia="zh-CN"/>
              </w:rPr>
              <w:t>八</w:t>
            </w:r>
            <w:r>
              <w:rPr>
                <w:rFonts w:hint="default" w:ascii="Times New Roman" w:hAnsi="Times New Roman" w:cs="Times New Roman"/>
                <w:b/>
                <w:bCs/>
                <w:color w:val="auto"/>
                <w:sz w:val="24"/>
              </w:rPr>
              <w:t>、电磁辐射</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default" w:ascii="Times New Roman" w:hAnsi="Times New Roman" w:eastAsia="黑体" w:cs="Times New Roman"/>
                <w:snapToGrid w:val="0"/>
                <w:color w:val="auto"/>
                <w:sz w:val="30"/>
                <w:szCs w:val="30"/>
                <w:vertAlign w:val="baseline"/>
              </w:rPr>
            </w:pPr>
            <w:r>
              <w:rPr>
                <w:rFonts w:hint="default" w:ascii="Times New Roman" w:hAnsi="Times New Roman" w:cs="Times New Roman"/>
                <w:bCs/>
                <w:color w:val="auto"/>
                <w:sz w:val="24"/>
                <w:szCs w:val="22"/>
              </w:rPr>
              <w:t>本项目不涉及</w:t>
            </w:r>
            <w:r>
              <w:rPr>
                <w:rFonts w:hint="default" w:ascii="Times New Roman" w:hAnsi="Times New Roman" w:eastAsia="宋体" w:cs="Times New Roman"/>
                <w:bCs/>
                <w:color w:val="auto"/>
                <w:sz w:val="24"/>
              </w:rPr>
              <w:t>电磁辐射</w:t>
            </w:r>
            <w:r>
              <w:rPr>
                <w:rFonts w:hint="default" w:ascii="Times New Roman" w:hAnsi="Times New Roman" w:cs="Times New Roman"/>
                <w:bCs/>
                <w:color w:val="auto"/>
                <w:sz w:val="24"/>
                <w:szCs w:val="22"/>
              </w:rPr>
              <w:t>。</w:t>
            </w:r>
          </w:p>
        </w:tc>
      </w:tr>
    </w:tbl>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sectPr>
          <w:headerReference r:id="rId9" w:type="default"/>
          <w:pgSz w:w="11906" w:h="16838"/>
          <w:pgMar w:top="1417" w:right="1417" w:bottom="1417" w:left="1417" w:header="851" w:footer="1134" w:gutter="0"/>
          <w:pgBorders>
            <w:top w:val="none" w:sz="0" w:space="0"/>
            <w:left w:val="none" w:sz="0" w:space="0"/>
            <w:bottom w:val="none" w:sz="0" w:space="0"/>
            <w:right w:val="none" w:sz="0" w:space="0"/>
          </w:pgBorders>
          <w:cols w:space="720" w:num="1"/>
          <w:docGrid w:linePitch="312" w:charSpace="0"/>
        </w:sectPr>
      </w:pPr>
    </w:p>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五、</w:t>
      </w:r>
      <w:bookmarkStart w:id="7" w:name="_Hlk54167917"/>
      <w:r>
        <w:rPr>
          <w:rFonts w:hint="default" w:ascii="Times New Roman" w:hAnsi="Times New Roman" w:eastAsia="黑体" w:cs="Times New Roman"/>
          <w:snapToGrid w:val="0"/>
          <w:color w:val="auto"/>
          <w:sz w:val="30"/>
          <w:szCs w:val="30"/>
        </w:rPr>
        <w:t>环境保护措施监督检查清单</w:t>
      </w:r>
      <w:bookmarkEnd w:id="5"/>
      <w:bookmarkEnd w:id="7"/>
    </w:p>
    <w:tbl>
      <w:tblPr>
        <w:tblStyle w:val="27"/>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32"/>
        <w:gridCol w:w="1473"/>
        <w:gridCol w:w="1677"/>
        <w:gridCol w:w="240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332" w:type="dxa"/>
            <w:tcBorders>
              <w:tl2br w:val="single" w:color="auto" w:sz="4" w:space="0"/>
            </w:tcBorders>
          </w:tcPr>
          <w:p>
            <w:pPr>
              <w:adjustRightInd w:val="0"/>
              <w:snapToGrid w:val="0"/>
              <w:spacing w:line="240" w:lineRule="auto"/>
              <w:ind w:left="0" w:leftChars="0" w:firstLine="0" w:firstLineChars="0"/>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内容</w:t>
            </w:r>
          </w:p>
          <w:p>
            <w:pPr>
              <w:adjustRightInd w:val="0"/>
              <w:snapToGrid w:val="0"/>
              <w:spacing w:line="24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要素</w:t>
            </w:r>
          </w:p>
        </w:tc>
        <w:tc>
          <w:tcPr>
            <w:tcW w:w="1473" w:type="dxa"/>
            <w:vAlign w:val="center"/>
          </w:tcPr>
          <w:p>
            <w:pPr>
              <w:adjustRightInd w:val="0"/>
              <w:snapToGrid w:val="0"/>
              <w:spacing w:line="24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排放口（编号、名称）/污染源</w:t>
            </w:r>
          </w:p>
        </w:tc>
        <w:tc>
          <w:tcPr>
            <w:tcW w:w="1677" w:type="dxa"/>
            <w:vAlign w:val="center"/>
          </w:tcPr>
          <w:p>
            <w:pPr>
              <w:adjustRightInd w:val="0"/>
              <w:snapToGrid w:val="0"/>
              <w:spacing w:line="24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污染物项目</w:t>
            </w:r>
          </w:p>
        </w:tc>
        <w:tc>
          <w:tcPr>
            <w:tcW w:w="2400" w:type="dxa"/>
            <w:vAlign w:val="center"/>
          </w:tcPr>
          <w:p>
            <w:pPr>
              <w:adjustRightInd w:val="0"/>
              <w:snapToGrid w:val="0"/>
              <w:spacing w:line="24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环境保护措施</w:t>
            </w:r>
          </w:p>
        </w:tc>
        <w:tc>
          <w:tcPr>
            <w:tcW w:w="2116" w:type="dxa"/>
            <w:vAlign w:val="center"/>
          </w:tcPr>
          <w:p>
            <w:pPr>
              <w:adjustRightInd w:val="0"/>
              <w:snapToGrid w:val="0"/>
              <w:spacing w:line="24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3" w:hRule="atLeast"/>
          <w:jc w:val="center"/>
        </w:trPr>
        <w:tc>
          <w:tcPr>
            <w:tcW w:w="1332" w:type="dxa"/>
            <w:vMerge w:val="restart"/>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1473" w:type="dxa"/>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有组织废气</w:t>
            </w:r>
          </w:p>
        </w:tc>
        <w:tc>
          <w:tcPr>
            <w:tcW w:w="1677" w:type="dxa"/>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r>
              <w:rPr>
                <w:rFonts w:hint="eastAsia" w:cs="Times New Roman"/>
                <w:color w:val="auto"/>
                <w:sz w:val="21"/>
                <w:szCs w:val="21"/>
                <w:lang w:val="en-US" w:eastAsia="zh-CN"/>
              </w:rPr>
              <w:t>、MDI</w:t>
            </w:r>
          </w:p>
        </w:tc>
        <w:tc>
          <w:tcPr>
            <w:tcW w:w="2400" w:type="dxa"/>
            <w:vAlign w:val="center"/>
          </w:tcPr>
          <w:p>
            <w:pPr>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项目热压、混合、发泡、脱模废气采用集气罩收集后经现有的</w:t>
            </w:r>
            <w:r>
              <w:rPr>
                <w:rFonts w:hint="default" w:ascii="Times New Roman" w:hAnsi="Times New Roman" w:cs="Times New Roman"/>
                <w:color w:val="auto"/>
                <w:sz w:val="21"/>
                <w:szCs w:val="21"/>
                <w:highlight w:val="none"/>
                <w:lang w:val="en-US" w:eastAsia="zh-CN"/>
              </w:rPr>
              <w:t>二级活性炭吸附</w:t>
            </w:r>
            <w:r>
              <w:rPr>
                <w:rFonts w:hint="default" w:ascii="Times New Roman" w:hAnsi="Times New Roman" w:cs="Times New Roman"/>
                <w:color w:val="auto"/>
                <w:sz w:val="21"/>
                <w:szCs w:val="21"/>
                <w:highlight w:val="none"/>
              </w:rPr>
              <w:t>处理后通过一根15m高排气筒</w:t>
            </w:r>
            <w:r>
              <w:rPr>
                <w:rFonts w:hint="default" w:ascii="Times New Roman" w:hAnsi="Times New Roman" w:cs="Times New Roman"/>
                <w:color w:val="auto"/>
                <w:sz w:val="21"/>
                <w:szCs w:val="21"/>
              </w:rPr>
              <w:t>排放</w:t>
            </w:r>
          </w:p>
        </w:tc>
        <w:tc>
          <w:tcPr>
            <w:tcW w:w="2116" w:type="dxa"/>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u w:val="none"/>
                <w:shd w:val="clear" w:color="auto" w:fill="auto"/>
                <w:lang w:val="en-US" w:eastAsia="zh-CN" w:bidi="ar-SA"/>
              </w:rPr>
              <w:t>《合成树脂工业污染物排放标准》（GB31572-2015）</w:t>
            </w:r>
            <w:r>
              <w:rPr>
                <w:rFonts w:hint="default" w:ascii="Times New Roman" w:hAnsi="Times New Roman" w:eastAsia="宋体" w:cs="Times New Roman"/>
                <w:color w:val="auto"/>
                <w:sz w:val="21"/>
                <w:szCs w:val="21"/>
              </w:rPr>
              <w:t>表</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9" w:hRule="atLeast"/>
          <w:jc w:val="center"/>
        </w:trPr>
        <w:tc>
          <w:tcPr>
            <w:tcW w:w="1332" w:type="dxa"/>
            <w:vMerge w:val="continue"/>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473"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无组织废气</w:t>
            </w:r>
          </w:p>
        </w:tc>
        <w:tc>
          <w:tcPr>
            <w:tcW w:w="1677"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r>
              <w:rPr>
                <w:rFonts w:hint="eastAsia" w:cs="Times New Roman"/>
                <w:color w:val="auto"/>
                <w:sz w:val="21"/>
                <w:szCs w:val="21"/>
                <w:lang w:val="en-US" w:eastAsia="zh-CN"/>
              </w:rPr>
              <w:t>、MDI</w:t>
            </w:r>
          </w:p>
        </w:tc>
        <w:tc>
          <w:tcPr>
            <w:tcW w:w="2400" w:type="dxa"/>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加强车间内通风</w:t>
            </w:r>
          </w:p>
        </w:tc>
        <w:tc>
          <w:tcPr>
            <w:tcW w:w="2116" w:type="dxa"/>
            <w:vAlign w:val="center"/>
          </w:tcPr>
          <w:p>
            <w:pPr>
              <w:adjustRightInd w:val="0"/>
              <w:snapToGrid w:val="0"/>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color w:val="auto"/>
                <w:kern w:val="2"/>
                <w:sz w:val="21"/>
                <w:szCs w:val="21"/>
                <w:u w:val="none"/>
                <w:shd w:val="clear" w:color="auto" w:fill="auto"/>
                <w:lang w:val="en-US" w:eastAsia="zh-CN" w:bidi="ar-SA"/>
              </w:rPr>
              <w:t>《合成树脂工业污染物排放标准》（GB31572-2015）</w:t>
            </w:r>
            <w:r>
              <w:rPr>
                <w:rFonts w:hint="default" w:ascii="Times New Roman" w:hAnsi="Times New Roman" w:cs="Times New Roman"/>
                <w:color w:val="auto"/>
                <w:sz w:val="21"/>
                <w:szCs w:val="21"/>
              </w:rPr>
              <w:t>表</w:t>
            </w:r>
            <w:r>
              <w:rPr>
                <w:rFonts w:hint="eastAsia" w:cs="Times New Roman"/>
                <w:color w:val="auto"/>
                <w:sz w:val="21"/>
                <w:szCs w:val="21"/>
                <w:lang w:val="en-US" w:eastAsia="zh-CN"/>
              </w:rPr>
              <w:t>9</w:t>
            </w:r>
            <w:r>
              <w:rPr>
                <w:rFonts w:hint="default" w:ascii="Times New Roman" w:hAnsi="Times New Roman" w:cs="Times New Roman"/>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332"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1473"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eastAsia" w:cs="Times New Roman"/>
                <w:color w:val="auto"/>
                <w:sz w:val="21"/>
                <w:szCs w:val="21"/>
                <w:lang w:eastAsia="zh-CN"/>
              </w:rPr>
              <w:t>生活污水</w:t>
            </w:r>
          </w:p>
        </w:tc>
        <w:tc>
          <w:tcPr>
            <w:tcW w:w="1677" w:type="dxa"/>
            <w:vAlign w:val="center"/>
          </w:tcPr>
          <w:p>
            <w:pPr>
              <w:adjustRightInd w:val="0"/>
              <w:snapToGrid w:val="0"/>
              <w:spacing w:line="240" w:lineRule="auto"/>
              <w:jc w:val="center"/>
              <w:rPr>
                <w:rFonts w:hint="default" w:ascii="Times New Roman" w:hAnsi="Times New Roman" w:cs="Times New Roman"/>
                <w:color w:val="auto"/>
                <w:sz w:val="21"/>
                <w:szCs w:val="21"/>
              </w:rPr>
            </w:pPr>
            <w:r>
              <w:rPr>
                <w:color w:val="auto"/>
                <w:sz w:val="21"/>
                <w:szCs w:val="21"/>
              </w:rPr>
              <w:t>COD、SS、氨氮、</w:t>
            </w:r>
            <w:r>
              <w:rPr>
                <w:rFonts w:hint="eastAsia"/>
                <w:color w:val="auto"/>
                <w:sz w:val="21"/>
                <w:szCs w:val="21"/>
              </w:rPr>
              <w:t>TN</w:t>
            </w:r>
            <w:r>
              <w:rPr>
                <w:color w:val="auto"/>
                <w:sz w:val="21"/>
                <w:szCs w:val="21"/>
              </w:rPr>
              <w:t>、</w:t>
            </w:r>
            <w:r>
              <w:rPr>
                <w:rFonts w:hint="eastAsia"/>
                <w:color w:val="auto"/>
                <w:sz w:val="21"/>
                <w:szCs w:val="21"/>
              </w:rPr>
              <w:t>TP</w:t>
            </w:r>
          </w:p>
        </w:tc>
        <w:tc>
          <w:tcPr>
            <w:tcW w:w="2400"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经厂区污水管网收集后接管金坛区</w:t>
            </w:r>
            <w:r>
              <w:rPr>
                <w:rFonts w:hint="eastAsia" w:cs="Times New Roman"/>
                <w:color w:val="auto"/>
                <w:sz w:val="21"/>
                <w:szCs w:val="21"/>
                <w:lang w:val="en-US" w:eastAsia="zh-CN"/>
              </w:rPr>
              <w:t>第二</w:t>
            </w:r>
            <w:r>
              <w:rPr>
                <w:rFonts w:hint="eastAsia" w:ascii="Times New Roman" w:hAnsi="Times New Roman" w:eastAsia="宋体" w:cs="Times New Roman"/>
                <w:color w:val="auto"/>
                <w:sz w:val="21"/>
                <w:szCs w:val="21"/>
                <w:lang w:val="en-US" w:eastAsia="zh-CN"/>
              </w:rPr>
              <w:t>污水处理</w:t>
            </w:r>
            <w:r>
              <w:rPr>
                <w:rFonts w:hint="eastAsia" w:cs="Times New Roman"/>
                <w:color w:val="auto"/>
                <w:sz w:val="21"/>
                <w:szCs w:val="21"/>
                <w:lang w:val="en-US" w:eastAsia="zh-CN"/>
              </w:rPr>
              <w:t>有限公司</w:t>
            </w:r>
          </w:p>
        </w:tc>
        <w:tc>
          <w:tcPr>
            <w:tcW w:w="2116"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eastAsia" w:cs="Times New Roman"/>
                <w:color w:val="auto"/>
                <w:sz w:val="21"/>
                <w:szCs w:val="21"/>
                <w:lang w:eastAsia="zh-CN"/>
              </w:rPr>
              <w:t>《</w:t>
            </w:r>
            <w:r>
              <w:rPr>
                <w:rFonts w:hint="eastAsia" w:ascii="Times New Roman" w:hAnsi="Times New Roman" w:eastAsia="宋体" w:cs="Times New Roman"/>
                <w:color w:val="auto"/>
                <w:sz w:val="21"/>
                <w:szCs w:val="21"/>
                <w:lang w:val="en-US" w:eastAsia="zh-CN"/>
              </w:rPr>
              <w:t>金坛区</w:t>
            </w:r>
            <w:r>
              <w:rPr>
                <w:rFonts w:hint="eastAsia" w:cs="Times New Roman"/>
                <w:color w:val="auto"/>
                <w:sz w:val="21"/>
                <w:szCs w:val="21"/>
                <w:lang w:val="en-US" w:eastAsia="zh-CN"/>
              </w:rPr>
              <w:t>第二</w:t>
            </w:r>
            <w:r>
              <w:rPr>
                <w:rFonts w:hint="eastAsia" w:ascii="Times New Roman" w:hAnsi="Times New Roman" w:eastAsia="宋体" w:cs="Times New Roman"/>
                <w:color w:val="auto"/>
                <w:sz w:val="21"/>
                <w:szCs w:val="21"/>
                <w:lang w:val="en-US" w:eastAsia="zh-CN"/>
              </w:rPr>
              <w:t>污水处理</w:t>
            </w:r>
            <w:r>
              <w:rPr>
                <w:rFonts w:hint="eastAsia" w:cs="Times New Roman"/>
                <w:color w:val="auto"/>
                <w:sz w:val="21"/>
                <w:szCs w:val="21"/>
                <w:lang w:val="en-US" w:eastAsia="zh-CN"/>
              </w:rPr>
              <w:t>有限公司污水接管水质要求</w:t>
            </w:r>
            <w:r>
              <w:rPr>
                <w:rFonts w:hint="eastAsia"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332"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1473"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机械设备</w:t>
            </w:r>
          </w:p>
        </w:tc>
        <w:tc>
          <w:tcPr>
            <w:tcW w:w="1677"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2400"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合理布局、减振、厂房隔声、距离衰减等措施</w:t>
            </w:r>
          </w:p>
        </w:tc>
        <w:tc>
          <w:tcPr>
            <w:tcW w:w="2116"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《工业企业厂界环境噪声排放标准》（GB12348-2008）中</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332"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1473"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677"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400"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116"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8" w:hRule="atLeast"/>
          <w:jc w:val="center"/>
        </w:trPr>
        <w:tc>
          <w:tcPr>
            <w:tcW w:w="13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76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边角料</w:t>
            </w:r>
            <w:r>
              <w:rPr>
                <w:rFonts w:hint="eastAsia" w:cs="Times New Roman"/>
                <w:color w:val="auto"/>
                <w:sz w:val="21"/>
                <w:szCs w:val="21"/>
                <w:highlight w:val="none"/>
                <w:lang w:eastAsia="zh-CN"/>
              </w:rPr>
              <w:t>、次品</w:t>
            </w:r>
            <w:r>
              <w:rPr>
                <w:rFonts w:hint="default" w:ascii="Times New Roman" w:hAnsi="Times New Roman" w:cs="Times New Roman"/>
                <w:color w:val="auto"/>
                <w:sz w:val="21"/>
                <w:szCs w:val="21"/>
                <w:highlight w:val="none"/>
              </w:rPr>
              <w:t>和</w:t>
            </w:r>
            <w:r>
              <w:rPr>
                <w:rFonts w:hint="eastAsia" w:cs="Times New Roman"/>
                <w:color w:val="auto"/>
                <w:sz w:val="21"/>
                <w:szCs w:val="21"/>
                <w:highlight w:val="none"/>
                <w:lang w:eastAsia="zh-CN"/>
              </w:rPr>
              <w:t>废包装材料</w:t>
            </w:r>
            <w:r>
              <w:rPr>
                <w:rFonts w:hint="default" w:ascii="Times New Roman" w:hAnsi="Times New Roman" w:cs="Times New Roman"/>
                <w:color w:val="auto"/>
                <w:sz w:val="21"/>
                <w:szCs w:val="21"/>
                <w:highlight w:val="none"/>
              </w:rPr>
              <w:t>属于一般固废，收集后外售综合利用；</w:t>
            </w:r>
            <w:r>
              <w:rPr>
                <w:rFonts w:hint="eastAsia" w:cs="Times New Roman"/>
                <w:color w:val="auto"/>
                <w:sz w:val="21"/>
                <w:szCs w:val="21"/>
                <w:highlight w:val="none"/>
                <w:lang w:eastAsia="zh-CN"/>
              </w:rPr>
              <w:t>清洗废液、</w:t>
            </w:r>
            <w:r>
              <w:rPr>
                <w:rFonts w:hint="eastAsia" w:cs="Times New Roman"/>
                <w:color w:val="auto"/>
                <w:sz w:val="21"/>
                <w:szCs w:val="21"/>
                <w:highlight w:val="none"/>
                <w:lang w:val="en-US" w:eastAsia="zh-CN"/>
              </w:rPr>
              <w:t>废液压油</w:t>
            </w:r>
            <w:r>
              <w:rPr>
                <w:rFonts w:hint="default" w:ascii="Times New Roman" w:hAnsi="Times New Roman" w:cs="Times New Roman"/>
                <w:color w:val="auto"/>
                <w:sz w:val="21"/>
                <w:szCs w:val="21"/>
                <w:highlight w:val="none"/>
              </w:rPr>
              <w:t>、废活性炭属于危险废物，委托有资质单位处理；含油抹布手套</w:t>
            </w:r>
            <w:r>
              <w:rPr>
                <w:rFonts w:hint="eastAsia" w:cs="Times New Roman"/>
                <w:color w:val="auto"/>
                <w:sz w:val="21"/>
                <w:szCs w:val="21"/>
                <w:highlight w:val="none"/>
                <w:lang w:eastAsia="zh-CN"/>
              </w:rPr>
              <w:t>、生活垃圾</w:t>
            </w:r>
            <w:r>
              <w:rPr>
                <w:rFonts w:hint="default" w:ascii="Times New Roman" w:hAnsi="Times New Roman" w:cs="Times New Roman"/>
                <w:color w:val="auto"/>
                <w:sz w:val="21"/>
                <w:szCs w:val="21"/>
                <w:highlight w:val="none"/>
              </w:rPr>
              <w:t>委托环卫清运。</w:t>
            </w:r>
            <w:r>
              <w:rPr>
                <w:rFonts w:hint="default" w:ascii="Times New Roman" w:hAnsi="Times New Roman" w:eastAsia="宋体" w:cs="Times New Roman"/>
                <w:color w:val="auto"/>
                <w:sz w:val="21"/>
                <w:szCs w:val="21"/>
                <w:highlight w:val="none"/>
                <w:lang w:eastAsia="zh-CN"/>
              </w:rPr>
              <w:t>一般固废扩建现有一般固废堆场暂存，危废扩建现有危废仓库暂存</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3" w:hRule="atLeast"/>
          <w:jc w:val="center"/>
        </w:trPr>
        <w:tc>
          <w:tcPr>
            <w:tcW w:w="13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土壤及地下水污染防治措施</w:t>
            </w:r>
          </w:p>
        </w:tc>
        <w:tc>
          <w:tcPr>
            <w:tcW w:w="76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土壤地下水污染防治措施按照“源头控制、分区防治、污染监控、应急响应”相结合的原则，从污染物的产生、入渗、扩散、应急响应进行控制。本项目以先进工艺、管道、设备、污水储存，尽可能从源头上减少废水产生；严格按照国家相关规范要求，对工艺、管道、设备、污水储存及处理构筑物采取相应的措施，以防止和降低废水的跑、冒、滴、漏，将废水泄漏的环境风险事故降到最低程度。根据防渗参照的标准和规范，结合目前施工过程中的可操作性和技术水平，针对不同的防渗区域采用典型防渗措施，在具体设计中将根据实际情况在满足防渗标准的前提下做必要的调整。本项目针对污染特点设置地下水、土壤一般污染防渗区和重点污染防渗区。正常工况下对地下水基本无渗漏，污染较小。正常工况下排放的废气不属于重点重金属、持久性有机污染物或难降解有机污染物，大气沉降不会对周边土壤产生明显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7" w:hRule="atLeast"/>
          <w:jc w:val="center"/>
        </w:trPr>
        <w:tc>
          <w:tcPr>
            <w:tcW w:w="13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措施</w:t>
            </w:r>
          </w:p>
        </w:tc>
        <w:tc>
          <w:tcPr>
            <w:tcW w:w="76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本项目用地范围内不含生态保护目标。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92" w:hRule="atLeast"/>
          <w:jc w:val="center"/>
        </w:trPr>
        <w:tc>
          <w:tcPr>
            <w:tcW w:w="13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环境风险</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防范措施</w:t>
            </w:r>
          </w:p>
        </w:tc>
        <w:tc>
          <w:tcPr>
            <w:tcW w:w="76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（1）加强对危险废物的管理，制定相应的安全操作流程；</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w:t>
            </w:r>
            <w:r>
              <w:rPr>
                <w:rFonts w:hint="default" w:ascii="Times New Roman" w:hAnsi="Times New Roman" w:eastAsia="宋体" w:cs="Times New Roman"/>
                <w:color w:val="auto"/>
                <w:sz w:val="21"/>
                <w:szCs w:val="21"/>
                <w:lang w:val="en-US" w:eastAsia="zh-CN"/>
              </w:rPr>
              <w:t>仓库必须防渗、防漏、防雨，应配备吸附剂等材料，防止发生事故时能对事故进行应急处理；</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r>
              <w:rPr>
                <w:rFonts w:hint="default" w:ascii="Times New Roman" w:hAnsi="Times New Roman" w:eastAsia="宋体" w:cs="Times New Roman"/>
                <w:color w:val="auto"/>
                <w:sz w:val="21"/>
                <w:szCs w:val="21"/>
                <w:lang w:val="en-US" w:eastAsia="zh-CN"/>
              </w:rPr>
              <w:t>应加强火源的管理，各重点部位建议设置灭火器，并且对其作定期检查。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02" w:hRule="atLeast"/>
          <w:jc w:val="center"/>
        </w:trPr>
        <w:tc>
          <w:tcPr>
            <w:tcW w:w="13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76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（1）保持与环境保护主</w:t>
            </w:r>
            <w:r>
              <w:rPr>
                <w:rFonts w:hint="default" w:ascii="Times New Roman" w:hAnsi="Times New Roman" w:eastAsia="宋体" w:cs="Times New Roman"/>
                <w:color w:val="auto"/>
                <w:sz w:val="21"/>
                <w:szCs w:val="21"/>
                <w:lang w:val="en-US" w:eastAsia="zh-CN"/>
              </w:rPr>
              <w:t>管机构的密切联系，及时了解国家、地方对本项目的有关环境保护的法律、法规和其它要求，及时向环境保护主管机构反映与项目有关的污染因素、存在的问题、采取的污染控制对策等环境保护方面的内容，听取环境保护主管机构的批示意见；</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（2）及时将国家、地方与本项目环境保护有关的法律、法规和其它要求向单位负责人汇报，及时向本单位有关机构、人员进行通报，组织职工进行环境保护方面的教育、培训，提高环保意识；</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（3）及时向单位负责人汇报与本项目有关的污染因素、存在问题、采取的污染控制对策、实施情况等，提出改进建议；</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（4）负责制定、监督实施本单位的有关环境保护管理规章制度，负责实施污染控制措施、管理污染治理设施，并进行详细的记录、以备检查；</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按照本报告提出的各项环境保护措施，编制详细的环境保护措施落实计划，明确各污染源位置、环境影响、环境保护措施、落实责任机构（人）等，并将该环境保护计划以书面形式发放给相关人员，以便于各项措施的有效落实；</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（6）按《江苏省排污口设置及规范化整治管理办法》（苏环控[97]122号）要求，对废气排口、固定噪声污染源、固废临时堆场进行规范化设置。</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（7）根据《关于印发排污许可证管理暂行规定的通知》（环水体[2016]186号）要求，向社会公开如下信息：</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①基础信息，包括单位名称、组织机构代码、法定代表人、生产地址、联系方式，以及生产经营和管理服务的主要内容、产品及规模；</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②排污信息，包括主要污染物</w:t>
            </w:r>
            <w:r>
              <w:rPr>
                <w:rFonts w:hint="default" w:ascii="Times New Roman" w:hAnsi="Times New Roman" w:cs="Times New Roman"/>
                <w:color w:val="auto"/>
                <w:sz w:val="21"/>
                <w:szCs w:val="21"/>
              </w:rPr>
              <w:t>及特征污染物的名称、排放方式、排放口数量和分布情况、排放浓度和总量、超标情况，以及执行的污染物排放标准、核定的排放总量；</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③防治污染设施的建设和运行情况；</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④建设项目环境影响</w:t>
            </w:r>
            <w:r>
              <w:rPr>
                <w:rFonts w:hint="default" w:ascii="Times New Roman" w:hAnsi="Times New Roman" w:eastAsia="宋体" w:cs="Times New Roman"/>
                <w:color w:val="auto"/>
                <w:sz w:val="21"/>
                <w:szCs w:val="21"/>
                <w:lang w:val="en-US" w:eastAsia="zh-CN"/>
              </w:rPr>
              <w:t>评价</w:t>
            </w:r>
            <w:r>
              <w:rPr>
                <w:rFonts w:hint="default" w:ascii="Times New Roman" w:hAnsi="Times New Roman" w:cs="Times New Roman"/>
                <w:color w:val="auto"/>
                <w:sz w:val="21"/>
                <w:szCs w:val="21"/>
              </w:rPr>
              <w:t>及其他环境保护行政许可情况；</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⑤突发环境事件应急</w:t>
            </w:r>
            <w:r>
              <w:rPr>
                <w:rFonts w:hint="default" w:ascii="Times New Roman" w:hAnsi="Times New Roman" w:eastAsia="宋体" w:cs="Times New Roman"/>
                <w:color w:val="auto"/>
                <w:sz w:val="21"/>
                <w:szCs w:val="21"/>
                <w:lang w:val="en-US" w:eastAsia="zh-CN"/>
              </w:rPr>
              <w:t>预案</w:t>
            </w:r>
            <w:r>
              <w:rPr>
                <w:rFonts w:hint="default" w:ascii="Times New Roman" w:hAnsi="Times New Roman" w:cs="Times New Roman"/>
                <w:color w:val="auto"/>
                <w:sz w:val="21"/>
                <w:szCs w:val="21"/>
              </w:rPr>
              <w:t>。</w:t>
            </w:r>
          </w:p>
        </w:tc>
      </w:tr>
    </w:tbl>
    <w:p>
      <w:pPr>
        <w:pStyle w:val="25"/>
        <w:spacing w:before="0" w:beforeAutospacing="0" w:after="0" w:afterAutospacing="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cs="Times New Roman"/>
          <w:snapToGrid w:val="0"/>
          <w:color w:val="auto"/>
        </w:rPr>
        <w:br w:type="page"/>
      </w:r>
      <w:bookmarkStart w:id="8" w:name="_Toc28394"/>
      <w:r>
        <w:rPr>
          <w:rFonts w:hint="default" w:ascii="Times New Roman" w:hAnsi="Times New Roman" w:eastAsia="黑体" w:cs="Times New Roman"/>
          <w:snapToGrid w:val="0"/>
          <w:color w:val="auto"/>
          <w:sz w:val="30"/>
          <w:szCs w:val="30"/>
        </w:rPr>
        <w:t>六、结论</w:t>
      </w:r>
      <w:bookmarkEnd w:id="8"/>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9" w:hRule="atLeast"/>
          <w:jc w:val="center"/>
        </w:trPr>
        <w:tc>
          <w:tcPr>
            <w:tcW w:w="8865" w:type="dxa"/>
          </w:tcPr>
          <w:p>
            <w:pPr>
              <w:adjustRightInd w:val="0"/>
              <w:snapToGrid w:val="0"/>
              <w:spacing w:line="500" w:lineRule="exact"/>
              <w:ind w:firstLine="480" w:firstLineChars="200"/>
              <w:contextualSpacing/>
              <w:rPr>
                <w:rFonts w:hint="default" w:ascii="Times New Roman" w:hAnsi="Times New Roman" w:cs="Times New Roman"/>
                <w:color w:val="auto"/>
                <w:sz w:val="24"/>
              </w:rPr>
            </w:pPr>
            <w:r>
              <w:rPr>
                <w:rFonts w:hint="default" w:ascii="Times New Roman" w:hAnsi="Times New Roman" w:cs="Times New Roman"/>
                <w:color w:val="auto"/>
                <w:sz w:val="24"/>
              </w:rPr>
              <w:t>本项目符合国家、地方法律法规产业政策和“三线一单”要求；符合相关规划，选址合理；项目产生的各项污染物采取合理有效的治理措施后均可得到有效处置，实现达标排放，对外环境的影响较小，不会造成区域环境质量下降；本项目建成后排放的各类污染物可以在区域内实现平衡；在做好各项风险防范及应急措施的前提下本项目的环境风险在可接受水平内。</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因此，建设单位在重视环保工作，落实本报告表提出的各项环保措施要求、严格执行环保“三同时”的前提下，从环保角度分析，本项目建设具有环境可行性。</w:t>
            </w:r>
          </w:p>
        </w:tc>
      </w:tr>
    </w:tbl>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adjustRightInd w:val="0"/>
        <w:snapToGrid w:val="0"/>
        <w:spacing w:line="48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注      释</w:t>
      </w:r>
    </w:p>
    <w:p>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本报告表附以下附件、附图：</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sz w:val="24"/>
        </w:rPr>
        <w:t>附件</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sz w:val="24"/>
        </w:rPr>
        <w:t xml:space="preserve">附件1  </w:t>
      </w:r>
      <w:r>
        <w:rPr>
          <w:rFonts w:hint="eastAsia" w:cs="Times New Roman"/>
          <w:color w:val="auto"/>
          <w:sz w:val="24"/>
          <w:lang w:eastAsia="zh-CN"/>
        </w:rPr>
        <w:t>环评合同及</w:t>
      </w:r>
      <w:r>
        <w:rPr>
          <w:rFonts w:hint="default" w:ascii="Times New Roman" w:hAnsi="Times New Roman" w:cs="Times New Roman"/>
          <w:color w:val="auto"/>
          <w:sz w:val="24"/>
        </w:rPr>
        <w:t>委托书</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sz w:val="24"/>
        </w:rPr>
        <w:t>附件2  项目备案通知书</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sz w:val="24"/>
        </w:rPr>
        <w:t>附件3  营业执照</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eastAsia" w:ascii="Times New Roman" w:hAnsi="Times New Roman" w:eastAsia="宋体" w:cs="Times New Roman"/>
          <w:color w:val="auto"/>
          <w:lang w:eastAsia="zh-CN"/>
        </w:rPr>
      </w:pPr>
      <w:r>
        <w:rPr>
          <w:rFonts w:hint="default" w:ascii="Times New Roman" w:hAnsi="Times New Roman" w:cs="Times New Roman"/>
          <w:color w:val="auto"/>
          <w:sz w:val="24"/>
        </w:rPr>
        <w:t xml:space="preserve">附件4  </w:t>
      </w:r>
      <w:r>
        <w:rPr>
          <w:rFonts w:hint="eastAsia" w:cs="Times New Roman"/>
          <w:color w:val="auto"/>
          <w:sz w:val="24"/>
          <w:lang w:eastAsia="zh-CN"/>
        </w:rPr>
        <w:t>法人身份证</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sz w:val="24"/>
        </w:rPr>
        <w:t>附件5  土地证</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sz w:val="24"/>
        </w:rPr>
        <w:t>附件6  污水接管协议</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sz w:val="24"/>
        </w:rPr>
        <w:t>附件7  环境监测报告</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附件8  原有项目环保手续</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附件9  建设单位承诺书</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附件10 原辅料MSDS</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附件11 《关于</w:t>
      </w:r>
      <w:r>
        <w:rPr>
          <w:rFonts w:hint="eastAsia" w:cs="Times New Roman"/>
          <w:color w:val="auto"/>
          <w:sz w:val="24"/>
          <w:lang w:eastAsia="zh-CN"/>
        </w:rPr>
        <w:t>江苏省金坛区金城镇工业园区(北区)发展规划</w:t>
      </w:r>
      <w:r>
        <w:rPr>
          <w:rFonts w:hint="default" w:ascii="Times New Roman" w:hAnsi="Times New Roman" w:cs="Times New Roman"/>
          <w:color w:val="auto"/>
          <w:sz w:val="24"/>
        </w:rPr>
        <w:t>环境影响审查意见》</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b/>
          <w:bCs/>
          <w:color w:val="auto"/>
          <w:sz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sz w:val="24"/>
        </w:rPr>
        <w:t>附图</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sz w:val="24"/>
        </w:rPr>
        <w:t>附图1  项目地理位置示意图</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sz w:val="24"/>
        </w:rPr>
        <w:t>附图2  项目周边环境状况示意图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default" w:ascii="Times New Roman" w:hAnsi="Times New Roman" w:cs="Times New Roman"/>
          <w:color w:val="auto"/>
          <w:sz w:val="24"/>
          <w:szCs w:val="22"/>
        </w:rPr>
      </w:pPr>
      <w:r>
        <w:rPr>
          <w:rFonts w:hint="default" w:ascii="Times New Roman" w:hAnsi="Times New Roman" w:cs="Times New Roman"/>
          <w:color w:val="auto"/>
          <w:sz w:val="24"/>
        </w:rPr>
        <w:t>附图</w:t>
      </w:r>
      <w:r>
        <w:rPr>
          <w:rFonts w:hint="default" w:ascii="Times New Roman" w:hAnsi="Times New Roman" w:cs="Times New Roman"/>
          <w:color w:val="auto"/>
          <w:sz w:val="24"/>
          <w:szCs w:val="22"/>
        </w:rPr>
        <w:t>3  厂区总平面布置图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sz w:val="24"/>
          <w:szCs w:val="22"/>
        </w:rPr>
        <w:t xml:space="preserve">附图4  </w:t>
      </w:r>
      <w:r>
        <w:rPr>
          <w:rFonts w:hint="default" w:ascii="Times New Roman" w:hAnsi="Times New Roman" w:cs="Times New Roman"/>
          <w:color w:val="auto"/>
          <w:sz w:val="24"/>
          <w:szCs w:val="22"/>
          <w:lang w:val="en-US" w:eastAsia="zh-CN"/>
        </w:rPr>
        <w:t>车间平面布置图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default" w:ascii="Times New Roman" w:hAnsi="Times New Roman" w:cs="Times New Roman"/>
          <w:color w:val="auto"/>
          <w:sz w:val="24"/>
          <w:szCs w:val="22"/>
        </w:rPr>
      </w:pPr>
      <w:r>
        <w:rPr>
          <w:rFonts w:hint="default" w:ascii="Times New Roman" w:hAnsi="Times New Roman" w:cs="Times New Roman"/>
          <w:color w:val="auto"/>
          <w:sz w:val="24"/>
          <w:szCs w:val="22"/>
        </w:rPr>
        <w:t>附图</w:t>
      </w:r>
      <w:r>
        <w:rPr>
          <w:rFonts w:hint="default" w:ascii="Times New Roman" w:hAnsi="Times New Roman" w:cs="Times New Roman"/>
          <w:color w:val="auto"/>
          <w:sz w:val="24"/>
          <w:szCs w:val="22"/>
          <w:lang w:val="en-US" w:eastAsia="zh-CN"/>
        </w:rPr>
        <w:t>5</w:t>
      </w:r>
      <w:r>
        <w:rPr>
          <w:rFonts w:hint="default" w:ascii="Times New Roman" w:hAnsi="Times New Roman" w:cs="Times New Roman"/>
          <w:color w:val="auto"/>
          <w:sz w:val="24"/>
          <w:szCs w:val="22"/>
        </w:rPr>
        <w:t xml:space="preserve">  生态红线图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default" w:ascii="Times New Roman" w:hAnsi="Times New Roman" w:cs="Times New Roman"/>
          <w:color w:val="auto"/>
          <w:sz w:val="24"/>
          <w:szCs w:val="22"/>
        </w:rPr>
      </w:pPr>
      <w:r>
        <w:rPr>
          <w:rFonts w:hint="default" w:ascii="Times New Roman" w:hAnsi="Times New Roman" w:cs="Times New Roman"/>
          <w:color w:val="auto"/>
          <w:sz w:val="24"/>
          <w:szCs w:val="22"/>
        </w:rPr>
        <w:t>附图</w:t>
      </w:r>
      <w:r>
        <w:rPr>
          <w:rFonts w:hint="eastAsia" w:cs="Times New Roman"/>
          <w:color w:val="auto"/>
          <w:sz w:val="24"/>
          <w:szCs w:val="22"/>
          <w:lang w:val="en-US" w:eastAsia="zh-CN"/>
        </w:rPr>
        <w:t>6</w:t>
      </w:r>
      <w:r>
        <w:rPr>
          <w:rFonts w:hint="default" w:ascii="Times New Roman" w:hAnsi="Times New Roman" w:cs="Times New Roman"/>
          <w:color w:val="auto"/>
          <w:sz w:val="24"/>
          <w:szCs w:val="22"/>
        </w:rPr>
        <w:t xml:space="preserve">  </w:t>
      </w:r>
      <w:bookmarkStart w:id="9" w:name="_Toc6354"/>
      <w:r>
        <w:rPr>
          <w:rFonts w:hint="default" w:ascii="Times New Roman" w:hAnsi="Times New Roman" w:cs="Times New Roman"/>
          <w:color w:val="auto"/>
          <w:sz w:val="24"/>
          <w:szCs w:val="22"/>
        </w:rPr>
        <w:t>区域水系图</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szCs w:val="22"/>
        </w:rPr>
      </w:pPr>
      <w:r>
        <w:rPr>
          <w:rFonts w:hint="default" w:ascii="Times New Roman" w:hAnsi="Times New Roman" w:cs="Times New Roman"/>
          <w:color w:val="auto"/>
          <w:sz w:val="24"/>
          <w:szCs w:val="22"/>
        </w:rPr>
        <w:t>附图</w:t>
      </w:r>
      <w:r>
        <w:rPr>
          <w:rFonts w:hint="eastAsia" w:cs="Times New Roman"/>
          <w:color w:val="auto"/>
          <w:sz w:val="24"/>
          <w:szCs w:val="22"/>
          <w:lang w:val="en-US" w:eastAsia="zh-CN"/>
        </w:rPr>
        <w:t>7</w:t>
      </w:r>
      <w:r>
        <w:rPr>
          <w:rFonts w:hint="default" w:ascii="Times New Roman" w:hAnsi="Times New Roman" w:cs="Times New Roman"/>
          <w:color w:val="auto"/>
          <w:sz w:val="24"/>
          <w:szCs w:val="22"/>
        </w:rPr>
        <w:t xml:space="preserve">  常州市环境管控单元图</w:t>
      </w:r>
      <w:bookmarkEnd w:id="9"/>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outlineLvl w:val="9"/>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sectPr>
          <w:pgSz w:w="11906" w:h="16838"/>
          <w:pgMar w:top="1417" w:right="1417" w:bottom="1417" w:left="1417" w:header="851" w:footer="1134" w:gutter="0"/>
          <w:pgBorders>
            <w:top w:val="none" w:sz="0" w:space="0"/>
            <w:left w:val="none" w:sz="0" w:space="0"/>
            <w:bottom w:val="none" w:sz="0" w:space="0"/>
            <w:right w:val="none" w:sz="0" w:space="0"/>
          </w:pgBorders>
          <w:cols w:space="720" w:num="1"/>
          <w:docGrid w:linePitch="312" w:charSpace="0"/>
        </w:sectPr>
      </w:pPr>
    </w:p>
    <w:p>
      <w:pPr>
        <w:pStyle w:val="25"/>
        <w:adjustRightInd w:val="0"/>
        <w:snapToGrid w:val="0"/>
        <w:spacing w:before="0" w:beforeAutospacing="0" w:after="0" w:afterAutospacing="0"/>
        <w:contextualSpacing/>
        <w:outlineLvl w:val="0"/>
        <w:rPr>
          <w:rFonts w:hint="default" w:ascii="Times New Roman" w:hAnsi="Times New Roman" w:eastAsia="黑体" w:cs="Times New Roman"/>
          <w:snapToGrid w:val="0"/>
          <w:color w:val="auto"/>
          <w:sz w:val="32"/>
          <w:szCs w:val="32"/>
        </w:rPr>
      </w:pPr>
      <w:bookmarkStart w:id="10" w:name="_Toc6584"/>
      <w:r>
        <w:rPr>
          <w:rFonts w:hint="default" w:ascii="Times New Roman" w:hAnsi="Times New Roman" w:eastAsia="黑体" w:cs="Times New Roman"/>
          <w:snapToGrid w:val="0"/>
          <w:color w:val="auto"/>
          <w:sz w:val="32"/>
          <w:szCs w:val="32"/>
        </w:rPr>
        <w:t>附表</w:t>
      </w:r>
      <w:bookmarkEnd w:id="10"/>
    </w:p>
    <w:p>
      <w:pPr>
        <w:pStyle w:val="25"/>
        <w:adjustRightInd w:val="0"/>
        <w:snapToGrid w:val="0"/>
        <w:spacing w:before="0" w:beforeAutospacing="0" w:after="0" w:afterAutospacing="0"/>
        <w:contextualSpacing/>
        <w:jc w:val="center"/>
        <w:outlineLvl w:val="0"/>
        <w:rPr>
          <w:rFonts w:hint="default" w:ascii="Times New Roman" w:hAnsi="Times New Roman" w:eastAsia="方正小标宋_GBK" w:cs="Times New Roman"/>
          <w:snapToGrid w:val="0"/>
          <w:color w:val="auto"/>
          <w:sz w:val="38"/>
          <w:szCs w:val="38"/>
        </w:rPr>
      </w:pPr>
      <w:bookmarkStart w:id="11" w:name="_Toc169"/>
      <w:r>
        <w:rPr>
          <w:rFonts w:hint="default" w:ascii="Times New Roman" w:hAnsi="Times New Roman" w:eastAsia="方正小标宋_GBK" w:cs="Times New Roman"/>
          <w:snapToGrid w:val="0"/>
          <w:color w:val="auto"/>
          <w:sz w:val="38"/>
          <w:szCs w:val="38"/>
        </w:rPr>
        <w:t>建设项目污染物排放量汇总表</w:t>
      </w:r>
      <w:bookmarkEnd w:id="11"/>
    </w:p>
    <w:tbl>
      <w:tblPr>
        <w:tblStyle w:val="27"/>
        <w:tblW w:w="13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901"/>
        <w:gridCol w:w="1701"/>
        <w:gridCol w:w="1523"/>
        <w:gridCol w:w="1454"/>
        <w:gridCol w:w="1559"/>
        <w:gridCol w:w="1427"/>
        <w:gridCol w:w="163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blHeader/>
          <w:jc w:val="center"/>
        </w:trPr>
        <w:tc>
          <w:tcPr>
            <w:tcW w:w="1104" w:type="dxa"/>
            <w:tcBorders>
              <w:tl2br w:val="single" w:color="auto" w:sz="4" w:space="0"/>
            </w:tcBorders>
            <w:tcMar>
              <w:left w:w="28" w:type="dxa"/>
              <w:right w:w="28" w:type="dxa"/>
            </w:tcMar>
            <w:vAlign w:val="center"/>
          </w:tcPr>
          <w:p>
            <w:pPr>
              <w:pStyle w:val="44"/>
              <w:spacing w:beforeLines="0" w:afterLines="0" w:line="240" w:lineRule="auto"/>
              <w:jc w:val="righ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项目</w:t>
            </w:r>
          </w:p>
          <w:p>
            <w:pPr>
              <w:pStyle w:val="44"/>
              <w:spacing w:beforeLines="0" w:afterLines="0" w:line="240" w:lineRule="auto"/>
              <w:jc w:val="lef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分类</w:t>
            </w:r>
          </w:p>
        </w:tc>
        <w:tc>
          <w:tcPr>
            <w:tcW w:w="1901" w:type="dxa"/>
            <w:tcMar>
              <w:left w:w="28" w:type="dxa"/>
              <w:right w:w="28" w:type="dxa"/>
            </w:tcMar>
            <w:vAlign w:val="center"/>
          </w:tcPr>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污染物名称</w:t>
            </w:r>
          </w:p>
        </w:tc>
        <w:tc>
          <w:tcPr>
            <w:tcW w:w="1701" w:type="dxa"/>
            <w:tcMar>
              <w:left w:w="28" w:type="dxa"/>
              <w:right w:w="28" w:type="dxa"/>
            </w:tcMar>
            <w:vAlign w:val="center"/>
          </w:tcPr>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1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①</w:t>
            </w:r>
            <w:r>
              <w:rPr>
                <w:rFonts w:hint="default" w:ascii="Times New Roman" w:hAnsi="Times New Roman" w:eastAsia="黑体" w:cs="Times New Roman"/>
                <w:snapToGrid w:val="0"/>
                <w:color w:val="auto"/>
                <w:spacing w:val="-6"/>
                <w:kern w:val="21"/>
                <w:szCs w:val="21"/>
              </w:rPr>
              <w:fldChar w:fldCharType="end"/>
            </w:r>
          </w:p>
        </w:tc>
        <w:tc>
          <w:tcPr>
            <w:tcW w:w="1523" w:type="dxa"/>
            <w:tcMar>
              <w:left w:w="28" w:type="dxa"/>
              <w:right w:w="28" w:type="dxa"/>
            </w:tcMar>
            <w:vAlign w:val="center"/>
          </w:tcPr>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许可排放量</w:t>
            </w:r>
          </w:p>
          <w:p>
            <w:pPr>
              <w:pStyle w:val="44"/>
              <w:spacing w:beforeLines="0" w:afterLines="0"/>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2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snapToGrid w:val="0"/>
                <w:color w:val="auto"/>
                <w:spacing w:val="-6"/>
                <w:kern w:val="21"/>
                <w:szCs w:val="21"/>
              </w:rPr>
              <w:t>②</w:t>
            </w:r>
            <w:r>
              <w:rPr>
                <w:rFonts w:hint="default" w:ascii="Times New Roman" w:hAnsi="Times New Roman" w:eastAsia="黑体" w:cs="Times New Roman"/>
                <w:snapToGrid w:val="0"/>
                <w:color w:val="auto"/>
                <w:spacing w:val="-6"/>
                <w:kern w:val="21"/>
                <w:szCs w:val="21"/>
              </w:rPr>
              <w:fldChar w:fldCharType="end"/>
            </w:r>
          </w:p>
        </w:tc>
        <w:tc>
          <w:tcPr>
            <w:tcW w:w="1454" w:type="dxa"/>
            <w:tcMar>
              <w:left w:w="28" w:type="dxa"/>
              <w:right w:w="28" w:type="dxa"/>
            </w:tcMar>
            <w:vAlign w:val="center"/>
          </w:tcPr>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在建工程</w:t>
            </w:r>
          </w:p>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3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③</w:t>
            </w:r>
            <w:r>
              <w:rPr>
                <w:rFonts w:hint="default" w:ascii="Times New Roman" w:hAnsi="Times New Roman" w:eastAsia="黑体" w:cs="Times New Roman"/>
                <w:snapToGrid w:val="0"/>
                <w:color w:val="auto"/>
                <w:spacing w:val="-6"/>
                <w:kern w:val="21"/>
                <w:szCs w:val="21"/>
              </w:rPr>
              <w:fldChar w:fldCharType="end"/>
            </w:r>
          </w:p>
        </w:tc>
        <w:tc>
          <w:tcPr>
            <w:tcW w:w="1559" w:type="dxa"/>
            <w:tcMar>
              <w:left w:w="28" w:type="dxa"/>
              <w:right w:w="28" w:type="dxa"/>
            </w:tcMar>
            <w:vAlign w:val="center"/>
          </w:tcPr>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本项目</w:t>
            </w:r>
          </w:p>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4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④</w:t>
            </w:r>
            <w:r>
              <w:rPr>
                <w:rFonts w:hint="default" w:ascii="Times New Roman" w:hAnsi="Times New Roman" w:eastAsia="黑体" w:cs="Times New Roman"/>
                <w:snapToGrid w:val="0"/>
                <w:color w:val="auto"/>
                <w:spacing w:val="-6"/>
                <w:kern w:val="21"/>
                <w:szCs w:val="21"/>
              </w:rPr>
              <w:fldChar w:fldCharType="end"/>
            </w:r>
          </w:p>
        </w:tc>
        <w:tc>
          <w:tcPr>
            <w:tcW w:w="1427" w:type="dxa"/>
            <w:tcMar>
              <w:left w:w="28" w:type="dxa"/>
              <w:right w:w="28" w:type="dxa"/>
            </w:tcMar>
            <w:vAlign w:val="center"/>
          </w:tcPr>
          <w:p>
            <w:pPr>
              <w:pStyle w:val="44"/>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以新带老削减量</w:t>
            </w:r>
          </w:p>
          <w:p>
            <w:pPr>
              <w:pStyle w:val="44"/>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（新建项目不填）</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5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⑤</w:t>
            </w:r>
            <w:r>
              <w:rPr>
                <w:rFonts w:hint="default" w:ascii="Times New Roman" w:hAnsi="Times New Roman" w:eastAsia="黑体" w:cs="Times New Roman"/>
                <w:snapToGrid w:val="0"/>
                <w:color w:val="auto"/>
                <w:spacing w:val="-16"/>
                <w:kern w:val="21"/>
                <w:szCs w:val="21"/>
              </w:rPr>
              <w:fldChar w:fldCharType="end"/>
            </w:r>
          </w:p>
        </w:tc>
        <w:tc>
          <w:tcPr>
            <w:tcW w:w="1639" w:type="dxa"/>
            <w:tcMar>
              <w:left w:w="28" w:type="dxa"/>
              <w:right w:w="28" w:type="dxa"/>
            </w:tcMar>
            <w:vAlign w:val="center"/>
          </w:tcPr>
          <w:p>
            <w:pPr>
              <w:pStyle w:val="44"/>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本项目建成后</w:t>
            </w:r>
          </w:p>
          <w:p>
            <w:pPr>
              <w:pStyle w:val="44"/>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全厂排放量（固体废物产生量）</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6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⑥</w:t>
            </w:r>
            <w:r>
              <w:rPr>
                <w:rFonts w:hint="default" w:ascii="Times New Roman" w:hAnsi="Times New Roman" w:eastAsia="黑体" w:cs="Times New Roman"/>
                <w:snapToGrid w:val="0"/>
                <w:color w:val="auto"/>
                <w:spacing w:val="-16"/>
                <w:kern w:val="21"/>
                <w:szCs w:val="21"/>
              </w:rPr>
              <w:fldChar w:fldCharType="end"/>
            </w:r>
          </w:p>
        </w:tc>
        <w:tc>
          <w:tcPr>
            <w:tcW w:w="1430" w:type="dxa"/>
            <w:tcMar>
              <w:left w:w="28" w:type="dxa"/>
              <w:right w:w="28" w:type="dxa"/>
            </w:tcMar>
            <w:vAlign w:val="center"/>
          </w:tcPr>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变化量</w:t>
            </w:r>
          </w:p>
          <w:p>
            <w:pPr>
              <w:pStyle w:val="44"/>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7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⑦</w:t>
            </w:r>
            <w:r>
              <w:rPr>
                <w:rFonts w:hint="default" w:ascii="Times New Roman" w:hAnsi="Times New Roman" w:eastAsia="黑体" w:cs="Times New Roman"/>
                <w:snapToGrid w:val="0"/>
                <w:color w:val="auto"/>
                <w:spacing w:val="-6"/>
                <w:kern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restart"/>
            <w:vAlign w:val="center"/>
          </w:tcPr>
          <w:p>
            <w:pPr>
              <w:pStyle w:val="44"/>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901"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非甲烷总烃</w:t>
            </w:r>
          </w:p>
        </w:tc>
        <w:tc>
          <w:tcPr>
            <w:tcW w:w="1701" w:type="dxa"/>
            <w:vAlign w:val="center"/>
          </w:tcPr>
          <w:p>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0.027</w:t>
            </w:r>
          </w:p>
        </w:tc>
        <w:tc>
          <w:tcPr>
            <w:tcW w:w="1523" w:type="dxa"/>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0</w:t>
            </w:r>
          </w:p>
        </w:tc>
        <w:tc>
          <w:tcPr>
            <w:tcW w:w="1454" w:type="dxa"/>
            <w:vAlign w:val="center"/>
          </w:tcPr>
          <w:p>
            <w:pPr>
              <w:pStyle w:val="44"/>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w:t>
            </w:r>
          </w:p>
        </w:tc>
        <w:tc>
          <w:tcPr>
            <w:tcW w:w="1559" w:type="dxa"/>
            <w:vAlign w:val="center"/>
          </w:tcPr>
          <w:p>
            <w:pPr>
              <w:pStyle w:val="24"/>
              <w:spacing w:after="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snapToGrid w:val="0"/>
                <w:color w:val="auto"/>
                <w:kern w:val="21"/>
                <w:sz w:val="21"/>
                <w:szCs w:val="21"/>
                <w:lang w:val="en-US" w:eastAsia="zh-CN" w:bidi="ar-SA"/>
              </w:rPr>
              <w:t>0.261</w:t>
            </w:r>
          </w:p>
        </w:tc>
        <w:tc>
          <w:tcPr>
            <w:tcW w:w="1427" w:type="dxa"/>
            <w:vAlign w:val="center"/>
          </w:tcPr>
          <w:p>
            <w:pPr>
              <w:widowControl/>
              <w:adjustRightInd w:val="0"/>
              <w:snapToGrid w:val="0"/>
              <w:jc w:val="center"/>
              <w:rPr>
                <w:rFonts w:hint="default" w:ascii="Times New Roman" w:hAnsi="Times New Roman" w:cs="Times New Roman"/>
                <w:snapToGrid w:val="0"/>
                <w:color w:val="auto"/>
                <w:kern w:val="21"/>
                <w:szCs w:val="21"/>
              </w:rPr>
            </w:pPr>
            <w:r>
              <w:rPr>
                <w:rFonts w:hint="eastAsia" w:cs="Times New Roman"/>
                <w:color w:val="auto"/>
                <w:kern w:val="2"/>
                <w:sz w:val="21"/>
                <w:szCs w:val="21"/>
                <w:lang w:val="en-US" w:eastAsia="zh-CN" w:bidi="ar-SA"/>
              </w:rPr>
              <w:t>0.027</w:t>
            </w:r>
          </w:p>
        </w:tc>
        <w:tc>
          <w:tcPr>
            <w:tcW w:w="1639" w:type="dxa"/>
            <w:vAlign w:val="center"/>
          </w:tcPr>
          <w:p>
            <w:pPr>
              <w:pStyle w:val="24"/>
              <w:spacing w:after="0" w:line="240" w:lineRule="auto"/>
              <w:jc w:val="center"/>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 w:val="21"/>
                <w:szCs w:val="21"/>
                <w:lang w:val="en-US" w:eastAsia="zh-CN" w:bidi="ar-SA"/>
              </w:rPr>
              <w:t>0.261</w:t>
            </w:r>
          </w:p>
        </w:tc>
        <w:tc>
          <w:tcPr>
            <w:tcW w:w="1430" w:type="dxa"/>
            <w:vAlign w:val="center"/>
          </w:tcPr>
          <w:p>
            <w:pPr>
              <w:pStyle w:val="24"/>
              <w:spacing w:after="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Lines="0" w:afterLines="0" w:line="240" w:lineRule="auto"/>
              <w:rPr>
                <w:rFonts w:hint="default" w:ascii="Times New Roman" w:hAnsi="Times New Roman" w:cs="Times New Roman"/>
                <w:snapToGrid w:val="0"/>
                <w:color w:val="auto"/>
                <w:kern w:val="21"/>
                <w:szCs w:val="21"/>
              </w:rPr>
            </w:pPr>
          </w:p>
        </w:tc>
        <w:tc>
          <w:tcPr>
            <w:tcW w:w="1901"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MDI</w:t>
            </w:r>
          </w:p>
        </w:tc>
        <w:tc>
          <w:tcPr>
            <w:tcW w:w="1701" w:type="dxa"/>
            <w:vAlign w:val="center"/>
          </w:tcPr>
          <w:p>
            <w:pPr>
              <w:widowControl/>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lang w:val="en-US" w:eastAsia="zh-CN" w:bidi="ar-SA"/>
              </w:rPr>
              <w:t>0</w:t>
            </w:r>
          </w:p>
        </w:tc>
        <w:tc>
          <w:tcPr>
            <w:tcW w:w="1523" w:type="dxa"/>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0</w:t>
            </w:r>
          </w:p>
        </w:tc>
        <w:tc>
          <w:tcPr>
            <w:tcW w:w="1454" w:type="dxa"/>
            <w:vAlign w:val="center"/>
          </w:tcPr>
          <w:p>
            <w:pPr>
              <w:widowControl/>
              <w:adjustRightInd w:val="0"/>
              <w:snapToGrid w:val="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w:t>
            </w:r>
          </w:p>
        </w:tc>
        <w:tc>
          <w:tcPr>
            <w:tcW w:w="1559" w:type="dxa"/>
            <w:vAlign w:val="center"/>
          </w:tcPr>
          <w:p>
            <w:pPr>
              <w:pStyle w:val="24"/>
              <w:spacing w:after="0"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eastAsia" w:cs="Times New Roman"/>
                <w:color w:val="auto"/>
                <w:sz w:val="21"/>
                <w:szCs w:val="21"/>
                <w:lang w:val="en-US" w:eastAsia="zh-CN"/>
              </w:rPr>
              <w:t>0.0011</w:t>
            </w:r>
          </w:p>
        </w:tc>
        <w:tc>
          <w:tcPr>
            <w:tcW w:w="1427" w:type="dxa"/>
            <w:vAlign w:val="center"/>
          </w:tcPr>
          <w:p>
            <w:pPr>
              <w:widowControl/>
              <w:adjustRightInd w:val="0"/>
              <w:snapToGrid w:val="0"/>
              <w:jc w:val="center"/>
              <w:rPr>
                <w:rFonts w:hint="default" w:ascii="Times New Roman" w:hAnsi="Times New Roman" w:eastAsia="宋体" w:cs="Times New Roman"/>
                <w:snapToGrid w:val="0"/>
                <w:color w:val="auto"/>
                <w:kern w:val="21"/>
                <w:szCs w:val="21"/>
                <w:lang w:val="en-US" w:eastAsia="zh-CN"/>
              </w:rPr>
            </w:pPr>
            <w:r>
              <w:rPr>
                <w:rFonts w:hint="eastAsia" w:cs="Times New Roman"/>
                <w:color w:val="auto"/>
                <w:kern w:val="0"/>
                <w:sz w:val="21"/>
                <w:szCs w:val="21"/>
                <w:lang w:val="en-US" w:eastAsia="zh-CN" w:bidi="ar-SA"/>
              </w:rPr>
              <w:t>0</w:t>
            </w:r>
          </w:p>
        </w:tc>
        <w:tc>
          <w:tcPr>
            <w:tcW w:w="1639" w:type="dxa"/>
            <w:vAlign w:val="center"/>
          </w:tcPr>
          <w:p>
            <w:pPr>
              <w:pStyle w:val="24"/>
              <w:spacing w:after="0" w:line="240" w:lineRule="auto"/>
              <w:jc w:val="center"/>
              <w:rPr>
                <w:rFonts w:hint="default" w:ascii="Times New Roman" w:hAnsi="Times New Roman" w:cs="Times New Roman"/>
                <w:snapToGrid w:val="0"/>
                <w:color w:val="auto"/>
                <w:kern w:val="21"/>
                <w:szCs w:val="21"/>
              </w:rPr>
            </w:pPr>
            <w:r>
              <w:rPr>
                <w:rFonts w:hint="eastAsia" w:cs="Times New Roman"/>
                <w:color w:val="auto"/>
                <w:sz w:val="21"/>
                <w:szCs w:val="21"/>
                <w:lang w:val="en-US" w:eastAsia="zh-CN"/>
              </w:rPr>
              <w:t>0.0011</w:t>
            </w:r>
          </w:p>
        </w:tc>
        <w:tc>
          <w:tcPr>
            <w:tcW w:w="1430" w:type="dxa"/>
            <w:vAlign w:val="center"/>
          </w:tcPr>
          <w:p>
            <w:pPr>
              <w:pStyle w:val="24"/>
              <w:spacing w:after="0"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eastAsia" w:cs="Times New Roman"/>
                <w:color w:val="auto"/>
                <w:sz w:val="21"/>
                <w:szCs w:val="21"/>
                <w:lang w:val="en-US" w:eastAsia="zh-CN"/>
              </w:rPr>
              <w:t>+0.0011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restart"/>
            <w:vAlign w:val="center"/>
          </w:tcPr>
          <w:p>
            <w:pPr>
              <w:pStyle w:val="44"/>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190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水量</w:t>
            </w:r>
          </w:p>
        </w:tc>
        <w:tc>
          <w:tcPr>
            <w:tcW w:w="1701"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color w:val="auto"/>
                <w:lang w:val="en-US" w:eastAsia="zh-CN"/>
              </w:rPr>
              <w:t>368</w:t>
            </w:r>
          </w:p>
        </w:tc>
        <w:tc>
          <w:tcPr>
            <w:tcW w:w="1523"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color w:val="auto"/>
                <w:lang w:val="en-US" w:eastAsia="zh-CN"/>
              </w:rPr>
              <w:t>368</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color w:val="auto"/>
                <w:sz w:val="21"/>
                <w:szCs w:val="21"/>
                <w:lang w:val="en-US" w:eastAsia="zh-CN"/>
              </w:rPr>
              <w:t>720</w:t>
            </w:r>
          </w:p>
        </w:tc>
        <w:tc>
          <w:tcPr>
            <w:tcW w:w="1427"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color w:val="auto"/>
                <w:lang w:val="en-US" w:eastAsia="zh-CN"/>
              </w:rPr>
              <w:t>368</w:t>
            </w:r>
          </w:p>
        </w:tc>
        <w:tc>
          <w:tcPr>
            <w:tcW w:w="163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color w:val="auto"/>
                <w:sz w:val="21"/>
                <w:szCs w:val="21"/>
                <w:lang w:val="en-US" w:eastAsia="zh-CN"/>
              </w:rPr>
              <w:t>720</w:t>
            </w:r>
          </w:p>
        </w:tc>
        <w:tc>
          <w:tcPr>
            <w:tcW w:w="1430"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Lines="0" w:afterLines="0" w:line="240" w:lineRule="auto"/>
              <w:rPr>
                <w:rFonts w:hint="default" w:ascii="Times New Roman" w:hAnsi="Times New Roman" w:cs="Times New Roman"/>
                <w:snapToGrid w:val="0"/>
                <w:color w:val="auto"/>
                <w:kern w:val="21"/>
                <w:szCs w:val="21"/>
              </w:rPr>
            </w:pPr>
          </w:p>
        </w:tc>
        <w:tc>
          <w:tcPr>
            <w:tcW w:w="190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COD</w:t>
            </w:r>
          </w:p>
        </w:tc>
        <w:tc>
          <w:tcPr>
            <w:tcW w:w="1701"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0.147</w:t>
            </w:r>
          </w:p>
        </w:tc>
        <w:tc>
          <w:tcPr>
            <w:tcW w:w="1523"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0.147</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0.288</w:t>
            </w:r>
          </w:p>
        </w:tc>
        <w:tc>
          <w:tcPr>
            <w:tcW w:w="1427"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0.147</w:t>
            </w:r>
          </w:p>
        </w:tc>
        <w:tc>
          <w:tcPr>
            <w:tcW w:w="163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0.288</w:t>
            </w:r>
          </w:p>
        </w:tc>
        <w:tc>
          <w:tcPr>
            <w:tcW w:w="1430"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Lines="0" w:afterLines="0" w:line="240" w:lineRule="auto"/>
              <w:rPr>
                <w:rFonts w:hint="default" w:ascii="Times New Roman" w:hAnsi="Times New Roman" w:cs="Times New Roman"/>
                <w:snapToGrid w:val="0"/>
                <w:color w:val="auto"/>
                <w:kern w:val="21"/>
                <w:szCs w:val="21"/>
              </w:rPr>
            </w:pPr>
          </w:p>
        </w:tc>
        <w:tc>
          <w:tcPr>
            <w:tcW w:w="190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SS</w:t>
            </w:r>
          </w:p>
        </w:tc>
        <w:tc>
          <w:tcPr>
            <w:tcW w:w="1701"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0.092</w:t>
            </w:r>
          </w:p>
        </w:tc>
        <w:tc>
          <w:tcPr>
            <w:tcW w:w="1523"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0.092</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0.144</w:t>
            </w:r>
          </w:p>
        </w:tc>
        <w:tc>
          <w:tcPr>
            <w:tcW w:w="1427"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0.092</w:t>
            </w:r>
          </w:p>
        </w:tc>
        <w:tc>
          <w:tcPr>
            <w:tcW w:w="163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0.144</w:t>
            </w:r>
          </w:p>
        </w:tc>
        <w:tc>
          <w:tcPr>
            <w:tcW w:w="1430"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Lines="0" w:afterLines="0" w:line="240" w:lineRule="auto"/>
              <w:rPr>
                <w:rFonts w:hint="default" w:ascii="Times New Roman" w:hAnsi="Times New Roman" w:cs="Times New Roman"/>
                <w:snapToGrid w:val="0"/>
                <w:color w:val="auto"/>
                <w:kern w:val="21"/>
                <w:szCs w:val="21"/>
              </w:rPr>
            </w:pPr>
          </w:p>
        </w:tc>
        <w:tc>
          <w:tcPr>
            <w:tcW w:w="190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p>
        </w:tc>
        <w:tc>
          <w:tcPr>
            <w:tcW w:w="1701"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0.009</w:t>
            </w:r>
          </w:p>
        </w:tc>
        <w:tc>
          <w:tcPr>
            <w:tcW w:w="1523"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0.009</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0.022</w:t>
            </w:r>
          </w:p>
        </w:tc>
        <w:tc>
          <w:tcPr>
            <w:tcW w:w="1427"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0.009</w:t>
            </w:r>
          </w:p>
        </w:tc>
        <w:tc>
          <w:tcPr>
            <w:tcW w:w="163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0.022</w:t>
            </w:r>
          </w:p>
        </w:tc>
        <w:tc>
          <w:tcPr>
            <w:tcW w:w="1430"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Lines="0" w:afterLines="0" w:line="240" w:lineRule="auto"/>
              <w:rPr>
                <w:rFonts w:hint="default" w:ascii="Times New Roman" w:hAnsi="Times New Roman" w:cs="Times New Roman"/>
                <w:snapToGrid w:val="0"/>
                <w:color w:val="auto"/>
                <w:kern w:val="21"/>
                <w:szCs w:val="21"/>
              </w:rPr>
            </w:pPr>
          </w:p>
        </w:tc>
        <w:tc>
          <w:tcPr>
            <w:tcW w:w="190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highlight w:val="none"/>
                <w:lang w:val="en-US" w:eastAsia="zh-CN" w:bidi="ar-SA"/>
              </w:rPr>
              <w:t>TN</w:t>
            </w:r>
          </w:p>
        </w:tc>
        <w:tc>
          <w:tcPr>
            <w:tcW w:w="1701"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 w:val="21"/>
                <w:szCs w:val="21"/>
                <w:lang w:val="en-US" w:eastAsia="zh-CN"/>
              </w:rPr>
              <w:t>0.015</w:t>
            </w:r>
          </w:p>
        </w:tc>
        <w:tc>
          <w:tcPr>
            <w:tcW w:w="1523"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 w:val="21"/>
                <w:szCs w:val="21"/>
                <w:lang w:val="en-US" w:eastAsia="zh-CN"/>
              </w:rPr>
              <w:t>/</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0.029</w:t>
            </w:r>
          </w:p>
        </w:tc>
        <w:tc>
          <w:tcPr>
            <w:tcW w:w="1427"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 w:val="21"/>
                <w:szCs w:val="21"/>
                <w:lang w:val="en-US" w:eastAsia="zh-CN"/>
              </w:rPr>
              <w:t>0.015</w:t>
            </w:r>
          </w:p>
        </w:tc>
        <w:tc>
          <w:tcPr>
            <w:tcW w:w="163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0.029</w:t>
            </w:r>
          </w:p>
        </w:tc>
        <w:tc>
          <w:tcPr>
            <w:tcW w:w="1430"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Lines="0" w:afterLines="0" w:line="240" w:lineRule="auto"/>
              <w:rPr>
                <w:rFonts w:hint="default" w:ascii="Times New Roman" w:hAnsi="Times New Roman" w:cs="Times New Roman"/>
                <w:snapToGrid w:val="0"/>
                <w:color w:val="auto"/>
                <w:kern w:val="21"/>
                <w:szCs w:val="21"/>
              </w:rPr>
            </w:pPr>
          </w:p>
        </w:tc>
        <w:tc>
          <w:tcPr>
            <w:tcW w:w="1901"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TP</w:t>
            </w:r>
          </w:p>
        </w:tc>
        <w:tc>
          <w:tcPr>
            <w:tcW w:w="1701"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0.001</w:t>
            </w:r>
          </w:p>
        </w:tc>
        <w:tc>
          <w:tcPr>
            <w:tcW w:w="1523"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0.001</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0.002</w:t>
            </w:r>
          </w:p>
        </w:tc>
        <w:tc>
          <w:tcPr>
            <w:tcW w:w="1427"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kern w:val="0"/>
                <w:sz w:val="21"/>
                <w:szCs w:val="21"/>
                <w:lang w:val="en-US" w:eastAsia="zh-CN" w:bidi="ar"/>
              </w:rPr>
              <w:t>0.001</w:t>
            </w:r>
          </w:p>
        </w:tc>
        <w:tc>
          <w:tcPr>
            <w:tcW w:w="1639"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eastAsia"/>
                <w:color w:val="auto"/>
                <w:szCs w:val="21"/>
                <w:lang w:val="en-US" w:eastAsia="zh-CN"/>
              </w:rPr>
              <w:t>0.002</w:t>
            </w:r>
          </w:p>
        </w:tc>
        <w:tc>
          <w:tcPr>
            <w:tcW w:w="1430" w:type="dxa"/>
            <w:vAlign w:val="center"/>
          </w:tcPr>
          <w:p>
            <w:pPr>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restart"/>
            <w:vAlign w:val="center"/>
          </w:tcPr>
          <w:p>
            <w:pPr>
              <w:pStyle w:val="44"/>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一般工业</w:t>
            </w:r>
          </w:p>
          <w:p>
            <w:pPr>
              <w:pStyle w:val="44"/>
              <w:spacing w:before="31" w:after="31"/>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固体废物</w:t>
            </w:r>
          </w:p>
        </w:tc>
        <w:tc>
          <w:tcPr>
            <w:tcW w:w="1901" w:type="dxa"/>
            <w:vAlign w:val="center"/>
          </w:tcPr>
          <w:p>
            <w:pPr>
              <w:pStyle w:val="6"/>
              <w:adjustRightInd w:val="0"/>
              <w:snapToGrid w:val="0"/>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 w:val="21"/>
                <w:szCs w:val="21"/>
              </w:rPr>
              <w:t>边角料</w:t>
            </w:r>
          </w:p>
        </w:tc>
        <w:tc>
          <w:tcPr>
            <w:tcW w:w="1701"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5</w:t>
            </w:r>
          </w:p>
        </w:tc>
        <w:tc>
          <w:tcPr>
            <w:tcW w:w="1523"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5</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11</w:t>
            </w:r>
          </w:p>
        </w:tc>
        <w:tc>
          <w:tcPr>
            <w:tcW w:w="1427"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5</w:t>
            </w:r>
          </w:p>
        </w:tc>
        <w:tc>
          <w:tcPr>
            <w:tcW w:w="163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11</w:t>
            </w:r>
          </w:p>
        </w:tc>
        <w:tc>
          <w:tcPr>
            <w:tcW w:w="1430"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bCs/>
                <w:color w:val="auto"/>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Lines="0" w:afterLines="0" w:line="240" w:lineRule="auto"/>
              <w:rPr>
                <w:rFonts w:hint="default" w:ascii="Times New Roman" w:hAnsi="Times New Roman" w:cs="Times New Roman"/>
                <w:snapToGrid w:val="0"/>
                <w:color w:val="auto"/>
                <w:kern w:val="21"/>
                <w:szCs w:val="21"/>
              </w:rPr>
            </w:pPr>
          </w:p>
        </w:tc>
        <w:tc>
          <w:tcPr>
            <w:tcW w:w="1901" w:type="dxa"/>
            <w:vAlign w:val="center"/>
          </w:tcPr>
          <w:p>
            <w:pPr>
              <w:pStyle w:val="6"/>
              <w:adjustRightInd w:val="0"/>
              <w:snapToGrid w:val="0"/>
              <w:ind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 w:val="21"/>
                <w:szCs w:val="21"/>
                <w:lang w:val="en-US" w:eastAsia="zh-CN"/>
              </w:rPr>
              <w:t>次品</w:t>
            </w:r>
          </w:p>
        </w:tc>
        <w:tc>
          <w:tcPr>
            <w:tcW w:w="1701"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1</w:t>
            </w:r>
          </w:p>
        </w:tc>
        <w:tc>
          <w:tcPr>
            <w:tcW w:w="1523"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1</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5.5</w:t>
            </w:r>
          </w:p>
        </w:tc>
        <w:tc>
          <w:tcPr>
            <w:tcW w:w="1427" w:type="dxa"/>
            <w:vAlign w:val="center"/>
          </w:tcPr>
          <w:p>
            <w:pPr>
              <w:adjustRightInd w:val="0"/>
              <w:snapToGrid w:val="0"/>
              <w:spacing w:line="280" w:lineRule="exact"/>
              <w:jc w:val="center"/>
              <w:rPr>
                <w:rFonts w:hint="eastAsia"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1</w:t>
            </w:r>
          </w:p>
        </w:tc>
        <w:tc>
          <w:tcPr>
            <w:tcW w:w="163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5.5</w:t>
            </w:r>
          </w:p>
        </w:tc>
        <w:tc>
          <w:tcPr>
            <w:tcW w:w="1430"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bCs/>
                <w:color w:val="auto"/>
                <w:kern w:val="2"/>
                <w:sz w:val="21"/>
                <w:szCs w:val="21"/>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Lines="0" w:afterLines="0" w:line="240" w:lineRule="auto"/>
              <w:rPr>
                <w:rFonts w:hint="default" w:ascii="Times New Roman" w:hAnsi="Times New Roman" w:cs="Times New Roman"/>
                <w:snapToGrid w:val="0"/>
                <w:color w:val="auto"/>
                <w:kern w:val="21"/>
                <w:szCs w:val="21"/>
              </w:rPr>
            </w:pPr>
          </w:p>
        </w:tc>
        <w:tc>
          <w:tcPr>
            <w:tcW w:w="1901" w:type="dxa"/>
            <w:vAlign w:val="center"/>
          </w:tcPr>
          <w:p>
            <w:pPr>
              <w:pStyle w:val="6"/>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rPr>
              <w:t>废</w:t>
            </w:r>
            <w:r>
              <w:rPr>
                <w:rFonts w:hint="eastAsia" w:ascii="Times New Roman" w:hAnsi="Times New Roman" w:cs="Times New Roman"/>
                <w:color w:val="auto"/>
                <w:sz w:val="21"/>
                <w:szCs w:val="21"/>
                <w:lang w:eastAsia="zh-CN"/>
              </w:rPr>
              <w:t>包装材料</w:t>
            </w:r>
          </w:p>
        </w:tc>
        <w:tc>
          <w:tcPr>
            <w:tcW w:w="1701"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0.1</w:t>
            </w:r>
          </w:p>
        </w:tc>
        <w:tc>
          <w:tcPr>
            <w:tcW w:w="1523"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0.1</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bCs/>
                <w:color w:val="auto"/>
                <w:kern w:val="2"/>
                <w:sz w:val="21"/>
                <w:szCs w:val="21"/>
                <w:lang w:val="en-US" w:eastAsia="zh-CN" w:bidi="ar-SA"/>
              </w:rPr>
              <w:t>0.5</w:t>
            </w:r>
          </w:p>
        </w:tc>
        <w:tc>
          <w:tcPr>
            <w:tcW w:w="1427"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0.1</w:t>
            </w:r>
          </w:p>
        </w:tc>
        <w:tc>
          <w:tcPr>
            <w:tcW w:w="163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bCs/>
                <w:color w:val="auto"/>
                <w:kern w:val="2"/>
                <w:sz w:val="21"/>
                <w:szCs w:val="21"/>
                <w:lang w:val="en-US" w:eastAsia="zh-CN" w:bidi="ar-SA"/>
              </w:rPr>
              <w:t>0.5</w:t>
            </w:r>
          </w:p>
        </w:tc>
        <w:tc>
          <w:tcPr>
            <w:tcW w:w="1430"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color w:val="auto"/>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restart"/>
            <w:vAlign w:val="center"/>
          </w:tcPr>
          <w:p>
            <w:pPr>
              <w:pStyle w:val="44"/>
              <w:spacing w:before="31" w:after="31"/>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危险废物</w:t>
            </w:r>
          </w:p>
        </w:tc>
        <w:tc>
          <w:tcPr>
            <w:tcW w:w="1901" w:type="dxa"/>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eastAsia="zh-CN"/>
              </w:rPr>
              <w:t>废液压油</w:t>
            </w:r>
          </w:p>
        </w:tc>
        <w:tc>
          <w:tcPr>
            <w:tcW w:w="1701"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0</w:t>
            </w:r>
          </w:p>
        </w:tc>
        <w:tc>
          <w:tcPr>
            <w:tcW w:w="1523"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0</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color w:val="auto"/>
                <w:kern w:val="2"/>
                <w:sz w:val="21"/>
                <w:szCs w:val="21"/>
                <w:lang w:val="en-US" w:eastAsia="zh-CN" w:bidi="ar-SA"/>
              </w:rPr>
              <w:t>3t/3a</w:t>
            </w:r>
          </w:p>
        </w:tc>
        <w:tc>
          <w:tcPr>
            <w:tcW w:w="1427"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0</w:t>
            </w:r>
          </w:p>
        </w:tc>
        <w:tc>
          <w:tcPr>
            <w:tcW w:w="163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color w:val="auto"/>
                <w:kern w:val="2"/>
                <w:sz w:val="21"/>
                <w:szCs w:val="21"/>
                <w:lang w:val="en-US" w:eastAsia="zh-CN" w:bidi="ar-SA"/>
              </w:rPr>
              <w:t>3t/3a</w:t>
            </w:r>
          </w:p>
        </w:tc>
        <w:tc>
          <w:tcPr>
            <w:tcW w:w="1430"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color w:val="auto"/>
                <w:kern w:val="2"/>
                <w:sz w:val="21"/>
                <w:szCs w:val="21"/>
                <w:lang w:val="en-US" w:eastAsia="zh-CN" w:bidi="ar-SA"/>
              </w:rPr>
              <w:t>+3t/3a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31" w:after="31"/>
              <w:rPr>
                <w:rFonts w:hint="default" w:ascii="Times New Roman" w:hAnsi="Times New Roman" w:cs="Times New Roman"/>
                <w:snapToGrid w:val="0"/>
                <w:color w:val="auto"/>
                <w:kern w:val="21"/>
                <w:szCs w:val="21"/>
              </w:rPr>
            </w:pPr>
          </w:p>
        </w:tc>
        <w:tc>
          <w:tcPr>
            <w:tcW w:w="1901" w:type="dxa"/>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废活性炭</w:t>
            </w:r>
          </w:p>
        </w:tc>
        <w:tc>
          <w:tcPr>
            <w:tcW w:w="1701"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1</w:t>
            </w:r>
          </w:p>
        </w:tc>
        <w:tc>
          <w:tcPr>
            <w:tcW w:w="1523"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1</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bCs/>
                <w:color w:val="auto"/>
                <w:sz w:val="21"/>
                <w:szCs w:val="21"/>
                <w:lang w:val="en-US" w:eastAsia="zh-CN"/>
              </w:rPr>
              <w:t>6.711</w:t>
            </w:r>
          </w:p>
        </w:tc>
        <w:tc>
          <w:tcPr>
            <w:tcW w:w="1427"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1</w:t>
            </w:r>
          </w:p>
        </w:tc>
        <w:tc>
          <w:tcPr>
            <w:tcW w:w="163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bCs/>
                <w:color w:val="auto"/>
                <w:sz w:val="21"/>
                <w:szCs w:val="21"/>
                <w:lang w:val="en-US" w:eastAsia="zh-CN"/>
              </w:rPr>
              <w:t>6.711</w:t>
            </w:r>
          </w:p>
        </w:tc>
        <w:tc>
          <w:tcPr>
            <w:tcW w:w="1430"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cs="Times New Roman"/>
                <w:bCs/>
                <w:color w:val="auto"/>
                <w:sz w:val="21"/>
                <w:szCs w:val="21"/>
                <w:lang w:val="en-US" w:eastAsia="zh-CN"/>
              </w:rPr>
              <w:t>+5.711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4" w:type="dxa"/>
            <w:vMerge w:val="continue"/>
            <w:vAlign w:val="center"/>
          </w:tcPr>
          <w:p>
            <w:pPr>
              <w:pStyle w:val="44"/>
              <w:spacing w:before="31" w:after="31"/>
              <w:rPr>
                <w:rFonts w:hint="default" w:ascii="Times New Roman" w:hAnsi="Times New Roman" w:cs="Times New Roman"/>
                <w:snapToGrid w:val="0"/>
                <w:color w:val="auto"/>
                <w:kern w:val="21"/>
                <w:szCs w:val="21"/>
              </w:rPr>
            </w:pPr>
          </w:p>
        </w:tc>
        <w:tc>
          <w:tcPr>
            <w:tcW w:w="1901" w:type="dxa"/>
            <w:vAlign w:val="center"/>
          </w:tcPr>
          <w:p>
            <w:pPr>
              <w:pStyle w:val="6"/>
              <w:adjustRightInd w:val="0"/>
              <w:snapToGrid w:val="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含油抹布手套</w:t>
            </w:r>
          </w:p>
        </w:tc>
        <w:tc>
          <w:tcPr>
            <w:tcW w:w="1701"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0</w:t>
            </w:r>
          </w:p>
        </w:tc>
        <w:tc>
          <w:tcPr>
            <w:tcW w:w="1523"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0</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0.05</w:t>
            </w:r>
          </w:p>
        </w:tc>
        <w:tc>
          <w:tcPr>
            <w:tcW w:w="1427"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0</w:t>
            </w:r>
          </w:p>
        </w:tc>
        <w:tc>
          <w:tcPr>
            <w:tcW w:w="1639"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0.05</w:t>
            </w:r>
          </w:p>
        </w:tc>
        <w:tc>
          <w:tcPr>
            <w:tcW w:w="1430" w:type="dxa"/>
            <w:vAlign w:val="center"/>
          </w:tcPr>
          <w:p>
            <w:pPr>
              <w:adjustRightInd w:val="0"/>
              <w:snapToGrid w:val="0"/>
              <w:jc w:val="center"/>
              <w:rPr>
                <w:rFonts w:hint="default" w:ascii="Times New Roman" w:hAnsi="Times New Roman" w:eastAsia="仿宋" w:cs="Times New Roman"/>
                <w:b w:val="0"/>
                <w:bCs/>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05" w:type="dxa"/>
            <w:gridSpan w:val="2"/>
            <w:vAlign w:val="center"/>
          </w:tcPr>
          <w:p>
            <w:pPr>
              <w:pStyle w:val="6"/>
              <w:adjustRightInd w:val="0"/>
              <w:snapToGrid w:val="0"/>
              <w:ind w:firstLine="0"/>
              <w:jc w:val="center"/>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生活垃圾</w:t>
            </w:r>
          </w:p>
        </w:tc>
        <w:tc>
          <w:tcPr>
            <w:tcW w:w="1701"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4.6</w:t>
            </w:r>
          </w:p>
        </w:tc>
        <w:tc>
          <w:tcPr>
            <w:tcW w:w="1523"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4.6</w:t>
            </w:r>
          </w:p>
        </w:tc>
        <w:tc>
          <w:tcPr>
            <w:tcW w:w="1454"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0</w:t>
            </w:r>
          </w:p>
        </w:tc>
        <w:tc>
          <w:tcPr>
            <w:tcW w:w="1559"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9</w:t>
            </w:r>
          </w:p>
        </w:tc>
        <w:tc>
          <w:tcPr>
            <w:tcW w:w="1427"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4.6</w:t>
            </w:r>
          </w:p>
        </w:tc>
        <w:tc>
          <w:tcPr>
            <w:tcW w:w="1639"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9</w:t>
            </w:r>
          </w:p>
        </w:tc>
        <w:tc>
          <w:tcPr>
            <w:tcW w:w="1430" w:type="dxa"/>
            <w:vAlign w:val="center"/>
          </w:tcPr>
          <w:p>
            <w:pPr>
              <w:adjustRightInd w:val="0"/>
              <w:snapToGrid w:val="0"/>
              <w:spacing w:line="280" w:lineRule="exact"/>
              <w:jc w:val="center"/>
              <w:rPr>
                <w:rFonts w:hint="default" w:ascii="Times New Roman" w:hAnsi="Times New Roman" w:eastAsia="仿宋" w:cs="Times New Roman"/>
                <w:b w:val="0"/>
                <w:bCs/>
                <w:color w:val="auto"/>
                <w:kern w:val="2"/>
                <w:sz w:val="21"/>
                <w:szCs w:val="21"/>
                <w:lang w:val="en-US" w:eastAsia="zh-CN" w:bidi="ar-SA"/>
              </w:rPr>
            </w:pPr>
            <w:r>
              <w:rPr>
                <w:rFonts w:hint="eastAsia" w:eastAsia="仿宋" w:cs="Times New Roman"/>
                <w:b w:val="0"/>
                <w:bCs/>
                <w:color w:val="auto"/>
                <w:kern w:val="2"/>
                <w:sz w:val="21"/>
                <w:szCs w:val="21"/>
                <w:lang w:val="en-US" w:eastAsia="zh-CN" w:bidi="ar-SA"/>
              </w:rPr>
              <w:t>+4.4</w:t>
            </w:r>
          </w:p>
        </w:tc>
      </w:tr>
    </w:tbl>
    <w:p>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黑体" w:cs="Times New Roman"/>
          <w:color w:val="auto"/>
          <w:sz w:val="10"/>
          <w:szCs w:val="10"/>
        </w:rPr>
      </w:pPr>
    </w:p>
    <w:p>
      <w:pPr>
        <w:rPr>
          <w:rFonts w:hint="default"/>
        </w:rPr>
      </w:pPr>
    </w:p>
    <w:sectPr>
      <w:footerReference r:id="rId10" w:type="default"/>
      <w:pgSz w:w="16838" w:h="11906" w:orient="landscape"/>
      <w:pgMar w:top="1417" w:right="1417" w:bottom="1417" w:left="1417" w:header="851" w:footer="8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文鼎CS中宋">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CIDFon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DkHskBAACa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vqGEsctTvzy4/vl5+/Lr29k&#10;mf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gOQeyQEAAJo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s9RskBAACa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f2SEsctTvzy/dvlx6/Lz69k&#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YKz1GyQEAAJo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3218"/>
    <w:multiLevelType w:val="singleLevel"/>
    <w:tmpl w:val="167C3218"/>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73469145"/>
    <w:multiLevelType w:val="singleLevel"/>
    <w:tmpl w:val="73469145"/>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attachedTemplate r:id="rId1"/>
  <w:documentProtection w:edit="trackedChanges" w:enforcement="0"/>
  <w:defaultTabStop w:val="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MzA0MTE2MGQ3ODcwOTgyMWY3NzY0ZDhkYzQxODcifQ=="/>
  </w:docVars>
  <w:rsids>
    <w:rsidRoot w:val="00A14947"/>
    <w:rsid w:val="0000034B"/>
    <w:rsid w:val="00000F89"/>
    <w:rsid w:val="0000195E"/>
    <w:rsid w:val="0000268B"/>
    <w:rsid w:val="00002F74"/>
    <w:rsid w:val="00004081"/>
    <w:rsid w:val="0000439F"/>
    <w:rsid w:val="00004C06"/>
    <w:rsid w:val="00005877"/>
    <w:rsid w:val="000060B3"/>
    <w:rsid w:val="00006D0C"/>
    <w:rsid w:val="00007145"/>
    <w:rsid w:val="00007298"/>
    <w:rsid w:val="00010B61"/>
    <w:rsid w:val="0001177B"/>
    <w:rsid w:val="0001192C"/>
    <w:rsid w:val="00011EC4"/>
    <w:rsid w:val="00011FE8"/>
    <w:rsid w:val="00012F7D"/>
    <w:rsid w:val="00013D11"/>
    <w:rsid w:val="00016DA4"/>
    <w:rsid w:val="000228D0"/>
    <w:rsid w:val="000236F7"/>
    <w:rsid w:val="000248A8"/>
    <w:rsid w:val="00024A44"/>
    <w:rsid w:val="00024AA9"/>
    <w:rsid w:val="000269F1"/>
    <w:rsid w:val="00026C80"/>
    <w:rsid w:val="00030596"/>
    <w:rsid w:val="00031900"/>
    <w:rsid w:val="00033C77"/>
    <w:rsid w:val="00034B66"/>
    <w:rsid w:val="000367AA"/>
    <w:rsid w:val="00036A24"/>
    <w:rsid w:val="000373FF"/>
    <w:rsid w:val="0004052F"/>
    <w:rsid w:val="00040CB6"/>
    <w:rsid w:val="00041FB3"/>
    <w:rsid w:val="00042ED1"/>
    <w:rsid w:val="000432F0"/>
    <w:rsid w:val="0004364B"/>
    <w:rsid w:val="000451BD"/>
    <w:rsid w:val="0004783A"/>
    <w:rsid w:val="000500CB"/>
    <w:rsid w:val="000517AB"/>
    <w:rsid w:val="00055D9C"/>
    <w:rsid w:val="0005771C"/>
    <w:rsid w:val="00057D30"/>
    <w:rsid w:val="00060301"/>
    <w:rsid w:val="000618CC"/>
    <w:rsid w:val="00061B1F"/>
    <w:rsid w:val="00061F18"/>
    <w:rsid w:val="00067834"/>
    <w:rsid w:val="00067A10"/>
    <w:rsid w:val="00070718"/>
    <w:rsid w:val="000711DF"/>
    <w:rsid w:val="00071FA4"/>
    <w:rsid w:val="0007233B"/>
    <w:rsid w:val="000729FF"/>
    <w:rsid w:val="000731FF"/>
    <w:rsid w:val="000733C4"/>
    <w:rsid w:val="00073A0F"/>
    <w:rsid w:val="00073EB0"/>
    <w:rsid w:val="000740A5"/>
    <w:rsid w:val="00074327"/>
    <w:rsid w:val="00074783"/>
    <w:rsid w:val="00074BE1"/>
    <w:rsid w:val="0008070B"/>
    <w:rsid w:val="000810AC"/>
    <w:rsid w:val="00081A02"/>
    <w:rsid w:val="00081A56"/>
    <w:rsid w:val="00082231"/>
    <w:rsid w:val="000829EA"/>
    <w:rsid w:val="00083F6A"/>
    <w:rsid w:val="000848AE"/>
    <w:rsid w:val="000861C3"/>
    <w:rsid w:val="00086B4F"/>
    <w:rsid w:val="00087FF7"/>
    <w:rsid w:val="00092465"/>
    <w:rsid w:val="00092D38"/>
    <w:rsid w:val="0009377B"/>
    <w:rsid w:val="00097DE5"/>
    <w:rsid w:val="000A0BDF"/>
    <w:rsid w:val="000A20C9"/>
    <w:rsid w:val="000A21DA"/>
    <w:rsid w:val="000A33B4"/>
    <w:rsid w:val="000A448E"/>
    <w:rsid w:val="000A5522"/>
    <w:rsid w:val="000A78EB"/>
    <w:rsid w:val="000B058F"/>
    <w:rsid w:val="000B0DF8"/>
    <w:rsid w:val="000B0F0F"/>
    <w:rsid w:val="000B1846"/>
    <w:rsid w:val="000B4467"/>
    <w:rsid w:val="000B4DB9"/>
    <w:rsid w:val="000B4EFB"/>
    <w:rsid w:val="000B60BB"/>
    <w:rsid w:val="000B680E"/>
    <w:rsid w:val="000B725F"/>
    <w:rsid w:val="000C09AC"/>
    <w:rsid w:val="000C0B38"/>
    <w:rsid w:val="000C135E"/>
    <w:rsid w:val="000C186F"/>
    <w:rsid w:val="000C2889"/>
    <w:rsid w:val="000C3166"/>
    <w:rsid w:val="000C62DF"/>
    <w:rsid w:val="000C6A5E"/>
    <w:rsid w:val="000C767F"/>
    <w:rsid w:val="000D49C1"/>
    <w:rsid w:val="000D5A44"/>
    <w:rsid w:val="000D69C4"/>
    <w:rsid w:val="000D7477"/>
    <w:rsid w:val="000E1579"/>
    <w:rsid w:val="000E3EA0"/>
    <w:rsid w:val="000E3ED2"/>
    <w:rsid w:val="000E4F24"/>
    <w:rsid w:val="000E583E"/>
    <w:rsid w:val="000F436F"/>
    <w:rsid w:val="000F49AD"/>
    <w:rsid w:val="000F7862"/>
    <w:rsid w:val="00101F8C"/>
    <w:rsid w:val="00102053"/>
    <w:rsid w:val="00102259"/>
    <w:rsid w:val="00103BC6"/>
    <w:rsid w:val="00103D67"/>
    <w:rsid w:val="001043F6"/>
    <w:rsid w:val="00104C71"/>
    <w:rsid w:val="00107BF2"/>
    <w:rsid w:val="001101C3"/>
    <w:rsid w:val="00110CDB"/>
    <w:rsid w:val="00112CEA"/>
    <w:rsid w:val="00113C81"/>
    <w:rsid w:val="00114D9F"/>
    <w:rsid w:val="00115DD2"/>
    <w:rsid w:val="00116A5D"/>
    <w:rsid w:val="00117241"/>
    <w:rsid w:val="00117921"/>
    <w:rsid w:val="0012080D"/>
    <w:rsid w:val="00123D68"/>
    <w:rsid w:val="00123E26"/>
    <w:rsid w:val="001249D0"/>
    <w:rsid w:val="00127570"/>
    <w:rsid w:val="001276EF"/>
    <w:rsid w:val="00131F42"/>
    <w:rsid w:val="00132086"/>
    <w:rsid w:val="00132234"/>
    <w:rsid w:val="001341F0"/>
    <w:rsid w:val="001342D4"/>
    <w:rsid w:val="00134410"/>
    <w:rsid w:val="001357F1"/>
    <w:rsid w:val="00137A11"/>
    <w:rsid w:val="001405B7"/>
    <w:rsid w:val="00140FA8"/>
    <w:rsid w:val="00142DF7"/>
    <w:rsid w:val="00142FEB"/>
    <w:rsid w:val="00143A2D"/>
    <w:rsid w:val="00143CF4"/>
    <w:rsid w:val="00144DE7"/>
    <w:rsid w:val="00145A41"/>
    <w:rsid w:val="00145AF5"/>
    <w:rsid w:val="0014652C"/>
    <w:rsid w:val="00147147"/>
    <w:rsid w:val="001479C9"/>
    <w:rsid w:val="001515D1"/>
    <w:rsid w:val="001515DE"/>
    <w:rsid w:val="00151675"/>
    <w:rsid w:val="00151887"/>
    <w:rsid w:val="00154276"/>
    <w:rsid w:val="0015618C"/>
    <w:rsid w:val="00157435"/>
    <w:rsid w:val="00157492"/>
    <w:rsid w:val="00160902"/>
    <w:rsid w:val="00160F30"/>
    <w:rsid w:val="00163DC0"/>
    <w:rsid w:val="00164A9E"/>
    <w:rsid w:val="00170A8E"/>
    <w:rsid w:val="00170E88"/>
    <w:rsid w:val="00172500"/>
    <w:rsid w:val="001745B8"/>
    <w:rsid w:val="00174D25"/>
    <w:rsid w:val="00174DF1"/>
    <w:rsid w:val="0017504D"/>
    <w:rsid w:val="00175305"/>
    <w:rsid w:val="0017671A"/>
    <w:rsid w:val="00177422"/>
    <w:rsid w:val="00181003"/>
    <w:rsid w:val="001818D6"/>
    <w:rsid w:val="00182DBB"/>
    <w:rsid w:val="00184590"/>
    <w:rsid w:val="001851A7"/>
    <w:rsid w:val="001870D1"/>
    <w:rsid w:val="0018781E"/>
    <w:rsid w:val="001879AE"/>
    <w:rsid w:val="00187BCB"/>
    <w:rsid w:val="001903A5"/>
    <w:rsid w:val="001920BE"/>
    <w:rsid w:val="0019262D"/>
    <w:rsid w:val="0019264F"/>
    <w:rsid w:val="00193B3A"/>
    <w:rsid w:val="00194F70"/>
    <w:rsid w:val="00195453"/>
    <w:rsid w:val="00195FA9"/>
    <w:rsid w:val="001A0EAA"/>
    <w:rsid w:val="001A1B35"/>
    <w:rsid w:val="001A48A2"/>
    <w:rsid w:val="001A4D05"/>
    <w:rsid w:val="001A63F2"/>
    <w:rsid w:val="001A6F61"/>
    <w:rsid w:val="001A760E"/>
    <w:rsid w:val="001A7B9F"/>
    <w:rsid w:val="001B0939"/>
    <w:rsid w:val="001B222B"/>
    <w:rsid w:val="001B3457"/>
    <w:rsid w:val="001B4F72"/>
    <w:rsid w:val="001B4FC3"/>
    <w:rsid w:val="001B5197"/>
    <w:rsid w:val="001B6106"/>
    <w:rsid w:val="001B72B8"/>
    <w:rsid w:val="001C29D0"/>
    <w:rsid w:val="001C3F36"/>
    <w:rsid w:val="001C43A6"/>
    <w:rsid w:val="001C4F09"/>
    <w:rsid w:val="001C5320"/>
    <w:rsid w:val="001C69B3"/>
    <w:rsid w:val="001C711E"/>
    <w:rsid w:val="001D064B"/>
    <w:rsid w:val="001D0DDF"/>
    <w:rsid w:val="001D4418"/>
    <w:rsid w:val="001D5595"/>
    <w:rsid w:val="001D717D"/>
    <w:rsid w:val="001D7428"/>
    <w:rsid w:val="001D7874"/>
    <w:rsid w:val="001D7D37"/>
    <w:rsid w:val="001D7F22"/>
    <w:rsid w:val="001E0E44"/>
    <w:rsid w:val="001E248B"/>
    <w:rsid w:val="001E3EC1"/>
    <w:rsid w:val="001E4CA0"/>
    <w:rsid w:val="001E514B"/>
    <w:rsid w:val="001E677D"/>
    <w:rsid w:val="001F0187"/>
    <w:rsid w:val="001F0F17"/>
    <w:rsid w:val="001F1424"/>
    <w:rsid w:val="001F2EEA"/>
    <w:rsid w:val="001F3347"/>
    <w:rsid w:val="001F4785"/>
    <w:rsid w:val="001F4C1F"/>
    <w:rsid w:val="001F5065"/>
    <w:rsid w:val="001F53E1"/>
    <w:rsid w:val="001F69E4"/>
    <w:rsid w:val="001F73B2"/>
    <w:rsid w:val="00200669"/>
    <w:rsid w:val="00200685"/>
    <w:rsid w:val="00200D40"/>
    <w:rsid w:val="0020185D"/>
    <w:rsid w:val="00202228"/>
    <w:rsid w:val="00202287"/>
    <w:rsid w:val="00202983"/>
    <w:rsid w:val="00203B3F"/>
    <w:rsid w:val="00203B5F"/>
    <w:rsid w:val="00207C06"/>
    <w:rsid w:val="00210D3C"/>
    <w:rsid w:val="002119E3"/>
    <w:rsid w:val="002125B4"/>
    <w:rsid w:val="00212EE0"/>
    <w:rsid w:val="002131B6"/>
    <w:rsid w:val="002134DD"/>
    <w:rsid w:val="00214550"/>
    <w:rsid w:val="002149D4"/>
    <w:rsid w:val="00214A9A"/>
    <w:rsid w:val="002155B8"/>
    <w:rsid w:val="00217CD1"/>
    <w:rsid w:val="00220359"/>
    <w:rsid w:val="00220746"/>
    <w:rsid w:val="00221431"/>
    <w:rsid w:val="00224839"/>
    <w:rsid w:val="002249B2"/>
    <w:rsid w:val="00226574"/>
    <w:rsid w:val="0022696D"/>
    <w:rsid w:val="00227522"/>
    <w:rsid w:val="002278EC"/>
    <w:rsid w:val="00227BE5"/>
    <w:rsid w:val="0023280E"/>
    <w:rsid w:val="002334BB"/>
    <w:rsid w:val="00233FE7"/>
    <w:rsid w:val="00234486"/>
    <w:rsid w:val="00234A0E"/>
    <w:rsid w:val="0023630E"/>
    <w:rsid w:val="00237177"/>
    <w:rsid w:val="002377D1"/>
    <w:rsid w:val="002409D1"/>
    <w:rsid w:val="00240A34"/>
    <w:rsid w:val="002420B7"/>
    <w:rsid w:val="0024225D"/>
    <w:rsid w:val="0024345F"/>
    <w:rsid w:val="002469D7"/>
    <w:rsid w:val="0024788E"/>
    <w:rsid w:val="00247F98"/>
    <w:rsid w:val="002506BC"/>
    <w:rsid w:val="002506BD"/>
    <w:rsid w:val="00250965"/>
    <w:rsid w:val="002522FA"/>
    <w:rsid w:val="00252B54"/>
    <w:rsid w:val="00254345"/>
    <w:rsid w:val="00254A8E"/>
    <w:rsid w:val="00254DFF"/>
    <w:rsid w:val="0025518D"/>
    <w:rsid w:val="002552F9"/>
    <w:rsid w:val="00260390"/>
    <w:rsid w:val="00260426"/>
    <w:rsid w:val="00261836"/>
    <w:rsid w:val="002618D7"/>
    <w:rsid w:val="00262AC9"/>
    <w:rsid w:val="00264557"/>
    <w:rsid w:val="00264715"/>
    <w:rsid w:val="00266FB8"/>
    <w:rsid w:val="00267152"/>
    <w:rsid w:val="00267DC1"/>
    <w:rsid w:val="00267FE6"/>
    <w:rsid w:val="002701DA"/>
    <w:rsid w:val="00271AD3"/>
    <w:rsid w:val="00271F7D"/>
    <w:rsid w:val="00272EA9"/>
    <w:rsid w:val="00273250"/>
    <w:rsid w:val="002745F6"/>
    <w:rsid w:val="00274DD9"/>
    <w:rsid w:val="002752F0"/>
    <w:rsid w:val="0027587D"/>
    <w:rsid w:val="00277187"/>
    <w:rsid w:val="002805AB"/>
    <w:rsid w:val="0028111D"/>
    <w:rsid w:val="002828BF"/>
    <w:rsid w:val="002829A6"/>
    <w:rsid w:val="0028313E"/>
    <w:rsid w:val="00283C96"/>
    <w:rsid w:val="00283E08"/>
    <w:rsid w:val="00284204"/>
    <w:rsid w:val="002847DB"/>
    <w:rsid w:val="002863DC"/>
    <w:rsid w:val="002872A7"/>
    <w:rsid w:val="00291405"/>
    <w:rsid w:val="00291514"/>
    <w:rsid w:val="00291773"/>
    <w:rsid w:val="00291B0E"/>
    <w:rsid w:val="0029349F"/>
    <w:rsid w:val="002963CA"/>
    <w:rsid w:val="00296974"/>
    <w:rsid w:val="002A02A7"/>
    <w:rsid w:val="002A168C"/>
    <w:rsid w:val="002A181B"/>
    <w:rsid w:val="002A1B1A"/>
    <w:rsid w:val="002A3DC7"/>
    <w:rsid w:val="002A6614"/>
    <w:rsid w:val="002A6DCF"/>
    <w:rsid w:val="002B0D0E"/>
    <w:rsid w:val="002B1939"/>
    <w:rsid w:val="002B3C16"/>
    <w:rsid w:val="002B4825"/>
    <w:rsid w:val="002B49E2"/>
    <w:rsid w:val="002B5223"/>
    <w:rsid w:val="002B7B00"/>
    <w:rsid w:val="002B7C44"/>
    <w:rsid w:val="002C06CD"/>
    <w:rsid w:val="002C1748"/>
    <w:rsid w:val="002C1991"/>
    <w:rsid w:val="002C1E9C"/>
    <w:rsid w:val="002C2B17"/>
    <w:rsid w:val="002C4987"/>
    <w:rsid w:val="002C4EA5"/>
    <w:rsid w:val="002C75B9"/>
    <w:rsid w:val="002D22D2"/>
    <w:rsid w:val="002D238E"/>
    <w:rsid w:val="002D3DD0"/>
    <w:rsid w:val="002D3ECC"/>
    <w:rsid w:val="002D51DB"/>
    <w:rsid w:val="002D5331"/>
    <w:rsid w:val="002D5FB3"/>
    <w:rsid w:val="002D68DE"/>
    <w:rsid w:val="002E02B0"/>
    <w:rsid w:val="002E1F3A"/>
    <w:rsid w:val="002E28C5"/>
    <w:rsid w:val="002E298A"/>
    <w:rsid w:val="002E2A1B"/>
    <w:rsid w:val="002E2C9F"/>
    <w:rsid w:val="002E3332"/>
    <w:rsid w:val="002E42AC"/>
    <w:rsid w:val="002E6022"/>
    <w:rsid w:val="002E6CA1"/>
    <w:rsid w:val="002E71A2"/>
    <w:rsid w:val="002E7287"/>
    <w:rsid w:val="002F1082"/>
    <w:rsid w:val="002F12C7"/>
    <w:rsid w:val="002F163E"/>
    <w:rsid w:val="002F45D4"/>
    <w:rsid w:val="002F4745"/>
    <w:rsid w:val="002F6857"/>
    <w:rsid w:val="002F6EF7"/>
    <w:rsid w:val="002F7A66"/>
    <w:rsid w:val="003007C0"/>
    <w:rsid w:val="00301978"/>
    <w:rsid w:val="00301F09"/>
    <w:rsid w:val="003021D5"/>
    <w:rsid w:val="0030332C"/>
    <w:rsid w:val="003051C2"/>
    <w:rsid w:val="0030526D"/>
    <w:rsid w:val="00305AB9"/>
    <w:rsid w:val="00306299"/>
    <w:rsid w:val="00306319"/>
    <w:rsid w:val="00306F2A"/>
    <w:rsid w:val="00307792"/>
    <w:rsid w:val="00307D88"/>
    <w:rsid w:val="0031090E"/>
    <w:rsid w:val="00311E66"/>
    <w:rsid w:val="00312296"/>
    <w:rsid w:val="00312D1C"/>
    <w:rsid w:val="0031351D"/>
    <w:rsid w:val="00314C4B"/>
    <w:rsid w:val="00314F0E"/>
    <w:rsid w:val="003206C8"/>
    <w:rsid w:val="00321D8E"/>
    <w:rsid w:val="003237AF"/>
    <w:rsid w:val="00325928"/>
    <w:rsid w:val="00326537"/>
    <w:rsid w:val="00326732"/>
    <w:rsid w:val="00326BD3"/>
    <w:rsid w:val="00326DB7"/>
    <w:rsid w:val="00327186"/>
    <w:rsid w:val="00330C2D"/>
    <w:rsid w:val="00330F75"/>
    <w:rsid w:val="003314D9"/>
    <w:rsid w:val="003316DF"/>
    <w:rsid w:val="003319D4"/>
    <w:rsid w:val="00332863"/>
    <w:rsid w:val="003353DF"/>
    <w:rsid w:val="0033684D"/>
    <w:rsid w:val="003368D4"/>
    <w:rsid w:val="0033699A"/>
    <w:rsid w:val="00337B42"/>
    <w:rsid w:val="00340383"/>
    <w:rsid w:val="00341B42"/>
    <w:rsid w:val="00342407"/>
    <w:rsid w:val="003425D6"/>
    <w:rsid w:val="00342728"/>
    <w:rsid w:val="0034348F"/>
    <w:rsid w:val="00345A19"/>
    <w:rsid w:val="0035106C"/>
    <w:rsid w:val="00351784"/>
    <w:rsid w:val="00352129"/>
    <w:rsid w:val="0035240D"/>
    <w:rsid w:val="00352892"/>
    <w:rsid w:val="00353062"/>
    <w:rsid w:val="0035333D"/>
    <w:rsid w:val="0035560E"/>
    <w:rsid w:val="00356653"/>
    <w:rsid w:val="003570FA"/>
    <w:rsid w:val="0035743F"/>
    <w:rsid w:val="00357BE2"/>
    <w:rsid w:val="00357DFF"/>
    <w:rsid w:val="00360320"/>
    <w:rsid w:val="003605EF"/>
    <w:rsid w:val="0036064A"/>
    <w:rsid w:val="003616BD"/>
    <w:rsid w:val="0036170C"/>
    <w:rsid w:val="0036244E"/>
    <w:rsid w:val="00363429"/>
    <w:rsid w:val="00366520"/>
    <w:rsid w:val="003669A0"/>
    <w:rsid w:val="00366E0F"/>
    <w:rsid w:val="003670D6"/>
    <w:rsid w:val="0037112D"/>
    <w:rsid w:val="003712E8"/>
    <w:rsid w:val="0037182F"/>
    <w:rsid w:val="00371BAB"/>
    <w:rsid w:val="003733BB"/>
    <w:rsid w:val="00374676"/>
    <w:rsid w:val="00374FB4"/>
    <w:rsid w:val="0038119C"/>
    <w:rsid w:val="003813E1"/>
    <w:rsid w:val="00381A72"/>
    <w:rsid w:val="0038212D"/>
    <w:rsid w:val="0038312B"/>
    <w:rsid w:val="00383151"/>
    <w:rsid w:val="00383586"/>
    <w:rsid w:val="00383D47"/>
    <w:rsid w:val="00384676"/>
    <w:rsid w:val="003853D5"/>
    <w:rsid w:val="003863C1"/>
    <w:rsid w:val="003868BF"/>
    <w:rsid w:val="00386B5D"/>
    <w:rsid w:val="00390857"/>
    <w:rsid w:val="00391EC1"/>
    <w:rsid w:val="00391F84"/>
    <w:rsid w:val="00391FF9"/>
    <w:rsid w:val="00392EA2"/>
    <w:rsid w:val="003940E3"/>
    <w:rsid w:val="003972A8"/>
    <w:rsid w:val="003A3F30"/>
    <w:rsid w:val="003A449B"/>
    <w:rsid w:val="003A4BF3"/>
    <w:rsid w:val="003A6FCB"/>
    <w:rsid w:val="003B1CCA"/>
    <w:rsid w:val="003B2A9F"/>
    <w:rsid w:val="003B3160"/>
    <w:rsid w:val="003B3758"/>
    <w:rsid w:val="003B420D"/>
    <w:rsid w:val="003C0112"/>
    <w:rsid w:val="003C058C"/>
    <w:rsid w:val="003C36AF"/>
    <w:rsid w:val="003C4290"/>
    <w:rsid w:val="003C48B2"/>
    <w:rsid w:val="003C6518"/>
    <w:rsid w:val="003C6C16"/>
    <w:rsid w:val="003C6F81"/>
    <w:rsid w:val="003D35D8"/>
    <w:rsid w:val="003D3D4A"/>
    <w:rsid w:val="003D46B1"/>
    <w:rsid w:val="003D77D4"/>
    <w:rsid w:val="003D794D"/>
    <w:rsid w:val="003E2980"/>
    <w:rsid w:val="003E3058"/>
    <w:rsid w:val="003E3780"/>
    <w:rsid w:val="003E59FF"/>
    <w:rsid w:val="003E5BC6"/>
    <w:rsid w:val="003E5C44"/>
    <w:rsid w:val="003E5CD7"/>
    <w:rsid w:val="003E76A9"/>
    <w:rsid w:val="003E7C6E"/>
    <w:rsid w:val="003F0809"/>
    <w:rsid w:val="003F1BF2"/>
    <w:rsid w:val="003F2F99"/>
    <w:rsid w:val="003F43B4"/>
    <w:rsid w:val="003F6A8C"/>
    <w:rsid w:val="003F6D15"/>
    <w:rsid w:val="003F6F87"/>
    <w:rsid w:val="003F73A9"/>
    <w:rsid w:val="003F755C"/>
    <w:rsid w:val="00400B6E"/>
    <w:rsid w:val="00401C2F"/>
    <w:rsid w:val="004032DF"/>
    <w:rsid w:val="004062DD"/>
    <w:rsid w:val="0040644A"/>
    <w:rsid w:val="00406F01"/>
    <w:rsid w:val="00407CB8"/>
    <w:rsid w:val="00411C3F"/>
    <w:rsid w:val="00416150"/>
    <w:rsid w:val="0041646D"/>
    <w:rsid w:val="004166D2"/>
    <w:rsid w:val="00416D50"/>
    <w:rsid w:val="00416FD5"/>
    <w:rsid w:val="00417772"/>
    <w:rsid w:val="004209E5"/>
    <w:rsid w:val="00420E6A"/>
    <w:rsid w:val="00420F54"/>
    <w:rsid w:val="00421084"/>
    <w:rsid w:val="00421E96"/>
    <w:rsid w:val="0042254D"/>
    <w:rsid w:val="00422BD0"/>
    <w:rsid w:val="00424B1F"/>
    <w:rsid w:val="00425A9E"/>
    <w:rsid w:val="00426B1D"/>
    <w:rsid w:val="00426C90"/>
    <w:rsid w:val="00426D6B"/>
    <w:rsid w:val="00426F16"/>
    <w:rsid w:val="004275E1"/>
    <w:rsid w:val="00427E0B"/>
    <w:rsid w:val="00430774"/>
    <w:rsid w:val="00430FA6"/>
    <w:rsid w:val="00431E6C"/>
    <w:rsid w:val="00433CE7"/>
    <w:rsid w:val="0043587E"/>
    <w:rsid w:val="004403EE"/>
    <w:rsid w:val="0044060B"/>
    <w:rsid w:val="00440B39"/>
    <w:rsid w:val="00441C05"/>
    <w:rsid w:val="0044277B"/>
    <w:rsid w:val="00442E0E"/>
    <w:rsid w:val="004444B3"/>
    <w:rsid w:val="00444F41"/>
    <w:rsid w:val="004450D3"/>
    <w:rsid w:val="004466F7"/>
    <w:rsid w:val="004468E0"/>
    <w:rsid w:val="004509C7"/>
    <w:rsid w:val="004512DB"/>
    <w:rsid w:val="00452738"/>
    <w:rsid w:val="00454284"/>
    <w:rsid w:val="004547CD"/>
    <w:rsid w:val="00455F02"/>
    <w:rsid w:val="00456091"/>
    <w:rsid w:val="004565BC"/>
    <w:rsid w:val="0045744F"/>
    <w:rsid w:val="0046074D"/>
    <w:rsid w:val="004625FA"/>
    <w:rsid w:val="00462E86"/>
    <w:rsid w:val="004643B9"/>
    <w:rsid w:val="00466321"/>
    <w:rsid w:val="00466FC0"/>
    <w:rsid w:val="004677CA"/>
    <w:rsid w:val="00470A4E"/>
    <w:rsid w:val="00470D0B"/>
    <w:rsid w:val="00470E7A"/>
    <w:rsid w:val="00471426"/>
    <w:rsid w:val="00472BFA"/>
    <w:rsid w:val="00472D4B"/>
    <w:rsid w:val="00472EF2"/>
    <w:rsid w:val="00475EB6"/>
    <w:rsid w:val="00481CE7"/>
    <w:rsid w:val="00484AE7"/>
    <w:rsid w:val="00484B9B"/>
    <w:rsid w:val="00484CED"/>
    <w:rsid w:val="0048525A"/>
    <w:rsid w:val="004855F6"/>
    <w:rsid w:val="0048661E"/>
    <w:rsid w:val="004908C4"/>
    <w:rsid w:val="004913BD"/>
    <w:rsid w:val="0049204E"/>
    <w:rsid w:val="00493C64"/>
    <w:rsid w:val="00494258"/>
    <w:rsid w:val="00494670"/>
    <w:rsid w:val="004A15D5"/>
    <w:rsid w:val="004A1EA6"/>
    <w:rsid w:val="004A3743"/>
    <w:rsid w:val="004A3823"/>
    <w:rsid w:val="004A3DE8"/>
    <w:rsid w:val="004A44F1"/>
    <w:rsid w:val="004A4861"/>
    <w:rsid w:val="004A4B4C"/>
    <w:rsid w:val="004A51AC"/>
    <w:rsid w:val="004A75D9"/>
    <w:rsid w:val="004B01F0"/>
    <w:rsid w:val="004B065C"/>
    <w:rsid w:val="004B1540"/>
    <w:rsid w:val="004B34A1"/>
    <w:rsid w:val="004B44BE"/>
    <w:rsid w:val="004B4AFD"/>
    <w:rsid w:val="004B66DE"/>
    <w:rsid w:val="004B7468"/>
    <w:rsid w:val="004B74A5"/>
    <w:rsid w:val="004B7E4C"/>
    <w:rsid w:val="004B7E97"/>
    <w:rsid w:val="004C08B5"/>
    <w:rsid w:val="004C0B99"/>
    <w:rsid w:val="004C42BA"/>
    <w:rsid w:val="004C492E"/>
    <w:rsid w:val="004D0AE7"/>
    <w:rsid w:val="004D2940"/>
    <w:rsid w:val="004D2C3F"/>
    <w:rsid w:val="004D60EE"/>
    <w:rsid w:val="004D704C"/>
    <w:rsid w:val="004D75FA"/>
    <w:rsid w:val="004E195E"/>
    <w:rsid w:val="004E256E"/>
    <w:rsid w:val="004E41BC"/>
    <w:rsid w:val="004E53ED"/>
    <w:rsid w:val="004E6946"/>
    <w:rsid w:val="004E75D0"/>
    <w:rsid w:val="004F1AD8"/>
    <w:rsid w:val="004F1C38"/>
    <w:rsid w:val="004F4937"/>
    <w:rsid w:val="004F64EB"/>
    <w:rsid w:val="005017B4"/>
    <w:rsid w:val="005026BB"/>
    <w:rsid w:val="00503411"/>
    <w:rsid w:val="005037E1"/>
    <w:rsid w:val="00503959"/>
    <w:rsid w:val="005039CB"/>
    <w:rsid w:val="0050558F"/>
    <w:rsid w:val="00505644"/>
    <w:rsid w:val="005056D8"/>
    <w:rsid w:val="00505B2D"/>
    <w:rsid w:val="00506286"/>
    <w:rsid w:val="00506F8D"/>
    <w:rsid w:val="0050714C"/>
    <w:rsid w:val="00507F11"/>
    <w:rsid w:val="00510813"/>
    <w:rsid w:val="00511990"/>
    <w:rsid w:val="00511DE0"/>
    <w:rsid w:val="0051211B"/>
    <w:rsid w:val="00514590"/>
    <w:rsid w:val="00514870"/>
    <w:rsid w:val="00514B9B"/>
    <w:rsid w:val="00514F93"/>
    <w:rsid w:val="00515414"/>
    <w:rsid w:val="00516193"/>
    <w:rsid w:val="00517F02"/>
    <w:rsid w:val="00520820"/>
    <w:rsid w:val="00521189"/>
    <w:rsid w:val="00523437"/>
    <w:rsid w:val="00523BBF"/>
    <w:rsid w:val="00523C03"/>
    <w:rsid w:val="00523F04"/>
    <w:rsid w:val="00524303"/>
    <w:rsid w:val="00524C3B"/>
    <w:rsid w:val="0052528B"/>
    <w:rsid w:val="005258A2"/>
    <w:rsid w:val="00526DAD"/>
    <w:rsid w:val="0052772A"/>
    <w:rsid w:val="00527F82"/>
    <w:rsid w:val="005303E9"/>
    <w:rsid w:val="00530768"/>
    <w:rsid w:val="00532953"/>
    <w:rsid w:val="00537A03"/>
    <w:rsid w:val="00537AD7"/>
    <w:rsid w:val="005401AE"/>
    <w:rsid w:val="00540A3F"/>
    <w:rsid w:val="00540F0A"/>
    <w:rsid w:val="0054100E"/>
    <w:rsid w:val="005428A4"/>
    <w:rsid w:val="00542DD4"/>
    <w:rsid w:val="00542E07"/>
    <w:rsid w:val="00543730"/>
    <w:rsid w:val="00544CB7"/>
    <w:rsid w:val="00545424"/>
    <w:rsid w:val="0054548B"/>
    <w:rsid w:val="00545A07"/>
    <w:rsid w:val="005470A0"/>
    <w:rsid w:val="0055043B"/>
    <w:rsid w:val="005520D7"/>
    <w:rsid w:val="005538A3"/>
    <w:rsid w:val="00553AF5"/>
    <w:rsid w:val="00554A7B"/>
    <w:rsid w:val="0055572C"/>
    <w:rsid w:val="00555982"/>
    <w:rsid w:val="00556C9F"/>
    <w:rsid w:val="005602F6"/>
    <w:rsid w:val="0056106A"/>
    <w:rsid w:val="00563088"/>
    <w:rsid w:val="005640F8"/>
    <w:rsid w:val="005643D4"/>
    <w:rsid w:val="00566634"/>
    <w:rsid w:val="005707FA"/>
    <w:rsid w:val="005720AE"/>
    <w:rsid w:val="005739A3"/>
    <w:rsid w:val="00573E38"/>
    <w:rsid w:val="00574557"/>
    <w:rsid w:val="0057657A"/>
    <w:rsid w:val="00577ADD"/>
    <w:rsid w:val="005802D9"/>
    <w:rsid w:val="005812C9"/>
    <w:rsid w:val="00583720"/>
    <w:rsid w:val="0058386E"/>
    <w:rsid w:val="00584ED8"/>
    <w:rsid w:val="005856EA"/>
    <w:rsid w:val="00585AEF"/>
    <w:rsid w:val="005861E1"/>
    <w:rsid w:val="00586F3F"/>
    <w:rsid w:val="005901F9"/>
    <w:rsid w:val="005948F3"/>
    <w:rsid w:val="00594CDD"/>
    <w:rsid w:val="00594D77"/>
    <w:rsid w:val="005951FE"/>
    <w:rsid w:val="00595534"/>
    <w:rsid w:val="00595DC3"/>
    <w:rsid w:val="0059628F"/>
    <w:rsid w:val="0059668A"/>
    <w:rsid w:val="005969E4"/>
    <w:rsid w:val="00597B66"/>
    <w:rsid w:val="005A0380"/>
    <w:rsid w:val="005A06B7"/>
    <w:rsid w:val="005A0DB8"/>
    <w:rsid w:val="005A1759"/>
    <w:rsid w:val="005A2625"/>
    <w:rsid w:val="005A3274"/>
    <w:rsid w:val="005A3BDF"/>
    <w:rsid w:val="005A49CD"/>
    <w:rsid w:val="005A4E5B"/>
    <w:rsid w:val="005A68A7"/>
    <w:rsid w:val="005A6D14"/>
    <w:rsid w:val="005B0373"/>
    <w:rsid w:val="005B1268"/>
    <w:rsid w:val="005B17ED"/>
    <w:rsid w:val="005B2607"/>
    <w:rsid w:val="005B28A9"/>
    <w:rsid w:val="005B32B0"/>
    <w:rsid w:val="005B7648"/>
    <w:rsid w:val="005B7879"/>
    <w:rsid w:val="005B7D71"/>
    <w:rsid w:val="005C1927"/>
    <w:rsid w:val="005C1967"/>
    <w:rsid w:val="005C2593"/>
    <w:rsid w:val="005C4A4B"/>
    <w:rsid w:val="005D104B"/>
    <w:rsid w:val="005D1E82"/>
    <w:rsid w:val="005D36AB"/>
    <w:rsid w:val="005D45AE"/>
    <w:rsid w:val="005D55D2"/>
    <w:rsid w:val="005D5B22"/>
    <w:rsid w:val="005D7253"/>
    <w:rsid w:val="005E012F"/>
    <w:rsid w:val="005E0449"/>
    <w:rsid w:val="005E090F"/>
    <w:rsid w:val="005E0BD9"/>
    <w:rsid w:val="005E2728"/>
    <w:rsid w:val="005E2CFD"/>
    <w:rsid w:val="005E2E2A"/>
    <w:rsid w:val="005E424B"/>
    <w:rsid w:val="005E4909"/>
    <w:rsid w:val="005E548E"/>
    <w:rsid w:val="005E6C51"/>
    <w:rsid w:val="005E6FE8"/>
    <w:rsid w:val="005F0951"/>
    <w:rsid w:val="005F0DA1"/>
    <w:rsid w:val="005F262D"/>
    <w:rsid w:val="005F5866"/>
    <w:rsid w:val="005F598F"/>
    <w:rsid w:val="006013C1"/>
    <w:rsid w:val="00601C2A"/>
    <w:rsid w:val="00603584"/>
    <w:rsid w:val="006039A3"/>
    <w:rsid w:val="006040FC"/>
    <w:rsid w:val="006046A4"/>
    <w:rsid w:val="0060483A"/>
    <w:rsid w:val="0060535F"/>
    <w:rsid w:val="00607631"/>
    <w:rsid w:val="00607832"/>
    <w:rsid w:val="0060792A"/>
    <w:rsid w:val="0061030F"/>
    <w:rsid w:val="00610583"/>
    <w:rsid w:val="00610634"/>
    <w:rsid w:val="00610EEC"/>
    <w:rsid w:val="00612637"/>
    <w:rsid w:val="00613C88"/>
    <w:rsid w:val="00613F33"/>
    <w:rsid w:val="00614E1B"/>
    <w:rsid w:val="00617B89"/>
    <w:rsid w:val="00617CC3"/>
    <w:rsid w:val="00620561"/>
    <w:rsid w:val="0062197C"/>
    <w:rsid w:val="006241B1"/>
    <w:rsid w:val="00624543"/>
    <w:rsid w:val="00625B57"/>
    <w:rsid w:val="00626193"/>
    <w:rsid w:val="006311B2"/>
    <w:rsid w:val="00634E42"/>
    <w:rsid w:val="00634FDA"/>
    <w:rsid w:val="00635074"/>
    <w:rsid w:val="00635864"/>
    <w:rsid w:val="00635E8B"/>
    <w:rsid w:val="00636AC0"/>
    <w:rsid w:val="006377A6"/>
    <w:rsid w:val="00637A2B"/>
    <w:rsid w:val="00637A3D"/>
    <w:rsid w:val="00640426"/>
    <w:rsid w:val="00640FD7"/>
    <w:rsid w:val="006410A3"/>
    <w:rsid w:val="006411EF"/>
    <w:rsid w:val="0064167F"/>
    <w:rsid w:val="00642583"/>
    <w:rsid w:val="006425CB"/>
    <w:rsid w:val="0064270B"/>
    <w:rsid w:val="00645170"/>
    <w:rsid w:val="00645B68"/>
    <w:rsid w:val="00645CBA"/>
    <w:rsid w:val="00645FCE"/>
    <w:rsid w:val="006504D0"/>
    <w:rsid w:val="00650F3B"/>
    <w:rsid w:val="0065117C"/>
    <w:rsid w:val="00652D25"/>
    <w:rsid w:val="0065420A"/>
    <w:rsid w:val="0065522F"/>
    <w:rsid w:val="0065585F"/>
    <w:rsid w:val="00656274"/>
    <w:rsid w:val="00656392"/>
    <w:rsid w:val="00656A33"/>
    <w:rsid w:val="00660F9E"/>
    <w:rsid w:val="006624CB"/>
    <w:rsid w:val="00662C61"/>
    <w:rsid w:val="00664CBA"/>
    <w:rsid w:val="00666324"/>
    <w:rsid w:val="0066744D"/>
    <w:rsid w:val="00667781"/>
    <w:rsid w:val="00667C05"/>
    <w:rsid w:val="0067357F"/>
    <w:rsid w:val="00674695"/>
    <w:rsid w:val="006748B8"/>
    <w:rsid w:val="00675989"/>
    <w:rsid w:val="00676370"/>
    <w:rsid w:val="00676557"/>
    <w:rsid w:val="006775C3"/>
    <w:rsid w:val="006823B4"/>
    <w:rsid w:val="00682B08"/>
    <w:rsid w:val="00683BDB"/>
    <w:rsid w:val="006848E6"/>
    <w:rsid w:val="00684BC1"/>
    <w:rsid w:val="006856C5"/>
    <w:rsid w:val="00685AD8"/>
    <w:rsid w:val="00685CE5"/>
    <w:rsid w:val="00685E48"/>
    <w:rsid w:val="00686ADB"/>
    <w:rsid w:val="00690D23"/>
    <w:rsid w:val="00691727"/>
    <w:rsid w:val="0069290A"/>
    <w:rsid w:val="00692BCE"/>
    <w:rsid w:val="00696B13"/>
    <w:rsid w:val="0069775A"/>
    <w:rsid w:val="00697813"/>
    <w:rsid w:val="00697DB6"/>
    <w:rsid w:val="006A0F12"/>
    <w:rsid w:val="006A1083"/>
    <w:rsid w:val="006A15EB"/>
    <w:rsid w:val="006A1BF2"/>
    <w:rsid w:val="006A2C60"/>
    <w:rsid w:val="006A2CBC"/>
    <w:rsid w:val="006A3EE8"/>
    <w:rsid w:val="006A3EFB"/>
    <w:rsid w:val="006A407A"/>
    <w:rsid w:val="006A48A9"/>
    <w:rsid w:val="006A6142"/>
    <w:rsid w:val="006A6FB9"/>
    <w:rsid w:val="006A72BF"/>
    <w:rsid w:val="006A7FC6"/>
    <w:rsid w:val="006B03F2"/>
    <w:rsid w:val="006B06D0"/>
    <w:rsid w:val="006B0F06"/>
    <w:rsid w:val="006B14F9"/>
    <w:rsid w:val="006B27B1"/>
    <w:rsid w:val="006B37DC"/>
    <w:rsid w:val="006B4DD0"/>
    <w:rsid w:val="006B4F68"/>
    <w:rsid w:val="006B50FF"/>
    <w:rsid w:val="006B5F90"/>
    <w:rsid w:val="006B7FAA"/>
    <w:rsid w:val="006C0592"/>
    <w:rsid w:val="006C1549"/>
    <w:rsid w:val="006C272E"/>
    <w:rsid w:val="006C3E3D"/>
    <w:rsid w:val="006C5479"/>
    <w:rsid w:val="006C69E6"/>
    <w:rsid w:val="006D0B35"/>
    <w:rsid w:val="006D13B5"/>
    <w:rsid w:val="006D3C38"/>
    <w:rsid w:val="006D4A35"/>
    <w:rsid w:val="006D4C7A"/>
    <w:rsid w:val="006D6F1B"/>
    <w:rsid w:val="006E0C11"/>
    <w:rsid w:val="006E12FF"/>
    <w:rsid w:val="006E21FD"/>
    <w:rsid w:val="006E2352"/>
    <w:rsid w:val="006E36E1"/>
    <w:rsid w:val="006E3D40"/>
    <w:rsid w:val="006E5BC7"/>
    <w:rsid w:val="006E5ECE"/>
    <w:rsid w:val="006E607E"/>
    <w:rsid w:val="006E7EBD"/>
    <w:rsid w:val="006F1571"/>
    <w:rsid w:val="006F2CD0"/>
    <w:rsid w:val="006F2D71"/>
    <w:rsid w:val="006F4250"/>
    <w:rsid w:val="006F44B1"/>
    <w:rsid w:val="006F5500"/>
    <w:rsid w:val="006F6A8C"/>
    <w:rsid w:val="006F6DA3"/>
    <w:rsid w:val="007009C3"/>
    <w:rsid w:val="00700D1E"/>
    <w:rsid w:val="007024ED"/>
    <w:rsid w:val="007037F7"/>
    <w:rsid w:val="00703A0C"/>
    <w:rsid w:val="00703CFC"/>
    <w:rsid w:val="007043F2"/>
    <w:rsid w:val="00706AC9"/>
    <w:rsid w:val="00706ADE"/>
    <w:rsid w:val="00706C5D"/>
    <w:rsid w:val="00707961"/>
    <w:rsid w:val="00711D44"/>
    <w:rsid w:val="00711DE7"/>
    <w:rsid w:val="00713388"/>
    <w:rsid w:val="007158A1"/>
    <w:rsid w:val="00715CAE"/>
    <w:rsid w:val="00716D09"/>
    <w:rsid w:val="0072396D"/>
    <w:rsid w:val="007243D3"/>
    <w:rsid w:val="0072624E"/>
    <w:rsid w:val="00726A03"/>
    <w:rsid w:val="00726BFC"/>
    <w:rsid w:val="00731210"/>
    <w:rsid w:val="00731419"/>
    <w:rsid w:val="00732922"/>
    <w:rsid w:val="00734BC0"/>
    <w:rsid w:val="00735062"/>
    <w:rsid w:val="00737F51"/>
    <w:rsid w:val="007411E7"/>
    <w:rsid w:val="007418DF"/>
    <w:rsid w:val="007422F0"/>
    <w:rsid w:val="00742E68"/>
    <w:rsid w:val="00742EFA"/>
    <w:rsid w:val="007451A5"/>
    <w:rsid w:val="007456CF"/>
    <w:rsid w:val="00746096"/>
    <w:rsid w:val="00747CDE"/>
    <w:rsid w:val="00751384"/>
    <w:rsid w:val="0075162E"/>
    <w:rsid w:val="00753DA2"/>
    <w:rsid w:val="00754034"/>
    <w:rsid w:val="00755694"/>
    <w:rsid w:val="00755AAD"/>
    <w:rsid w:val="0075600B"/>
    <w:rsid w:val="00756071"/>
    <w:rsid w:val="007560F8"/>
    <w:rsid w:val="00756556"/>
    <w:rsid w:val="007566AC"/>
    <w:rsid w:val="00756F96"/>
    <w:rsid w:val="00757F68"/>
    <w:rsid w:val="00757FA1"/>
    <w:rsid w:val="007618C4"/>
    <w:rsid w:val="0076191B"/>
    <w:rsid w:val="0076221B"/>
    <w:rsid w:val="007627EF"/>
    <w:rsid w:val="00763814"/>
    <w:rsid w:val="007640A0"/>
    <w:rsid w:val="00764824"/>
    <w:rsid w:val="00765B8E"/>
    <w:rsid w:val="00765D01"/>
    <w:rsid w:val="007673BB"/>
    <w:rsid w:val="00767980"/>
    <w:rsid w:val="007707EE"/>
    <w:rsid w:val="00770B19"/>
    <w:rsid w:val="00774187"/>
    <w:rsid w:val="00774625"/>
    <w:rsid w:val="0077463F"/>
    <w:rsid w:val="007769D2"/>
    <w:rsid w:val="00780F6D"/>
    <w:rsid w:val="007836EA"/>
    <w:rsid w:val="00783EF2"/>
    <w:rsid w:val="00784CDA"/>
    <w:rsid w:val="00786B74"/>
    <w:rsid w:val="00786CF0"/>
    <w:rsid w:val="007870C6"/>
    <w:rsid w:val="007870E9"/>
    <w:rsid w:val="007879C9"/>
    <w:rsid w:val="007906C4"/>
    <w:rsid w:val="00790C79"/>
    <w:rsid w:val="00792DAF"/>
    <w:rsid w:val="007940EA"/>
    <w:rsid w:val="007958B0"/>
    <w:rsid w:val="007961CD"/>
    <w:rsid w:val="007967E8"/>
    <w:rsid w:val="00796928"/>
    <w:rsid w:val="007A0190"/>
    <w:rsid w:val="007A09FD"/>
    <w:rsid w:val="007A2170"/>
    <w:rsid w:val="007A22BF"/>
    <w:rsid w:val="007A3323"/>
    <w:rsid w:val="007A5837"/>
    <w:rsid w:val="007A5C25"/>
    <w:rsid w:val="007A749E"/>
    <w:rsid w:val="007B173F"/>
    <w:rsid w:val="007B2E60"/>
    <w:rsid w:val="007B4C33"/>
    <w:rsid w:val="007B5CE3"/>
    <w:rsid w:val="007B72B8"/>
    <w:rsid w:val="007B7A58"/>
    <w:rsid w:val="007C0629"/>
    <w:rsid w:val="007C11C2"/>
    <w:rsid w:val="007C21B5"/>
    <w:rsid w:val="007C2772"/>
    <w:rsid w:val="007C3522"/>
    <w:rsid w:val="007C5788"/>
    <w:rsid w:val="007C6AFD"/>
    <w:rsid w:val="007C6DF4"/>
    <w:rsid w:val="007D019A"/>
    <w:rsid w:val="007D04A0"/>
    <w:rsid w:val="007D190D"/>
    <w:rsid w:val="007D2BC2"/>
    <w:rsid w:val="007D3AE5"/>
    <w:rsid w:val="007D4C4F"/>
    <w:rsid w:val="007D768B"/>
    <w:rsid w:val="007D7DD5"/>
    <w:rsid w:val="007E03E1"/>
    <w:rsid w:val="007E1F30"/>
    <w:rsid w:val="007E46B0"/>
    <w:rsid w:val="007E4BD2"/>
    <w:rsid w:val="007E6F57"/>
    <w:rsid w:val="007E7386"/>
    <w:rsid w:val="007F0502"/>
    <w:rsid w:val="007F0B6A"/>
    <w:rsid w:val="007F2E1F"/>
    <w:rsid w:val="007F3712"/>
    <w:rsid w:val="007F4266"/>
    <w:rsid w:val="007F58BB"/>
    <w:rsid w:val="007F626D"/>
    <w:rsid w:val="007F74D9"/>
    <w:rsid w:val="008012E5"/>
    <w:rsid w:val="00801393"/>
    <w:rsid w:val="00801AE7"/>
    <w:rsid w:val="00801BE8"/>
    <w:rsid w:val="00802F88"/>
    <w:rsid w:val="00803254"/>
    <w:rsid w:val="008036D5"/>
    <w:rsid w:val="00803CC6"/>
    <w:rsid w:val="008053DB"/>
    <w:rsid w:val="00805547"/>
    <w:rsid w:val="00805949"/>
    <w:rsid w:val="00805F76"/>
    <w:rsid w:val="00806413"/>
    <w:rsid w:val="008077DE"/>
    <w:rsid w:val="0081293B"/>
    <w:rsid w:val="0081293E"/>
    <w:rsid w:val="00813CFF"/>
    <w:rsid w:val="00814693"/>
    <w:rsid w:val="00815465"/>
    <w:rsid w:val="00817314"/>
    <w:rsid w:val="00817A1D"/>
    <w:rsid w:val="00817E9A"/>
    <w:rsid w:val="00820197"/>
    <w:rsid w:val="0082044F"/>
    <w:rsid w:val="00823A1D"/>
    <w:rsid w:val="00824A4B"/>
    <w:rsid w:val="00824C19"/>
    <w:rsid w:val="00826032"/>
    <w:rsid w:val="008271B0"/>
    <w:rsid w:val="00827AEA"/>
    <w:rsid w:val="008306BD"/>
    <w:rsid w:val="00831A80"/>
    <w:rsid w:val="00833743"/>
    <w:rsid w:val="00833B57"/>
    <w:rsid w:val="00834099"/>
    <w:rsid w:val="008340A4"/>
    <w:rsid w:val="0083799C"/>
    <w:rsid w:val="0084296F"/>
    <w:rsid w:val="00842BAB"/>
    <w:rsid w:val="008435BF"/>
    <w:rsid w:val="00843D3C"/>
    <w:rsid w:val="00844C86"/>
    <w:rsid w:val="0084563D"/>
    <w:rsid w:val="00845C72"/>
    <w:rsid w:val="008476D4"/>
    <w:rsid w:val="00851F2D"/>
    <w:rsid w:val="008539DB"/>
    <w:rsid w:val="008543B4"/>
    <w:rsid w:val="00854A8B"/>
    <w:rsid w:val="00856D23"/>
    <w:rsid w:val="0086193A"/>
    <w:rsid w:val="00865A1A"/>
    <w:rsid w:val="00866712"/>
    <w:rsid w:val="008703CD"/>
    <w:rsid w:val="0087135F"/>
    <w:rsid w:val="00872D94"/>
    <w:rsid w:val="00874F0E"/>
    <w:rsid w:val="0087700F"/>
    <w:rsid w:val="00877EF2"/>
    <w:rsid w:val="00880106"/>
    <w:rsid w:val="0088018F"/>
    <w:rsid w:val="00880364"/>
    <w:rsid w:val="0088047C"/>
    <w:rsid w:val="00880A8B"/>
    <w:rsid w:val="00881208"/>
    <w:rsid w:val="00884476"/>
    <w:rsid w:val="0088621F"/>
    <w:rsid w:val="00886A11"/>
    <w:rsid w:val="00887880"/>
    <w:rsid w:val="00891592"/>
    <w:rsid w:val="00891E9E"/>
    <w:rsid w:val="008921F0"/>
    <w:rsid w:val="008928FC"/>
    <w:rsid w:val="00893DA9"/>
    <w:rsid w:val="00894C3F"/>
    <w:rsid w:val="00894D7A"/>
    <w:rsid w:val="008975F2"/>
    <w:rsid w:val="00897DB4"/>
    <w:rsid w:val="008A1D41"/>
    <w:rsid w:val="008A239E"/>
    <w:rsid w:val="008A2F68"/>
    <w:rsid w:val="008A3B2F"/>
    <w:rsid w:val="008A541A"/>
    <w:rsid w:val="008A58C7"/>
    <w:rsid w:val="008A6197"/>
    <w:rsid w:val="008A68A7"/>
    <w:rsid w:val="008A6FA3"/>
    <w:rsid w:val="008A73A5"/>
    <w:rsid w:val="008B45C2"/>
    <w:rsid w:val="008B4FA6"/>
    <w:rsid w:val="008B5282"/>
    <w:rsid w:val="008B6DD4"/>
    <w:rsid w:val="008B711D"/>
    <w:rsid w:val="008B7C17"/>
    <w:rsid w:val="008C0ED1"/>
    <w:rsid w:val="008C0FFC"/>
    <w:rsid w:val="008C2C95"/>
    <w:rsid w:val="008C2D01"/>
    <w:rsid w:val="008C2D42"/>
    <w:rsid w:val="008C40E6"/>
    <w:rsid w:val="008C4DA1"/>
    <w:rsid w:val="008C5C10"/>
    <w:rsid w:val="008C5DB0"/>
    <w:rsid w:val="008C6348"/>
    <w:rsid w:val="008C7706"/>
    <w:rsid w:val="008D0098"/>
    <w:rsid w:val="008D0F7A"/>
    <w:rsid w:val="008D24B4"/>
    <w:rsid w:val="008D2669"/>
    <w:rsid w:val="008D305C"/>
    <w:rsid w:val="008D3522"/>
    <w:rsid w:val="008D47FB"/>
    <w:rsid w:val="008D50B6"/>
    <w:rsid w:val="008D5EE1"/>
    <w:rsid w:val="008D6887"/>
    <w:rsid w:val="008D68E4"/>
    <w:rsid w:val="008E0506"/>
    <w:rsid w:val="008E0CFF"/>
    <w:rsid w:val="008E4897"/>
    <w:rsid w:val="008E58F5"/>
    <w:rsid w:val="008E5D6B"/>
    <w:rsid w:val="008E7206"/>
    <w:rsid w:val="008E76F0"/>
    <w:rsid w:val="008F15FE"/>
    <w:rsid w:val="008F1974"/>
    <w:rsid w:val="008F2D29"/>
    <w:rsid w:val="008F3ED7"/>
    <w:rsid w:val="008F4E79"/>
    <w:rsid w:val="008F5187"/>
    <w:rsid w:val="008F5E0B"/>
    <w:rsid w:val="008F60D8"/>
    <w:rsid w:val="009012ED"/>
    <w:rsid w:val="009015DE"/>
    <w:rsid w:val="00902727"/>
    <w:rsid w:val="00902E83"/>
    <w:rsid w:val="0090312B"/>
    <w:rsid w:val="00906848"/>
    <w:rsid w:val="00912DF7"/>
    <w:rsid w:val="009154A1"/>
    <w:rsid w:val="0091722A"/>
    <w:rsid w:val="0091736D"/>
    <w:rsid w:val="00917D82"/>
    <w:rsid w:val="00917EB3"/>
    <w:rsid w:val="009213E2"/>
    <w:rsid w:val="00923901"/>
    <w:rsid w:val="009250B5"/>
    <w:rsid w:val="009259F7"/>
    <w:rsid w:val="00925E57"/>
    <w:rsid w:val="00926021"/>
    <w:rsid w:val="009300AE"/>
    <w:rsid w:val="0093037A"/>
    <w:rsid w:val="00930B33"/>
    <w:rsid w:val="009326A2"/>
    <w:rsid w:val="0093359B"/>
    <w:rsid w:val="00936D35"/>
    <w:rsid w:val="00937FE4"/>
    <w:rsid w:val="009402B3"/>
    <w:rsid w:val="00940368"/>
    <w:rsid w:val="009405BC"/>
    <w:rsid w:val="00940A22"/>
    <w:rsid w:val="0094154D"/>
    <w:rsid w:val="00941587"/>
    <w:rsid w:val="00942B0B"/>
    <w:rsid w:val="009440EC"/>
    <w:rsid w:val="00946ECA"/>
    <w:rsid w:val="00947E4E"/>
    <w:rsid w:val="009501E1"/>
    <w:rsid w:val="0095155F"/>
    <w:rsid w:val="00951DEF"/>
    <w:rsid w:val="009526E1"/>
    <w:rsid w:val="0095279C"/>
    <w:rsid w:val="00952CAA"/>
    <w:rsid w:val="00953344"/>
    <w:rsid w:val="00953D74"/>
    <w:rsid w:val="00954022"/>
    <w:rsid w:val="00954429"/>
    <w:rsid w:val="00954CFC"/>
    <w:rsid w:val="00954E56"/>
    <w:rsid w:val="009563CE"/>
    <w:rsid w:val="0095729C"/>
    <w:rsid w:val="00964877"/>
    <w:rsid w:val="00964C10"/>
    <w:rsid w:val="00965F27"/>
    <w:rsid w:val="009665C6"/>
    <w:rsid w:val="00967378"/>
    <w:rsid w:val="009679C6"/>
    <w:rsid w:val="009736B1"/>
    <w:rsid w:val="0097399F"/>
    <w:rsid w:val="0097547C"/>
    <w:rsid w:val="009754EC"/>
    <w:rsid w:val="00976328"/>
    <w:rsid w:val="0097680D"/>
    <w:rsid w:val="00977B78"/>
    <w:rsid w:val="00977F15"/>
    <w:rsid w:val="009800D3"/>
    <w:rsid w:val="00980F9C"/>
    <w:rsid w:val="00981A2D"/>
    <w:rsid w:val="009821C3"/>
    <w:rsid w:val="00982438"/>
    <w:rsid w:val="00982682"/>
    <w:rsid w:val="00982E2D"/>
    <w:rsid w:val="009830C6"/>
    <w:rsid w:val="009833E2"/>
    <w:rsid w:val="009836EE"/>
    <w:rsid w:val="0098404C"/>
    <w:rsid w:val="009841E8"/>
    <w:rsid w:val="00984B0C"/>
    <w:rsid w:val="00984D24"/>
    <w:rsid w:val="0098518D"/>
    <w:rsid w:val="00985283"/>
    <w:rsid w:val="009857AF"/>
    <w:rsid w:val="00985E34"/>
    <w:rsid w:val="0098728A"/>
    <w:rsid w:val="009872BC"/>
    <w:rsid w:val="009879E9"/>
    <w:rsid w:val="00990F82"/>
    <w:rsid w:val="00991B24"/>
    <w:rsid w:val="00992572"/>
    <w:rsid w:val="009957A6"/>
    <w:rsid w:val="00995992"/>
    <w:rsid w:val="00997107"/>
    <w:rsid w:val="009A01C0"/>
    <w:rsid w:val="009A03E5"/>
    <w:rsid w:val="009A0F3B"/>
    <w:rsid w:val="009A19AE"/>
    <w:rsid w:val="009A1BB4"/>
    <w:rsid w:val="009A2036"/>
    <w:rsid w:val="009A21D0"/>
    <w:rsid w:val="009A2551"/>
    <w:rsid w:val="009A2628"/>
    <w:rsid w:val="009A3200"/>
    <w:rsid w:val="009A333B"/>
    <w:rsid w:val="009A35BD"/>
    <w:rsid w:val="009A5287"/>
    <w:rsid w:val="009A74C5"/>
    <w:rsid w:val="009A7E54"/>
    <w:rsid w:val="009B000A"/>
    <w:rsid w:val="009B0897"/>
    <w:rsid w:val="009B0AA2"/>
    <w:rsid w:val="009B2DFA"/>
    <w:rsid w:val="009B4782"/>
    <w:rsid w:val="009B745E"/>
    <w:rsid w:val="009B745F"/>
    <w:rsid w:val="009B7BD9"/>
    <w:rsid w:val="009B7F29"/>
    <w:rsid w:val="009C031A"/>
    <w:rsid w:val="009C05A4"/>
    <w:rsid w:val="009C39A2"/>
    <w:rsid w:val="009C3C24"/>
    <w:rsid w:val="009C3D72"/>
    <w:rsid w:val="009C48E4"/>
    <w:rsid w:val="009C4E8B"/>
    <w:rsid w:val="009C5ADA"/>
    <w:rsid w:val="009C62BA"/>
    <w:rsid w:val="009C630D"/>
    <w:rsid w:val="009C6736"/>
    <w:rsid w:val="009C6AE9"/>
    <w:rsid w:val="009C7DD5"/>
    <w:rsid w:val="009D1990"/>
    <w:rsid w:val="009D246B"/>
    <w:rsid w:val="009E195B"/>
    <w:rsid w:val="009E1CCC"/>
    <w:rsid w:val="009E227D"/>
    <w:rsid w:val="009E492B"/>
    <w:rsid w:val="009E5019"/>
    <w:rsid w:val="009E780F"/>
    <w:rsid w:val="009F052D"/>
    <w:rsid w:val="009F0A5A"/>
    <w:rsid w:val="009F2C4A"/>
    <w:rsid w:val="009F33F7"/>
    <w:rsid w:val="009F547D"/>
    <w:rsid w:val="009F5603"/>
    <w:rsid w:val="009F6E69"/>
    <w:rsid w:val="00A02621"/>
    <w:rsid w:val="00A0359F"/>
    <w:rsid w:val="00A03E3B"/>
    <w:rsid w:val="00A03F8E"/>
    <w:rsid w:val="00A04F1B"/>
    <w:rsid w:val="00A0501B"/>
    <w:rsid w:val="00A0792F"/>
    <w:rsid w:val="00A07F02"/>
    <w:rsid w:val="00A07F19"/>
    <w:rsid w:val="00A111E6"/>
    <w:rsid w:val="00A1231F"/>
    <w:rsid w:val="00A13E5C"/>
    <w:rsid w:val="00A14848"/>
    <w:rsid w:val="00A14947"/>
    <w:rsid w:val="00A15357"/>
    <w:rsid w:val="00A156E2"/>
    <w:rsid w:val="00A162F0"/>
    <w:rsid w:val="00A16759"/>
    <w:rsid w:val="00A2051C"/>
    <w:rsid w:val="00A22880"/>
    <w:rsid w:val="00A24C60"/>
    <w:rsid w:val="00A24CF3"/>
    <w:rsid w:val="00A30517"/>
    <w:rsid w:val="00A30EC8"/>
    <w:rsid w:val="00A31CEA"/>
    <w:rsid w:val="00A31D19"/>
    <w:rsid w:val="00A32A83"/>
    <w:rsid w:val="00A32FBE"/>
    <w:rsid w:val="00A3492A"/>
    <w:rsid w:val="00A368AD"/>
    <w:rsid w:val="00A368DB"/>
    <w:rsid w:val="00A37C62"/>
    <w:rsid w:val="00A42048"/>
    <w:rsid w:val="00A421EE"/>
    <w:rsid w:val="00A423AA"/>
    <w:rsid w:val="00A43375"/>
    <w:rsid w:val="00A44325"/>
    <w:rsid w:val="00A4463D"/>
    <w:rsid w:val="00A4564D"/>
    <w:rsid w:val="00A45DA6"/>
    <w:rsid w:val="00A519F6"/>
    <w:rsid w:val="00A51B04"/>
    <w:rsid w:val="00A52391"/>
    <w:rsid w:val="00A53EC6"/>
    <w:rsid w:val="00A555A3"/>
    <w:rsid w:val="00A55C0F"/>
    <w:rsid w:val="00A57F10"/>
    <w:rsid w:val="00A607E6"/>
    <w:rsid w:val="00A60A3E"/>
    <w:rsid w:val="00A612B7"/>
    <w:rsid w:val="00A62212"/>
    <w:rsid w:val="00A63198"/>
    <w:rsid w:val="00A64D02"/>
    <w:rsid w:val="00A655DA"/>
    <w:rsid w:val="00A65C8B"/>
    <w:rsid w:val="00A65EDD"/>
    <w:rsid w:val="00A6629C"/>
    <w:rsid w:val="00A66E99"/>
    <w:rsid w:val="00A67E7A"/>
    <w:rsid w:val="00A72DFD"/>
    <w:rsid w:val="00A73411"/>
    <w:rsid w:val="00A734E5"/>
    <w:rsid w:val="00A7382C"/>
    <w:rsid w:val="00A73B0B"/>
    <w:rsid w:val="00A740C7"/>
    <w:rsid w:val="00A74483"/>
    <w:rsid w:val="00A7486F"/>
    <w:rsid w:val="00A749BA"/>
    <w:rsid w:val="00A74A68"/>
    <w:rsid w:val="00A75846"/>
    <w:rsid w:val="00A7646D"/>
    <w:rsid w:val="00A77E2D"/>
    <w:rsid w:val="00A80042"/>
    <w:rsid w:val="00A80F0E"/>
    <w:rsid w:val="00A818FA"/>
    <w:rsid w:val="00A836B2"/>
    <w:rsid w:val="00A843FE"/>
    <w:rsid w:val="00A84E00"/>
    <w:rsid w:val="00A86318"/>
    <w:rsid w:val="00A870A2"/>
    <w:rsid w:val="00A8713F"/>
    <w:rsid w:val="00A87389"/>
    <w:rsid w:val="00A90BA1"/>
    <w:rsid w:val="00A91538"/>
    <w:rsid w:val="00A9249C"/>
    <w:rsid w:val="00A9251C"/>
    <w:rsid w:val="00A92DE6"/>
    <w:rsid w:val="00A932EF"/>
    <w:rsid w:val="00A9378D"/>
    <w:rsid w:val="00A9429F"/>
    <w:rsid w:val="00A95A3E"/>
    <w:rsid w:val="00A968E2"/>
    <w:rsid w:val="00A97A9A"/>
    <w:rsid w:val="00AA0671"/>
    <w:rsid w:val="00AA0AE8"/>
    <w:rsid w:val="00AA0D46"/>
    <w:rsid w:val="00AA2531"/>
    <w:rsid w:val="00AA2635"/>
    <w:rsid w:val="00AA623D"/>
    <w:rsid w:val="00AA664B"/>
    <w:rsid w:val="00AA7163"/>
    <w:rsid w:val="00AB060F"/>
    <w:rsid w:val="00AB137B"/>
    <w:rsid w:val="00AB1484"/>
    <w:rsid w:val="00AB1786"/>
    <w:rsid w:val="00AB1E09"/>
    <w:rsid w:val="00AB2467"/>
    <w:rsid w:val="00AB5124"/>
    <w:rsid w:val="00AB5330"/>
    <w:rsid w:val="00AB5C00"/>
    <w:rsid w:val="00AB71B9"/>
    <w:rsid w:val="00AB7747"/>
    <w:rsid w:val="00AB7777"/>
    <w:rsid w:val="00AC074A"/>
    <w:rsid w:val="00AC0F68"/>
    <w:rsid w:val="00AC128C"/>
    <w:rsid w:val="00AC14CE"/>
    <w:rsid w:val="00AC2A56"/>
    <w:rsid w:val="00AC2AB1"/>
    <w:rsid w:val="00AC2C1D"/>
    <w:rsid w:val="00AC3A14"/>
    <w:rsid w:val="00AC466C"/>
    <w:rsid w:val="00AD055E"/>
    <w:rsid w:val="00AD06E1"/>
    <w:rsid w:val="00AD0BCC"/>
    <w:rsid w:val="00AD147D"/>
    <w:rsid w:val="00AD47A7"/>
    <w:rsid w:val="00AD5416"/>
    <w:rsid w:val="00AE0296"/>
    <w:rsid w:val="00AE1787"/>
    <w:rsid w:val="00AE2BA5"/>
    <w:rsid w:val="00AE32B5"/>
    <w:rsid w:val="00AE3E2B"/>
    <w:rsid w:val="00AE4094"/>
    <w:rsid w:val="00AE5C4B"/>
    <w:rsid w:val="00AF0CBF"/>
    <w:rsid w:val="00AF0EFD"/>
    <w:rsid w:val="00AF257F"/>
    <w:rsid w:val="00AF27A1"/>
    <w:rsid w:val="00AF33CF"/>
    <w:rsid w:val="00AF3F2F"/>
    <w:rsid w:val="00AF4C39"/>
    <w:rsid w:val="00AF4CC2"/>
    <w:rsid w:val="00AF4D50"/>
    <w:rsid w:val="00AF4DB0"/>
    <w:rsid w:val="00AF569A"/>
    <w:rsid w:val="00AF5FAD"/>
    <w:rsid w:val="00AF6179"/>
    <w:rsid w:val="00AF7E42"/>
    <w:rsid w:val="00B00DA5"/>
    <w:rsid w:val="00B00DCF"/>
    <w:rsid w:val="00B013B9"/>
    <w:rsid w:val="00B03918"/>
    <w:rsid w:val="00B06CCE"/>
    <w:rsid w:val="00B11038"/>
    <w:rsid w:val="00B115D3"/>
    <w:rsid w:val="00B117BD"/>
    <w:rsid w:val="00B11CC4"/>
    <w:rsid w:val="00B123A7"/>
    <w:rsid w:val="00B1295A"/>
    <w:rsid w:val="00B12B1A"/>
    <w:rsid w:val="00B13992"/>
    <w:rsid w:val="00B14BAA"/>
    <w:rsid w:val="00B16E46"/>
    <w:rsid w:val="00B171A6"/>
    <w:rsid w:val="00B20A45"/>
    <w:rsid w:val="00B20BDD"/>
    <w:rsid w:val="00B221AE"/>
    <w:rsid w:val="00B22C5C"/>
    <w:rsid w:val="00B23D0A"/>
    <w:rsid w:val="00B24F30"/>
    <w:rsid w:val="00B266A9"/>
    <w:rsid w:val="00B26B9E"/>
    <w:rsid w:val="00B272A2"/>
    <w:rsid w:val="00B31ABF"/>
    <w:rsid w:val="00B33022"/>
    <w:rsid w:val="00B330AC"/>
    <w:rsid w:val="00B33BE3"/>
    <w:rsid w:val="00B33F86"/>
    <w:rsid w:val="00B341D0"/>
    <w:rsid w:val="00B353EC"/>
    <w:rsid w:val="00B35EB2"/>
    <w:rsid w:val="00B36168"/>
    <w:rsid w:val="00B367B3"/>
    <w:rsid w:val="00B40FDD"/>
    <w:rsid w:val="00B4340E"/>
    <w:rsid w:val="00B43598"/>
    <w:rsid w:val="00B445F1"/>
    <w:rsid w:val="00B45249"/>
    <w:rsid w:val="00B45861"/>
    <w:rsid w:val="00B45CF8"/>
    <w:rsid w:val="00B4684C"/>
    <w:rsid w:val="00B46D06"/>
    <w:rsid w:val="00B475CA"/>
    <w:rsid w:val="00B50818"/>
    <w:rsid w:val="00B50DA9"/>
    <w:rsid w:val="00B53B5D"/>
    <w:rsid w:val="00B54D34"/>
    <w:rsid w:val="00B55242"/>
    <w:rsid w:val="00B561C4"/>
    <w:rsid w:val="00B6037C"/>
    <w:rsid w:val="00B60498"/>
    <w:rsid w:val="00B6055E"/>
    <w:rsid w:val="00B60B22"/>
    <w:rsid w:val="00B612BD"/>
    <w:rsid w:val="00B623F0"/>
    <w:rsid w:val="00B6317D"/>
    <w:rsid w:val="00B63699"/>
    <w:rsid w:val="00B63F3A"/>
    <w:rsid w:val="00B64EEB"/>
    <w:rsid w:val="00B6504C"/>
    <w:rsid w:val="00B6550D"/>
    <w:rsid w:val="00B66CDF"/>
    <w:rsid w:val="00B67D01"/>
    <w:rsid w:val="00B734F3"/>
    <w:rsid w:val="00B73552"/>
    <w:rsid w:val="00B75955"/>
    <w:rsid w:val="00B76490"/>
    <w:rsid w:val="00B76E9C"/>
    <w:rsid w:val="00B7723F"/>
    <w:rsid w:val="00B80534"/>
    <w:rsid w:val="00B80743"/>
    <w:rsid w:val="00B81B22"/>
    <w:rsid w:val="00B81C6C"/>
    <w:rsid w:val="00B826CD"/>
    <w:rsid w:val="00B8433C"/>
    <w:rsid w:val="00B843BB"/>
    <w:rsid w:val="00B84A7A"/>
    <w:rsid w:val="00B85584"/>
    <w:rsid w:val="00B8626F"/>
    <w:rsid w:val="00B87491"/>
    <w:rsid w:val="00B91F6D"/>
    <w:rsid w:val="00B93E04"/>
    <w:rsid w:val="00B969C9"/>
    <w:rsid w:val="00B97CA7"/>
    <w:rsid w:val="00B97FB0"/>
    <w:rsid w:val="00BA117A"/>
    <w:rsid w:val="00BA29E9"/>
    <w:rsid w:val="00BA4DB9"/>
    <w:rsid w:val="00BA5798"/>
    <w:rsid w:val="00BA599C"/>
    <w:rsid w:val="00BA7142"/>
    <w:rsid w:val="00BB1EC2"/>
    <w:rsid w:val="00BB22C4"/>
    <w:rsid w:val="00BB237C"/>
    <w:rsid w:val="00BB272C"/>
    <w:rsid w:val="00BB3A25"/>
    <w:rsid w:val="00BB41A3"/>
    <w:rsid w:val="00BB4628"/>
    <w:rsid w:val="00BB5123"/>
    <w:rsid w:val="00BB5E4F"/>
    <w:rsid w:val="00BB61CF"/>
    <w:rsid w:val="00BB62A0"/>
    <w:rsid w:val="00BB63A5"/>
    <w:rsid w:val="00BB63DF"/>
    <w:rsid w:val="00BB7647"/>
    <w:rsid w:val="00BC01D0"/>
    <w:rsid w:val="00BC1871"/>
    <w:rsid w:val="00BC2B21"/>
    <w:rsid w:val="00BC32DC"/>
    <w:rsid w:val="00BC35B6"/>
    <w:rsid w:val="00BC3A08"/>
    <w:rsid w:val="00BC4D2F"/>
    <w:rsid w:val="00BC7CC8"/>
    <w:rsid w:val="00BD082E"/>
    <w:rsid w:val="00BD16EF"/>
    <w:rsid w:val="00BD1B51"/>
    <w:rsid w:val="00BD3730"/>
    <w:rsid w:val="00BD3985"/>
    <w:rsid w:val="00BD4596"/>
    <w:rsid w:val="00BD7133"/>
    <w:rsid w:val="00BE003D"/>
    <w:rsid w:val="00BE0859"/>
    <w:rsid w:val="00BE1405"/>
    <w:rsid w:val="00BE1743"/>
    <w:rsid w:val="00BE18EF"/>
    <w:rsid w:val="00BE2A4D"/>
    <w:rsid w:val="00BE2A85"/>
    <w:rsid w:val="00BE312D"/>
    <w:rsid w:val="00BE3262"/>
    <w:rsid w:val="00BE5414"/>
    <w:rsid w:val="00BE6421"/>
    <w:rsid w:val="00BE7250"/>
    <w:rsid w:val="00BF0042"/>
    <w:rsid w:val="00BF12C6"/>
    <w:rsid w:val="00BF1C20"/>
    <w:rsid w:val="00BF1D99"/>
    <w:rsid w:val="00BF282B"/>
    <w:rsid w:val="00BF528E"/>
    <w:rsid w:val="00BF53E1"/>
    <w:rsid w:val="00BF5B71"/>
    <w:rsid w:val="00BF6DAD"/>
    <w:rsid w:val="00BF7035"/>
    <w:rsid w:val="00C009DC"/>
    <w:rsid w:val="00C00DD4"/>
    <w:rsid w:val="00C03783"/>
    <w:rsid w:val="00C03982"/>
    <w:rsid w:val="00C039B6"/>
    <w:rsid w:val="00C0743D"/>
    <w:rsid w:val="00C07448"/>
    <w:rsid w:val="00C07982"/>
    <w:rsid w:val="00C10203"/>
    <w:rsid w:val="00C10446"/>
    <w:rsid w:val="00C10578"/>
    <w:rsid w:val="00C128C2"/>
    <w:rsid w:val="00C135BC"/>
    <w:rsid w:val="00C14226"/>
    <w:rsid w:val="00C146D8"/>
    <w:rsid w:val="00C14C2B"/>
    <w:rsid w:val="00C1539D"/>
    <w:rsid w:val="00C15468"/>
    <w:rsid w:val="00C15C95"/>
    <w:rsid w:val="00C164BF"/>
    <w:rsid w:val="00C173F5"/>
    <w:rsid w:val="00C2003F"/>
    <w:rsid w:val="00C22426"/>
    <w:rsid w:val="00C2549E"/>
    <w:rsid w:val="00C2596A"/>
    <w:rsid w:val="00C2725E"/>
    <w:rsid w:val="00C27537"/>
    <w:rsid w:val="00C301B8"/>
    <w:rsid w:val="00C3206B"/>
    <w:rsid w:val="00C328FE"/>
    <w:rsid w:val="00C33507"/>
    <w:rsid w:val="00C33A8B"/>
    <w:rsid w:val="00C34D02"/>
    <w:rsid w:val="00C364BA"/>
    <w:rsid w:val="00C40789"/>
    <w:rsid w:val="00C4108D"/>
    <w:rsid w:val="00C412C9"/>
    <w:rsid w:val="00C41732"/>
    <w:rsid w:val="00C429C8"/>
    <w:rsid w:val="00C43966"/>
    <w:rsid w:val="00C43E01"/>
    <w:rsid w:val="00C4409D"/>
    <w:rsid w:val="00C44DA1"/>
    <w:rsid w:val="00C44E72"/>
    <w:rsid w:val="00C45A06"/>
    <w:rsid w:val="00C45FF4"/>
    <w:rsid w:val="00C47E5B"/>
    <w:rsid w:val="00C5077F"/>
    <w:rsid w:val="00C51720"/>
    <w:rsid w:val="00C5217B"/>
    <w:rsid w:val="00C52E3B"/>
    <w:rsid w:val="00C540B3"/>
    <w:rsid w:val="00C56327"/>
    <w:rsid w:val="00C565A0"/>
    <w:rsid w:val="00C56B84"/>
    <w:rsid w:val="00C60A03"/>
    <w:rsid w:val="00C60D5B"/>
    <w:rsid w:val="00C61E4B"/>
    <w:rsid w:val="00C6457F"/>
    <w:rsid w:val="00C64BFF"/>
    <w:rsid w:val="00C64EEE"/>
    <w:rsid w:val="00C65FCD"/>
    <w:rsid w:val="00C67FEA"/>
    <w:rsid w:val="00C7041B"/>
    <w:rsid w:val="00C704E9"/>
    <w:rsid w:val="00C71221"/>
    <w:rsid w:val="00C725EF"/>
    <w:rsid w:val="00C728D2"/>
    <w:rsid w:val="00C72C79"/>
    <w:rsid w:val="00C73419"/>
    <w:rsid w:val="00C763C9"/>
    <w:rsid w:val="00C7643E"/>
    <w:rsid w:val="00C77AE4"/>
    <w:rsid w:val="00C80057"/>
    <w:rsid w:val="00C80D3A"/>
    <w:rsid w:val="00C80DE6"/>
    <w:rsid w:val="00C814D8"/>
    <w:rsid w:val="00C82232"/>
    <w:rsid w:val="00C82913"/>
    <w:rsid w:val="00C82F2D"/>
    <w:rsid w:val="00C83229"/>
    <w:rsid w:val="00C83D3E"/>
    <w:rsid w:val="00C8693F"/>
    <w:rsid w:val="00C86EBD"/>
    <w:rsid w:val="00C86FA7"/>
    <w:rsid w:val="00C87D2A"/>
    <w:rsid w:val="00C90AAE"/>
    <w:rsid w:val="00C91540"/>
    <w:rsid w:val="00C96C32"/>
    <w:rsid w:val="00C972B1"/>
    <w:rsid w:val="00C97E5C"/>
    <w:rsid w:val="00CA191E"/>
    <w:rsid w:val="00CA2CCE"/>
    <w:rsid w:val="00CA3B90"/>
    <w:rsid w:val="00CA3FC0"/>
    <w:rsid w:val="00CA43FD"/>
    <w:rsid w:val="00CA45EF"/>
    <w:rsid w:val="00CA49B9"/>
    <w:rsid w:val="00CA610D"/>
    <w:rsid w:val="00CA6BCB"/>
    <w:rsid w:val="00CA7CFF"/>
    <w:rsid w:val="00CA7EF8"/>
    <w:rsid w:val="00CB141A"/>
    <w:rsid w:val="00CB38A4"/>
    <w:rsid w:val="00CB4AE4"/>
    <w:rsid w:val="00CB62D3"/>
    <w:rsid w:val="00CC0E22"/>
    <w:rsid w:val="00CC4270"/>
    <w:rsid w:val="00CC489B"/>
    <w:rsid w:val="00CC58E0"/>
    <w:rsid w:val="00CC60BE"/>
    <w:rsid w:val="00CC69FF"/>
    <w:rsid w:val="00CC7648"/>
    <w:rsid w:val="00CC7D42"/>
    <w:rsid w:val="00CD1AD8"/>
    <w:rsid w:val="00CD2605"/>
    <w:rsid w:val="00CD2763"/>
    <w:rsid w:val="00CD2767"/>
    <w:rsid w:val="00CD2BCD"/>
    <w:rsid w:val="00CD38B1"/>
    <w:rsid w:val="00CD3A4C"/>
    <w:rsid w:val="00CD3C7E"/>
    <w:rsid w:val="00CD4170"/>
    <w:rsid w:val="00CD41AD"/>
    <w:rsid w:val="00CD5C7A"/>
    <w:rsid w:val="00CD77B7"/>
    <w:rsid w:val="00CE08EC"/>
    <w:rsid w:val="00CE0CB5"/>
    <w:rsid w:val="00CE0DFD"/>
    <w:rsid w:val="00CE10E9"/>
    <w:rsid w:val="00CE14EF"/>
    <w:rsid w:val="00CE194C"/>
    <w:rsid w:val="00CE1F76"/>
    <w:rsid w:val="00CE2910"/>
    <w:rsid w:val="00CE2CFC"/>
    <w:rsid w:val="00CE3482"/>
    <w:rsid w:val="00CE3CC3"/>
    <w:rsid w:val="00CE5393"/>
    <w:rsid w:val="00CE5FB4"/>
    <w:rsid w:val="00CE6B53"/>
    <w:rsid w:val="00CE774D"/>
    <w:rsid w:val="00CE7F12"/>
    <w:rsid w:val="00CF05F8"/>
    <w:rsid w:val="00CF079F"/>
    <w:rsid w:val="00CF1093"/>
    <w:rsid w:val="00CF16C1"/>
    <w:rsid w:val="00CF327A"/>
    <w:rsid w:val="00CF36BE"/>
    <w:rsid w:val="00CF37FD"/>
    <w:rsid w:val="00CF3B17"/>
    <w:rsid w:val="00CF42E1"/>
    <w:rsid w:val="00CF46E8"/>
    <w:rsid w:val="00CF4D60"/>
    <w:rsid w:val="00CF6000"/>
    <w:rsid w:val="00CF7A86"/>
    <w:rsid w:val="00D003F3"/>
    <w:rsid w:val="00D016C3"/>
    <w:rsid w:val="00D01969"/>
    <w:rsid w:val="00D0364F"/>
    <w:rsid w:val="00D0365E"/>
    <w:rsid w:val="00D038E0"/>
    <w:rsid w:val="00D04ED5"/>
    <w:rsid w:val="00D06834"/>
    <w:rsid w:val="00D07800"/>
    <w:rsid w:val="00D107F2"/>
    <w:rsid w:val="00D1457D"/>
    <w:rsid w:val="00D149AD"/>
    <w:rsid w:val="00D178B0"/>
    <w:rsid w:val="00D23293"/>
    <w:rsid w:val="00D23ABE"/>
    <w:rsid w:val="00D249F2"/>
    <w:rsid w:val="00D25381"/>
    <w:rsid w:val="00D27C1C"/>
    <w:rsid w:val="00D308ED"/>
    <w:rsid w:val="00D32A25"/>
    <w:rsid w:val="00D32D58"/>
    <w:rsid w:val="00D3374E"/>
    <w:rsid w:val="00D33FCC"/>
    <w:rsid w:val="00D34640"/>
    <w:rsid w:val="00D34F0F"/>
    <w:rsid w:val="00D354E2"/>
    <w:rsid w:val="00D358F9"/>
    <w:rsid w:val="00D36C9E"/>
    <w:rsid w:val="00D36D86"/>
    <w:rsid w:val="00D373F3"/>
    <w:rsid w:val="00D4276A"/>
    <w:rsid w:val="00D428AA"/>
    <w:rsid w:val="00D473F2"/>
    <w:rsid w:val="00D47C85"/>
    <w:rsid w:val="00D50A34"/>
    <w:rsid w:val="00D51252"/>
    <w:rsid w:val="00D51EC0"/>
    <w:rsid w:val="00D5392C"/>
    <w:rsid w:val="00D53EFA"/>
    <w:rsid w:val="00D54465"/>
    <w:rsid w:val="00D569E1"/>
    <w:rsid w:val="00D5714C"/>
    <w:rsid w:val="00D61FF1"/>
    <w:rsid w:val="00D62AF0"/>
    <w:rsid w:val="00D643DD"/>
    <w:rsid w:val="00D650F4"/>
    <w:rsid w:val="00D6688D"/>
    <w:rsid w:val="00D6755F"/>
    <w:rsid w:val="00D70615"/>
    <w:rsid w:val="00D70647"/>
    <w:rsid w:val="00D71076"/>
    <w:rsid w:val="00D72D0B"/>
    <w:rsid w:val="00D75A4B"/>
    <w:rsid w:val="00D75B6E"/>
    <w:rsid w:val="00D75D98"/>
    <w:rsid w:val="00D76B69"/>
    <w:rsid w:val="00D80488"/>
    <w:rsid w:val="00D81D53"/>
    <w:rsid w:val="00D81EE9"/>
    <w:rsid w:val="00D82255"/>
    <w:rsid w:val="00D8260D"/>
    <w:rsid w:val="00D82D9E"/>
    <w:rsid w:val="00D83624"/>
    <w:rsid w:val="00D83A95"/>
    <w:rsid w:val="00D83AF0"/>
    <w:rsid w:val="00D83D78"/>
    <w:rsid w:val="00D84941"/>
    <w:rsid w:val="00D90547"/>
    <w:rsid w:val="00D91598"/>
    <w:rsid w:val="00D93087"/>
    <w:rsid w:val="00D93932"/>
    <w:rsid w:val="00D93F94"/>
    <w:rsid w:val="00D9418E"/>
    <w:rsid w:val="00D94A7C"/>
    <w:rsid w:val="00D95896"/>
    <w:rsid w:val="00D960FC"/>
    <w:rsid w:val="00D9623C"/>
    <w:rsid w:val="00D96C1B"/>
    <w:rsid w:val="00DA1810"/>
    <w:rsid w:val="00DA20BC"/>
    <w:rsid w:val="00DA2ABF"/>
    <w:rsid w:val="00DA2B1E"/>
    <w:rsid w:val="00DA4A8F"/>
    <w:rsid w:val="00DA4AF4"/>
    <w:rsid w:val="00DA60D4"/>
    <w:rsid w:val="00DB1271"/>
    <w:rsid w:val="00DB176D"/>
    <w:rsid w:val="00DB2983"/>
    <w:rsid w:val="00DB5BF9"/>
    <w:rsid w:val="00DC1257"/>
    <w:rsid w:val="00DC1CC5"/>
    <w:rsid w:val="00DC1FB4"/>
    <w:rsid w:val="00DC3346"/>
    <w:rsid w:val="00DC3DC0"/>
    <w:rsid w:val="00DC5B2B"/>
    <w:rsid w:val="00DC65E7"/>
    <w:rsid w:val="00DC67CB"/>
    <w:rsid w:val="00DD318D"/>
    <w:rsid w:val="00DD6BE2"/>
    <w:rsid w:val="00DE3A70"/>
    <w:rsid w:val="00DE721F"/>
    <w:rsid w:val="00DE75C2"/>
    <w:rsid w:val="00DE76CF"/>
    <w:rsid w:val="00DF0023"/>
    <w:rsid w:val="00DF0E68"/>
    <w:rsid w:val="00DF113B"/>
    <w:rsid w:val="00DF2E12"/>
    <w:rsid w:val="00DF3D8E"/>
    <w:rsid w:val="00DF514A"/>
    <w:rsid w:val="00DF5AEA"/>
    <w:rsid w:val="00DF619A"/>
    <w:rsid w:val="00DF6690"/>
    <w:rsid w:val="00DF6804"/>
    <w:rsid w:val="00DF7390"/>
    <w:rsid w:val="00DF7BF1"/>
    <w:rsid w:val="00DF7E73"/>
    <w:rsid w:val="00E024F4"/>
    <w:rsid w:val="00E0358D"/>
    <w:rsid w:val="00E04323"/>
    <w:rsid w:val="00E04611"/>
    <w:rsid w:val="00E06403"/>
    <w:rsid w:val="00E06432"/>
    <w:rsid w:val="00E070A2"/>
    <w:rsid w:val="00E103F0"/>
    <w:rsid w:val="00E1083A"/>
    <w:rsid w:val="00E10A2F"/>
    <w:rsid w:val="00E10C44"/>
    <w:rsid w:val="00E119A9"/>
    <w:rsid w:val="00E14320"/>
    <w:rsid w:val="00E151B7"/>
    <w:rsid w:val="00E15676"/>
    <w:rsid w:val="00E1675F"/>
    <w:rsid w:val="00E17AB6"/>
    <w:rsid w:val="00E204DD"/>
    <w:rsid w:val="00E216C3"/>
    <w:rsid w:val="00E2227B"/>
    <w:rsid w:val="00E228D6"/>
    <w:rsid w:val="00E23F33"/>
    <w:rsid w:val="00E25556"/>
    <w:rsid w:val="00E26444"/>
    <w:rsid w:val="00E2656A"/>
    <w:rsid w:val="00E26616"/>
    <w:rsid w:val="00E27FFC"/>
    <w:rsid w:val="00E30FB1"/>
    <w:rsid w:val="00E319CF"/>
    <w:rsid w:val="00E32D47"/>
    <w:rsid w:val="00E3315E"/>
    <w:rsid w:val="00E3349C"/>
    <w:rsid w:val="00E33B6E"/>
    <w:rsid w:val="00E37B96"/>
    <w:rsid w:val="00E412D0"/>
    <w:rsid w:val="00E418E9"/>
    <w:rsid w:val="00E447CF"/>
    <w:rsid w:val="00E44FE2"/>
    <w:rsid w:val="00E45DB7"/>
    <w:rsid w:val="00E5061D"/>
    <w:rsid w:val="00E5214B"/>
    <w:rsid w:val="00E526CF"/>
    <w:rsid w:val="00E54928"/>
    <w:rsid w:val="00E54978"/>
    <w:rsid w:val="00E557AE"/>
    <w:rsid w:val="00E56322"/>
    <w:rsid w:val="00E575C4"/>
    <w:rsid w:val="00E57C6D"/>
    <w:rsid w:val="00E602DB"/>
    <w:rsid w:val="00E60982"/>
    <w:rsid w:val="00E60AB0"/>
    <w:rsid w:val="00E61DC4"/>
    <w:rsid w:val="00E62C62"/>
    <w:rsid w:val="00E639A9"/>
    <w:rsid w:val="00E63F60"/>
    <w:rsid w:val="00E654A7"/>
    <w:rsid w:val="00E654C1"/>
    <w:rsid w:val="00E65D97"/>
    <w:rsid w:val="00E71421"/>
    <w:rsid w:val="00E71756"/>
    <w:rsid w:val="00E71FF8"/>
    <w:rsid w:val="00E72881"/>
    <w:rsid w:val="00E72A5A"/>
    <w:rsid w:val="00E73354"/>
    <w:rsid w:val="00E73BED"/>
    <w:rsid w:val="00E73C23"/>
    <w:rsid w:val="00E73F47"/>
    <w:rsid w:val="00E763F9"/>
    <w:rsid w:val="00E806C4"/>
    <w:rsid w:val="00E80A44"/>
    <w:rsid w:val="00E8253A"/>
    <w:rsid w:val="00E825F5"/>
    <w:rsid w:val="00E82A1C"/>
    <w:rsid w:val="00E8394D"/>
    <w:rsid w:val="00E85664"/>
    <w:rsid w:val="00E909E5"/>
    <w:rsid w:val="00E9242D"/>
    <w:rsid w:val="00E94128"/>
    <w:rsid w:val="00E958D9"/>
    <w:rsid w:val="00E96E36"/>
    <w:rsid w:val="00EA1561"/>
    <w:rsid w:val="00EA1A54"/>
    <w:rsid w:val="00EA3393"/>
    <w:rsid w:val="00EA6575"/>
    <w:rsid w:val="00EA6F48"/>
    <w:rsid w:val="00EA761B"/>
    <w:rsid w:val="00EB0A98"/>
    <w:rsid w:val="00EB0FC0"/>
    <w:rsid w:val="00EB1F36"/>
    <w:rsid w:val="00EB5255"/>
    <w:rsid w:val="00EB5380"/>
    <w:rsid w:val="00EB5793"/>
    <w:rsid w:val="00EB5C47"/>
    <w:rsid w:val="00EB64C1"/>
    <w:rsid w:val="00EB7BD3"/>
    <w:rsid w:val="00EC2799"/>
    <w:rsid w:val="00EC4BC8"/>
    <w:rsid w:val="00EC56B2"/>
    <w:rsid w:val="00EC75B1"/>
    <w:rsid w:val="00EC76DF"/>
    <w:rsid w:val="00ED029C"/>
    <w:rsid w:val="00ED02E3"/>
    <w:rsid w:val="00ED047A"/>
    <w:rsid w:val="00ED0639"/>
    <w:rsid w:val="00ED17CF"/>
    <w:rsid w:val="00ED18C9"/>
    <w:rsid w:val="00ED2906"/>
    <w:rsid w:val="00ED798F"/>
    <w:rsid w:val="00EE2B98"/>
    <w:rsid w:val="00EE412E"/>
    <w:rsid w:val="00EE493D"/>
    <w:rsid w:val="00EE4E17"/>
    <w:rsid w:val="00EE5DD5"/>
    <w:rsid w:val="00EE66FC"/>
    <w:rsid w:val="00EF16A4"/>
    <w:rsid w:val="00EF253B"/>
    <w:rsid w:val="00EF2D42"/>
    <w:rsid w:val="00EF39B1"/>
    <w:rsid w:val="00EF4426"/>
    <w:rsid w:val="00EF4755"/>
    <w:rsid w:val="00EF4B3D"/>
    <w:rsid w:val="00EF61DB"/>
    <w:rsid w:val="00EF7135"/>
    <w:rsid w:val="00EF78C7"/>
    <w:rsid w:val="00F00650"/>
    <w:rsid w:val="00F023FF"/>
    <w:rsid w:val="00F027DB"/>
    <w:rsid w:val="00F054A1"/>
    <w:rsid w:val="00F05B96"/>
    <w:rsid w:val="00F05D8E"/>
    <w:rsid w:val="00F06394"/>
    <w:rsid w:val="00F06EC9"/>
    <w:rsid w:val="00F075C1"/>
    <w:rsid w:val="00F100BE"/>
    <w:rsid w:val="00F105E4"/>
    <w:rsid w:val="00F1090F"/>
    <w:rsid w:val="00F11FD0"/>
    <w:rsid w:val="00F12921"/>
    <w:rsid w:val="00F12E17"/>
    <w:rsid w:val="00F13089"/>
    <w:rsid w:val="00F1316D"/>
    <w:rsid w:val="00F1481B"/>
    <w:rsid w:val="00F1495A"/>
    <w:rsid w:val="00F14A7A"/>
    <w:rsid w:val="00F150EA"/>
    <w:rsid w:val="00F16EC2"/>
    <w:rsid w:val="00F1706E"/>
    <w:rsid w:val="00F20C92"/>
    <w:rsid w:val="00F22023"/>
    <w:rsid w:val="00F223C9"/>
    <w:rsid w:val="00F22779"/>
    <w:rsid w:val="00F22985"/>
    <w:rsid w:val="00F23562"/>
    <w:rsid w:val="00F246AB"/>
    <w:rsid w:val="00F25827"/>
    <w:rsid w:val="00F25A6B"/>
    <w:rsid w:val="00F27D59"/>
    <w:rsid w:val="00F321B7"/>
    <w:rsid w:val="00F3250D"/>
    <w:rsid w:val="00F3337D"/>
    <w:rsid w:val="00F33527"/>
    <w:rsid w:val="00F3383E"/>
    <w:rsid w:val="00F34525"/>
    <w:rsid w:val="00F35FB4"/>
    <w:rsid w:val="00F360A3"/>
    <w:rsid w:val="00F372C1"/>
    <w:rsid w:val="00F4464D"/>
    <w:rsid w:val="00F4630D"/>
    <w:rsid w:val="00F463F9"/>
    <w:rsid w:val="00F465A7"/>
    <w:rsid w:val="00F466D6"/>
    <w:rsid w:val="00F471ED"/>
    <w:rsid w:val="00F476AD"/>
    <w:rsid w:val="00F50B7C"/>
    <w:rsid w:val="00F52A9B"/>
    <w:rsid w:val="00F54EEA"/>
    <w:rsid w:val="00F550E6"/>
    <w:rsid w:val="00F567CA"/>
    <w:rsid w:val="00F56C72"/>
    <w:rsid w:val="00F61F72"/>
    <w:rsid w:val="00F61FED"/>
    <w:rsid w:val="00F62921"/>
    <w:rsid w:val="00F62B4E"/>
    <w:rsid w:val="00F64077"/>
    <w:rsid w:val="00F641DD"/>
    <w:rsid w:val="00F64E3E"/>
    <w:rsid w:val="00F65838"/>
    <w:rsid w:val="00F66CBB"/>
    <w:rsid w:val="00F67244"/>
    <w:rsid w:val="00F71B2C"/>
    <w:rsid w:val="00F739B5"/>
    <w:rsid w:val="00F73FB1"/>
    <w:rsid w:val="00F74345"/>
    <w:rsid w:val="00F74BC3"/>
    <w:rsid w:val="00F76CF8"/>
    <w:rsid w:val="00F77856"/>
    <w:rsid w:val="00F779DD"/>
    <w:rsid w:val="00F80A0A"/>
    <w:rsid w:val="00F81A46"/>
    <w:rsid w:val="00F82505"/>
    <w:rsid w:val="00F82B19"/>
    <w:rsid w:val="00F830A4"/>
    <w:rsid w:val="00F83C69"/>
    <w:rsid w:val="00F849F0"/>
    <w:rsid w:val="00F85D61"/>
    <w:rsid w:val="00F86BA0"/>
    <w:rsid w:val="00F87974"/>
    <w:rsid w:val="00F87A33"/>
    <w:rsid w:val="00F87B29"/>
    <w:rsid w:val="00F900B6"/>
    <w:rsid w:val="00F90DEB"/>
    <w:rsid w:val="00F9212D"/>
    <w:rsid w:val="00F9503C"/>
    <w:rsid w:val="00F965DA"/>
    <w:rsid w:val="00F97A6D"/>
    <w:rsid w:val="00FA1B75"/>
    <w:rsid w:val="00FA1F57"/>
    <w:rsid w:val="00FA350F"/>
    <w:rsid w:val="00FA3F3E"/>
    <w:rsid w:val="00FA406A"/>
    <w:rsid w:val="00FA4ADF"/>
    <w:rsid w:val="00FA4FD5"/>
    <w:rsid w:val="00FA7DF1"/>
    <w:rsid w:val="00FB0A97"/>
    <w:rsid w:val="00FB10C0"/>
    <w:rsid w:val="00FB11AF"/>
    <w:rsid w:val="00FB503A"/>
    <w:rsid w:val="00FB516C"/>
    <w:rsid w:val="00FB5A63"/>
    <w:rsid w:val="00FC0C46"/>
    <w:rsid w:val="00FC303E"/>
    <w:rsid w:val="00FC3CB2"/>
    <w:rsid w:val="00FC4226"/>
    <w:rsid w:val="00FC6491"/>
    <w:rsid w:val="00FC6917"/>
    <w:rsid w:val="00FC6C83"/>
    <w:rsid w:val="00FC7DAA"/>
    <w:rsid w:val="00FD0236"/>
    <w:rsid w:val="00FD1059"/>
    <w:rsid w:val="00FD18F4"/>
    <w:rsid w:val="00FD2F67"/>
    <w:rsid w:val="00FD4A68"/>
    <w:rsid w:val="00FD54DB"/>
    <w:rsid w:val="00FD5A0F"/>
    <w:rsid w:val="00FD5B13"/>
    <w:rsid w:val="00FD619F"/>
    <w:rsid w:val="00FD654C"/>
    <w:rsid w:val="00FD7DFA"/>
    <w:rsid w:val="00FD7E16"/>
    <w:rsid w:val="00FE233F"/>
    <w:rsid w:val="00FE3728"/>
    <w:rsid w:val="00FE4F56"/>
    <w:rsid w:val="00FE66E2"/>
    <w:rsid w:val="00FE79CD"/>
    <w:rsid w:val="00FF0B53"/>
    <w:rsid w:val="00FF0B77"/>
    <w:rsid w:val="00FF2676"/>
    <w:rsid w:val="00FF37BE"/>
    <w:rsid w:val="00FF60D7"/>
    <w:rsid w:val="010B5592"/>
    <w:rsid w:val="01117A34"/>
    <w:rsid w:val="01290F7E"/>
    <w:rsid w:val="012A4E2C"/>
    <w:rsid w:val="01385D77"/>
    <w:rsid w:val="015D1E09"/>
    <w:rsid w:val="016C090A"/>
    <w:rsid w:val="018A73B0"/>
    <w:rsid w:val="018D1931"/>
    <w:rsid w:val="019D759C"/>
    <w:rsid w:val="01E4322D"/>
    <w:rsid w:val="01EE04AE"/>
    <w:rsid w:val="0204742C"/>
    <w:rsid w:val="02146517"/>
    <w:rsid w:val="022E3E2F"/>
    <w:rsid w:val="02532D0C"/>
    <w:rsid w:val="025C30E2"/>
    <w:rsid w:val="02630935"/>
    <w:rsid w:val="02697903"/>
    <w:rsid w:val="026D3223"/>
    <w:rsid w:val="028A2D40"/>
    <w:rsid w:val="02931E56"/>
    <w:rsid w:val="0298594A"/>
    <w:rsid w:val="02A46519"/>
    <w:rsid w:val="02F96569"/>
    <w:rsid w:val="03155B55"/>
    <w:rsid w:val="03407427"/>
    <w:rsid w:val="03451FBF"/>
    <w:rsid w:val="034C1790"/>
    <w:rsid w:val="035B1DDE"/>
    <w:rsid w:val="036964FC"/>
    <w:rsid w:val="03843986"/>
    <w:rsid w:val="038E07EA"/>
    <w:rsid w:val="039960EC"/>
    <w:rsid w:val="03A8129D"/>
    <w:rsid w:val="03B20EA7"/>
    <w:rsid w:val="03D8291E"/>
    <w:rsid w:val="03EA7B21"/>
    <w:rsid w:val="03EC1FC7"/>
    <w:rsid w:val="04015589"/>
    <w:rsid w:val="04536D05"/>
    <w:rsid w:val="04554A98"/>
    <w:rsid w:val="04B33091"/>
    <w:rsid w:val="04B97507"/>
    <w:rsid w:val="04D46F81"/>
    <w:rsid w:val="050B3749"/>
    <w:rsid w:val="05431265"/>
    <w:rsid w:val="05790131"/>
    <w:rsid w:val="057B0CF5"/>
    <w:rsid w:val="05D9472B"/>
    <w:rsid w:val="05EC4085"/>
    <w:rsid w:val="05F83EAE"/>
    <w:rsid w:val="060A0903"/>
    <w:rsid w:val="06127C3D"/>
    <w:rsid w:val="063E7D85"/>
    <w:rsid w:val="06532730"/>
    <w:rsid w:val="067B63A1"/>
    <w:rsid w:val="06C2658B"/>
    <w:rsid w:val="06D65BE8"/>
    <w:rsid w:val="06EE1A11"/>
    <w:rsid w:val="0706063A"/>
    <w:rsid w:val="071255C4"/>
    <w:rsid w:val="07293586"/>
    <w:rsid w:val="07295285"/>
    <w:rsid w:val="0753364C"/>
    <w:rsid w:val="07636392"/>
    <w:rsid w:val="076F7ED3"/>
    <w:rsid w:val="07770C56"/>
    <w:rsid w:val="07DD49A7"/>
    <w:rsid w:val="07EA02AB"/>
    <w:rsid w:val="07F804B6"/>
    <w:rsid w:val="084120E9"/>
    <w:rsid w:val="08571D21"/>
    <w:rsid w:val="08616C16"/>
    <w:rsid w:val="086334B4"/>
    <w:rsid w:val="0865674A"/>
    <w:rsid w:val="086E1AA3"/>
    <w:rsid w:val="08780E2D"/>
    <w:rsid w:val="087B5F6E"/>
    <w:rsid w:val="08865476"/>
    <w:rsid w:val="08900CB2"/>
    <w:rsid w:val="089164A2"/>
    <w:rsid w:val="089B6044"/>
    <w:rsid w:val="08BF68A7"/>
    <w:rsid w:val="08D32B0B"/>
    <w:rsid w:val="08FD6A61"/>
    <w:rsid w:val="090E6DE2"/>
    <w:rsid w:val="092217DD"/>
    <w:rsid w:val="093078A1"/>
    <w:rsid w:val="093A7294"/>
    <w:rsid w:val="093F045B"/>
    <w:rsid w:val="094D16F1"/>
    <w:rsid w:val="097314F5"/>
    <w:rsid w:val="09797DD4"/>
    <w:rsid w:val="099472E7"/>
    <w:rsid w:val="09A81073"/>
    <w:rsid w:val="09FC0C0E"/>
    <w:rsid w:val="0A263993"/>
    <w:rsid w:val="0A2D3AC2"/>
    <w:rsid w:val="0A4C7BC2"/>
    <w:rsid w:val="0A617D3D"/>
    <w:rsid w:val="0AA2474B"/>
    <w:rsid w:val="0AA755DF"/>
    <w:rsid w:val="0AC0235E"/>
    <w:rsid w:val="0ACC239D"/>
    <w:rsid w:val="0AF67C54"/>
    <w:rsid w:val="0AFF46F4"/>
    <w:rsid w:val="0B120D44"/>
    <w:rsid w:val="0B1B7A70"/>
    <w:rsid w:val="0B311469"/>
    <w:rsid w:val="0B54466A"/>
    <w:rsid w:val="0B6269AF"/>
    <w:rsid w:val="0B68658B"/>
    <w:rsid w:val="0B9F2076"/>
    <w:rsid w:val="0BAC19CD"/>
    <w:rsid w:val="0BCA3494"/>
    <w:rsid w:val="0BD27BF6"/>
    <w:rsid w:val="0BDA3FD4"/>
    <w:rsid w:val="0BF4069F"/>
    <w:rsid w:val="0C036D14"/>
    <w:rsid w:val="0C381612"/>
    <w:rsid w:val="0C3B3C7D"/>
    <w:rsid w:val="0C547201"/>
    <w:rsid w:val="0C59200B"/>
    <w:rsid w:val="0C5E5EFE"/>
    <w:rsid w:val="0C6C350D"/>
    <w:rsid w:val="0CAB2EAE"/>
    <w:rsid w:val="0CF32EA4"/>
    <w:rsid w:val="0D1D3CF3"/>
    <w:rsid w:val="0D2F50B7"/>
    <w:rsid w:val="0D305579"/>
    <w:rsid w:val="0D47341C"/>
    <w:rsid w:val="0D621C7D"/>
    <w:rsid w:val="0D9E11E4"/>
    <w:rsid w:val="0DBF7CD2"/>
    <w:rsid w:val="0DF76096"/>
    <w:rsid w:val="0DFD3997"/>
    <w:rsid w:val="0E5D6EA0"/>
    <w:rsid w:val="0E5F13EE"/>
    <w:rsid w:val="0E6C5F86"/>
    <w:rsid w:val="0E73034D"/>
    <w:rsid w:val="0E80608C"/>
    <w:rsid w:val="0EB42DE4"/>
    <w:rsid w:val="0F083607"/>
    <w:rsid w:val="0F13775A"/>
    <w:rsid w:val="0F1517C2"/>
    <w:rsid w:val="0F3B1FB3"/>
    <w:rsid w:val="0F4B4695"/>
    <w:rsid w:val="0F5F45FE"/>
    <w:rsid w:val="0F9A112B"/>
    <w:rsid w:val="0F9C1A87"/>
    <w:rsid w:val="0FB54AE7"/>
    <w:rsid w:val="0FC10487"/>
    <w:rsid w:val="0FD50659"/>
    <w:rsid w:val="0FF24D67"/>
    <w:rsid w:val="0FF860F6"/>
    <w:rsid w:val="0FFF56D6"/>
    <w:rsid w:val="100A5921"/>
    <w:rsid w:val="1017513A"/>
    <w:rsid w:val="1039189F"/>
    <w:rsid w:val="104D60AB"/>
    <w:rsid w:val="106D2F64"/>
    <w:rsid w:val="10726ACE"/>
    <w:rsid w:val="10880C6B"/>
    <w:rsid w:val="10987EED"/>
    <w:rsid w:val="10B262A5"/>
    <w:rsid w:val="10B63710"/>
    <w:rsid w:val="10C20F6D"/>
    <w:rsid w:val="10D76532"/>
    <w:rsid w:val="10E85D69"/>
    <w:rsid w:val="10F10820"/>
    <w:rsid w:val="11071A15"/>
    <w:rsid w:val="111C2F7A"/>
    <w:rsid w:val="11501512"/>
    <w:rsid w:val="115D4462"/>
    <w:rsid w:val="11665CA1"/>
    <w:rsid w:val="1169441B"/>
    <w:rsid w:val="11967974"/>
    <w:rsid w:val="11CE0C2B"/>
    <w:rsid w:val="1209283C"/>
    <w:rsid w:val="12317D70"/>
    <w:rsid w:val="123959CD"/>
    <w:rsid w:val="12421618"/>
    <w:rsid w:val="12706417"/>
    <w:rsid w:val="12802AFE"/>
    <w:rsid w:val="128402E9"/>
    <w:rsid w:val="12840907"/>
    <w:rsid w:val="12AB5A1E"/>
    <w:rsid w:val="12B51DEE"/>
    <w:rsid w:val="12DF6902"/>
    <w:rsid w:val="12F459DB"/>
    <w:rsid w:val="12FF4CC4"/>
    <w:rsid w:val="13300448"/>
    <w:rsid w:val="133A4152"/>
    <w:rsid w:val="138F10FE"/>
    <w:rsid w:val="13951726"/>
    <w:rsid w:val="13AB57BF"/>
    <w:rsid w:val="13CB7DA9"/>
    <w:rsid w:val="140D629E"/>
    <w:rsid w:val="14257B5E"/>
    <w:rsid w:val="142962DD"/>
    <w:rsid w:val="142F3C34"/>
    <w:rsid w:val="14377928"/>
    <w:rsid w:val="14396509"/>
    <w:rsid w:val="14771D21"/>
    <w:rsid w:val="14CD2209"/>
    <w:rsid w:val="14DD2C3C"/>
    <w:rsid w:val="14EB174E"/>
    <w:rsid w:val="14F90946"/>
    <w:rsid w:val="14FC201D"/>
    <w:rsid w:val="1528122B"/>
    <w:rsid w:val="154F0566"/>
    <w:rsid w:val="15673B02"/>
    <w:rsid w:val="157D50D3"/>
    <w:rsid w:val="15A120AC"/>
    <w:rsid w:val="15AA0868"/>
    <w:rsid w:val="15AE5ACD"/>
    <w:rsid w:val="15E63943"/>
    <w:rsid w:val="15EC6D4C"/>
    <w:rsid w:val="16087E1D"/>
    <w:rsid w:val="160F2880"/>
    <w:rsid w:val="162C08A7"/>
    <w:rsid w:val="162E0FED"/>
    <w:rsid w:val="163C0AC6"/>
    <w:rsid w:val="1677009D"/>
    <w:rsid w:val="16796819"/>
    <w:rsid w:val="16821794"/>
    <w:rsid w:val="168D3A3C"/>
    <w:rsid w:val="16F4453F"/>
    <w:rsid w:val="16FE0813"/>
    <w:rsid w:val="17384862"/>
    <w:rsid w:val="173A37E4"/>
    <w:rsid w:val="174F1860"/>
    <w:rsid w:val="17701D14"/>
    <w:rsid w:val="17735226"/>
    <w:rsid w:val="1784744F"/>
    <w:rsid w:val="1788427F"/>
    <w:rsid w:val="17CE6D57"/>
    <w:rsid w:val="17E4768B"/>
    <w:rsid w:val="17E624B1"/>
    <w:rsid w:val="1808230B"/>
    <w:rsid w:val="185B4F76"/>
    <w:rsid w:val="189F624C"/>
    <w:rsid w:val="18FE38BD"/>
    <w:rsid w:val="190E6D59"/>
    <w:rsid w:val="190F3767"/>
    <w:rsid w:val="19427C2C"/>
    <w:rsid w:val="19566367"/>
    <w:rsid w:val="1957088A"/>
    <w:rsid w:val="195775C3"/>
    <w:rsid w:val="19B33439"/>
    <w:rsid w:val="1A023DF9"/>
    <w:rsid w:val="1A1C66C0"/>
    <w:rsid w:val="1A42393B"/>
    <w:rsid w:val="1A7C5F3D"/>
    <w:rsid w:val="1A817E7E"/>
    <w:rsid w:val="1A8C1DD9"/>
    <w:rsid w:val="1A923BA0"/>
    <w:rsid w:val="1AAD45DE"/>
    <w:rsid w:val="1AD104D1"/>
    <w:rsid w:val="1ADD0B94"/>
    <w:rsid w:val="1AE6196C"/>
    <w:rsid w:val="1AF40C41"/>
    <w:rsid w:val="1AFF2A2E"/>
    <w:rsid w:val="1B046F80"/>
    <w:rsid w:val="1B2606DC"/>
    <w:rsid w:val="1B2908B7"/>
    <w:rsid w:val="1B3267B5"/>
    <w:rsid w:val="1B3F40A1"/>
    <w:rsid w:val="1B40161D"/>
    <w:rsid w:val="1B441859"/>
    <w:rsid w:val="1B6606B1"/>
    <w:rsid w:val="1B6D18C5"/>
    <w:rsid w:val="1B8B4E82"/>
    <w:rsid w:val="1B9D672E"/>
    <w:rsid w:val="1BA50634"/>
    <w:rsid w:val="1BA979E5"/>
    <w:rsid w:val="1BB92BDD"/>
    <w:rsid w:val="1BB93EB8"/>
    <w:rsid w:val="1C0A168B"/>
    <w:rsid w:val="1C2D14AB"/>
    <w:rsid w:val="1C4D2EEC"/>
    <w:rsid w:val="1C4F16D7"/>
    <w:rsid w:val="1C5E7925"/>
    <w:rsid w:val="1C6030CE"/>
    <w:rsid w:val="1C7F42FD"/>
    <w:rsid w:val="1C927E45"/>
    <w:rsid w:val="1C99656B"/>
    <w:rsid w:val="1C9D0174"/>
    <w:rsid w:val="1CA66DBA"/>
    <w:rsid w:val="1CC23D13"/>
    <w:rsid w:val="1CCF709F"/>
    <w:rsid w:val="1CD032BA"/>
    <w:rsid w:val="1CFD070F"/>
    <w:rsid w:val="1D0E0D07"/>
    <w:rsid w:val="1D202672"/>
    <w:rsid w:val="1D4A4435"/>
    <w:rsid w:val="1D5F6196"/>
    <w:rsid w:val="1D6132A5"/>
    <w:rsid w:val="1D67661D"/>
    <w:rsid w:val="1D8D2B80"/>
    <w:rsid w:val="1D8E56D5"/>
    <w:rsid w:val="1D90796E"/>
    <w:rsid w:val="1DA06B03"/>
    <w:rsid w:val="1DB7139E"/>
    <w:rsid w:val="1DCC1D71"/>
    <w:rsid w:val="1DEB01B8"/>
    <w:rsid w:val="1DED6B6E"/>
    <w:rsid w:val="1DF0665E"/>
    <w:rsid w:val="1E162B7D"/>
    <w:rsid w:val="1E2D1C4F"/>
    <w:rsid w:val="1E2F68D5"/>
    <w:rsid w:val="1E370533"/>
    <w:rsid w:val="1E621476"/>
    <w:rsid w:val="1E747D2D"/>
    <w:rsid w:val="1E7A43DA"/>
    <w:rsid w:val="1E7D6144"/>
    <w:rsid w:val="1E9A6CF6"/>
    <w:rsid w:val="1EA81514"/>
    <w:rsid w:val="1ED06A9D"/>
    <w:rsid w:val="1F2D0591"/>
    <w:rsid w:val="1F78151A"/>
    <w:rsid w:val="1F881CE0"/>
    <w:rsid w:val="1F933643"/>
    <w:rsid w:val="1FB355EB"/>
    <w:rsid w:val="1FCD3B59"/>
    <w:rsid w:val="1FD04999"/>
    <w:rsid w:val="1FE7539E"/>
    <w:rsid w:val="1FEF4E1F"/>
    <w:rsid w:val="1FFE0318"/>
    <w:rsid w:val="204727BE"/>
    <w:rsid w:val="20573441"/>
    <w:rsid w:val="20671BE0"/>
    <w:rsid w:val="207558D8"/>
    <w:rsid w:val="20784E15"/>
    <w:rsid w:val="209029D8"/>
    <w:rsid w:val="20963CB8"/>
    <w:rsid w:val="209E65E7"/>
    <w:rsid w:val="20A81A1B"/>
    <w:rsid w:val="20A84338"/>
    <w:rsid w:val="20B07FB6"/>
    <w:rsid w:val="20B646FB"/>
    <w:rsid w:val="20CA3197"/>
    <w:rsid w:val="20CE2C87"/>
    <w:rsid w:val="212E7BF8"/>
    <w:rsid w:val="213B2595"/>
    <w:rsid w:val="213B74B1"/>
    <w:rsid w:val="215417A8"/>
    <w:rsid w:val="215A2310"/>
    <w:rsid w:val="21603961"/>
    <w:rsid w:val="21A5198C"/>
    <w:rsid w:val="21B416CC"/>
    <w:rsid w:val="21D02A2F"/>
    <w:rsid w:val="21DA38AD"/>
    <w:rsid w:val="21DE318A"/>
    <w:rsid w:val="21DF4849"/>
    <w:rsid w:val="21EF5B80"/>
    <w:rsid w:val="21FC6962"/>
    <w:rsid w:val="22235683"/>
    <w:rsid w:val="224D3971"/>
    <w:rsid w:val="22576990"/>
    <w:rsid w:val="22645EEA"/>
    <w:rsid w:val="2272773F"/>
    <w:rsid w:val="228850B7"/>
    <w:rsid w:val="228A52D3"/>
    <w:rsid w:val="22C34E20"/>
    <w:rsid w:val="22CF0F38"/>
    <w:rsid w:val="22D319D0"/>
    <w:rsid w:val="22D510D2"/>
    <w:rsid w:val="22F47480"/>
    <w:rsid w:val="22F56643"/>
    <w:rsid w:val="22FD1C51"/>
    <w:rsid w:val="23763F4C"/>
    <w:rsid w:val="23985FD7"/>
    <w:rsid w:val="239F0AB2"/>
    <w:rsid w:val="23BB6BBF"/>
    <w:rsid w:val="23DE1C48"/>
    <w:rsid w:val="23FF7385"/>
    <w:rsid w:val="240210CD"/>
    <w:rsid w:val="24526729"/>
    <w:rsid w:val="24613EA2"/>
    <w:rsid w:val="24747FE9"/>
    <w:rsid w:val="247B0214"/>
    <w:rsid w:val="247E3C8E"/>
    <w:rsid w:val="247E76DD"/>
    <w:rsid w:val="248D4EF2"/>
    <w:rsid w:val="249B7F2C"/>
    <w:rsid w:val="24B13C82"/>
    <w:rsid w:val="24BE3012"/>
    <w:rsid w:val="24BF09F7"/>
    <w:rsid w:val="24C74FB8"/>
    <w:rsid w:val="24D66E91"/>
    <w:rsid w:val="24FE5B05"/>
    <w:rsid w:val="2503311B"/>
    <w:rsid w:val="25174F24"/>
    <w:rsid w:val="251C178F"/>
    <w:rsid w:val="252D53FE"/>
    <w:rsid w:val="25351150"/>
    <w:rsid w:val="25CB19DA"/>
    <w:rsid w:val="25E76599"/>
    <w:rsid w:val="25EC2D81"/>
    <w:rsid w:val="26065BCC"/>
    <w:rsid w:val="260809E9"/>
    <w:rsid w:val="263C7598"/>
    <w:rsid w:val="263F7ABD"/>
    <w:rsid w:val="26757AAC"/>
    <w:rsid w:val="26C2534E"/>
    <w:rsid w:val="26D11723"/>
    <w:rsid w:val="26D42FC1"/>
    <w:rsid w:val="275773C6"/>
    <w:rsid w:val="27633147"/>
    <w:rsid w:val="277057A2"/>
    <w:rsid w:val="27796570"/>
    <w:rsid w:val="279369D8"/>
    <w:rsid w:val="27BA2BD8"/>
    <w:rsid w:val="27FF0087"/>
    <w:rsid w:val="28013942"/>
    <w:rsid w:val="280772B0"/>
    <w:rsid w:val="282633A8"/>
    <w:rsid w:val="282F7010"/>
    <w:rsid w:val="283933A9"/>
    <w:rsid w:val="28414686"/>
    <w:rsid w:val="28694363"/>
    <w:rsid w:val="288B18E3"/>
    <w:rsid w:val="28A56F26"/>
    <w:rsid w:val="28F2659B"/>
    <w:rsid w:val="29206EB8"/>
    <w:rsid w:val="29332221"/>
    <w:rsid w:val="2939144B"/>
    <w:rsid w:val="294978E1"/>
    <w:rsid w:val="29595666"/>
    <w:rsid w:val="295B3526"/>
    <w:rsid w:val="29622D86"/>
    <w:rsid w:val="29657F00"/>
    <w:rsid w:val="29874881"/>
    <w:rsid w:val="298C055B"/>
    <w:rsid w:val="29E325E0"/>
    <w:rsid w:val="29F8703B"/>
    <w:rsid w:val="2A266AD9"/>
    <w:rsid w:val="2A2B114A"/>
    <w:rsid w:val="2A377BD6"/>
    <w:rsid w:val="2A3A0527"/>
    <w:rsid w:val="2A452503"/>
    <w:rsid w:val="2A4915D0"/>
    <w:rsid w:val="2A582DE2"/>
    <w:rsid w:val="2A583058"/>
    <w:rsid w:val="2A5E4242"/>
    <w:rsid w:val="2A6102E1"/>
    <w:rsid w:val="2A7E3970"/>
    <w:rsid w:val="2A8E16D9"/>
    <w:rsid w:val="2A9C3E4A"/>
    <w:rsid w:val="2AAA5685"/>
    <w:rsid w:val="2AF676B8"/>
    <w:rsid w:val="2AFF1807"/>
    <w:rsid w:val="2B010C4A"/>
    <w:rsid w:val="2B0A6FB1"/>
    <w:rsid w:val="2B163DB4"/>
    <w:rsid w:val="2B4B1C94"/>
    <w:rsid w:val="2B8A3EC7"/>
    <w:rsid w:val="2B940F71"/>
    <w:rsid w:val="2BA56CDA"/>
    <w:rsid w:val="2BA936A8"/>
    <w:rsid w:val="2BB71400"/>
    <w:rsid w:val="2BBC5615"/>
    <w:rsid w:val="2BE71791"/>
    <w:rsid w:val="2C275941"/>
    <w:rsid w:val="2C2E7758"/>
    <w:rsid w:val="2C315A5A"/>
    <w:rsid w:val="2C3E69A1"/>
    <w:rsid w:val="2C4B1C25"/>
    <w:rsid w:val="2C55425C"/>
    <w:rsid w:val="2C57338F"/>
    <w:rsid w:val="2C760D0B"/>
    <w:rsid w:val="2C967313"/>
    <w:rsid w:val="2CBA6B82"/>
    <w:rsid w:val="2CBF1EDA"/>
    <w:rsid w:val="2CC13E88"/>
    <w:rsid w:val="2CCA30ED"/>
    <w:rsid w:val="2CCA76CE"/>
    <w:rsid w:val="2CCD4E38"/>
    <w:rsid w:val="2CDA7F1A"/>
    <w:rsid w:val="2CEF78CA"/>
    <w:rsid w:val="2CFC6DCE"/>
    <w:rsid w:val="2D012636"/>
    <w:rsid w:val="2D233FE0"/>
    <w:rsid w:val="2D271494"/>
    <w:rsid w:val="2D2D51D9"/>
    <w:rsid w:val="2D4A7B39"/>
    <w:rsid w:val="2D4F60C0"/>
    <w:rsid w:val="2D7D6852"/>
    <w:rsid w:val="2D8172D3"/>
    <w:rsid w:val="2D9E56F5"/>
    <w:rsid w:val="2DAC7B67"/>
    <w:rsid w:val="2DB304BB"/>
    <w:rsid w:val="2DC828C4"/>
    <w:rsid w:val="2DDE0ED0"/>
    <w:rsid w:val="2E007139"/>
    <w:rsid w:val="2E156399"/>
    <w:rsid w:val="2E5B2EA9"/>
    <w:rsid w:val="2E667F96"/>
    <w:rsid w:val="2E8226AB"/>
    <w:rsid w:val="2E8D7F49"/>
    <w:rsid w:val="2EA65243"/>
    <w:rsid w:val="2F4C0517"/>
    <w:rsid w:val="2F7E397D"/>
    <w:rsid w:val="2F827A5E"/>
    <w:rsid w:val="2FA3568B"/>
    <w:rsid w:val="2FA61BBB"/>
    <w:rsid w:val="2FAE0FC6"/>
    <w:rsid w:val="2FD065E6"/>
    <w:rsid w:val="2FD96870"/>
    <w:rsid w:val="2FEF49C8"/>
    <w:rsid w:val="30021656"/>
    <w:rsid w:val="30547245"/>
    <w:rsid w:val="30580BC9"/>
    <w:rsid w:val="306929CC"/>
    <w:rsid w:val="30A0640D"/>
    <w:rsid w:val="30A6777C"/>
    <w:rsid w:val="30AA5742"/>
    <w:rsid w:val="30C020C1"/>
    <w:rsid w:val="30C37274"/>
    <w:rsid w:val="30C61666"/>
    <w:rsid w:val="30E43759"/>
    <w:rsid w:val="30FD39D4"/>
    <w:rsid w:val="310B5831"/>
    <w:rsid w:val="311E2ED7"/>
    <w:rsid w:val="315619EE"/>
    <w:rsid w:val="315C449C"/>
    <w:rsid w:val="31821B16"/>
    <w:rsid w:val="31991D77"/>
    <w:rsid w:val="31B82709"/>
    <w:rsid w:val="31CB34FB"/>
    <w:rsid w:val="31CF4AB1"/>
    <w:rsid w:val="31D05482"/>
    <w:rsid w:val="31DD5420"/>
    <w:rsid w:val="31FD007E"/>
    <w:rsid w:val="31FE46EF"/>
    <w:rsid w:val="31FE65A8"/>
    <w:rsid w:val="321772A1"/>
    <w:rsid w:val="321D40D5"/>
    <w:rsid w:val="323056F7"/>
    <w:rsid w:val="323E301A"/>
    <w:rsid w:val="32400B34"/>
    <w:rsid w:val="32485E37"/>
    <w:rsid w:val="324E146B"/>
    <w:rsid w:val="3279207D"/>
    <w:rsid w:val="327F4353"/>
    <w:rsid w:val="32815A6F"/>
    <w:rsid w:val="329E6876"/>
    <w:rsid w:val="32A80A7D"/>
    <w:rsid w:val="32D3412D"/>
    <w:rsid w:val="332C4A18"/>
    <w:rsid w:val="333015F2"/>
    <w:rsid w:val="334B6320"/>
    <w:rsid w:val="33AD2FC4"/>
    <w:rsid w:val="33AD64C3"/>
    <w:rsid w:val="33B94C82"/>
    <w:rsid w:val="33D934D4"/>
    <w:rsid w:val="33F6261A"/>
    <w:rsid w:val="33FB3D4A"/>
    <w:rsid w:val="33FE2F6A"/>
    <w:rsid w:val="340824FC"/>
    <w:rsid w:val="340E07E5"/>
    <w:rsid w:val="34235BF7"/>
    <w:rsid w:val="34396275"/>
    <w:rsid w:val="34576805"/>
    <w:rsid w:val="34B556B5"/>
    <w:rsid w:val="34C37D1E"/>
    <w:rsid w:val="34CE54F3"/>
    <w:rsid w:val="34D01CEF"/>
    <w:rsid w:val="34D20A5B"/>
    <w:rsid w:val="35043AF2"/>
    <w:rsid w:val="355E0625"/>
    <w:rsid w:val="35763EBD"/>
    <w:rsid w:val="35817C74"/>
    <w:rsid w:val="358C5FA8"/>
    <w:rsid w:val="35AB07CE"/>
    <w:rsid w:val="35AE0533"/>
    <w:rsid w:val="35C15DF1"/>
    <w:rsid w:val="35CD57CD"/>
    <w:rsid w:val="35D8162A"/>
    <w:rsid w:val="35E17369"/>
    <w:rsid w:val="35F25212"/>
    <w:rsid w:val="36074A7F"/>
    <w:rsid w:val="36214A2E"/>
    <w:rsid w:val="36333195"/>
    <w:rsid w:val="36394BEF"/>
    <w:rsid w:val="364F325A"/>
    <w:rsid w:val="365732C7"/>
    <w:rsid w:val="36582B23"/>
    <w:rsid w:val="367A7B72"/>
    <w:rsid w:val="3683427B"/>
    <w:rsid w:val="36923549"/>
    <w:rsid w:val="36A02F26"/>
    <w:rsid w:val="36B75FBF"/>
    <w:rsid w:val="36BB50CB"/>
    <w:rsid w:val="36BD0C45"/>
    <w:rsid w:val="36D81A68"/>
    <w:rsid w:val="36E32978"/>
    <w:rsid w:val="37040CD0"/>
    <w:rsid w:val="37080180"/>
    <w:rsid w:val="372E0CF4"/>
    <w:rsid w:val="378305A9"/>
    <w:rsid w:val="378A63DB"/>
    <w:rsid w:val="37902F95"/>
    <w:rsid w:val="37963E29"/>
    <w:rsid w:val="37A71FAA"/>
    <w:rsid w:val="37CB5724"/>
    <w:rsid w:val="37E00298"/>
    <w:rsid w:val="38130C12"/>
    <w:rsid w:val="38173AC6"/>
    <w:rsid w:val="383107CC"/>
    <w:rsid w:val="3833314B"/>
    <w:rsid w:val="383638C8"/>
    <w:rsid w:val="3837726B"/>
    <w:rsid w:val="385B0E4C"/>
    <w:rsid w:val="387E3538"/>
    <w:rsid w:val="388A508E"/>
    <w:rsid w:val="38A722E3"/>
    <w:rsid w:val="38B302F9"/>
    <w:rsid w:val="38DA1581"/>
    <w:rsid w:val="38F12CD3"/>
    <w:rsid w:val="38F94775"/>
    <w:rsid w:val="391F00CC"/>
    <w:rsid w:val="392971ED"/>
    <w:rsid w:val="39325651"/>
    <w:rsid w:val="394F0285"/>
    <w:rsid w:val="39610C12"/>
    <w:rsid w:val="39695A15"/>
    <w:rsid w:val="396B5912"/>
    <w:rsid w:val="39916AF0"/>
    <w:rsid w:val="39C329C3"/>
    <w:rsid w:val="39D42485"/>
    <w:rsid w:val="39DE3610"/>
    <w:rsid w:val="39F34670"/>
    <w:rsid w:val="39F52A1B"/>
    <w:rsid w:val="3A1C383B"/>
    <w:rsid w:val="3A330E70"/>
    <w:rsid w:val="3A3F7873"/>
    <w:rsid w:val="3A415444"/>
    <w:rsid w:val="3A452C42"/>
    <w:rsid w:val="3A825EC0"/>
    <w:rsid w:val="3A872856"/>
    <w:rsid w:val="3A97532C"/>
    <w:rsid w:val="3AAD7959"/>
    <w:rsid w:val="3AB40CE8"/>
    <w:rsid w:val="3AC01DBC"/>
    <w:rsid w:val="3AE43D43"/>
    <w:rsid w:val="3AFC677B"/>
    <w:rsid w:val="3B0260D3"/>
    <w:rsid w:val="3B1A14A3"/>
    <w:rsid w:val="3B3763D1"/>
    <w:rsid w:val="3B427E5C"/>
    <w:rsid w:val="3B7010B2"/>
    <w:rsid w:val="3B742FF2"/>
    <w:rsid w:val="3B8567E1"/>
    <w:rsid w:val="3BB07701"/>
    <w:rsid w:val="3BBD0467"/>
    <w:rsid w:val="3C081B09"/>
    <w:rsid w:val="3C1C0565"/>
    <w:rsid w:val="3C2F6E1E"/>
    <w:rsid w:val="3C394C36"/>
    <w:rsid w:val="3C3D6ABB"/>
    <w:rsid w:val="3C406845"/>
    <w:rsid w:val="3C4B11D8"/>
    <w:rsid w:val="3C4D13F4"/>
    <w:rsid w:val="3C4F64BA"/>
    <w:rsid w:val="3C6109FB"/>
    <w:rsid w:val="3C7324DC"/>
    <w:rsid w:val="3C7B4680"/>
    <w:rsid w:val="3CBC3E83"/>
    <w:rsid w:val="3CDA245A"/>
    <w:rsid w:val="3CFD7124"/>
    <w:rsid w:val="3D02190C"/>
    <w:rsid w:val="3D0E7A18"/>
    <w:rsid w:val="3D1305E8"/>
    <w:rsid w:val="3D1E06B7"/>
    <w:rsid w:val="3D1E1A76"/>
    <w:rsid w:val="3D2C1009"/>
    <w:rsid w:val="3D4A4FA9"/>
    <w:rsid w:val="3D51281E"/>
    <w:rsid w:val="3D7B789B"/>
    <w:rsid w:val="3DA61A25"/>
    <w:rsid w:val="3DA83C1E"/>
    <w:rsid w:val="3DB42DAD"/>
    <w:rsid w:val="3DC93344"/>
    <w:rsid w:val="3DCB5E8A"/>
    <w:rsid w:val="3DF11955"/>
    <w:rsid w:val="3E0922D3"/>
    <w:rsid w:val="3E22661F"/>
    <w:rsid w:val="3EA6303D"/>
    <w:rsid w:val="3EBE0387"/>
    <w:rsid w:val="3ED01E68"/>
    <w:rsid w:val="3EDA0523"/>
    <w:rsid w:val="3EE940A2"/>
    <w:rsid w:val="3EF142B8"/>
    <w:rsid w:val="3EFA7FC6"/>
    <w:rsid w:val="3F0F3D1E"/>
    <w:rsid w:val="3F1D32FF"/>
    <w:rsid w:val="3FB82EB6"/>
    <w:rsid w:val="3FBB2933"/>
    <w:rsid w:val="3FD8425A"/>
    <w:rsid w:val="3FDC26AA"/>
    <w:rsid w:val="3FFE1D6B"/>
    <w:rsid w:val="400929E9"/>
    <w:rsid w:val="405C176B"/>
    <w:rsid w:val="4066403F"/>
    <w:rsid w:val="4071000B"/>
    <w:rsid w:val="407A6407"/>
    <w:rsid w:val="407D392A"/>
    <w:rsid w:val="4089597C"/>
    <w:rsid w:val="409741EB"/>
    <w:rsid w:val="409B0664"/>
    <w:rsid w:val="409D33F8"/>
    <w:rsid w:val="40A435AC"/>
    <w:rsid w:val="40A86BF9"/>
    <w:rsid w:val="40BB6C9A"/>
    <w:rsid w:val="40D3171C"/>
    <w:rsid w:val="41044264"/>
    <w:rsid w:val="4117496F"/>
    <w:rsid w:val="412A13B6"/>
    <w:rsid w:val="41421D5F"/>
    <w:rsid w:val="4147403D"/>
    <w:rsid w:val="41687DA8"/>
    <w:rsid w:val="41834359"/>
    <w:rsid w:val="41A872D6"/>
    <w:rsid w:val="41AB6823"/>
    <w:rsid w:val="41BF26DA"/>
    <w:rsid w:val="41D025F0"/>
    <w:rsid w:val="41EF57BD"/>
    <w:rsid w:val="4200449D"/>
    <w:rsid w:val="4206515C"/>
    <w:rsid w:val="422229DB"/>
    <w:rsid w:val="422C63EB"/>
    <w:rsid w:val="423A3BCC"/>
    <w:rsid w:val="424219C4"/>
    <w:rsid w:val="424E57D2"/>
    <w:rsid w:val="42572AFB"/>
    <w:rsid w:val="42672AE3"/>
    <w:rsid w:val="426E45CA"/>
    <w:rsid w:val="42703746"/>
    <w:rsid w:val="42781771"/>
    <w:rsid w:val="42881AA6"/>
    <w:rsid w:val="429A7734"/>
    <w:rsid w:val="42B26C49"/>
    <w:rsid w:val="433557CD"/>
    <w:rsid w:val="433A6FE6"/>
    <w:rsid w:val="43476CB6"/>
    <w:rsid w:val="43480868"/>
    <w:rsid w:val="434E3DD4"/>
    <w:rsid w:val="4350713C"/>
    <w:rsid w:val="4356566F"/>
    <w:rsid w:val="435F0C7D"/>
    <w:rsid w:val="436653E0"/>
    <w:rsid w:val="43716024"/>
    <w:rsid w:val="43730CC1"/>
    <w:rsid w:val="439C7F9A"/>
    <w:rsid w:val="43AF32DF"/>
    <w:rsid w:val="43C4431A"/>
    <w:rsid w:val="43E24223"/>
    <w:rsid w:val="441647C1"/>
    <w:rsid w:val="44330ECF"/>
    <w:rsid w:val="44437BC7"/>
    <w:rsid w:val="4454372B"/>
    <w:rsid w:val="44715D6A"/>
    <w:rsid w:val="448E3D1D"/>
    <w:rsid w:val="449D459A"/>
    <w:rsid w:val="44B951CC"/>
    <w:rsid w:val="44CD14E0"/>
    <w:rsid w:val="44D47A4A"/>
    <w:rsid w:val="44E93A5D"/>
    <w:rsid w:val="44F20B0B"/>
    <w:rsid w:val="450E5003"/>
    <w:rsid w:val="452E5F4C"/>
    <w:rsid w:val="45374A76"/>
    <w:rsid w:val="45612018"/>
    <w:rsid w:val="456908BB"/>
    <w:rsid w:val="457E1CB3"/>
    <w:rsid w:val="458946E9"/>
    <w:rsid w:val="458F5039"/>
    <w:rsid w:val="459B4B29"/>
    <w:rsid w:val="45A47C0E"/>
    <w:rsid w:val="45BE0C6C"/>
    <w:rsid w:val="45C80314"/>
    <w:rsid w:val="45EC43C4"/>
    <w:rsid w:val="46153825"/>
    <w:rsid w:val="46186134"/>
    <w:rsid w:val="46192BC4"/>
    <w:rsid w:val="46385EE9"/>
    <w:rsid w:val="464F5D68"/>
    <w:rsid w:val="46537E03"/>
    <w:rsid w:val="46577FD6"/>
    <w:rsid w:val="465A72B1"/>
    <w:rsid w:val="46731974"/>
    <w:rsid w:val="469770BD"/>
    <w:rsid w:val="46B42853"/>
    <w:rsid w:val="46D955A7"/>
    <w:rsid w:val="46DA3884"/>
    <w:rsid w:val="46EC04F8"/>
    <w:rsid w:val="46FE4680"/>
    <w:rsid w:val="47094169"/>
    <w:rsid w:val="47133957"/>
    <w:rsid w:val="472162E4"/>
    <w:rsid w:val="474A246F"/>
    <w:rsid w:val="477B5F15"/>
    <w:rsid w:val="479C322F"/>
    <w:rsid w:val="47A07E0C"/>
    <w:rsid w:val="47DC50FD"/>
    <w:rsid w:val="48030BB8"/>
    <w:rsid w:val="48166B3E"/>
    <w:rsid w:val="482245B9"/>
    <w:rsid w:val="4870272E"/>
    <w:rsid w:val="487148FF"/>
    <w:rsid w:val="488E7654"/>
    <w:rsid w:val="48975774"/>
    <w:rsid w:val="48A24875"/>
    <w:rsid w:val="48CC18F2"/>
    <w:rsid w:val="48E5096A"/>
    <w:rsid w:val="48F00CFF"/>
    <w:rsid w:val="48F549A5"/>
    <w:rsid w:val="49014AED"/>
    <w:rsid w:val="49117305"/>
    <w:rsid w:val="49137521"/>
    <w:rsid w:val="498530BE"/>
    <w:rsid w:val="498F38BE"/>
    <w:rsid w:val="49B54BA8"/>
    <w:rsid w:val="49B67CA8"/>
    <w:rsid w:val="49DC7715"/>
    <w:rsid w:val="49E05097"/>
    <w:rsid w:val="49EF5898"/>
    <w:rsid w:val="4A023139"/>
    <w:rsid w:val="4A5716F8"/>
    <w:rsid w:val="4A5A3051"/>
    <w:rsid w:val="4A743FEF"/>
    <w:rsid w:val="4A7B576F"/>
    <w:rsid w:val="4A983CDB"/>
    <w:rsid w:val="4AE45B2B"/>
    <w:rsid w:val="4AF561A9"/>
    <w:rsid w:val="4AFA031C"/>
    <w:rsid w:val="4AFC2B80"/>
    <w:rsid w:val="4B0E78FD"/>
    <w:rsid w:val="4B1B446B"/>
    <w:rsid w:val="4B894B82"/>
    <w:rsid w:val="4BB453FF"/>
    <w:rsid w:val="4BCA036B"/>
    <w:rsid w:val="4BD415B0"/>
    <w:rsid w:val="4BDC5725"/>
    <w:rsid w:val="4BEC745B"/>
    <w:rsid w:val="4BEF39E7"/>
    <w:rsid w:val="4C0F51A9"/>
    <w:rsid w:val="4C1E7726"/>
    <w:rsid w:val="4C3A4765"/>
    <w:rsid w:val="4C4A0649"/>
    <w:rsid w:val="4C7A26F4"/>
    <w:rsid w:val="4C7D53DD"/>
    <w:rsid w:val="4C7E5ECA"/>
    <w:rsid w:val="4C7F0446"/>
    <w:rsid w:val="4C876AA5"/>
    <w:rsid w:val="4CB71CDB"/>
    <w:rsid w:val="4CBC51DD"/>
    <w:rsid w:val="4CF57C64"/>
    <w:rsid w:val="4D035956"/>
    <w:rsid w:val="4D08244C"/>
    <w:rsid w:val="4D0E00FB"/>
    <w:rsid w:val="4D176606"/>
    <w:rsid w:val="4D3D5F9A"/>
    <w:rsid w:val="4D6445F1"/>
    <w:rsid w:val="4D7367E0"/>
    <w:rsid w:val="4D886B44"/>
    <w:rsid w:val="4D9508EF"/>
    <w:rsid w:val="4DAA338D"/>
    <w:rsid w:val="4DEC4FB0"/>
    <w:rsid w:val="4E075D8A"/>
    <w:rsid w:val="4E125518"/>
    <w:rsid w:val="4E157897"/>
    <w:rsid w:val="4E1E04FA"/>
    <w:rsid w:val="4E3E4D42"/>
    <w:rsid w:val="4E473EF5"/>
    <w:rsid w:val="4E4F2A50"/>
    <w:rsid w:val="4E83548F"/>
    <w:rsid w:val="4E8A40BE"/>
    <w:rsid w:val="4E902622"/>
    <w:rsid w:val="4EC00FAD"/>
    <w:rsid w:val="4EF52F4C"/>
    <w:rsid w:val="4F007B20"/>
    <w:rsid w:val="4F6939F7"/>
    <w:rsid w:val="4F876A67"/>
    <w:rsid w:val="4F9843DC"/>
    <w:rsid w:val="4FAD422B"/>
    <w:rsid w:val="4FB96E6B"/>
    <w:rsid w:val="4FC62A8C"/>
    <w:rsid w:val="4FE20F0D"/>
    <w:rsid w:val="4FE51552"/>
    <w:rsid w:val="4FED4628"/>
    <w:rsid w:val="4FFE5101"/>
    <w:rsid w:val="5040654F"/>
    <w:rsid w:val="50504C4B"/>
    <w:rsid w:val="50662B74"/>
    <w:rsid w:val="5083312A"/>
    <w:rsid w:val="50901457"/>
    <w:rsid w:val="509166B3"/>
    <w:rsid w:val="509B22D6"/>
    <w:rsid w:val="509C6E7C"/>
    <w:rsid w:val="50CE392A"/>
    <w:rsid w:val="50FD540C"/>
    <w:rsid w:val="51157B6D"/>
    <w:rsid w:val="5140693D"/>
    <w:rsid w:val="5162104E"/>
    <w:rsid w:val="5165658D"/>
    <w:rsid w:val="518279A9"/>
    <w:rsid w:val="51873098"/>
    <w:rsid w:val="51972CF4"/>
    <w:rsid w:val="51DC193F"/>
    <w:rsid w:val="51F003FF"/>
    <w:rsid w:val="52052D1F"/>
    <w:rsid w:val="52320A18"/>
    <w:rsid w:val="523C53F3"/>
    <w:rsid w:val="5249422C"/>
    <w:rsid w:val="524E4C50"/>
    <w:rsid w:val="525F49CC"/>
    <w:rsid w:val="52694EC1"/>
    <w:rsid w:val="52907045"/>
    <w:rsid w:val="52AA2CA4"/>
    <w:rsid w:val="52B96E6E"/>
    <w:rsid w:val="52FB3500"/>
    <w:rsid w:val="52FE6B4C"/>
    <w:rsid w:val="532F30EC"/>
    <w:rsid w:val="5334256E"/>
    <w:rsid w:val="53A039CC"/>
    <w:rsid w:val="53A1505A"/>
    <w:rsid w:val="53DA5AFE"/>
    <w:rsid w:val="54022FCE"/>
    <w:rsid w:val="54063E08"/>
    <w:rsid w:val="54181E8F"/>
    <w:rsid w:val="541C372E"/>
    <w:rsid w:val="54326EA4"/>
    <w:rsid w:val="54342435"/>
    <w:rsid w:val="543437E8"/>
    <w:rsid w:val="543C654A"/>
    <w:rsid w:val="54890159"/>
    <w:rsid w:val="54A674F1"/>
    <w:rsid w:val="54B707B4"/>
    <w:rsid w:val="54DE2F24"/>
    <w:rsid w:val="54E2107C"/>
    <w:rsid w:val="54F621D1"/>
    <w:rsid w:val="54F70F79"/>
    <w:rsid w:val="54F73313"/>
    <w:rsid w:val="54F80955"/>
    <w:rsid w:val="552E7C91"/>
    <w:rsid w:val="55361F11"/>
    <w:rsid w:val="554F7B33"/>
    <w:rsid w:val="555170A7"/>
    <w:rsid w:val="55574CCF"/>
    <w:rsid w:val="558660AA"/>
    <w:rsid w:val="5587536D"/>
    <w:rsid w:val="558F7DC5"/>
    <w:rsid w:val="559B174B"/>
    <w:rsid w:val="55A7171D"/>
    <w:rsid w:val="55CE0CF4"/>
    <w:rsid w:val="55E738C7"/>
    <w:rsid w:val="56060BDC"/>
    <w:rsid w:val="56393B78"/>
    <w:rsid w:val="56633896"/>
    <w:rsid w:val="56717635"/>
    <w:rsid w:val="567322BA"/>
    <w:rsid w:val="56755377"/>
    <w:rsid w:val="56884FC8"/>
    <w:rsid w:val="569D6149"/>
    <w:rsid w:val="56AD10C8"/>
    <w:rsid w:val="56B22A9C"/>
    <w:rsid w:val="56D67B97"/>
    <w:rsid w:val="572C3F3F"/>
    <w:rsid w:val="57563CB6"/>
    <w:rsid w:val="575E6FFD"/>
    <w:rsid w:val="576E3DB8"/>
    <w:rsid w:val="57863EE4"/>
    <w:rsid w:val="57982E9C"/>
    <w:rsid w:val="57B72A76"/>
    <w:rsid w:val="57B7532A"/>
    <w:rsid w:val="57C3426C"/>
    <w:rsid w:val="57CE1F93"/>
    <w:rsid w:val="57D0621E"/>
    <w:rsid w:val="57D95BB1"/>
    <w:rsid w:val="57DD4959"/>
    <w:rsid w:val="57E14298"/>
    <w:rsid w:val="57FF139C"/>
    <w:rsid w:val="580A773B"/>
    <w:rsid w:val="580C3AB9"/>
    <w:rsid w:val="58160494"/>
    <w:rsid w:val="581B5AAA"/>
    <w:rsid w:val="586F5D6C"/>
    <w:rsid w:val="588743D1"/>
    <w:rsid w:val="5887701A"/>
    <w:rsid w:val="58A8054E"/>
    <w:rsid w:val="58AF094F"/>
    <w:rsid w:val="58C114B4"/>
    <w:rsid w:val="58F96265"/>
    <w:rsid w:val="58FB75DE"/>
    <w:rsid w:val="58FF28DE"/>
    <w:rsid w:val="590F7FA3"/>
    <w:rsid w:val="59203EBC"/>
    <w:rsid w:val="59676679"/>
    <w:rsid w:val="59817DB2"/>
    <w:rsid w:val="598D6A8B"/>
    <w:rsid w:val="598E6955"/>
    <w:rsid w:val="599B6EA3"/>
    <w:rsid w:val="59BB5797"/>
    <w:rsid w:val="59BD150F"/>
    <w:rsid w:val="59C0439F"/>
    <w:rsid w:val="59C55518"/>
    <w:rsid w:val="59D14FBA"/>
    <w:rsid w:val="59D36007"/>
    <w:rsid w:val="5A1A3FE3"/>
    <w:rsid w:val="5A542060"/>
    <w:rsid w:val="5A767910"/>
    <w:rsid w:val="5A781B28"/>
    <w:rsid w:val="5A816250"/>
    <w:rsid w:val="5A8E79AB"/>
    <w:rsid w:val="5A9E57BB"/>
    <w:rsid w:val="5AA846AB"/>
    <w:rsid w:val="5AB34587"/>
    <w:rsid w:val="5AB86ED3"/>
    <w:rsid w:val="5ABE2233"/>
    <w:rsid w:val="5AC1330B"/>
    <w:rsid w:val="5AD3413E"/>
    <w:rsid w:val="5AF0321E"/>
    <w:rsid w:val="5AFD593B"/>
    <w:rsid w:val="5B18348D"/>
    <w:rsid w:val="5B1C1AF7"/>
    <w:rsid w:val="5B512782"/>
    <w:rsid w:val="5B7C6694"/>
    <w:rsid w:val="5BA32FE4"/>
    <w:rsid w:val="5BAF4E87"/>
    <w:rsid w:val="5BB478E2"/>
    <w:rsid w:val="5BBF6F1B"/>
    <w:rsid w:val="5BC0241E"/>
    <w:rsid w:val="5BC07095"/>
    <w:rsid w:val="5BC1147D"/>
    <w:rsid w:val="5BC158FB"/>
    <w:rsid w:val="5BCC74AF"/>
    <w:rsid w:val="5BCF536E"/>
    <w:rsid w:val="5BDF5D95"/>
    <w:rsid w:val="5BFE7528"/>
    <w:rsid w:val="5C007CAF"/>
    <w:rsid w:val="5C0827EA"/>
    <w:rsid w:val="5C6E6AF1"/>
    <w:rsid w:val="5CAC586B"/>
    <w:rsid w:val="5CB306AB"/>
    <w:rsid w:val="5CBB2094"/>
    <w:rsid w:val="5CBC5AAE"/>
    <w:rsid w:val="5CD61820"/>
    <w:rsid w:val="5D270949"/>
    <w:rsid w:val="5D3715D8"/>
    <w:rsid w:val="5D485594"/>
    <w:rsid w:val="5D5418FE"/>
    <w:rsid w:val="5D606C47"/>
    <w:rsid w:val="5D7B180B"/>
    <w:rsid w:val="5D8875C1"/>
    <w:rsid w:val="5DA16CAF"/>
    <w:rsid w:val="5DA402F0"/>
    <w:rsid w:val="5DB54270"/>
    <w:rsid w:val="5E004BFD"/>
    <w:rsid w:val="5E195734"/>
    <w:rsid w:val="5E1F4A20"/>
    <w:rsid w:val="5E2467F1"/>
    <w:rsid w:val="5E3D49CC"/>
    <w:rsid w:val="5E435999"/>
    <w:rsid w:val="5E4D3610"/>
    <w:rsid w:val="5E856BD1"/>
    <w:rsid w:val="5E8E347A"/>
    <w:rsid w:val="5EBB7FE7"/>
    <w:rsid w:val="5EC70711"/>
    <w:rsid w:val="5EE57575"/>
    <w:rsid w:val="5EFD5F0A"/>
    <w:rsid w:val="5F1527E7"/>
    <w:rsid w:val="5F1A2B43"/>
    <w:rsid w:val="5F322E09"/>
    <w:rsid w:val="5F323EEB"/>
    <w:rsid w:val="5F367F01"/>
    <w:rsid w:val="5F750471"/>
    <w:rsid w:val="5F907B68"/>
    <w:rsid w:val="5FB76A00"/>
    <w:rsid w:val="5FB837BB"/>
    <w:rsid w:val="5FC16118"/>
    <w:rsid w:val="5FD90725"/>
    <w:rsid w:val="5FE13A7D"/>
    <w:rsid w:val="6009355C"/>
    <w:rsid w:val="600E7F5D"/>
    <w:rsid w:val="60827C38"/>
    <w:rsid w:val="6099704E"/>
    <w:rsid w:val="60CC028A"/>
    <w:rsid w:val="60CC405A"/>
    <w:rsid w:val="60FB691F"/>
    <w:rsid w:val="61025A59"/>
    <w:rsid w:val="61343CE2"/>
    <w:rsid w:val="615158B3"/>
    <w:rsid w:val="615E05C0"/>
    <w:rsid w:val="616E2D5E"/>
    <w:rsid w:val="61715597"/>
    <w:rsid w:val="61850577"/>
    <w:rsid w:val="6197270E"/>
    <w:rsid w:val="619A0388"/>
    <w:rsid w:val="61A11716"/>
    <w:rsid w:val="61D04CEA"/>
    <w:rsid w:val="61E215D8"/>
    <w:rsid w:val="621B3775"/>
    <w:rsid w:val="622720EB"/>
    <w:rsid w:val="62364782"/>
    <w:rsid w:val="624A317C"/>
    <w:rsid w:val="625A2EEB"/>
    <w:rsid w:val="625A3B56"/>
    <w:rsid w:val="62645BED"/>
    <w:rsid w:val="628202AE"/>
    <w:rsid w:val="62CB609F"/>
    <w:rsid w:val="62DA4EE0"/>
    <w:rsid w:val="62FB72E3"/>
    <w:rsid w:val="63247F09"/>
    <w:rsid w:val="634A0DD6"/>
    <w:rsid w:val="634B1DCB"/>
    <w:rsid w:val="635D233B"/>
    <w:rsid w:val="6373518F"/>
    <w:rsid w:val="63835FBF"/>
    <w:rsid w:val="6394356A"/>
    <w:rsid w:val="63AF5C83"/>
    <w:rsid w:val="63C065F8"/>
    <w:rsid w:val="63C61B2C"/>
    <w:rsid w:val="63D40BE9"/>
    <w:rsid w:val="63D53B77"/>
    <w:rsid w:val="63D94EDB"/>
    <w:rsid w:val="63E63605"/>
    <w:rsid w:val="63E80775"/>
    <w:rsid w:val="63FA72E8"/>
    <w:rsid w:val="64102431"/>
    <w:rsid w:val="64223BEF"/>
    <w:rsid w:val="64301754"/>
    <w:rsid w:val="6472739A"/>
    <w:rsid w:val="64A12DA7"/>
    <w:rsid w:val="64A5243A"/>
    <w:rsid w:val="64D8391C"/>
    <w:rsid w:val="64E57735"/>
    <w:rsid w:val="64F531DE"/>
    <w:rsid w:val="6516562F"/>
    <w:rsid w:val="65256B3E"/>
    <w:rsid w:val="65373578"/>
    <w:rsid w:val="654A67B3"/>
    <w:rsid w:val="655068C5"/>
    <w:rsid w:val="656F460A"/>
    <w:rsid w:val="65AE58D2"/>
    <w:rsid w:val="65B42E1D"/>
    <w:rsid w:val="65D5198E"/>
    <w:rsid w:val="660C498C"/>
    <w:rsid w:val="664D3C1B"/>
    <w:rsid w:val="667C1434"/>
    <w:rsid w:val="66AD0763"/>
    <w:rsid w:val="66B141AA"/>
    <w:rsid w:val="66D449CF"/>
    <w:rsid w:val="671F124A"/>
    <w:rsid w:val="67446533"/>
    <w:rsid w:val="675016AD"/>
    <w:rsid w:val="676254A4"/>
    <w:rsid w:val="677A33C6"/>
    <w:rsid w:val="67D363A2"/>
    <w:rsid w:val="67E57B10"/>
    <w:rsid w:val="67EB5240"/>
    <w:rsid w:val="67EF2937"/>
    <w:rsid w:val="67F45FB1"/>
    <w:rsid w:val="68025295"/>
    <w:rsid w:val="68026250"/>
    <w:rsid w:val="681F6961"/>
    <w:rsid w:val="683A6742"/>
    <w:rsid w:val="68610A2F"/>
    <w:rsid w:val="686F6420"/>
    <w:rsid w:val="68701E42"/>
    <w:rsid w:val="68805514"/>
    <w:rsid w:val="689C6793"/>
    <w:rsid w:val="68EE1667"/>
    <w:rsid w:val="68F14DB5"/>
    <w:rsid w:val="69140A20"/>
    <w:rsid w:val="691517E4"/>
    <w:rsid w:val="691F3B13"/>
    <w:rsid w:val="69316E2F"/>
    <w:rsid w:val="6933534A"/>
    <w:rsid w:val="69414646"/>
    <w:rsid w:val="694E2071"/>
    <w:rsid w:val="69766163"/>
    <w:rsid w:val="697A3B33"/>
    <w:rsid w:val="699E714C"/>
    <w:rsid w:val="699F0B6B"/>
    <w:rsid w:val="69A43F48"/>
    <w:rsid w:val="69C73CE4"/>
    <w:rsid w:val="69D44760"/>
    <w:rsid w:val="69E50B3A"/>
    <w:rsid w:val="69EB029B"/>
    <w:rsid w:val="6A520EC7"/>
    <w:rsid w:val="6A5710F3"/>
    <w:rsid w:val="6A68712F"/>
    <w:rsid w:val="6ABE4573"/>
    <w:rsid w:val="6AE8261D"/>
    <w:rsid w:val="6AF57C8C"/>
    <w:rsid w:val="6AF87E20"/>
    <w:rsid w:val="6AFC176B"/>
    <w:rsid w:val="6B0B1692"/>
    <w:rsid w:val="6B105BD0"/>
    <w:rsid w:val="6B166CD1"/>
    <w:rsid w:val="6B170F37"/>
    <w:rsid w:val="6B2A63D6"/>
    <w:rsid w:val="6B322639"/>
    <w:rsid w:val="6B4C4AE6"/>
    <w:rsid w:val="6B535628"/>
    <w:rsid w:val="6B535D1B"/>
    <w:rsid w:val="6B6D6D93"/>
    <w:rsid w:val="6B797C97"/>
    <w:rsid w:val="6B9D4CFC"/>
    <w:rsid w:val="6B9F6CC6"/>
    <w:rsid w:val="6BC50FDA"/>
    <w:rsid w:val="6BCF02CD"/>
    <w:rsid w:val="6C381594"/>
    <w:rsid w:val="6C636C38"/>
    <w:rsid w:val="6C9C2E87"/>
    <w:rsid w:val="6CA248BD"/>
    <w:rsid w:val="6CBA1C8C"/>
    <w:rsid w:val="6CC268D7"/>
    <w:rsid w:val="6D293E7A"/>
    <w:rsid w:val="6D4C4C2C"/>
    <w:rsid w:val="6DB34098"/>
    <w:rsid w:val="6DB545B6"/>
    <w:rsid w:val="6DD212A7"/>
    <w:rsid w:val="6DE02FB4"/>
    <w:rsid w:val="6DF260F8"/>
    <w:rsid w:val="6DFA6436"/>
    <w:rsid w:val="6E2E57DF"/>
    <w:rsid w:val="6E3D4902"/>
    <w:rsid w:val="6E4B4084"/>
    <w:rsid w:val="6E514CED"/>
    <w:rsid w:val="6E6828A9"/>
    <w:rsid w:val="6E9E061F"/>
    <w:rsid w:val="6EB563D5"/>
    <w:rsid w:val="6EBA4CB3"/>
    <w:rsid w:val="6ED5083E"/>
    <w:rsid w:val="6ED924EF"/>
    <w:rsid w:val="6ED92677"/>
    <w:rsid w:val="6F214FC3"/>
    <w:rsid w:val="6F225983"/>
    <w:rsid w:val="6F2B261F"/>
    <w:rsid w:val="6F2C5207"/>
    <w:rsid w:val="6F5F3EE0"/>
    <w:rsid w:val="6F676472"/>
    <w:rsid w:val="6F6B4AB9"/>
    <w:rsid w:val="6F74473E"/>
    <w:rsid w:val="6F886237"/>
    <w:rsid w:val="6F9E1043"/>
    <w:rsid w:val="6FA521ED"/>
    <w:rsid w:val="6FD03FAE"/>
    <w:rsid w:val="6FFC5590"/>
    <w:rsid w:val="700B4014"/>
    <w:rsid w:val="701C726D"/>
    <w:rsid w:val="702D7E69"/>
    <w:rsid w:val="703462F3"/>
    <w:rsid w:val="703A0AFE"/>
    <w:rsid w:val="706D1DD0"/>
    <w:rsid w:val="70856B87"/>
    <w:rsid w:val="70CD02BD"/>
    <w:rsid w:val="70D527EE"/>
    <w:rsid w:val="70DC68F1"/>
    <w:rsid w:val="710D6480"/>
    <w:rsid w:val="71162540"/>
    <w:rsid w:val="715B5300"/>
    <w:rsid w:val="715B7BFD"/>
    <w:rsid w:val="71916308"/>
    <w:rsid w:val="71956476"/>
    <w:rsid w:val="719D0AE2"/>
    <w:rsid w:val="71C40F54"/>
    <w:rsid w:val="71C86406"/>
    <w:rsid w:val="71D27F8A"/>
    <w:rsid w:val="71D65C41"/>
    <w:rsid w:val="71E511AB"/>
    <w:rsid w:val="71F3502F"/>
    <w:rsid w:val="720D3028"/>
    <w:rsid w:val="72553024"/>
    <w:rsid w:val="72581B15"/>
    <w:rsid w:val="725B146D"/>
    <w:rsid w:val="72605A1C"/>
    <w:rsid w:val="726245AA"/>
    <w:rsid w:val="729A3797"/>
    <w:rsid w:val="729D55E2"/>
    <w:rsid w:val="72A81BF6"/>
    <w:rsid w:val="72AC5DEC"/>
    <w:rsid w:val="72BE1FC1"/>
    <w:rsid w:val="73122968"/>
    <w:rsid w:val="731B42E8"/>
    <w:rsid w:val="731F5D5E"/>
    <w:rsid w:val="73260050"/>
    <w:rsid w:val="7366593F"/>
    <w:rsid w:val="738A6720"/>
    <w:rsid w:val="73B372FF"/>
    <w:rsid w:val="73BD51B3"/>
    <w:rsid w:val="73C51AD5"/>
    <w:rsid w:val="73D62EFE"/>
    <w:rsid w:val="73E16E49"/>
    <w:rsid w:val="73EB45F0"/>
    <w:rsid w:val="740F6E0E"/>
    <w:rsid w:val="741E793C"/>
    <w:rsid w:val="74514836"/>
    <w:rsid w:val="745E3944"/>
    <w:rsid w:val="746731C5"/>
    <w:rsid w:val="746A386C"/>
    <w:rsid w:val="748163B3"/>
    <w:rsid w:val="74842BFC"/>
    <w:rsid w:val="748A428C"/>
    <w:rsid w:val="7499627D"/>
    <w:rsid w:val="74B675E5"/>
    <w:rsid w:val="75046BAE"/>
    <w:rsid w:val="752E0831"/>
    <w:rsid w:val="753B54F0"/>
    <w:rsid w:val="756C0561"/>
    <w:rsid w:val="75800C68"/>
    <w:rsid w:val="75A923CE"/>
    <w:rsid w:val="75BC41FA"/>
    <w:rsid w:val="75D05CCE"/>
    <w:rsid w:val="75EF20B7"/>
    <w:rsid w:val="75EF7FE9"/>
    <w:rsid w:val="76114604"/>
    <w:rsid w:val="7635099D"/>
    <w:rsid w:val="763628A7"/>
    <w:rsid w:val="763B04FD"/>
    <w:rsid w:val="763C0D8D"/>
    <w:rsid w:val="763E2648"/>
    <w:rsid w:val="76583251"/>
    <w:rsid w:val="765A3416"/>
    <w:rsid w:val="76716610"/>
    <w:rsid w:val="76A16046"/>
    <w:rsid w:val="76B25651"/>
    <w:rsid w:val="76F459ED"/>
    <w:rsid w:val="77181CE9"/>
    <w:rsid w:val="771F416D"/>
    <w:rsid w:val="7723445D"/>
    <w:rsid w:val="774F4C86"/>
    <w:rsid w:val="77762421"/>
    <w:rsid w:val="77955421"/>
    <w:rsid w:val="77980A6E"/>
    <w:rsid w:val="77B56B1F"/>
    <w:rsid w:val="77C71A27"/>
    <w:rsid w:val="77C71BAD"/>
    <w:rsid w:val="77D01900"/>
    <w:rsid w:val="780F09F4"/>
    <w:rsid w:val="78146346"/>
    <w:rsid w:val="78147BBF"/>
    <w:rsid w:val="7824158D"/>
    <w:rsid w:val="78615304"/>
    <w:rsid w:val="78986F77"/>
    <w:rsid w:val="78A90480"/>
    <w:rsid w:val="78E26444"/>
    <w:rsid w:val="79125C43"/>
    <w:rsid w:val="79202912"/>
    <w:rsid w:val="79233D2D"/>
    <w:rsid w:val="792478CA"/>
    <w:rsid w:val="79272AC6"/>
    <w:rsid w:val="7975442E"/>
    <w:rsid w:val="79B5100C"/>
    <w:rsid w:val="79D375E5"/>
    <w:rsid w:val="79F24465"/>
    <w:rsid w:val="79F5163C"/>
    <w:rsid w:val="7A044C7C"/>
    <w:rsid w:val="7A0B6A0F"/>
    <w:rsid w:val="7A0F01B1"/>
    <w:rsid w:val="7A1845EE"/>
    <w:rsid w:val="7A24370C"/>
    <w:rsid w:val="7A364017"/>
    <w:rsid w:val="7A39347C"/>
    <w:rsid w:val="7A3A38FF"/>
    <w:rsid w:val="7A5A025C"/>
    <w:rsid w:val="7A813A3B"/>
    <w:rsid w:val="7A8265E1"/>
    <w:rsid w:val="7AC027B5"/>
    <w:rsid w:val="7ACC376D"/>
    <w:rsid w:val="7B512E8E"/>
    <w:rsid w:val="7B59095D"/>
    <w:rsid w:val="7B686D42"/>
    <w:rsid w:val="7B841746"/>
    <w:rsid w:val="7B8C602F"/>
    <w:rsid w:val="7B94601E"/>
    <w:rsid w:val="7B965ED6"/>
    <w:rsid w:val="7BB36ED2"/>
    <w:rsid w:val="7BD5403F"/>
    <w:rsid w:val="7BF17930"/>
    <w:rsid w:val="7C49114F"/>
    <w:rsid w:val="7C66650D"/>
    <w:rsid w:val="7C6C5AC7"/>
    <w:rsid w:val="7C7B3F5E"/>
    <w:rsid w:val="7CA87DEB"/>
    <w:rsid w:val="7CC21985"/>
    <w:rsid w:val="7CC6544B"/>
    <w:rsid w:val="7CCB1F54"/>
    <w:rsid w:val="7CD82038"/>
    <w:rsid w:val="7CE41794"/>
    <w:rsid w:val="7D0239FF"/>
    <w:rsid w:val="7D052A0C"/>
    <w:rsid w:val="7D0831F9"/>
    <w:rsid w:val="7D171AF4"/>
    <w:rsid w:val="7D1F73D2"/>
    <w:rsid w:val="7D28155C"/>
    <w:rsid w:val="7D3A4FDA"/>
    <w:rsid w:val="7D3D1598"/>
    <w:rsid w:val="7D4067C0"/>
    <w:rsid w:val="7D5D5C27"/>
    <w:rsid w:val="7D5E40CD"/>
    <w:rsid w:val="7D6438CC"/>
    <w:rsid w:val="7D6F6351"/>
    <w:rsid w:val="7D735F23"/>
    <w:rsid w:val="7D7B2B9E"/>
    <w:rsid w:val="7D823D52"/>
    <w:rsid w:val="7D8E0949"/>
    <w:rsid w:val="7D9D40C2"/>
    <w:rsid w:val="7DBB54B6"/>
    <w:rsid w:val="7DCD56F2"/>
    <w:rsid w:val="7DE411E5"/>
    <w:rsid w:val="7DE95B7F"/>
    <w:rsid w:val="7DF0493A"/>
    <w:rsid w:val="7DFC1A33"/>
    <w:rsid w:val="7E09208C"/>
    <w:rsid w:val="7E1A01D8"/>
    <w:rsid w:val="7E4422CE"/>
    <w:rsid w:val="7E4A3282"/>
    <w:rsid w:val="7E5259DD"/>
    <w:rsid w:val="7E780003"/>
    <w:rsid w:val="7EA26FD4"/>
    <w:rsid w:val="7EAC5EA4"/>
    <w:rsid w:val="7EBB27AA"/>
    <w:rsid w:val="7EE60311"/>
    <w:rsid w:val="7EFA6281"/>
    <w:rsid w:val="7F001CE7"/>
    <w:rsid w:val="7F62208D"/>
    <w:rsid w:val="7F626C29"/>
    <w:rsid w:val="7F8E2E82"/>
    <w:rsid w:val="7F8F09A8"/>
    <w:rsid w:val="7FB16B71"/>
    <w:rsid w:val="7FC71EF0"/>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uiPriority="0"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8">
    <w:name w:val="heading 2"/>
    <w:basedOn w:val="1"/>
    <w:next w:val="1"/>
    <w:link w:val="61"/>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9">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Body Text First Indent 2"/>
    <w:basedOn w:val="5"/>
    <w:next w:val="2"/>
    <w:link w:val="65"/>
    <w:qFormat/>
    <w:locked/>
    <w:uiPriority w:val="0"/>
    <w:pPr>
      <w:ind w:firstLine="420" w:firstLineChars="200"/>
    </w:pPr>
    <w:rPr>
      <w:rFonts w:ascii="Calibri" w:hAnsi="Calibri" w:eastAsia="楷体_GB2312"/>
      <w:color w:val="000000"/>
      <w:kern w:val="2"/>
      <w:sz w:val="21"/>
    </w:rPr>
  </w:style>
  <w:style w:type="paragraph" w:styleId="5">
    <w:name w:val="Body Text Indent"/>
    <w:basedOn w:val="1"/>
    <w:next w:val="6"/>
    <w:link w:val="50"/>
    <w:qFormat/>
    <w:uiPriority w:val="0"/>
    <w:pPr>
      <w:spacing w:after="120"/>
      <w:ind w:left="420" w:leftChars="200"/>
    </w:pPr>
    <w:rPr>
      <w:kern w:val="0"/>
      <w:sz w:val="24"/>
      <w:szCs w:val="20"/>
    </w:rPr>
  </w:style>
  <w:style w:type="paragraph" w:styleId="6">
    <w:name w:val="Normal Indent"/>
    <w:basedOn w:val="1"/>
    <w:next w:val="1"/>
    <w:link w:val="59"/>
    <w:qFormat/>
    <w:locked/>
    <w:uiPriority w:val="0"/>
    <w:pPr>
      <w:ind w:firstLine="420"/>
    </w:pPr>
    <w:rPr>
      <w:rFonts w:ascii="Calibri" w:hAnsi="Calibri"/>
      <w:szCs w:val="20"/>
    </w:rPr>
  </w:style>
  <w:style w:type="paragraph" w:styleId="10">
    <w:name w:val="Note Heading"/>
    <w:basedOn w:val="1"/>
    <w:next w:val="1"/>
    <w:qFormat/>
    <w:locked/>
    <w:uiPriority w:val="0"/>
    <w:pPr>
      <w:adjustRightInd w:val="0"/>
      <w:spacing w:line="360" w:lineRule="auto"/>
      <w:jc w:val="center"/>
    </w:pPr>
    <w:rPr>
      <w:szCs w:val="24"/>
    </w:rPr>
  </w:style>
  <w:style w:type="paragraph" w:styleId="11">
    <w:name w:val="annotation text"/>
    <w:basedOn w:val="1"/>
    <w:link w:val="42"/>
    <w:qFormat/>
    <w:uiPriority w:val="0"/>
    <w:pPr>
      <w:jc w:val="left"/>
    </w:pPr>
    <w:rPr>
      <w:kern w:val="0"/>
      <w:sz w:val="24"/>
      <w:szCs w:val="20"/>
    </w:rPr>
  </w:style>
  <w:style w:type="paragraph" w:styleId="12">
    <w:name w:val="Body Text"/>
    <w:basedOn w:val="1"/>
    <w:link w:val="41"/>
    <w:qFormat/>
    <w:uiPriority w:val="0"/>
    <w:pPr>
      <w:widowControl/>
      <w:snapToGrid w:val="0"/>
      <w:spacing w:before="60" w:after="160" w:line="259" w:lineRule="auto"/>
      <w:ind w:right="113"/>
    </w:pPr>
    <w:rPr>
      <w:kern w:val="0"/>
      <w:sz w:val="18"/>
      <w:szCs w:val="20"/>
    </w:rPr>
  </w:style>
  <w:style w:type="paragraph" w:styleId="13">
    <w:name w:val="Block Text"/>
    <w:basedOn w:val="1"/>
    <w:qFormat/>
    <w:locked/>
    <w:uiPriority w:val="0"/>
    <w:pPr>
      <w:spacing w:after="120"/>
      <w:ind w:left="1440" w:leftChars="700" w:right="1440" w:rightChars="700"/>
    </w:pPr>
    <w:rPr>
      <w:rFonts w:ascii="Calibri" w:hAnsi="Calibri"/>
      <w:szCs w:val="20"/>
    </w:rPr>
  </w:style>
  <w:style w:type="paragraph" w:styleId="14">
    <w:name w:val="Plain Text"/>
    <w:basedOn w:val="1"/>
    <w:next w:val="15"/>
    <w:link w:val="62"/>
    <w:qFormat/>
    <w:locked/>
    <w:uiPriority w:val="0"/>
    <w:rPr>
      <w:rFonts w:ascii="宋体" w:hAnsi="Courier New"/>
      <w:szCs w:val="20"/>
    </w:rPr>
  </w:style>
  <w:style w:type="paragraph" w:styleId="15">
    <w:name w:val="toc 1"/>
    <w:basedOn w:val="1"/>
    <w:next w:val="1"/>
    <w:qFormat/>
    <w:locked/>
    <w:uiPriority w:val="39"/>
    <w:pPr>
      <w:spacing w:before="120" w:after="120"/>
      <w:jc w:val="left"/>
    </w:pPr>
    <w:rPr>
      <w:rFonts w:ascii="Calibri" w:hAnsi="Calibri"/>
      <w:b/>
      <w:bCs/>
      <w:caps/>
      <w:sz w:val="20"/>
      <w:szCs w:val="20"/>
    </w:rPr>
  </w:style>
  <w:style w:type="paragraph" w:styleId="16">
    <w:name w:val="List Bullet 5"/>
    <w:basedOn w:val="1"/>
    <w:qFormat/>
    <w:locked/>
    <w:uiPriority w:val="0"/>
    <w:pPr>
      <w:numPr>
        <w:ilvl w:val="0"/>
        <w:numId w:val="1"/>
      </w:numPr>
    </w:pPr>
  </w:style>
  <w:style w:type="paragraph" w:styleId="17">
    <w:name w:val="Date"/>
    <w:basedOn w:val="1"/>
    <w:next w:val="1"/>
    <w:link w:val="37"/>
    <w:qFormat/>
    <w:uiPriority w:val="0"/>
    <w:pPr>
      <w:ind w:left="100" w:leftChars="2500"/>
    </w:pPr>
    <w:rPr>
      <w:kern w:val="0"/>
      <w:sz w:val="24"/>
      <w:szCs w:val="20"/>
    </w:rPr>
  </w:style>
  <w:style w:type="paragraph" w:styleId="18">
    <w:name w:val="Body Text Indent 2"/>
    <w:basedOn w:val="1"/>
    <w:link w:val="63"/>
    <w:qFormat/>
    <w:locked/>
    <w:uiPriority w:val="0"/>
    <w:pPr>
      <w:spacing w:line="500" w:lineRule="exact"/>
      <w:ind w:firstLine="480" w:firstLineChars="200"/>
    </w:pPr>
    <w:rPr>
      <w:rFonts w:ascii="宋体" w:hAnsi="Calibri"/>
      <w:bCs/>
      <w:sz w:val="24"/>
      <w:szCs w:val="20"/>
    </w:rPr>
  </w:style>
  <w:style w:type="paragraph" w:styleId="19">
    <w:name w:val="Balloon Text"/>
    <w:basedOn w:val="1"/>
    <w:link w:val="46"/>
    <w:qFormat/>
    <w:uiPriority w:val="0"/>
    <w:rPr>
      <w:kern w:val="0"/>
      <w:sz w:val="18"/>
      <w:szCs w:val="20"/>
    </w:rPr>
  </w:style>
  <w:style w:type="paragraph" w:styleId="20">
    <w:name w:val="footer"/>
    <w:basedOn w:val="1"/>
    <w:link w:val="36"/>
    <w:qFormat/>
    <w:uiPriority w:val="99"/>
    <w:pPr>
      <w:tabs>
        <w:tab w:val="center" w:pos="4153"/>
        <w:tab w:val="right" w:pos="8306"/>
      </w:tabs>
      <w:snapToGrid w:val="0"/>
      <w:jc w:val="left"/>
    </w:pPr>
    <w:rPr>
      <w:kern w:val="0"/>
      <w:sz w:val="18"/>
      <w:szCs w:val="20"/>
    </w:rPr>
  </w:style>
  <w:style w:type="paragraph" w:styleId="21">
    <w:name w:val="header"/>
    <w:basedOn w:val="1"/>
    <w:link w:val="48"/>
    <w:qFormat/>
    <w:uiPriority w:val="0"/>
    <w:pPr>
      <w:tabs>
        <w:tab w:val="center" w:pos="4153"/>
        <w:tab w:val="right" w:pos="8306"/>
      </w:tabs>
      <w:snapToGrid w:val="0"/>
      <w:jc w:val="center"/>
    </w:pPr>
    <w:rPr>
      <w:kern w:val="0"/>
      <w:sz w:val="18"/>
      <w:szCs w:val="20"/>
    </w:rPr>
  </w:style>
  <w:style w:type="paragraph" w:styleId="22">
    <w:name w:val="List"/>
    <w:basedOn w:val="1"/>
    <w:qFormat/>
    <w:locked/>
    <w:uiPriority w:val="0"/>
    <w:pPr>
      <w:spacing w:line="320" w:lineRule="exact"/>
      <w:jc w:val="center"/>
    </w:pPr>
    <w:rPr>
      <w:sz w:val="20"/>
    </w:rPr>
  </w:style>
  <w:style w:type="paragraph" w:styleId="23">
    <w:name w:val="Body Text Indent 3"/>
    <w:basedOn w:val="1"/>
    <w:link w:val="64"/>
    <w:qFormat/>
    <w:locked/>
    <w:uiPriority w:val="0"/>
    <w:pPr>
      <w:spacing w:line="360" w:lineRule="auto"/>
      <w:ind w:firstLine="471" w:firstLineChars="200"/>
    </w:pPr>
    <w:rPr>
      <w:rFonts w:ascii="宋体" w:hAnsi="宋体"/>
      <w:sz w:val="24"/>
      <w:szCs w:val="20"/>
    </w:rPr>
  </w:style>
  <w:style w:type="paragraph" w:styleId="24">
    <w:name w:val="Body Text 2"/>
    <w:basedOn w:val="1"/>
    <w:link w:val="54"/>
    <w:qFormat/>
    <w:locked/>
    <w:uiPriority w:val="0"/>
    <w:pPr>
      <w:spacing w:after="120" w:line="480" w:lineRule="auto"/>
    </w:pPr>
  </w:style>
  <w:style w:type="paragraph" w:styleId="25">
    <w:name w:val="Normal (Web)"/>
    <w:basedOn w:val="1"/>
    <w:link w:val="39"/>
    <w:qFormat/>
    <w:uiPriority w:val="99"/>
    <w:pPr>
      <w:widowControl/>
      <w:spacing w:before="100" w:beforeAutospacing="1" w:after="100" w:afterAutospacing="1"/>
      <w:jc w:val="left"/>
    </w:pPr>
    <w:rPr>
      <w:rFonts w:ascii="宋体" w:hAnsi="宋体"/>
      <w:kern w:val="0"/>
      <w:sz w:val="24"/>
      <w:szCs w:val="20"/>
    </w:rPr>
  </w:style>
  <w:style w:type="paragraph" w:styleId="26">
    <w:name w:val="annotation subject"/>
    <w:basedOn w:val="11"/>
    <w:next w:val="11"/>
    <w:link w:val="47"/>
    <w:qFormat/>
    <w:uiPriority w:val="0"/>
    <w:rPr>
      <w:b/>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0"/>
    <w:rPr>
      <w:rFonts w:ascii="Times New Roman" w:hAnsi="Times New Roman" w:eastAsia="宋体" w:cs="Times New Roman"/>
      <w:b/>
      <w:bCs/>
    </w:rPr>
  </w:style>
  <w:style w:type="character" w:styleId="31">
    <w:name w:val="page number"/>
    <w:basedOn w:val="29"/>
    <w:qFormat/>
    <w:locked/>
    <w:uiPriority w:val="0"/>
  </w:style>
  <w:style w:type="character" w:styleId="32">
    <w:name w:val="Emphasis"/>
    <w:basedOn w:val="29"/>
    <w:qFormat/>
    <w:locked/>
    <w:uiPriority w:val="0"/>
    <w:rPr>
      <w:i/>
    </w:rPr>
  </w:style>
  <w:style w:type="character" w:styleId="33">
    <w:name w:val="Hyperlink"/>
    <w:basedOn w:val="29"/>
    <w:unhideWhenUsed/>
    <w:qFormat/>
    <w:locked/>
    <w:uiPriority w:val="99"/>
    <w:rPr>
      <w:color w:val="0000FF"/>
      <w:u w:val="single"/>
    </w:rPr>
  </w:style>
  <w:style w:type="character" w:styleId="34">
    <w:name w:val="annotation reference"/>
    <w:qFormat/>
    <w:uiPriority w:val="0"/>
    <w:rPr>
      <w:sz w:val="21"/>
    </w:rPr>
  </w:style>
  <w:style w:type="paragraph" w:customStyle="1" w:styleId="35">
    <w:name w:val="BlockQuote"/>
    <w:basedOn w:val="1"/>
    <w:qFormat/>
    <w:uiPriority w:val="0"/>
    <w:pPr>
      <w:widowControl/>
      <w:spacing w:line="300" w:lineRule="exact"/>
      <w:ind w:left="-96" w:leftChars="-40" w:right="-16" w:firstLine="482" w:firstLineChars="200"/>
      <w:textAlignment w:val="baseline"/>
    </w:pPr>
    <w:rPr>
      <w:rFonts w:ascii="宋体" w:hAnsi="宋体" w:eastAsia="仿宋_GB2312"/>
      <w:sz w:val="28"/>
    </w:rPr>
  </w:style>
  <w:style w:type="character" w:customStyle="1" w:styleId="36">
    <w:name w:val="页脚 字符1"/>
    <w:link w:val="20"/>
    <w:qFormat/>
    <w:locked/>
    <w:uiPriority w:val="99"/>
    <w:rPr>
      <w:sz w:val="18"/>
    </w:rPr>
  </w:style>
  <w:style w:type="character" w:customStyle="1" w:styleId="37">
    <w:name w:val="日期 字符1"/>
    <w:link w:val="17"/>
    <w:qFormat/>
    <w:locked/>
    <w:uiPriority w:val="0"/>
    <w:rPr>
      <w:rFonts w:ascii="Times New Roman" w:hAnsi="Times New Roman" w:eastAsia="宋体"/>
      <w:sz w:val="24"/>
    </w:rPr>
  </w:style>
  <w:style w:type="character" w:customStyle="1" w:styleId="38">
    <w:name w:val="页脚 字符"/>
    <w:basedOn w:val="29"/>
    <w:qFormat/>
    <w:uiPriority w:val="99"/>
  </w:style>
  <w:style w:type="character" w:customStyle="1" w:styleId="39">
    <w:name w:val="普通(网站) 字符"/>
    <w:link w:val="25"/>
    <w:qFormat/>
    <w:locked/>
    <w:uiPriority w:val="0"/>
    <w:rPr>
      <w:rFonts w:ascii="宋体" w:hAnsi="宋体" w:eastAsia="宋体"/>
      <w:sz w:val="24"/>
    </w:rPr>
  </w:style>
  <w:style w:type="character" w:customStyle="1" w:styleId="40">
    <w:name w:val="正文文本 字符1"/>
    <w:semiHidden/>
    <w:qFormat/>
    <w:uiPriority w:val="0"/>
    <w:rPr>
      <w:rFonts w:ascii="Times New Roman" w:hAnsi="Times New Roman" w:eastAsia="宋体"/>
      <w:sz w:val="24"/>
    </w:rPr>
  </w:style>
  <w:style w:type="character" w:customStyle="1" w:styleId="41">
    <w:name w:val="正文文本 字符"/>
    <w:link w:val="12"/>
    <w:qFormat/>
    <w:locked/>
    <w:uiPriority w:val="0"/>
    <w:rPr>
      <w:sz w:val="18"/>
    </w:rPr>
  </w:style>
  <w:style w:type="character" w:customStyle="1" w:styleId="42">
    <w:name w:val="批注文字 字符"/>
    <w:link w:val="11"/>
    <w:qFormat/>
    <w:locked/>
    <w:uiPriority w:val="0"/>
    <w:rPr>
      <w:rFonts w:ascii="Times New Roman" w:hAnsi="Times New Roman" w:eastAsia="宋体"/>
      <w:sz w:val="24"/>
    </w:r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Cs w:val="20"/>
    </w:rPr>
  </w:style>
  <w:style w:type="character" w:customStyle="1" w:styleId="45">
    <w:name w:val="日期 字符"/>
    <w:semiHidden/>
    <w:qFormat/>
    <w:uiPriority w:val="0"/>
    <w:rPr>
      <w:rFonts w:ascii="Times New Roman" w:hAnsi="Times New Roman" w:eastAsia="宋体"/>
      <w:sz w:val="24"/>
    </w:rPr>
  </w:style>
  <w:style w:type="character" w:customStyle="1" w:styleId="46">
    <w:name w:val="批注框文本 字符"/>
    <w:link w:val="19"/>
    <w:semiHidden/>
    <w:qFormat/>
    <w:locked/>
    <w:uiPriority w:val="0"/>
    <w:rPr>
      <w:rFonts w:ascii="Times New Roman" w:hAnsi="Times New Roman" w:eastAsia="宋体"/>
      <w:sz w:val="18"/>
    </w:rPr>
  </w:style>
  <w:style w:type="character" w:customStyle="1" w:styleId="47">
    <w:name w:val="批注主题 字符"/>
    <w:link w:val="26"/>
    <w:semiHidden/>
    <w:qFormat/>
    <w:locked/>
    <w:uiPriority w:val="0"/>
    <w:rPr>
      <w:rFonts w:ascii="Times New Roman" w:hAnsi="Times New Roman" w:eastAsia="宋体"/>
      <w:b/>
      <w:kern w:val="2"/>
      <w:sz w:val="24"/>
    </w:rPr>
  </w:style>
  <w:style w:type="character" w:customStyle="1" w:styleId="48">
    <w:name w:val="页眉 字符"/>
    <w:link w:val="21"/>
    <w:qFormat/>
    <w:locked/>
    <w:uiPriority w:val="0"/>
    <w:rPr>
      <w:sz w:val="18"/>
    </w:rPr>
  </w:style>
  <w:style w:type="character" w:customStyle="1" w:styleId="49">
    <w:name w:val="批注文字 字符1"/>
    <w:semiHidden/>
    <w:qFormat/>
    <w:uiPriority w:val="0"/>
    <w:rPr>
      <w:rFonts w:ascii="Times New Roman" w:hAnsi="Times New Roman" w:eastAsia="宋体"/>
      <w:sz w:val="24"/>
    </w:rPr>
  </w:style>
  <w:style w:type="character" w:customStyle="1" w:styleId="50">
    <w:name w:val="正文文本缩进 字符"/>
    <w:link w:val="5"/>
    <w:semiHidden/>
    <w:qFormat/>
    <w:locked/>
    <w:uiPriority w:val="0"/>
    <w:rPr>
      <w:rFonts w:ascii="Times New Roman" w:hAnsi="Times New Roman" w:eastAsia="宋体"/>
      <w:sz w:val="24"/>
    </w:rPr>
  </w:style>
  <w:style w:type="paragraph" w:customStyle="1" w:styleId="5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3">
    <w:name w:val="表格内文字"/>
    <w:basedOn w:val="1"/>
    <w:qFormat/>
    <w:uiPriority w:val="0"/>
    <w:pPr>
      <w:widowControl/>
      <w:tabs>
        <w:tab w:val="left" w:pos="0"/>
      </w:tabs>
      <w:snapToGrid w:val="0"/>
      <w:jc w:val="center"/>
    </w:pPr>
    <w:rPr>
      <w:rFonts w:ascii="仿宋_GB2312" w:hAnsi="宋体" w:eastAsia="仿宋_GB2312" w:cs="宋体"/>
      <w:w w:val="90"/>
      <w:kern w:val="18"/>
      <w:sz w:val="24"/>
    </w:rPr>
  </w:style>
  <w:style w:type="character" w:customStyle="1" w:styleId="54">
    <w:name w:val="正文文本 2 字符"/>
    <w:basedOn w:val="29"/>
    <w:link w:val="24"/>
    <w:qFormat/>
    <w:uiPriority w:val="0"/>
    <w:rPr>
      <w:kern w:val="2"/>
      <w:sz w:val="21"/>
      <w:szCs w:val="24"/>
    </w:rPr>
  </w:style>
  <w:style w:type="character" w:customStyle="1" w:styleId="55">
    <w:name w:val="批注文字 Char"/>
    <w:basedOn w:val="29"/>
    <w:qFormat/>
    <w:uiPriority w:val="0"/>
    <w:rPr>
      <w:rFonts w:ascii="Calibri" w:hAnsi="Calibri"/>
      <w:kern w:val="2"/>
      <w:sz w:val="21"/>
    </w:rPr>
  </w:style>
  <w:style w:type="paragraph" w:customStyle="1" w:styleId="56">
    <w:name w:val="Table Paragraph"/>
    <w:basedOn w:val="1"/>
    <w:qFormat/>
    <w:uiPriority w:val="1"/>
    <w:pPr>
      <w:autoSpaceDE w:val="0"/>
      <w:autoSpaceDN w:val="0"/>
      <w:adjustRightInd w:val="0"/>
      <w:jc w:val="left"/>
    </w:pPr>
    <w:rPr>
      <w:rFonts w:ascii="Calibri" w:hAnsi="Calibri"/>
      <w:kern w:val="0"/>
      <w:sz w:val="24"/>
    </w:rPr>
  </w:style>
  <w:style w:type="paragraph" w:customStyle="1" w:styleId="57">
    <w:name w:val="图表文字"/>
    <w:basedOn w:val="1"/>
    <w:link w:val="60"/>
    <w:qFormat/>
    <w:uiPriority w:val="0"/>
    <w:pPr>
      <w:spacing w:line="300" w:lineRule="exact"/>
      <w:jc w:val="center"/>
    </w:pPr>
    <w:rPr>
      <w:rFonts w:ascii="Calibri" w:hAnsi="Calibri"/>
      <w:bCs/>
      <w:szCs w:val="20"/>
    </w:rPr>
  </w:style>
  <w:style w:type="paragraph" w:customStyle="1" w:styleId="58">
    <w:name w:val="我的样式（正文）"/>
    <w:basedOn w:val="1"/>
    <w:qFormat/>
    <w:uiPriority w:val="0"/>
    <w:pPr>
      <w:spacing w:line="440" w:lineRule="exact"/>
    </w:pPr>
    <w:rPr>
      <w:rFonts w:ascii="宋体" w:hAnsi="Calibri"/>
      <w:sz w:val="28"/>
    </w:rPr>
  </w:style>
  <w:style w:type="character" w:customStyle="1" w:styleId="59">
    <w:name w:val="正文缩进 字符"/>
    <w:basedOn w:val="29"/>
    <w:link w:val="6"/>
    <w:qFormat/>
    <w:uiPriority w:val="0"/>
    <w:rPr>
      <w:rFonts w:ascii="Calibri" w:hAnsi="Calibri"/>
      <w:kern w:val="2"/>
      <w:sz w:val="21"/>
    </w:rPr>
  </w:style>
  <w:style w:type="character" w:customStyle="1" w:styleId="60">
    <w:name w:val="图表文字 Char"/>
    <w:link w:val="57"/>
    <w:qFormat/>
    <w:uiPriority w:val="0"/>
    <w:rPr>
      <w:rFonts w:ascii="Calibri" w:hAnsi="Calibri"/>
      <w:bCs/>
      <w:kern w:val="2"/>
      <w:sz w:val="21"/>
    </w:rPr>
  </w:style>
  <w:style w:type="character" w:customStyle="1" w:styleId="61">
    <w:name w:val="标题 2 字符"/>
    <w:basedOn w:val="29"/>
    <w:link w:val="8"/>
    <w:semiHidden/>
    <w:qFormat/>
    <w:uiPriority w:val="0"/>
    <w:rPr>
      <w:rFonts w:asciiTheme="majorHAnsi" w:hAnsiTheme="majorHAnsi" w:eastAsiaTheme="majorEastAsia" w:cstheme="majorBidi"/>
      <w:b/>
      <w:bCs/>
      <w:kern w:val="2"/>
      <w:sz w:val="32"/>
      <w:szCs w:val="32"/>
    </w:rPr>
  </w:style>
  <w:style w:type="character" w:customStyle="1" w:styleId="62">
    <w:name w:val="纯文本 字符"/>
    <w:basedOn w:val="29"/>
    <w:link w:val="14"/>
    <w:qFormat/>
    <w:uiPriority w:val="0"/>
    <w:rPr>
      <w:rFonts w:ascii="宋体" w:hAnsi="Courier New"/>
      <w:kern w:val="2"/>
      <w:sz w:val="21"/>
    </w:rPr>
  </w:style>
  <w:style w:type="character" w:customStyle="1" w:styleId="63">
    <w:name w:val="正文文本缩进 2 字符"/>
    <w:basedOn w:val="29"/>
    <w:link w:val="18"/>
    <w:qFormat/>
    <w:uiPriority w:val="0"/>
    <w:rPr>
      <w:rFonts w:ascii="宋体" w:hAnsi="Calibri"/>
      <w:bCs/>
      <w:kern w:val="2"/>
      <w:sz w:val="24"/>
    </w:rPr>
  </w:style>
  <w:style w:type="character" w:customStyle="1" w:styleId="64">
    <w:name w:val="正文文本缩进 3 字符"/>
    <w:basedOn w:val="29"/>
    <w:link w:val="23"/>
    <w:qFormat/>
    <w:uiPriority w:val="0"/>
    <w:rPr>
      <w:rFonts w:ascii="宋体" w:hAnsi="宋体"/>
      <w:kern w:val="2"/>
      <w:sz w:val="24"/>
    </w:rPr>
  </w:style>
  <w:style w:type="character" w:customStyle="1" w:styleId="65">
    <w:name w:val="正文文本首行缩进 2 字符"/>
    <w:basedOn w:val="50"/>
    <w:link w:val="4"/>
    <w:qFormat/>
    <w:uiPriority w:val="0"/>
    <w:rPr>
      <w:rFonts w:ascii="Calibri" w:hAnsi="Calibri" w:eastAsia="楷体_GB2312"/>
      <w:color w:val="000000"/>
      <w:kern w:val="2"/>
      <w:sz w:val="21"/>
    </w:rPr>
  </w:style>
  <w:style w:type="paragraph" w:customStyle="1" w:styleId="66">
    <w:name w:val="Body Text 21"/>
    <w:basedOn w:val="1"/>
    <w:qFormat/>
    <w:uiPriority w:val="0"/>
    <w:pPr>
      <w:textAlignment w:val="baseline"/>
    </w:pPr>
    <w:rPr>
      <w:rFonts w:ascii="Calibri" w:hAnsi="Calibri"/>
      <w:color w:val="000000"/>
      <w:sz w:val="24"/>
      <w:szCs w:val="20"/>
    </w:rPr>
  </w:style>
  <w:style w:type="paragraph" w:customStyle="1" w:styleId="67">
    <w:name w:val="图文框"/>
    <w:basedOn w:val="1"/>
    <w:qFormat/>
    <w:uiPriority w:val="0"/>
    <w:pPr>
      <w:adjustRightInd w:val="0"/>
      <w:snapToGrid w:val="0"/>
      <w:jc w:val="center"/>
    </w:pPr>
    <w:rPr>
      <w:rFonts w:ascii="宋体" w:hAnsi="宋体"/>
      <w:color w:val="000000"/>
      <w:sz w:val="18"/>
    </w:rPr>
  </w:style>
  <w:style w:type="paragraph" w:customStyle="1" w:styleId="68">
    <w:name w:val="表"/>
    <w:basedOn w:val="1"/>
    <w:qFormat/>
    <w:uiPriority w:val="0"/>
    <w:pPr>
      <w:keepNext/>
      <w:keepLines/>
      <w:adjustRightInd w:val="0"/>
      <w:spacing w:before="60"/>
      <w:jc w:val="center"/>
    </w:pPr>
    <w:rPr>
      <w:rFonts w:ascii="Calibri" w:hAnsi="Calibri" w:eastAsia="仿宋_GB2312"/>
      <w:kern w:val="21"/>
      <w:sz w:val="24"/>
      <w:szCs w:val="20"/>
    </w:rPr>
  </w:style>
  <w:style w:type="paragraph" w:customStyle="1" w:styleId="69">
    <w:name w:val="p0"/>
    <w:basedOn w:val="1"/>
    <w:qFormat/>
    <w:uiPriority w:val="0"/>
    <w:pPr>
      <w:widowControl/>
    </w:pPr>
    <w:rPr>
      <w:rFonts w:ascii="Calibri" w:hAnsi="Calibri"/>
      <w:kern w:val="0"/>
      <w:szCs w:val="21"/>
    </w:rPr>
  </w:style>
  <w:style w:type="paragraph" w:customStyle="1" w:styleId="70">
    <w:name w:val="表格文字"/>
    <w:basedOn w:val="1"/>
    <w:qFormat/>
    <w:uiPriority w:val="0"/>
    <w:pPr>
      <w:adjustRightInd w:val="0"/>
      <w:snapToGrid w:val="0"/>
      <w:jc w:val="center"/>
    </w:pPr>
    <w:rPr>
      <w:rFonts w:ascii="仿宋_GB2312" w:hAnsi="Arial Black" w:eastAsia="仿宋_GB2312"/>
      <w:kern w:val="44"/>
      <w:sz w:val="24"/>
      <w:szCs w:val="20"/>
    </w:rPr>
  </w:style>
  <w:style w:type="paragraph" w:customStyle="1" w:styleId="71">
    <w:name w:val="表格标题"/>
    <w:basedOn w:val="1"/>
    <w:qFormat/>
    <w:uiPriority w:val="0"/>
    <w:pPr>
      <w:adjustRightInd w:val="0"/>
      <w:spacing w:before="120" w:line="360" w:lineRule="auto"/>
      <w:jc w:val="center"/>
    </w:pPr>
    <w:rPr>
      <w:rFonts w:ascii="Calibri" w:hAnsi="Calibri" w:eastAsia="文鼎CS中宋"/>
      <w:kern w:val="0"/>
      <w:sz w:val="24"/>
      <w:szCs w:val="20"/>
    </w:rPr>
  </w:style>
  <w:style w:type="paragraph" w:customStyle="1" w:styleId="72">
    <w:name w:val="文本框样式"/>
    <w:basedOn w:val="1"/>
    <w:qFormat/>
    <w:uiPriority w:val="0"/>
    <w:pPr>
      <w:jc w:val="center"/>
    </w:pPr>
    <w:rPr>
      <w:rFonts w:ascii="Calibri" w:hAnsi="Calibri"/>
      <w:szCs w:val="21"/>
    </w:rPr>
  </w:style>
  <w:style w:type="paragraph" w:customStyle="1" w:styleId="73">
    <w:name w:val="图标题"/>
    <w:basedOn w:val="1"/>
    <w:qFormat/>
    <w:uiPriority w:val="0"/>
    <w:pPr>
      <w:spacing w:line="300" w:lineRule="exact"/>
    </w:pPr>
    <w:rPr>
      <w:rFonts w:ascii="仿宋_GB2312" w:hAnsi="Calibri" w:eastAsia="仿宋_GB2312"/>
      <w:b/>
      <w:bCs/>
      <w:sz w:val="24"/>
    </w:rPr>
  </w:style>
  <w:style w:type="character" w:customStyle="1" w:styleId="74">
    <w:name w:val="font11"/>
    <w:basedOn w:val="29"/>
    <w:qFormat/>
    <w:uiPriority w:val="0"/>
    <w:rPr>
      <w:rFonts w:hint="eastAsia" w:ascii="宋体" w:hAnsi="宋体" w:eastAsia="宋体" w:cs="宋体"/>
      <w:color w:val="000000"/>
      <w:sz w:val="18"/>
      <w:szCs w:val="18"/>
      <w:u w:val="none"/>
    </w:rPr>
  </w:style>
  <w:style w:type="character" w:customStyle="1" w:styleId="75">
    <w:name w:val="font21"/>
    <w:basedOn w:val="29"/>
    <w:qFormat/>
    <w:uiPriority w:val="0"/>
    <w:rPr>
      <w:rFonts w:hint="default" w:ascii="TimesNewRomanPSMT" w:hAnsi="TimesNewRomanPSMT" w:eastAsia="TimesNewRomanPSMT" w:cs="TimesNewRomanPSMT"/>
      <w:color w:val="000000"/>
      <w:sz w:val="18"/>
      <w:szCs w:val="18"/>
      <w:u w:val="none"/>
    </w:rPr>
  </w:style>
  <w:style w:type="paragraph" w:customStyle="1" w:styleId="76">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77">
    <w:name w:val="Other|1"/>
    <w:basedOn w:val="1"/>
    <w:qFormat/>
    <w:uiPriority w:val="0"/>
    <w:rPr>
      <w:rFonts w:ascii="MingLiU" w:hAnsi="MingLiU" w:eastAsia="MingLiU" w:cs="MingLiU"/>
      <w:sz w:val="19"/>
      <w:szCs w:val="19"/>
      <w:lang w:val="zh-TW" w:eastAsia="zh-TW" w:bidi="zh-TW"/>
    </w:rPr>
  </w:style>
  <w:style w:type="paragraph" w:customStyle="1" w:styleId="78">
    <w:name w:val="Body text|1"/>
    <w:basedOn w:val="1"/>
    <w:qFormat/>
    <w:uiPriority w:val="0"/>
    <w:pPr>
      <w:spacing w:after="180" w:line="413" w:lineRule="auto"/>
    </w:pPr>
    <w:rPr>
      <w:rFonts w:ascii="宋体" w:hAnsi="宋体" w:cs="宋体"/>
      <w:szCs w:val="20"/>
      <w:lang w:val="zh-TW" w:eastAsia="zh-TW" w:bidi="zh-TW"/>
    </w:rPr>
  </w:style>
  <w:style w:type="paragraph" w:customStyle="1" w:styleId="79">
    <w:name w:val="Table caption|1"/>
    <w:basedOn w:val="1"/>
    <w:qFormat/>
    <w:uiPriority w:val="0"/>
    <w:rPr>
      <w:rFonts w:ascii="MingLiU" w:hAnsi="MingLiU" w:eastAsia="MingLiU" w:cs="MingLiU"/>
      <w:sz w:val="19"/>
      <w:szCs w:val="19"/>
      <w:lang w:val="zh-TW" w:eastAsia="zh-TW" w:bidi="zh-TW"/>
    </w:rPr>
  </w:style>
  <w:style w:type="character" w:customStyle="1" w:styleId="80">
    <w:name w:val="批注框文本 Char"/>
    <w:basedOn w:val="29"/>
    <w:qFormat/>
    <w:uiPriority w:val="0"/>
    <w:rPr>
      <w:rFonts w:ascii="Calibri" w:hAnsi="Calibri"/>
      <w:kern w:val="2"/>
      <w:sz w:val="18"/>
      <w:szCs w:val="18"/>
    </w:rPr>
  </w:style>
  <w:style w:type="character" w:styleId="81">
    <w:name w:val="Placeholder Text"/>
    <w:basedOn w:val="29"/>
    <w:unhideWhenUsed/>
    <w:qFormat/>
    <w:uiPriority w:val="99"/>
    <w:rPr>
      <w:color w:val="808080"/>
    </w:rPr>
  </w:style>
  <w:style w:type="paragraph" w:styleId="82">
    <w:name w:val="List Paragraph"/>
    <w:basedOn w:val="1"/>
    <w:unhideWhenUsed/>
    <w:qFormat/>
    <w:uiPriority w:val="99"/>
    <w:pPr>
      <w:ind w:firstLine="420" w:firstLineChars="200"/>
    </w:pPr>
    <w:rPr>
      <w:rFonts w:ascii="Calibri" w:hAnsi="Calibri"/>
      <w:szCs w:val="20"/>
    </w:rPr>
  </w:style>
  <w:style w:type="character" w:customStyle="1" w:styleId="83">
    <w:name w:val="批注主题 Char"/>
    <w:basedOn w:val="55"/>
    <w:qFormat/>
    <w:uiPriority w:val="0"/>
    <w:rPr>
      <w:rFonts w:ascii="Calibri" w:hAnsi="Calibri"/>
      <w:kern w:val="2"/>
      <w:sz w:val="21"/>
    </w:rPr>
  </w:style>
  <w:style w:type="character" w:customStyle="1" w:styleId="84">
    <w:name w:val="页眉 Char"/>
    <w:basedOn w:val="29"/>
    <w:qFormat/>
    <w:uiPriority w:val="0"/>
    <w:rPr>
      <w:rFonts w:ascii="Calibri" w:hAnsi="Calibri"/>
      <w:kern w:val="2"/>
      <w:sz w:val="18"/>
      <w:szCs w:val="24"/>
    </w:rPr>
  </w:style>
  <w:style w:type="paragraph" w:customStyle="1" w:styleId="85">
    <w:name w:val="样式 自动设置"/>
    <w:basedOn w:val="1"/>
    <w:qFormat/>
    <w:uiPriority w:val="0"/>
    <w:pPr>
      <w:autoSpaceDE w:val="0"/>
      <w:autoSpaceDN w:val="0"/>
      <w:adjustRightInd w:val="0"/>
      <w:snapToGrid w:val="0"/>
      <w:spacing w:beforeLines="50" w:line="288" w:lineRule="auto"/>
      <w:ind w:firstLine="200" w:firstLineChars="200"/>
    </w:pPr>
    <w:rPr>
      <w:rFonts w:cs="宋体"/>
      <w:sz w:val="24"/>
      <w:szCs w:val="20"/>
    </w:rPr>
  </w:style>
  <w:style w:type="paragraph" w:customStyle="1" w:styleId="86">
    <w:name w:val="+正文"/>
    <w:basedOn w:val="1"/>
    <w:qFormat/>
    <w:uiPriority w:val="0"/>
    <w:pPr>
      <w:spacing w:line="360" w:lineRule="auto"/>
      <w:ind w:firstLine="200" w:firstLineChars="200"/>
    </w:pPr>
    <w:rPr>
      <w:sz w:val="24"/>
      <w:szCs w:val="22"/>
    </w:rPr>
  </w:style>
  <w:style w:type="paragraph" w:customStyle="1" w:styleId="87">
    <w:name w:val="1  正文"/>
    <w:basedOn w:val="1"/>
    <w:qFormat/>
    <w:uiPriority w:val="0"/>
    <w:pPr>
      <w:spacing w:line="360" w:lineRule="auto"/>
      <w:ind w:firstLine="480" w:firstLineChars="200"/>
    </w:pPr>
    <w:rPr>
      <w:sz w:val="24"/>
    </w:rPr>
  </w:style>
  <w:style w:type="paragraph" w:customStyle="1" w:styleId="88">
    <w:name w:val="列出段落1"/>
    <w:basedOn w:val="1"/>
    <w:qFormat/>
    <w:uiPriority w:val="0"/>
    <w:pPr>
      <w:ind w:firstLine="420" w:firstLineChars="200"/>
    </w:pPr>
    <w:rPr>
      <w:szCs w:val="20"/>
    </w:rPr>
  </w:style>
  <w:style w:type="paragraph" w:customStyle="1" w:styleId="89">
    <w:name w:val="表内文字"/>
    <w:basedOn w:val="1"/>
    <w:qFormat/>
    <w:uiPriority w:val="0"/>
    <w:pPr>
      <w:jc w:val="center"/>
    </w:pPr>
    <w:rPr>
      <w:sz w:val="24"/>
    </w:rPr>
  </w:style>
  <w:style w:type="paragraph" w:customStyle="1" w:styleId="90">
    <w:name w:val="报告表正文"/>
    <w:basedOn w:val="91"/>
    <w:qFormat/>
    <w:uiPriority w:val="0"/>
    <w:pPr>
      <w:ind w:firstLine="200" w:firstLineChars="200"/>
      <w:jc w:val="left"/>
    </w:pPr>
    <w:rPr>
      <w:rFonts w:ascii="Times New Roman" w:hAnsi="Times New Roman"/>
      <w:szCs w:val="24"/>
    </w:rPr>
  </w:style>
  <w:style w:type="paragraph" w:customStyle="1" w:styleId="91">
    <w:name w:val="列表1"/>
    <w:basedOn w:val="1"/>
    <w:qFormat/>
    <w:uiPriority w:val="0"/>
    <w:pPr>
      <w:spacing w:line="400" w:lineRule="exact"/>
      <w:jc w:val="center"/>
    </w:pPr>
    <w:rPr>
      <w:rFonts w:ascii="宋体" w:hAnsi="宋体" w:eastAsia="仿宋_GB2312"/>
      <w:sz w:val="24"/>
      <w:szCs w:val="20"/>
    </w:rPr>
  </w:style>
  <w:style w:type="character" w:customStyle="1" w:styleId="92">
    <w:name w:val="font31"/>
    <w:basedOn w:val="29"/>
    <w:qFormat/>
    <w:uiPriority w:val="0"/>
    <w:rPr>
      <w:rFonts w:hint="eastAsia" w:ascii="宋体" w:hAnsi="宋体" w:eastAsia="宋体" w:cs="宋体"/>
      <w:color w:val="000000"/>
      <w:sz w:val="24"/>
      <w:szCs w:val="24"/>
      <w:u w:val="none"/>
    </w:rPr>
  </w:style>
  <w:style w:type="paragraph" w:customStyle="1" w:styleId="93">
    <w:name w:val="3表格正文"/>
    <w:basedOn w:val="1"/>
    <w:qFormat/>
    <w:uiPriority w:val="0"/>
    <w:pPr>
      <w:widowControl w:val="0"/>
      <w:adjustRightInd w:val="0"/>
      <w:snapToGrid w:val="0"/>
      <w:jc w:val="center"/>
    </w:pPr>
    <w:rPr>
      <w:rFonts w:ascii="Times New Roman" w:hAnsi="Times New Roman" w:eastAsia="宋体" w:cs="Times New Roman"/>
      <w:bCs/>
      <w:color w:val="FF0000"/>
      <w:kern w:val="2"/>
      <w:sz w:val="21"/>
      <w:szCs w:val="21"/>
    </w:rPr>
  </w:style>
  <w:style w:type="paragraph" w:customStyle="1" w:styleId="94">
    <w:name w:val="正文11"/>
    <w:basedOn w:val="1"/>
    <w:qFormat/>
    <w:uiPriority w:val="0"/>
    <w:pPr>
      <w:widowControl w:val="0"/>
      <w:autoSpaceDE w:val="0"/>
      <w:autoSpaceDN w:val="0"/>
      <w:snapToGrid w:val="0"/>
      <w:spacing w:before="240" w:line="520" w:lineRule="atLeast"/>
      <w:ind w:firstLine="510"/>
      <w:jc w:val="both"/>
    </w:pPr>
    <w:rPr>
      <w:rFonts w:cs="Times New Roman"/>
      <w:szCs w:val="20"/>
    </w:rPr>
  </w:style>
  <w:style w:type="paragraph" w:customStyle="1" w:styleId="95">
    <w:name w:val="第一、五章 表格正文"/>
    <w:basedOn w:val="11"/>
    <w:qFormat/>
    <w:uiPriority w:val="0"/>
    <w:pPr>
      <w:jc w:val="center"/>
    </w:pPr>
    <w:rPr>
      <w:rFonts w:eastAsia="仿宋_GB2312"/>
    </w:rPr>
  </w:style>
  <w:style w:type="paragraph" w:customStyle="1" w:styleId="96">
    <w:name w:val="Z嵌套表格内容"/>
    <w:basedOn w:val="1"/>
    <w:qFormat/>
    <w:uiPriority w:val="0"/>
    <w:pPr>
      <w:jc w:val="center"/>
    </w:pPr>
  </w:style>
  <w:style w:type="paragraph" w:customStyle="1" w:styleId="97">
    <w:name w:val="Z表格标题"/>
    <w:basedOn w:val="1"/>
    <w:next w:val="1"/>
    <w:qFormat/>
    <w:uiPriority w:val="0"/>
    <w:pPr>
      <w:widowControl/>
      <w:spacing w:line="490" w:lineRule="exact"/>
      <w:jc w:val="center"/>
    </w:pPr>
    <w:rPr>
      <w:rFonts w:ascii="Times New Roman" w:hAnsi="Times New Roman" w:cs="宋体"/>
      <w:b/>
      <w:kern w:val="0"/>
      <w:sz w:val="24"/>
      <w:szCs w:val="24"/>
    </w:rPr>
  </w:style>
  <w:style w:type="paragraph" w:customStyle="1" w:styleId="98">
    <w:name w:val="文本正文"/>
    <w:basedOn w:val="1"/>
    <w:qFormat/>
    <w:uiPriority w:val="0"/>
    <w:pPr>
      <w:autoSpaceDE w:val="0"/>
      <w:autoSpaceDN w:val="0"/>
      <w:adjustRightInd w:val="0"/>
      <w:spacing w:line="360" w:lineRule="auto"/>
      <w:ind w:firstLine="200" w:firstLineChars="200"/>
      <w:textAlignment w:val="baseline"/>
    </w:pPr>
    <w:rPr>
      <w:rFonts w:ascii="宋体" w:hAnsi="宋体"/>
      <w:snapToGrid w:val="0"/>
      <w:color w:val="000000"/>
      <w:spacing w:val="4"/>
      <w:kern w:val="18"/>
      <w:sz w:val="24"/>
    </w:rPr>
  </w:style>
  <w:style w:type="paragraph" w:customStyle="1" w:styleId="99">
    <w:name w:val="无间隔11"/>
    <w:qFormat/>
    <w:uiPriority w:val="0"/>
    <w:pPr>
      <w:widowControl w:val="0"/>
    </w:pPr>
    <w:rPr>
      <w:rFonts w:ascii="宋体" w:hAnsi="Courier New"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5FF5D-7E6C-44E6-8AF8-0C64BD2AF75C}">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62</Pages>
  <Words>38059</Words>
  <Characters>43196</Characters>
  <Lines>393</Lines>
  <Paragraphs>110</Paragraphs>
  <TotalTime>3</TotalTime>
  <ScaleCrop>false</ScaleCrop>
  <LinksUpToDate>false</LinksUpToDate>
  <CharactersWithSpaces>43467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2021-04-26T02:29:00Z</dcterms:created>
  <dc:creator>lhj</dc:creator>
  <cp:lastModifiedBy>球球</cp:lastModifiedBy>
  <cp:lastPrinted>2023-09-26T02:35:00Z</cp:lastPrinted>
  <dcterms:modified xsi:type="dcterms:W3CDTF">2023-11-09T02:17:04Z</dcterms:modified>
  <dc:title>附件2</dc:title>
  <cp:revision>958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55890C15BDD647239AE8F86BFB75E25B</vt:lpwstr>
  </property>
</Properties>
</file>