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bookmarkStart w:id="0" w:name="_GoBack"/>
      <w:bookmarkEnd w:id="0"/>
      <w:r>
        <w:rPr>
          <w:rFonts w:ascii="Times New Roman" w:hAnsi="Times New Roman" w:eastAsia="黑体" w:cs="Times New Roman"/>
          <w:kern w:val="0"/>
          <w:lang w:bidi="ar"/>
        </w:rPr>
        <w:t>附件</w:t>
      </w:r>
      <w:r>
        <w:rPr>
          <w:rFonts w:hint="eastAsia" w:ascii="Times New Roman" w:hAnsi="Times New Roman" w:eastAsia="黑体" w:cs="Times New Roman"/>
          <w:kern w:val="0"/>
          <w:lang w:bidi="ar"/>
        </w:rPr>
        <w:t>1</w:t>
      </w:r>
    </w:p>
    <w:p>
      <w:pPr>
        <w:spacing w:line="600" w:lineRule="exact"/>
        <w:jc w:val="center"/>
        <w:rPr>
          <w:rFonts w:ascii="方正小标宋_GBK" w:hAnsi="Times New Roman" w:eastAsia="方正小标宋_GBK" w:cs="Times New Roman"/>
          <w:kern w:val="0"/>
          <w:sz w:val="44"/>
          <w:szCs w:val="44"/>
          <w:lang w:bidi="ar"/>
        </w:rPr>
      </w:pPr>
      <w:r>
        <w:rPr>
          <w:rFonts w:hint="eastAsia" w:ascii="方正小标宋_GBK" w:hAnsi="Times New Roman" w:eastAsia="方正小标宋_GBK" w:cs="Times New Roman"/>
          <w:color w:val="000000"/>
          <w:kern w:val="0"/>
          <w:sz w:val="44"/>
          <w:szCs w:val="44"/>
          <w:lang w:bidi="ar"/>
        </w:rPr>
        <w:t>主要质量监督控制点及要求</w:t>
      </w:r>
    </w:p>
    <w:tbl>
      <w:tblPr>
        <w:tblStyle w:val="11"/>
        <w:tblW w:w="516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68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widowControl/>
              <w:spacing w:line="320" w:lineRule="exact"/>
              <w:jc w:val="center"/>
              <w:textAlignment w:val="top"/>
              <w:rPr>
                <w:rFonts w:ascii="黑体" w:hAnsi="黑体" w:eastAsia="黑体" w:cs="Times New Roman"/>
                <w:kern w:val="0"/>
                <w:sz w:val="28"/>
                <w:szCs w:val="28"/>
                <w:lang w:bidi="ar"/>
              </w:rPr>
            </w:pPr>
            <w:r>
              <w:rPr>
                <w:rFonts w:ascii="黑体" w:hAnsi="黑体" w:eastAsia="黑体" w:cs="Times New Roman"/>
                <w:bCs/>
                <w:kern w:val="0"/>
                <w:sz w:val="28"/>
                <w:szCs w:val="28"/>
                <w:lang w:bidi="ar"/>
              </w:rPr>
              <w:t>序号</w:t>
            </w:r>
          </w:p>
        </w:tc>
        <w:tc>
          <w:tcPr>
            <w:tcW w:w="900" w:type="pct"/>
            <w:vAlign w:val="center"/>
          </w:tcPr>
          <w:p>
            <w:pPr>
              <w:widowControl/>
              <w:tabs>
                <w:tab w:val="center" w:pos="447"/>
              </w:tabs>
              <w:spacing w:line="320" w:lineRule="exact"/>
              <w:jc w:val="center"/>
              <w:textAlignment w:val="top"/>
              <w:rPr>
                <w:rFonts w:ascii="黑体" w:hAnsi="黑体" w:eastAsia="黑体" w:cs="Times New Roman"/>
                <w:kern w:val="0"/>
                <w:sz w:val="28"/>
                <w:szCs w:val="28"/>
                <w:lang w:bidi="ar"/>
              </w:rPr>
            </w:pPr>
            <w:r>
              <w:rPr>
                <w:rFonts w:ascii="黑体" w:hAnsi="黑体" w:eastAsia="黑体" w:cs="Times New Roman"/>
                <w:bCs/>
                <w:kern w:val="0"/>
                <w:sz w:val="28"/>
                <w:szCs w:val="28"/>
                <w:lang w:bidi="ar"/>
              </w:rPr>
              <w:t>主要控制点</w:t>
            </w:r>
          </w:p>
        </w:tc>
        <w:tc>
          <w:tcPr>
            <w:tcW w:w="3634" w:type="pct"/>
            <w:vAlign w:val="center"/>
          </w:tcPr>
          <w:p>
            <w:pPr>
              <w:widowControl/>
              <w:spacing w:line="320" w:lineRule="exact"/>
              <w:jc w:val="center"/>
              <w:textAlignment w:val="top"/>
              <w:rPr>
                <w:rFonts w:ascii="黑体" w:hAnsi="黑体" w:eastAsia="黑体" w:cs="Times New Roman"/>
                <w:kern w:val="0"/>
                <w:sz w:val="28"/>
                <w:szCs w:val="28"/>
                <w:lang w:bidi="ar"/>
              </w:rPr>
            </w:pPr>
            <w:r>
              <w:rPr>
                <w:rFonts w:ascii="黑体" w:hAnsi="黑体" w:eastAsia="黑体" w:cs="Times New Roman"/>
                <w:bCs/>
                <w:kern w:val="0"/>
                <w:sz w:val="28"/>
                <w:szCs w:val="28"/>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w:t>
            </w:r>
          </w:p>
        </w:tc>
        <w:tc>
          <w:tcPr>
            <w:tcW w:w="900" w:type="pct"/>
            <w:vAlign w:val="center"/>
          </w:tcPr>
          <w:p>
            <w:pPr>
              <w:widowControl/>
              <w:spacing w:line="320" w:lineRule="exact"/>
              <w:jc w:val="center"/>
              <w:textAlignment w:val="top"/>
              <w:rPr>
                <w:rFonts w:ascii="Times New Roman" w:hAnsi="Times New Roman" w:eastAsia="宋体" w:cs="Times New Roman"/>
                <w:kern w:val="0"/>
                <w:sz w:val="21"/>
                <w:szCs w:val="21"/>
                <w:lang w:bidi="ar"/>
              </w:rPr>
            </w:pPr>
            <w:r>
              <w:rPr>
                <w:rFonts w:ascii="Times New Roman" w:hAnsi="Times New Roman" w:cs="Times New Roman"/>
                <w:kern w:val="0"/>
                <w:sz w:val="21"/>
                <w:szCs w:val="21"/>
                <w:lang w:bidi="ar"/>
              </w:rPr>
              <w:t>沟槽开挖</w:t>
            </w:r>
          </w:p>
        </w:tc>
        <w:tc>
          <w:tcPr>
            <w:tcW w:w="3634"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采用人工配合机械开挖，机械开挖时按基底设计高度预留20cm厚的土层，用人工修正至设计标高，以保证槽底原状土不受扰动。</w:t>
            </w:r>
          </w:p>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管道施工期间槽底不得受水浸泡，槽底局部扰动或受水浸泡时，宜采用天然级配砂砾石或石灰土换填，管道和检查井基础落在杂填土或软弱土层时，开槽埋管段应将软弱土层全部清除，并采用好土换填。</w:t>
            </w:r>
          </w:p>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沟槽开挖成型后，对槽底高程、中线每侧宽度、沟槽边坡、槽壁进行检查。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w:t>
            </w:r>
          </w:p>
        </w:tc>
        <w:tc>
          <w:tcPr>
            <w:tcW w:w="90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管道垫层</w:t>
            </w:r>
          </w:p>
        </w:tc>
        <w:tc>
          <w:tcPr>
            <w:tcW w:w="3634"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对照图纸核实碎石、砼垫层宽度、</w:t>
            </w:r>
            <w:r>
              <w:rPr>
                <w:rFonts w:hint="eastAsia" w:ascii="Times New Roman" w:hAnsi="Times New Roman" w:cs="Times New Roman"/>
                <w:kern w:val="0"/>
                <w:sz w:val="21"/>
                <w:szCs w:val="21"/>
                <w:lang w:bidi="ar"/>
              </w:rPr>
              <w:t>厚度、</w:t>
            </w:r>
            <w:r>
              <w:rPr>
                <w:rFonts w:ascii="Times New Roman" w:hAnsi="Times New Roman" w:cs="Times New Roman"/>
                <w:kern w:val="0"/>
                <w:sz w:val="21"/>
                <w:szCs w:val="21"/>
                <w:lang w:bidi="ar"/>
              </w:rPr>
              <w:t>标高，并对原材料检测、压实度、砼强度和各工序报验程序进行验收。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3</w:t>
            </w:r>
          </w:p>
        </w:tc>
        <w:tc>
          <w:tcPr>
            <w:tcW w:w="90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管道基础</w:t>
            </w:r>
          </w:p>
        </w:tc>
        <w:tc>
          <w:tcPr>
            <w:tcW w:w="3634" w:type="pct"/>
            <w:vAlign w:val="center"/>
          </w:tcPr>
          <w:p>
            <w:pPr>
              <w:spacing w:line="320" w:lineRule="exact"/>
              <w:jc w:val="lef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原状地基的承载力应符合设计要求，与管道外壁间接触均匀；混凝土基础的强度、宽度、高程、厚度应符合设计要求，外光内实，钢筋数量、位置符合设计要求；砂石基础的压实度应符合设计和规范要求，与管道外壁间接触均匀，厚度及标高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4</w:t>
            </w:r>
          </w:p>
        </w:tc>
        <w:tc>
          <w:tcPr>
            <w:tcW w:w="90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管道接口</w:t>
            </w:r>
          </w:p>
        </w:tc>
        <w:tc>
          <w:tcPr>
            <w:tcW w:w="3634"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钢筋混凝土管接口处理采用橡胶圈</w:t>
            </w:r>
            <w:r>
              <w:rPr>
                <w:rFonts w:hint="eastAsia"/>
                <w:kern w:val="0"/>
                <w:sz w:val="21"/>
                <w:szCs w:val="21"/>
                <w:lang w:bidi="ar"/>
              </w:rPr>
              <w:t>+</w:t>
            </w:r>
            <w:r>
              <w:rPr>
                <w:rFonts w:ascii="Times New Roman" w:hAnsi="Times New Roman" w:cs="Times New Roman"/>
                <w:kern w:val="0"/>
                <w:sz w:val="21"/>
                <w:szCs w:val="21"/>
                <w:lang w:bidi="ar"/>
              </w:rPr>
              <w:t>水泥砂浆</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1：2</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做内外缝处理；柔性管材橡胶圈需进场复试；检查井与管材连接处需按照规范图集设计要求做密封加固增强连接效果</w:t>
            </w:r>
            <w:r>
              <w:rPr>
                <w:rFonts w:hint="eastAsia" w:ascii="Times New Roman" w:hAnsi="Times New Roman" w:cs="Times New Roman"/>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5</w:t>
            </w:r>
          </w:p>
        </w:tc>
        <w:tc>
          <w:tcPr>
            <w:tcW w:w="90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管道安装</w:t>
            </w:r>
          </w:p>
        </w:tc>
        <w:tc>
          <w:tcPr>
            <w:tcW w:w="3634"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对照图纸核实管道管径、标高、线型等数据，核实砼护帮、砂包封、抹带、接头等质量，并对原材料检测、砼强度</w:t>
            </w:r>
            <w:r>
              <w:rPr>
                <w:rFonts w:hint="eastAsia" w:ascii="Times New Roman" w:hAnsi="Times New Roman" w:cs="Times New Roman"/>
                <w:kern w:val="0"/>
                <w:sz w:val="21"/>
                <w:szCs w:val="21"/>
                <w:lang w:bidi="ar"/>
              </w:rPr>
              <w:t>检测</w:t>
            </w:r>
            <w:r>
              <w:rPr>
                <w:rFonts w:ascii="Times New Roman" w:hAnsi="Times New Roman" w:cs="Times New Roman"/>
                <w:kern w:val="0"/>
                <w:sz w:val="21"/>
                <w:szCs w:val="21"/>
                <w:lang w:bidi="ar"/>
              </w:rPr>
              <w:t>、闭水</w:t>
            </w:r>
            <w:r>
              <w:rPr>
                <w:rFonts w:hint="eastAsia" w:ascii="Times New Roman" w:hAnsi="Times New Roman" w:cs="Times New Roman"/>
                <w:kern w:val="0"/>
                <w:sz w:val="21"/>
                <w:szCs w:val="21"/>
                <w:lang w:bidi="ar"/>
              </w:rPr>
              <w:t>试验</w:t>
            </w:r>
            <w:r>
              <w:rPr>
                <w:rFonts w:ascii="Times New Roman" w:hAnsi="Times New Roman" w:cs="Times New Roman"/>
                <w:kern w:val="0"/>
                <w:sz w:val="21"/>
                <w:szCs w:val="21"/>
                <w:lang w:bidi="ar"/>
              </w:rPr>
              <w:t>、通球实验和各工序报验程序进行验收。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466"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6</w:t>
            </w:r>
          </w:p>
        </w:tc>
        <w:tc>
          <w:tcPr>
            <w:tcW w:w="900" w:type="pct"/>
            <w:vAlign w:val="center"/>
          </w:tcPr>
          <w:p>
            <w:pPr>
              <w:widowControl/>
              <w:spacing w:line="320" w:lineRule="exact"/>
              <w:jc w:val="center"/>
              <w:textAlignment w:val="top"/>
              <w:rPr>
                <w:rFonts w:ascii="Times New Roman" w:hAnsi="Times New Roman" w:eastAsia="宋体" w:cs="Times New Roman"/>
                <w:kern w:val="0"/>
                <w:sz w:val="21"/>
                <w:szCs w:val="21"/>
                <w:lang w:bidi="ar"/>
              </w:rPr>
            </w:pPr>
            <w:r>
              <w:rPr>
                <w:rFonts w:ascii="Times New Roman" w:hAnsi="Times New Roman" w:cs="Times New Roman"/>
                <w:kern w:val="0"/>
                <w:sz w:val="21"/>
                <w:szCs w:val="21"/>
                <w:lang w:bidi="ar"/>
              </w:rPr>
              <w:t>管道回填</w:t>
            </w:r>
          </w:p>
        </w:tc>
        <w:tc>
          <w:tcPr>
            <w:tcW w:w="3634" w:type="pct"/>
            <w:vAlign w:val="center"/>
          </w:tcPr>
          <w:p>
            <w:pPr>
              <w:spacing w:line="320" w:lineRule="exac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按照设计要求对管道进行包封处理</w:t>
            </w:r>
            <w:r>
              <w:rPr>
                <w:rFonts w:ascii="Times New Roman" w:hAnsi="Times New Roman" w:cs="Times New Roman"/>
                <w:kern w:val="0"/>
                <w:sz w:val="21"/>
                <w:szCs w:val="21"/>
                <w:lang w:bidi="ar"/>
              </w:rPr>
              <w:t>。</w:t>
            </w:r>
          </w:p>
          <w:p>
            <w:pPr>
              <w:spacing w:line="320" w:lineRule="exact"/>
              <w:rPr>
                <w:rFonts w:ascii="Times New Roman" w:hAnsi="Times New Roman" w:cs="Times New Roman"/>
                <w:kern w:val="0"/>
                <w:sz w:val="21"/>
                <w:szCs w:val="21"/>
                <w:lang w:bidi="ar"/>
              </w:rPr>
            </w:pPr>
            <w:r>
              <w:rPr>
                <w:rFonts w:ascii="Times New Roman" w:hAnsi="Times New Roman" w:cs="Times New Roman"/>
                <w:kern w:val="0"/>
                <w:sz w:val="21"/>
                <w:szCs w:val="21"/>
                <w:lang w:bidi="ar"/>
              </w:rPr>
              <w:t>回填时沟槽内不得积水，不得带水回填；槽内不得有木块、碎砖等杂物</w:t>
            </w:r>
            <w:r>
              <w:rPr>
                <w:rFonts w:hint="eastAsia" w:ascii="Times New Roman" w:hAnsi="Times New Roman" w:cs="Times New Roman"/>
                <w:kern w:val="0"/>
                <w:sz w:val="21"/>
                <w:szCs w:val="21"/>
                <w:lang w:bidi="ar"/>
              </w:rPr>
              <w:t>。</w:t>
            </w:r>
          </w:p>
          <w:p>
            <w:pPr>
              <w:spacing w:line="320" w:lineRule="exact"/>
              <w:rPr>
                <w:rFonts w:ascii="Times New Roman" w:hAnsi="Times New Roman" w:cs="Times New Roman"/>
                <w:kern w:val="0"/>
                <w:sz w:val="21"/>
                <w:szCs w:val="21"/>
                <w:lang w:bidi="ar"/>
              </w:rPr>
            </w:pPr>
            <w:r>
              <w:rPr>
                <w:rFonts w:ascii="Times New Roman" w:hAnsi="Times New Roman" w:cs="Times New Roman"/>
                <w:kern w:val="0"/>
                <w:sz w:val="21"/>
                <w:szCs w:val="21"/>
                <w:lang w:bidi="ar"/>
              </w:rPr>
              <w:t>井室周围应与管道沟槽回填同时进行；不便同时进行时，应留台阶接茬</w:t>
            </w:r>
            <w:r>
              <w:rPr>
                <w:rFonts w:hint="eastAsia" w:ascii="Times New Roman" w:hAnsi="Times New Roman" w:cs="Times New Roman"/>
                <w:kern w:val="0"/>
                <w:sz w:val="21"/>
                <w:szCs w:val="21"/>
                <w:lang w:bidi="ar"/>
              </w:rPr>
              <w:t>。</w:t>
            </w:r>
          </w:p>
          <w:p>
            <w:pPr>
              <w:spacing w:line="320" w:lineRule="exact"/>
              <w:rPr>
                <w:rFonts w:ascii="Times New Roman" w:hAnsi="Times New Roman" w:cs="Times New Roman"/>
                <w:kern w:val="0"/>
                <w:sz w:val="21"/>
                <w:szCs w:val="21"/>
                <w:lang w:bidi="ar"/>
              </w:rPr>
            </w:pPr>
            <w:r>
              <w:rPr>
                <w:rFonts w:ascii="Times New Roman" w:hAnsi="Times New Roman" w:cs="Times New Roman"/>
                <w:kern w:val="0"/>
                <w:sz w:val="21"/>
                <w:szCs w:val="21"/>
                <w:lang w:bidi="ar"/>
              </w:rPr>
              <w:t>沟槽回填应分层回填压实，分层厚度不得超过</w:t>
            </w:r>
            <w:r>
              <w:rPr>
                <w:rFonts w:hint="eastAsia" w:ascii="Times New Roman" w:hAnsi="Times New Roman" w:cs="Times New Roman"/>
                <w:kern w:val="0"/>
                <w:sz w:val="21"/>
                <w:szCs w:val="21"/>
                <w:lang w:bidi="ar"/>
              </w:rPr>
              <w:t>规范要求</w:t>
            </w:r>
            <w:r>
              <w:rPr>
                <w:rFonts w:ascii="Times New Roman" w:hAnsi="Times New Roman" w:cs="Times New Roman"/>
                <w:kern w:val="0"/>
                <w:sz w:val="21"/>
                <w:szCs w:val="21"/>
                <w:lang w:bidi="ar"/>
              </w:rPr>
              <w:t>。回填压实时应对称进行，且不得漏夯。严禁在槽壁取土回填</w:t>
            </w:r>
            <w:r>
              <w:rPr>
                <w:rFonts w:hint="eastAsia" w:ascii="Times New Roman" w:hAnsi="Times New Roman" w:cs="Times New Roman"/>
                <w:kern w:val="0"/>
                <w:sz w:val="21"/>
                <w:szCs w:val="21"/>
                <w:lang w:bidi="ar"/>
              </w:rPr>
              <w:t>。</w:t>
            </w:r>
          </w:p>
          <w:p>
            <w:pPr>
              <w:spacing w:line="320" w:lineRule="exac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沟槽两侧和管顶以上500mm范围内的回填材料，应由沟槽两侧对称运入槽内，管道两侧压实面的高差不应超过规范要求；其他部位应均匀运入槽内，不得将回填材料集中推入。</w:t>
            </w:r>
          </w:p>
          <w:p>
            <w:pPr>
              <w:spacing w:line="320" w:lineRule="exact"/>
              <w:rPr>
                <w:rFonts w:ascii="Times New Roman" w:hAnsi="Times New Roman" w:cs="Times New Roman"/>
                <w:kern w:val="0"/>
                <w:sz w:val="21"/>
                <w:szCs w:val="21"/>
                <w:lang w:bidi="ar"/>
              </w:rPr>
            </w:pPr>
            <w:r>
              <w:rPr>
                <w:rFonts w:ascii="Times New Roman" w:hAnsi="Times New Roman" w:cs="Times New Roman"/>
                <w:kern w:val="0"/>
                <w:sz w:val="21"/>
                <w:szCs w:val="21"/>
                <w:lang w:bidi="ar"/>
              </w:rPr>
              <w:t>柔性管道回填至设计高程时，应在12</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24h内测量并记录管道变形率，管道变形率应符合设计要求；设计无要求时，钢管或球墨铸铁管道变形率应不超过2％，化学建材管道变形率应不超过3％</w:t>
            </w:r>
            <w:r>
              <w:rPr>
                <w:rFonts w:hint="eastAsia" w:ascii="Times New Roman" w:hAnsi="Times New Roman" w:cs="Times New Roman"/>
                <w:kern w:val="0"/>
                <w:sz w:val="21"/>
                <w:szCs w:val="21"/>
                <w:lang w:bidi="ar"/>
              </w:rPr>
              <w:t>。</w:t>
            </w:r>
          </w:p>
        </w:tc>
      </w:tr>
    </w:tbl>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br w:type="page"/>
      </w:r>
    </w:p>
    <w:tbl>
      <w:tblPr>
        <w:tblStyle w:val="11"/>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865"/>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Align w:val="center"/>
          </w:tcPr>
          <w:p>
            <w:pPr>
              <w:widowControl/>
              <w:spacing w:line="320" w:lineRule="exact"/>
              <w:jc w:val="center"/>
              <w:textAlignment w:val="top"/>
              <w:rPr>
                <w:rFonts w:ascii="Times New Roman" w:hAnsi="Times New Roman" w:eastAsia="黑体" w:cs="Times New Roman"/>
                <w:kern w:val="0"/>
                <w:sz w:val="21"/>
                <w:szCs w:val="21"/>
                <w:lang w:bidi="ar"/>
              </w:rPr>
            </w:pPr>
            <w:r>
              <w:rPr>
                <w:rFonts w:ascii="Times New Roman" w:hAnsi="Times New Roman" w:cs="Times New Roman"/>
                <w:b/>
                <w:bCs/>
                <w:kern w:val="0"/>
                <w:sz w:val="21"/>
                <w:szCs w:val="21"/>
                <w:lang w:bidi="ar"/>
              </w:rPr>
              <w:t>序号</w:t>
            </w:r>
          </w:p>
        </w:tc>
        <w:tc>
          <w:tcPr>
            <w:tcW w:w="1030" w:type="pct"/>
            <w:vAlign w:val="center"/>
          </w:tcPr>
          <w:p>
            <w:pPr>
              <w:widowControl/>
              <w:tabs>
                <w:tab w:val="center" w:pos="447"/>
              </w:tabs>
              <w:spacing w:line="320" w:lineRule="exact"/>
              <w:jc w:val="center"/>
              <w:textAlignment w:val="top"/>
              <w:rPr>
                <w:rFonts w:ascii="Times New Roman" w:hAnsi="Times New Roman" w:eastAsia="黑体" w:cs="Times New Roman"/>
                <w:kern w:val="0"/>
                <w:sz w:val="21"/>
                <w:szCs w:val="21"/>
                <w:lang w:bidi="ar"/>
              </w:rPr>
            </w:pPr>
            <w:r>
              <w:rPr>
                <w:rFonts w:ascii="Times New Roman" w:hAnsi="Times New Roman" w:cs="Times New Roman"/>
                <w:b/>
                <w:bCs/>
                <w:kern w:val="0"/>
                <w:sz w:val="21"/>
                <w:szCs w:val="21"/>
                <w:lang w:bidi="ar"/>
              </w:rPr>
              <w:t>主要控制点</w:t>
            </w:r>
          </w:p>
        </w:tc>
        <w:tc>
          <w:tcPr>
            <w:tcW w:w="3567" w:type="pct"/>
            <w:vAlign w:val="center"/>
          </w:tcPr>
          <w:p>
            <w:pPr>
              <w:widowControl/>
              <w:spacing w:line="320" w:lineRule="exact"/>
              <w:jc w:val="center"/>
              <w:textAlignment w:val="top"/>
              <w:rPr>
                <w:rFonts w:ascii="Times New Roman" w:hAnsi="Times New Roman" w:eastAsia="黑体" w:cs="Times New Roman"/>
                <w:kern w:val="0"/>
                <w:sz w:val="21"/>
                <w:szCs w:val="21"/>
                <w:lang w:bidi="ar"/>
              </w:rPr>
            </w:pPr>
            <w:r>
              <w:rPr>
                <w:rFonts w:ascii="Times New Roman" w:hAnsi="Times New Roman" w:cs="Times New Roman"/>
                <w:b/>
                <w:bCs/>
                <w:kern w:val="0"/>
                <w:sz w:val="21"/>
                <w:szCs w:val="21"/>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2" w:hRule="atLeast"/>
        </w:trPr>
        <w:tc>
          <w:tcPr>
            <w:tcW w:w="403"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7</w:t>
            </w:r>
          </w:p>
        </w:tc>
        <w:tc>
          <w:tcPr>
            <w:tcW w:w="103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检查井</w:t>
            </w:r>
          </w:p>
        </w:tc>
        <w:tc>
          <w:tcPr>
            <w:tcW w:w="3567" w:type="pct"/>
            <w:vAlign w:val="center"/>
          </w:tcPr>
          <w:p>
            <w:pPr>
              <w:spacing w:line="320" w:lineRule="exact"/>
              <w:jc w:val="lef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检查井的规格及承载力应符合规范及设计要求；成品井与管道连接部位应采用立模浇筑混凝土的方式进行连接，管道接入检查井应保证20—50mm管头伸入长度；</w:t>
            </w:r>
            <w:r>
              <w:rPr>
                <w:rFonts w:ascii="Times New Roman" w:hAnsi="Times New Roman" w:cs="Times New Roman"/>
                <w:kern w:val="0"/>
                <w:sz w:val="21"/>
                <w:szCs w:val="21"/>
                <w:lang w:bidi="ar"/>
              </w:rPr>
              <w:t>井盖需检查产品合格证、进场复试报告、进场报验手续、井盖标识；井周加固重点检查钢筋网片在摊铺沥青前是否放置聚酯布；检查井框安装是否按图施工；对于路口范围内的井盖，建议在摊铺面层沥青时反开挖安装，只留面层厚度</w:t>
            </w:r>
            <w:r>
              <w:rPr>
                <w:rFonts w:hint="eastAsia" w:ascii="Times New Roman" w:hAnsi="Times New Roman" w:cs="Times New Roman"/>
                <w:kern w:val="0"/>
                <w:sz w:val="21"/>
                <w:szCs w:val="21"/>
                <w:lang w:bidi="ar"/>
              </w:rPr>
              <w:t>；检查井应按要求通过螺栓进行调平。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403"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8</w:t>
            </w:r>
          </w:p>
        </w:tc>
        <w:tc>
          <w:tcPr>
            <w:tcW w:w="103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道路面层隐蔽</w:t>
            </w:r>
            <w:r>
              <w:rPr>
                <w:rFonts w:hint="eastAsia" w:ascii="Times New Roman" w:hAnsi="Times New Roman" w:cs="Times New Roman"/>
                <w:kern w:val="0"/>
                <w:sz w:val="21"/>
                <w:szCs w:val="21"/>
                <w:lang w:bidi="ar"/>
              </w:rPr>
              <w:t>前</w:t>
            </w:r>
          </w:p>
        </w:tc>
        <w:tc>
          <w:tcPr>
            <w:tcW w:w="3567"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对照图纸核实面层宽度、平整度、标高、横坡、纵坡，并对原材料检测（是否使用回收料）、压实度和各工序报验程序进行验收。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8" w:hRule="atLeast"/>
        </w:trPr>
        <w:tc>
          <w:tcPr>
            <w:tcW w:w="403"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9</w:t>
            </w:r>
          </w:p>
        </w:tc>
        <w:tc>
          <w:tcPr>
            <w:tcW w:w="1030" w:type="pct"/>
            <w:vAlign w:val="center"/>
          </w:tcPr>
          <w:p>
            <w:pPr>
              <w:widowControl/>
              <w:spacing w:line="32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人行道、侧平石等附属</w:t>
            </w:r>
            <w:r>
              <w:rPr>
                <w:rFonts w:hint="eastAsia" w:ascii="Times New Roman" w:hAnsi="Times New Roman" w:cs="Times New Roman"/>
                <w:kern w:val="0"/>
                <w:sz w:val="21"/>
                <w:szCs w:val="21"/>
                <w:lang w:bidi="ar"/>
              </w:rPr>
              <w:t>设施</w:t>
            </w:r>
          </w:p>
        </w:tc>
        <w:tc>
          <w:tcPr>
            <w:tcW w:w="3567" w:type="pct"/>
            <w:vAlign w:val="center"/>
          </w:tcPr>
          <w:p>
            <w:pPr>
              <w:spacing w:line="320" w:lineRule="exact"/>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对照图纸对人行道（</w:t>
            </w:r>
            <w:r>
              <w:rPr>
                <w:rFonts w:hint="eastAsia" w:ascii="Times New Roman" w:hAnsi="Times New Roman" w:cs="Times New Roman"/>
                <w:kern w:val="0"/>
                <w:sz w:val="21"/>
                <w:szCs w:val="21"/>
                <w:lang w:bidi="ar"/>
              </w:rPr>
              <w:t>地块</w:t>
            </w:r>
            <w:r>
              <w:rPr>
                <w:rFonts w:ascii="Times New Roman" w:hAnsi="Times New Roman" w:cs="Times New Roman"/>
                <w:kern w:val="0"/>
                <w:sz w:val="21"/>
                <w:szCs w:val="21"/>
                <w:lang w:bidi="ar"/>
              </w:rPr>
              <w:t>公共区域）进行验槽，对垫层厚度和宽度、面层平整度和外观进行检查，对侧平石轴线、后靠背和外观进行检查，并对原材料检测和各工序报验程序进行验收。</w:t>
            </w:r>
          </w:p>
        </w:tc>
      </w:tr>
    </w:tbl>
    <w:p>
      <w:pPr>
        <w:spacing w:line="320" w:lineRule="exact"/>
        <w:rPr>
          <w:rFonts w:ascii="Times New Roman" w:hAnsi="Times New Roman" w:cs="Times New Roman"/>
          <w:color w:val="000000"/>
          <w:kern w:val="0"/>
          <w:sz w:val="21"/>
          <w:szCs w:val="21"/>
          <w:lang w:bidi="ar"/>
        </w:rPr>
      </w:pPr>
      <w:r>
        <w:rPr>
          <w:rFonts w:ascii="Times New Roman" w:hAnsi="Times New Roman" w:cs="Times New Roman"/>
          <w:b/>
          <w:bCs/>
          <w:color w:val="000000"/>
          <w:kern w:val="0"/>
          <w:sz w:val="21"/>
          <w:szCs w:val="21"/>
          <w:lang w:bidi="ar"/>
        </w:rPr>
        <w:t>注：</w:t>
      </w:r>
      <w:r>
        <w:rPr>
          <w:rFonts w:ascii="Times New Roman" w:hAnsi="Times New Roman" w:cs="Times New Roman"/>
          <w:color w:val="000000"/>
          <w:kern w:val="0"/>
          <w:sz w:val="21"/>
          <w:szCs w:val="21"/>
          <w:lang w:bidi="ar"/>
        </w:rPr>
        <w:t>以上主要控制点，在建设各方自检通过后，扫描相关技术资料和工序报验表（并附代表性照片和监理举牌验收照片）成PDF电子文件，报相关镇（街道、园区）工作专班和区住建局工作专班。</w:t>
      </w: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p>
    <w:p>
      <w:pPr>
        <w:rPr>
          <w:rFonts w:ascii="Times New Roman" w:hAnsi="Times New Roman" w:eastAsia="黑体" w:cs="Times New Roman"/>
          <w:kern w:val="0"/>
          <w:lang w:bidi="ar"/>
        </w:rPr>
      </w:pPr>
      <w:r>
        <w:rPr>
          <w:rFonts w:ascii="Times New Roman" w:hAnsi="Times New Roman" w:eastAsia="黑体" w:cs="Times New Roman"/>
          <w:kern w:val="0"/>
          <w:lang w:bidi="ar"/>
        </w:rPr>
        <w:t>附件</w:t>
      </w:r>
      <w:r>
        <w:rPr>
          <w:rFonts w:hint="eastAsia" w:ascii="Times New Roman" w:hAnsi="Times New Roman" w:eastAsia="黑体" w:cs="Times New Roman"/>
          <w:kern w:val="0"/>
          <w:lang w:bidi="ar"/>
        </w:rPr>
        <w:t>2</w:t>
      </w:r>
    </w:p>
    <w:p>
      <w:pPr>
        <w:spacing w:line="700" w:lineRule="exact"/>
        <w:jc w:val="center"/>
        <w:rPr>
          <w:rFonts w:ascii="方正小标宋_GBK" w:hAnsi="Times New Roman" w:eastAsia="方正小标宋_GBK" w:cs="Times New Roman"/>
          <w:kern w:val="0"/>
          <w:sz w:val="44"/>
          <w:szCs w:val="44"/>
          <w:lang w:bidi="ar"/>
        </w:rPr>
      </w:pPr>
      <w:r>
        <w:rPr>
          <w:rFonts w:hint="eastAsia" w:ascii="方正小标宋_GBK" w:hAnsi="Times New Roman" w:eastAsia="方正小标宋_GBK" w:cs="Times New Roman"/>
          <w:kern w:val="0"/>
          <w:sz w:val="44"/>
          <w:szCs w:val="44"/>
          <w:lang w:bidi="ar"/>
        </w:rPr>
        <w:t>样板设置要求</w:t>
      </w:r>
    </w:p>
    <w:p>
      <w:pPr>
        <w:widowControl/>
        <w:spacing w:line="330" w:lineRule="exact"/>
        <w:jc w:val="center"/>
        <w:rPr>
          <w:rFonts w:ascii="Times New Roman" w:hAnsi="Times New Roman" w:cs="Times New Roman"/>
          <w:kern w:val="0"/>
          <w:sz w:val="21"/>
          <w:szCs w:val="21"/>
          <w:lang w:bidi="ar"/>
        </w:rPr>
      </w:pPr>
    </w:p>
    <w:tbl>
      <w:tblPr>
        <w:tblStyle w:val="11"/>
        <w:tblW w:w="88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28"/>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widowControl/>
              <w:spacing w:line="330" w:lineRule="exact"/>
              <w:jc w:val="center"/>
              <w:textAlignment w:val="top"/>
              <w:rPr>
                <w:rFonts w:ascii="黑体" w:hAnsi="黑体" w:eastAsia="黑体" w:cs="Times New Roman"/>
                <w:kern w:val="0"/>
                <w:sz w:val="21"/>
                <w:szCs w:val="21"/>
                <w:lang w:bidi="ar"/>
              </w:rPr>
            </w:pPr>
            <w:r>
              <w:rPr>
                <w:rFonts w:ascii="黑体" w:hAnsi="黑体" w:eastAsia="黑体" w:cs="Times New Roman"/>
                <w:bCs/>
                <w:kern w:val="0"/>
                <w:sz w:val="21"/>
                <w:szCs w:val="21"/>
                <w:lang w:bidi="ar"/>
              </w:rPr>
              <w:t>序号</w:t>
            </w:r>
          </w:p>
        </w:tc>
        <w:tc>
          <w:tcPr>
            <w:tcW w:w="1528" w:type="dxa"/>
            <w:vAlign w:val="center"/>
          </w:tcPr>
          <w:p>
            <w:pPr>
              <w:widowControl/>
              <w:tabs>
                <w:tab w:val="center" w:pos="447"/>
              </w:tabs>
              <w:spacing w:line="330" w:lineRule="exact"/>
              <w:jc w:val="center"/>
              <w:textAlignment w:val="top"/>
              <w:rPr>
                <w:rFonts w:ascii="黑体" w:hAnsi="黑体" w:eastAsia="黑体" w:cs="Times New Roman"/>
                <w:kern w:val="0"/>
                <w:sz w:val="21"/>
                <w:szCs w:val="21"/>
                <w:lang w:bidi="ar"/>
              </w:rPr>
            </w:pPr>
            <w:r>
              <w:rPr>
                <w:rFonts w:ascii="黑体" w:hAnsi="黑体" w:eastAsia="黑体" w:cs="Times New Roman"/>
                <w:bCs/>
                <w:kern w:val="0"/>
                <w:sz w:val="21"/>
                <w:szCs w:val="21"/>
                <w:lang w:bidi="ar"/>
              </w:rPr>
              <w:t>样板名称</w:t>
            </w:r>
          </w:p>
        </w:tc>
        <w:tc>
          <w:tcPr>
            <w:tcW w:w="6683" w:type="dxa"/>
            <w:vAlign w:val="center"/>
          </w:tcPr>
          <w:p>
            <w:pPr>
              <w:widowControl/>
              <w:spacing w:line="330" w:lineRule="exact"/>
              <w:jc w:val="center"/>
              <w:textAlignment w:val="top"/>
              <w:rPr>
                <w:rFonts w:ascii="黑体" w:hAnsi="黑体" w:eastAsia="黑体" w:cs="Times New Roman"/>
                <w:kern w:val="0"/>
                <w:sz w:val="21"/>
                <w:szCs w:val="21"/>
                <w:lang w:bidi="ar"/>
              </w:rPr>
            </w:pPr>
            <w:r>
              <w:rPr>
                <w:rFonts w:ascii="黑体" w:hAnsi="黑体" w:eastAsia="黑体" w:cs="Times New Roman"/>
                <w:bCs/>
                <w:kern w:val="0"/>
                <w:sz w:val="21"/>
                <w:szCs w:val="21"/>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66" w:type="dxa"/>
            <w:vAlign w:val="center"/>
          </w:tcPr>
          <w:p>
            <w:pPr>
              <w:widowControl/>
              <w:spacing w:line="330" w:lineRule="exact"/>
              <w:jc w:val="center"/>
              <w:textAlignment w:val="top"/>
              <w:rPr>
                <w:rFonts w:ascii="Times New Roman" w:hAnsi="Times New Roman" w:eastAsia="宋体" w:cs="Times New Roman"/>
                <w:color w:val="000000"/>
                <w:kern w:val="0"/>
                <w:sz w:val="21"/>
                <w:szCs w:val="21"/>
                <w:lang w:bidi="ar"/>
              </w:rPr>
            </w:pPr>
            <w:r>
              <w:rPr>
                <w:rFonts w:ascii="Times New Roman" w:hAnsi="Times New Roman" w:cs="Times New Roman"/>
                <w:color w:val="000000"/>
                <w:kern w:val="0"/>
                <w:sz w:val="21"/>
                <w:szCs w:val="21"/>
                <w:lang w:bidi="ar"/>
              </w:rPr>
              <w:t>1</w:t>
            </w:r>
          </w:p>
        </w:tc>
        <w:tc>
          <w:tcPr>
            <w:tcW w:w="1528"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道路路基样板</w:t>
            </w:r>
          </w:p>
        </w:tc>
        <w:tc>
          <w:tcPr>
            <w:tcW w:w="6683"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在全段施工前做一段样板段，长度</w:t>
            </w:r>
            <w:r>
              <w:rPr>
                <w:rFonts w:hint="eastAsia" w:ascii="Times New Roman" w:hAnsi="Times New Roman" w:cs="Times New Roman"/>
                <w:color w:val="000000"/>
                <w:kern w:val="0"/>
                <w:sz w:val="21"/>
                <w:szCs w:val="21"/>
                <w:lang w:bidi="ar"/>
              </w:rPr>
              <w:t>50</w:t>
            </w:r>
            <w:r>
              <w:rPr>
                <w:rFonts w:ascii="Times New Roman" w:hAnsi="Times New Roman" w:cs="Times New Roman"/>
                <w:color w:val="000000"/>
                <w:kern w:val="0"/>
                <w:sz w:val="21"/>
                <w:szCs w:val="21"/>
                <w:lang w:bidi="ar"/>
              </w:rPr>
              <w:t>m，各工序做法应展示全面，现场进行底基层和基础验收，对照图纸核实路基宽度、平整度、标高、横坡、纵坡，并对原材料检测、压实度和各工序报验程序进行验收。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66" w:type="dxa"/>
            <w:vAlign w:val="center"/>
          </w:tcPr>
          <w:p>
            <w:pPr>
              <w:widowControl/>
              <w:spacing w:line="330" w:lineRule="exact"/>
              <w:jc w:val="center"/>
              <w:textAlignment w:val="top"/>
              <w:rPr>
                <w:rFonts w:ascii="Times New Roman" w:hAnsi="Times New Roman" w:eastAsia="宋体" w:cs="Times New Roman"/>
                <w:color w:val="000000"/>
                <w:kern w:val="0"/>
                <w:sz w:val="21"/>
                <w:szCs w:val="21"/>
                <w:lang w:bidi="ar"/>
              </w:rPr>
            </w:pPr>
            <w:r>
              <w:rPr>
                <w:rFonts w:ascii="Times New Roman" w:hAnsi="Times New Roman" w:cs="Times New Roman"/>
                <w:color w:val="000000"/>
                <w:kern w:val="0"/>
                <w:sz w:val="21"/>
                <w:szCs w:val="21"/>
                <w:lang w:bidi="ar"/>
              </w:rPr>
              <w:t>2</w:t>
            </w:r>
          </w:p>
        </w:tc>
        <w:tc>
          <w:tcPr>
            <w:tcW w:w="1528"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管道样板</w:t>
            </w:r>
          </w:p>
        </w:tc>
        <w:tc>
          <w:tcPr>
            <w:tcW w:w="6683"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回填前，针对各类管道，在全段施工前做一段样板段，长度为两个井段，各工序做法应展示全面，现场进行管道施工工序验收，对照图纸核实沟槽开挖宽度、管道垫层、标高、抹带、轴线、管道连接、闭水试验（污水）、检查井等，并对原材料检测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66" w:type="dxa"/>
            <w:vAlign w:val="center"/>
          </w:tcPr>
          <w:p>
            <w:pPr>
              <w:widowControl/>
              <w:spacing w:line="330" w:lineRule="exact"/>
              <w:jc w:val="center"/>
              <w:textAlignment w:val="top"/>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3</w:t>
            </w:r>
          </w:p>
        </w:tc>
        <w:tc>
          <w:tcPr>
            <w:tcW w:w="1528"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检查井井周加固样板</w:t>
            </w:r>
          </w:p>
        </w:tc>
        <w:tc>
          <w:tcPr>
            <w:tcW w:w="6683" w:type="dxa"/>
            <w:vAlign w:val="center"/>
          </w:tcPr>
          <w:p>
            <w:pPr>
              <w:widowControl/>
              <w:spacing w:line="330" w:lineRule="exact"/>
              <w:jc w:val="left"/>
              <w:textAlignment w:val="top"/>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检查井井周浇筑前，做2个检查井井周加固样板，各工序做法应展示全面，现在进行两次井周浇筑验收，对照标准图集做法核实井周开挖宽度、深度、双层钢筋、内模、调节螺母、带线标高、砼强度等</w:t>
            </w:r>
            <w:r>
              <w:rPr>
                <w:rFonts w:ascii="Times New Roman" w:hAnsi="Times New Roman" w:cs="Times New Roman"/>
                <w:kern w:val="0"/>
                <w:sz w:val="21"/>
                <w:szCs w:val="21"/>
                <w:lang w:bidi="ar"/>
              </w:rPr>
              <w:t>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666" w:type="dxa"/>
            <w:vAlign w:val="center"/>
          </w:tcPr>
          <w:p>
            <w:pPr>
              <w:widowControl/>
              <w:spacing w:line="330" w:lineRule="exact"/>
              <w:jc w:val="center"/>
              <w:textAlignment w:val="top"/>
              <w:rPr>
                <w:rFonts w:ascii="Times New Roman" w:hAnsi="Times New Roman" w:eastAsia="宋体" w:cs="Times New Roman"/>
                <w:kern w:val="0"/>
                <w:sz w:val="21"/>
                <w:szCs w:val="21"/>
                <w:lang w:bidi="ar"/>
              </w:rPr>
            </w:pPr>
            <w:r>
              <w:rPr>
                <w:rFonts w:hint="eastAsia" w:ascii="Times New Roman" w:hAnsi="Times New Roman" w:cs="Times New Roman"/>
                <w:kern w:val="0"/>
                <w:sz w:val="21"/>
                <w:szCs w:val="21"/>
                <w:lang w:bidi="ar"/>
              </w:rPr>
              <w:t>4</w:t>
            </w:r>
          </w:p>
        </w:tc>
        <w:tc>
          <w:tcPr>
            <w:tcW w:w="1528" w:type="dxa"/>
            <w:vAlign w:val="center"/>
          </w:tcPr>
          <w:p>
            <w:pPr>
              <w:widowControl/>
              <w:spacing w:line="33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路面恢复样板</w:t>
            </w:r>
          </w:p>
        </w:tc>
        <w:tc>
          <w:tcPr>
            <w:tcW w:w="6683" w:type="dxa"/>
            <w:vAlign w:val="center"/>
          </w:tcPr>
          <w:p>
            <w:pPr>
              <w:widowControl/>
              <w:spacing w:line="33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在全段路面恢复施工前做一段样板段，长度50m，各工序做法应展示全面，现场进行底基层（垫层）、基层、面层验收，对照图纸核实各层厚度、平整度、标高、横坡、纵坡，并对原材料检测、压实度、砼强度和各工序报验程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66" w:type="dxa"/>
            <w:vAlign w:val="center"/>
          </w:tcPr>
          <w:p>
            <w:pPr>
              <w:widowControl/>
              <w:spacing w:line="330" w:lineRule="exact"/>
              <w:jc w:val="center"/>
              <w:textAlignment w:val="top"/>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5</w:t>
            </w:r>
          </w:p>
        </w:tc>
        <w:tc>
          <w:tcPr>
            <w:tcW w:w="1528" w:type="dxa"/>
            <w:vAlign w:val="center"/>
          </w:tcPr>
          <w:p>
            <w:pPr>
              <w:widowControl/>
              <w:spacing w:line="33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人行道板铺装样板</w:t>
            </w:r>
          </w:p>
        </w:tc>
        <w:tc>
          <w:tcPr>
            <w:tcW w:w="6683" w:type="dxa"/>
            <w:vAlign w:val="center"/>
          </w:tcPr>
          <w:p>
            <w:pPr>
              <w:widowControl/>
              <w:spacing w:line="33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在全段人行道施工前做一段样板段，长度50m</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各工序做法应展示全面，现场进行碎石垫层、砼垫层、水泥砂浆和人行道板验收，对照图纸核实各层厚度、平整度、标高、横坡、纵坡，并对原材料检测、压实度、砼强度和各工序报验程序进行验收。</w:t>
            </w:r>
          </w:p>
        </w:tc>
      </w:tr>
    </w:tbl>
    <w:p>
      <w:pPr>
        <w:overflowPunct w:val="0"/>
        <w:spacing w:line="320" w:lineRule="exact"/>
        <w:rPr>
          <w:rFonts w:ascii="Times New Roman" w:hAnsi="Times New Roman" w:cs="Times New Roman"/>
        </w:rPr>
      </w:pPr>
      <w:r>
        <w:rPr>
          <w:rFonts w:ascii="Times New Roman" w:hAnsi="Times New Roman" w:cs="Times New Roman"/>
          <w:b/>
          <w:bCs/>
          <w:color w:val="000000"/>
          <w:kern w:val="0"/>
          <w:sz w:val="21"/>
          <w:szCs w:val="21"/>
          <w:lang w:bidi="ar"/>
        </w:rPr>
        <w:t>注：</w:t>
      </w:r>
      <w:r>
        <w:rPr>
          <w:rFonts w:ascii="Times New Roman" w:hAnsi="Times New Roman" w:cs="Times New Roman"/>
          <w:color w:val="000000"/>
          <w:kern w:val="0"/>
          <w:sz w:val="21"/>
          <w:szCs w:val="21"/>
          <w:lang w:bidi="ar"/>
        </w:rPr>
        <w:t>以上样板，在建设各方自检通过后，扫描相关技术资料和工序报验表（并附代表性照片不少于3张和监理举牌验收照片）成PDF电子文件，报相关镇（街道、园区）工作专班和区住建局工作专班。</w:t>
      </w:r>
    </w:p>
    <w:sectPr>
      <w:footerReference r:id="rId3" w:type="default"/>
      <w:footerReference r:id="rId4" w:type="even"/>
      <w:pgSz w:w="11906" w:h="16838"/>
      <w:pgMar w:top="2098" w:right="1531" w:bottom="1984" w:left="1531" w:header="709" w:footer="136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4356100</wp:posOffset>
              </wp:positionH>
              <wp:positionV relativeFrom="paragraph">
                <wp:posOffset>-247650</wp:posOffset>
              </wp:positionV>
              <wp:extent cx="1259840" cy="504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59840" cy="504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ind w:right="320" w:rightChars="100"/>
                            <w:jc w:val="right"/>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343pt;margin-top:-19.5pt;height:39.7pt;width:99.2pt;mso-position-horizontal-relative:margin;z-index:251659264;v-text-anchor:middle;mso-width-relative:page;mso-height-relative:page;" filled="f" stroked="f" coordsize="21600,21600" o:gfxdata="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72HwI2gAAAAoBAAAPAAAAAAAAAAEAIAAAACIAAABkcnMvZG93bnJl&#10;di54bWxQSwECFAAUAAAACACHTuJAtbrIOTQCAABYBAAADgAAAAAAAAABACAAAAApAQAAZHJzL2Uy&#10;b0RvYy54bWxQSwUGAAAAAAYABgBZAQAAzwUAAAAA&#10;">
              <v:fill on="f" focussize="0,0"/>
              <v:stroke on="f" weight="0.5pt"/>
              <v:imagedata o:title=""/>
              <o:lock v:ext="edit" aspectratio="f"/>
              <v:textbox inset="0mm,0mm,0mm,0mm">
                <w:txbxContent>
                  <w:p>
                    <w:pPr>
                      <w:pStyle w:val="9"/>
                      <w:wordWrap w:val="0"/>
                      <w:ind w:right="320" w:rightChars="100"/>
                      <w:jc w:val="right"/>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ragraph">
                <wp:posOffset>-249555</wp:posOffset>
              </wp:positionV>
              <wp:extent cx="1259840" cy="504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59840" cy="504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0.1pt;margin-top:-19.65pt;height:39.7pt;width:99.2pt;mso-position-horizontal-relative:margin;z-index:251660288;v-text-anchor:middle;mso-width-relative:page;mso-height-relative:page;" filled="f" stroked="f" coordsize="21600,21600" o:gfxdata="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NClOPXAAAABwEAAA8AAAAAAAAAAQAgAAAAIgAAAGRycy9kb3ducmV2Lnht&#10;bFBLAQIUABQAAAAIAIdO4kBjlRezMwIAAFgEAAAOAAAAAAAAAAEAIAAAACYBAABkcnMvZTJvRG9j&#10;LnhtbFBLBQYAAAAABgAGAFkBAADLBQAAAAA=&#10;">
              <v:fill on="f" focussize="0,0"/>
              <v:stroke on="f" weight="0.5pt"/>
              <v:imagedata o:title=""/>
              <o:lock v:ext="edit" aspectratio="f"/>
              <v:textbox inset="0mm,0mm,0mm,0mm">
                <w:txbxContent>
                  <w:p>
                    <w:pPr>
                      <w:pStyle w:val="9"/>
                      <w:ind w:left="320" w:leftChars="100"/>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DQyZjczMDNlY2NiODMyN2I2NWQ3YjJmN2Q0ZDEifQ=="/>
  </w:docVars>
  <w:rsids>
    <w:rsidRoot w:val="009E5CED"/>
    <w:rsid w:val="00010328"/>
    <w:rsid w:val="000118A6"/>
    <w:rsid w:val="0002249F"/>
    <w:rsid w:val="00075321"/>
    <w:rsid w:val="000E6675"/>
    <w:rsid w:val="0013092E"/>
    <w:rsid w:val="00150CED"/>
    <w:rsid w:val="001A74A8"/>
    <w:rsid w:val="001D109C"/>
    <w:rsid w:val="00232B8F"/>
    <w:rsid w:val="00242E94"/>
    <w:rsid w:val="00244D8F"/>
    <w:rsid w:val="002766AD"/>
    <w:rsid w:val="002E1055"/>
    <w:rsid w:val="002E5099"/>
    <w:rsid w:val="003157C8"/>
    <w:rsid w:val="00527081"/>
    <w:rsid w:val="00572A51"/>
    <w:rsid w:val="005F5A8B"/>
    <w:rsid w:val="008974B2"/>
    <w:rsid w:val="008A2EF5"/>
    <w:rsid w:val="0091388D"/>
    <w:rsid w:val="00987625"/>
    <w:rsid w:val="009B75D2"/>
    <w:rsid w:val="009D4FF1"/>
    <w:rsid w:val="009E133B"/>
    <w:rsid w:val="009E5CED"/>
    <w:rsid w:val="00A721AE"/>
    <w:rsid w:val="00A86694"/>
    <w:rsid w:val="00A943FD"/>
    <w:rsid w:val="00AB26EF"/>
    <w:rsid w:val="00AF6F8B"/>
    <w:rsid w:val="00B05B15"/>
    <w:rsid w:val="00B24A9E"/>
    <w:rsid w:val="00B50BB5"/>
    <w:rsid w:val="00BF5850"/>
    <w:rsid w:val="00BF6C83"/>
    <w:rsid w:val="00C12C17"/>
    <w:rsid w:val="00C43722"/>
    <w:rsid w:val="00CC334C"/>
    <w:rsid w:val="00D20655"/>
    <w:rsid w:val="00D7344D"/>
    <w:rsid w:val="00DB2D9F"/>
    <w:rsid w:val="00DC4712"/>
    <w:rsid w:val="00E53481"/>
    <w:rsid w:val="011C75D2"/>
    <w:rsid w:val="01452964"/>
    <w:rsid w:val="01C03335"/>
    <w:rsid w:val="021478AB"/>
    <w:rsid w:val="022430B4"/>
    <w:rsid w:val="023A5D35"/>
    <w:rsid w:val="023D61FF"/>
    <w:rsid w:val="024E706B"/>
    <w:rsid w:val="025A7DDD"/>
    <w:rsid w:val="025C201D"/>
    <w:rsid w:val="03001A1F"/>
    <w:rsid w:val="032B7792"/>
    <w:rsid w:val="039D18E6"/>
    <w:rsid w:val="03A11C93"/>
    <w:rsid w:val="03A153A9"/>
    <w:rsid w:val="03CB1B92"/>
    <w:rsid w:val="040E6340"/>
    <w:rsid w:val="04C42FD7"/>
    <w:rsid w:val="04F0207D"/>
    <w:rsid w:val="0571302A"/>
    <w:rsid w:val="05725B19"/>
    <w:rsid w:val="057D5686"/>
    <w:rsid w:val="05875717"/>
    <w:rsid w:val="05924D4E"/>
    <w:rsid w:val="064069D0"/>
    <w:rsid w:val="06457015"/>
    <w:rsid w:val="0695500F"/>
    <w:rsid w:val="06CE0077"/>
    <w:rsid w:val="06D00C65"/>
    <w:rsid w:val="06FE30EC"/>
    <w:rsid w:val="073D360C"/>
    <w:rsid w:val="076A12F2"/>
    <w:rsid w:val="07711F16"/>
    <w:rsid w:val="07936FED"/>
    <w:rsid w:val="080041F1"/>
    <w:rsid w:val="081E6051"/>
    <w:rsid w:val="08543A14"/>
    <w:rsid w:val="088C50FA"/>
    <w:rsid w:val="08A46EA6"/>
    <w:rsid w:val="08C0533C"/>
    <w:rsid w:val="09192CB9"/>
    <w:rsid w:val="093C0C24"/>
    <w:rsid w:val="09FC3FAC"/>
    <w:rsid w:val="0A5F24CF"/>
    <w:rsid w:val="0A7A3DB4"/>
    <w:rsid w:val="0AE95411"/>
    <w:rsid w:val="0B2C354F"/>
    <w:rsid w:val="0B9273DB"/>
    <w:rsid w:val="0BA844FD"/>
    <w:rsid w:val="0BB94B62"/>
    <w:rsid w:val="0BEC44ED"/>
    <w:rsid w:val="0C1B4618"/>
    <w:rsid w:val="0C42090A"/>
    <w:rsid w:val="0C5D4A6E"/>
    <w:rsid w:val="0C914370"/>
    <w:rsid w:val="0C977106"/>
    <w:rsid w:val="0C9A016E"/>
    <w:rsid w:val="0CE02278"/>
    <w:rsid w:val="0D270368"/>
    <w:rsid w:val="0D9B1469"/>
    <w:rsid w:val="0DA97ACB"/>
    <w:rsid w:val="0DB855C0"/>
    <w:rsid w:val="0DC64C17"/>
    <w:rsid w:val="0E1A5AD0"/>
    <w:rsid w:val="0E3156F3"/>
    <w:rsid w:val="0E4F33F1"/>
    <w:rsid w:val="0E6113AE"/>
    <w:rsid w:val="0ECF2B6F"/>
    <w:rsid w:val="0F1669F0"/>
    <w:rsid w:val="0F692FC4"/>
    <w:rsid w:val="0FB91882"/>
    <w:rsid w:val="10066A65"/>
    <w:rsid w:val="102C283E"/>
    <w:rsid w:val="10350DB4"/>
    <w:rsid w:val="10796E35"/>
    <w:rsid w:val="1092555E"/>
    <w:rsid w:val="10A1418D"/>
    <w:rsid w:val="10C04558"/>
    <w:rsid w:val="112C5684"/>
    <w:rsid w:val="11E8713C"/>
    <w:rsid w:val="11EB1E41"/>
    <w:rsid w:val="12884AED"/>
    <w:rsid w:val="133929AA"/>
    <w:rsid w:val="13766303"/>
    <w:rsid w:val="138228A6"/>
    <w:rsid w:val="143852F8"/>
    <w:rsid w:val="14885D40"/>
    <w:rsid w:val="14907014"/>
    <w:rsid w:val="149F4F24"/>
    <w:rsid w:val="14DF0FAE"/>
    <w:rsid w:val="152501C9"/>
    <w:rsid w:val="167C4EB8"/>
    <w:rsid w:val="16C3120C"/>
    <w:rsid w:val="16D41E95"/>
    <w:rsid w:val="17104479"/>
    <w:rsid w:val="17321EED"/>
    <w:rsid w:val="176D3ED1"/>
    <w:rsid w:val="17F00FA6"/>
    <w:rsid w:val="183671EA"/>
    <w:rsid w:val="183E3E7C"/>
    <w:rsid w:val="184E4D3B"/>
    <w:rsid w:val="1890336F"/>
    <w:rsid w:val="18A55576"/>
    <w:rsid w:val="18B707EF"/>
    <w:rsid w:val="18C176C1"/>
    <w:rsid w:val="18D97FF0"/>
    <w:rsid w:val="19786833"/>
    <w:rsid w:val="19964344"/>
    <w:rsid w:val="19B96F0B"/>
    <w:rsid w:val="19D41DE6"/>
    <w:rsid w:val="19FE6C1B"/>
    <w:rsid w:val="1A7D0FA9"/>
    <w:rsid w:val="1AD35795"/>
    <w:rsid w:val="1AEB0D31"/>
    <w:rsid w:val="1B2C1503"/>
    <w:rsid w:val="1B5F6D18"/>
    <w:rsid w:val="1B716075"/>
    <w:rsid w:val="1BBA2444"/>
    <w:rsid w:val="1BF22BE2"/>
    <w:rsid w:val="1C250273"/>
    <w:rsid w:val="1C250B93"/>
    <w:rsid w:val="1C3E1F2C"/>
    <w:rsid w:val="1C83104E"/>
    <w:rsid w:val="1CA0446B"/>
    <w:rsid w:val="1CDC228F"/>
    <w:rsid w:val="1D4A3DD0"/>
    <w:rsid w:val="1D6628F1"/>
    <w:rsid w:val="1D882867"/>
    <w:rsid w:val="1D943902"/>
    <w:rsid w:val="1DBF30AA"/>
    <w:rsid w:val="1DFE2E4D"/>
    <w:rsid w:val="1E10577B"/>
    <w:rsid w:val="1E1E2C6C"/>
    <w:rsid w:val="1E8055D8"/>
    <w:rsid w:val="1FB5597B"/>
    <w:rsid w:val="2046182B"/>
    <w:rsid w:val="206D0F48"/>
    <w:rsid w:val="20BA48CB"/>
    <w:rsid w:val="20BE2A44"/>
    <w:rsid w:val="20CE082F"/>
    <w:rsid w:val="218C09DF"/>
    <w:rsid w:val="224956C5"/>
    <w:rsid w:val="227C4DC1"/>
    <w:rsid w:val="22EA7B44"/>
    <w:rsid w:val="234644E0"/>
    <w:rsid w:val="23D81886"/>
    <w:rsid w:val="243F50BD"/>
    <w:rsid w:val="256F255E"/>
    <w:rsid w:val="25FC07DF"/>
    <w:rsid w:val="26170AFA"/>
    <w:rsid w:val="26435EC5"/>
    <w:rsid w:val="27925BFE"/>
    <w:rsid w:val="279A5677"/>
    <w:rsid w:val="27FF5E1C"/>
    <w:rsid w:val="280A2943"/>
    <w:rsid w:val="281F446A"/>
    <w:rsid w:val="28397044"/>
    <w:rsid w:val="28956639"/>
    <w:rsid w:val="29192F0D"/>
    <w:rsid w:val="2920429C"/>
    <w:rsid w:val="296C128F"/>
    <w:rsid w:val="298B4180"/>
    <w:rsid w:val="299A33A4"/>
    <w:rsid w:val="29E07137"/>
    <w:rsid w:val="2A0E46D9"/>
    <w:rsid w:val="2A1640AA"/>
    <w:rsid w:val="2A2E5DB7"/>
    <w:rsid w:val="2A704DAF"/>
    <w:rsid w:val="2A7F1496"/>
    <w:rsid w:val="2AAE3B6C"/>
    <w:rsid w:val="2ABB5284"/>
    <w:rsid w:val="2AC1560A"/>
    <w:rsid w:val="2B0A66AE"/>
    <w:rsid w:val="2B530F85"/>
    <w:rsid w:val="2B667F60"/>
    <w:rsid w:val="2BCA04EF"/>
    <w:rsid w:val="2BD575BF"/>
    <w:rsid w:val="2C08512D"/>
    <w:rsid w:val="2C6134D9"/>
    <w:rsid w:val="2D1B5C2C"/>
    <w:rsid w:val="2D1E3DF4"/>
    <w:rsid w:val="2DC24D6C"/>
    <w:rsid w:val="2E1D55F0"/>
    <w:rsid w:val="2E3856A3"/>
    <w:rsid w:val="2E3E188E"/>
    <w:rsid w:val="2EF97A69"/>
    <w:rsid w:val="2F8D01B1"/>
    <w:rsid w:val="2FAB0637"/>
    <w:rsid w:val="304D454B"/>
    <w:rsid w:val="306E228C"/>
    <w:rsid w:val="314802F9"/>
    <w:rsid w:val="31572E93"/>
    <w:rsid w:val="321D7244"/>
    <w:rsid w:val="322974AA"/>
    <w:rsid w:val="32322DD2"/>
    <w:rsid w:val="32906C44"/>
    <w:rsid w:val="32DF2AD1"/>
    <w:rsid w:val="332826CA"/>
    <w:rsid w:val="333948D8"/>
    <w:rsid w:val="335A61B8"/>
    <w:rsid w:val="33AD1578"/>
    <w:rsid w:val="33DD3651"/>
    <w:rsid w:val="346E5B90"/>
    <w:rsid w:val="34780948"/>
    <w:rsid w:val="34B017CE"/>
    <w:rsid w:val="34DD1D1E"/>
    <w:rsid w:val="34FC1614"/>
    <w:rsid w:val="35685A43"/>
    <w:rsid w:val="356E72AB"/>
    <w:rsid w:val="3579479B"/>
    <w:rsid w:val="36592A97"/>
    <w:rsid w:val="36A71B58"/>
    <w:rsid w:val="372E7C5C"/>
    <w:rsid w:val="37386C54"/>
    <w:rsid w:val="383271DE"/>
    <w:rsid w:val="3838311F"/>
    <w:rsid w:val="38C70CF9"/>
    <w:rsid w:val="398D1FE2"/>
    <w:rsid w:val="39CF33B9"/>
    <w:rsid w:val="39D65EBB"/>
    <w:rsid w:val="3A0C4978"/>
    <w:rsid w:val="3A537A35"/>
    <w:rsid w:val="3A6469A2"/>
    <w:rsid w:val="3B003C4F"/>
    <w:rsid w:val="3B133C60"/>
    <w:rsid w:val="3B272FD1"/>
    <w:rsid w:val="3BD57D48"/>
    <w:rsid w:val="3BDC560F"/>
    <w:rsid w:val="3BE80957"/>
    <w:rsid w:val="3C0E44F5"/>
    <w:rsid w:val="3C5E715D"/>
    <w:rsid w:val="3CE16539"/>
    <w:rsid w:val="3D0F2205"/>
    <w:rsid w:val="3D2539FB"/>
    <w:rsid w:val="3DAA7AAD"/>
    <w:rsid w:val="3DCE6DA7"/>
    <w:rsid w:val="3E3E0B53"/>
    <w:rsid w:val="3E913802"/>
    <w:rsid w:val="3EF77476"/>
    <w:rsid w:val="3FAE1A21"/>
    <w:rsid w:val="3FC9629E"/>
    <w:rsid w:val="3FD7488B"/>
    <w:rsid w:val="40151A4C"/>
    <w:rsid w:val="401C3ADD"/>
    <w:rsid w:val="402A6D50"/>
    <w:rsid w:val="4033445D"/>
    <w:rsid w:val="40610B7B"/>
    <w:rsid w:val="40875EDF"/>
    <w:rsid w:val="40CD431C"/>
    <w:rsid w:val="40D0553A"/>
    <w:rsid w:val="40F2500C"/>
    <w:rsid w:val="419E7FFC"/>
    <w:rsid w:val="41A21F6B"/>
    <w:rsid w:val="41E015A4"/>
    <w:rsid w:val="42022339"/>
    <w:rsid w:val="420B7BF8"/>
    <w:rsid w:val="42A31D6D"/>
    <w:rsid w:val="437440DB"/>
    <w:rsid w:val="43777EAC"/>
    <w:rsid w:val="437B2372"/>
    <w:rsid w:val="440F194C"/>
    <w:rsid w:val="441A5A22"/>
    <w:rsid w:val="442012AD"/>
    <w:rsid w:val="445D5F4C"/>
    <w:rsid w:val="447D5094"/>
    <w:rsid w:val="44817E8C"/>
    <w:rsid w:val="448F32B5"/>
    <w:rsid w:val="44EA3FC8"/>
    <w:rsid w:val="452E5288"/>
    <w:rsid w:val="456B28EB"/>
    <w:rsid w:val="45D16BF2"/>
    <w:rsid w:val="45EC51EB"/>
    <w:rsid w:val="461954E4"/>
    <w:rsid w:val="462D03B0"/>
    <w:rsid w:val="462F380D"/>
    <w:rsid w:val="463F5E04"/>
    <w:rsid w:val="46AE7D5C"/>
    <w:rsid w:val="46E059DB"/>
    <w:rsid w:val="471F464C"/>
    <w:rsid w:val="475A28CA"/>
    <w:rsid w:val="47E65384"/>
    <w:rsid w:val="48413F0D"/>
    <w:rsid w:val="484A675D"/>
    <w:rsid w:val="488E6D18"/>
    <w:rsid w:val="48E61B02"/>
    <w:rsid w:val="48EC5AF0"/>
    <w:rsid w:val="49A00784"/>
    <w:rsid w:val="4A022010"/>
    <w:rsid w:val="4A1A40EF"/>
    <w:rsid w:val="4A75730D"/>
    <w:rsid w:val="4A8B483F"/>
    <w:rsid w:val="4AA06010"/>
    <w:rsid w:val="4AAC13D6"/>
    <w:rsid w:val="4AB96F6B"/>
    <w:rsid w:val="4ABE46B5"/>
    <w:rsid w:val="4B2C6678"/>
    <w:rsid w:val="4B8464B4"/>
    <w:rsid w:val="4BA257C5"/>
    <w:rsid w:val="4BD15A4E"/>
    <w:rsid w:val="4C552DB7"/>
    <w:rsid w:val="4C754323"/>
    <w:rsid w:val="4CB14915"/>
    <w:rsid w:val="4CC065F7"/>
    <w:rsid w:val="4D027104"/>
    <w:rsid w:val="4D3E4EF6"/>
    <w:rsid w:val="4D5B2C3A"/>
    <w:rsid w:val="4D785BA5"/>
    <w:rsid w:val="4EB470B0"/>
    <w:rsid w:val="4ECF3FA0"/>
    <w:rsid w:val="4EE86547"/>
    <w:rsid w:val="4EFB6F97"/>
    <w:rsid w:val="4EFD45B3"/>
    <w:rsid w:val="4FE91B7B"/>
    <w:rsid w:val="4FF17ABD"/>
    <w:rsid w:val="4FFD6B3C"/>
    <w:rsid w:val="501932A5"/>
    <w:rsid w:val="503F6822"/>
    <w:rsid w:val="509048BD"/>
    <w:rsid w:val="50AA076B"/>
    <w:rsid w:val="50B32890"/>
    <w:rsid w:val="50EF43D0"/>
    <w:rsid w:val="514E10F6"/>
    <w:rsid w:val="516939C9"/>
    <w:rsid w:val="517151F0"/>
    <w:rsid w:val="527B2816"/>
    <w:rsid w:val="5287697E"/>
    <w:rsid w:val="528D5323"/>
    <w:rsid w:val="52C13B4A"/>
    <w:rsid w:val="52DC2732"/>
    <w:rsid w:val="530D4FE1"/>
    <w:rsid w:val="537049BF"/>
    <w:rsid w:val="53923E55"/>
    <w:rsid w:val="53982FD2"/>
    <w:rsid w:val="539A5141"/>
    <w:rsid w:val="557F3594"/>
    <w:rsid w:val="55D54107"/>
    <w:rsid w:val="55FA527D"/>
    <w:rsid w:val="56FF545E"/>
    <w:rsid w:val="577B4B3D"/>
    <w:rsid w:val="581E3821"/>
    <w:rsid w:val="58217041"/>
    <w:rsid w:val="58310E15"/>
    <w:rsid w:val="587701EB"/>
    <w:rsid w:val="58F21FCA"/>
    <w:rsid w:val="59421300"/>
    <w:rsid w:val="5978146B"/>
    <w:rsid w:val="59A04C8D"/>
    <w:rsid w:val="59B062A5"/>
    <w:rsid w:val="59B851A0"/>
    <w:rsid w:val="59B9487E"/>
    <w:rsid w:val="59CA35AD"/>
    <w:rsid w:val="59ED6436"/>
    <w:rsid w:val="5A0B7EF0"/>
    <w:rsid w:val="5A35454F"/>
    <w:rsid w:val="5A4A7BDB"/>
    <w:rsid w:val="5A596039"/>
    <w:rsid w:val="5A5A4FB0"/>
    <w:rsid w:val="5A680CAC"/>
    <w:rsid w:val="5A9D1CC5"/>
    <w:rsid w:val="5AFD2885"/>
    <w:rsid w:val="5B286E5C"/>
    <w:rsid w:val="5B4F49FA"/>
    <w:rsid w:val="5B5544F8"/>
    <w:rsid w:val="5BB10BFF"/>
    <w:rsid w:val="5C3D7D3B"/>
    <w:rsid w:val="5C752850"/>
    <w:rsid w:val="5C7A4F8E"/>
    <w:rsid w:val="5C8D6C54"/>
    <w:rsid w:val="5D634882"/>
    <w:rsid w:val="5DED2C36"/>
    <w:rsid w:val="5EAC1B52"/>
    <w:rsid w:val="5EBC681D"/>
    <w:rsid w:val="5EC073AC"/>
    <w:rsid w:val="5EF57055"/>
    <w:rsid w:val="5F13685D"/>
    <w:rsid w:val="5F1F4566"/>
    <w:rsid w:val="5F9E3655"/>
    <w:rsid w:val="5FA23A48"/>
    <w:rsid w:val="604548BC"/>
    <w:rsid w:val="60632F76"/>
    <w:rsid w:val="608550D2"/>
    <w:rsid w:val="608D4391"/>
    <w:rsid w:val="60A24FBB"/>
    <w:rsid w:val="60AC09A7"/>
    <w:rsid w:val="613D4B85"/>
    <w:rsid w:val="618D5C6B"/>
    <w:rsid w:val="62243F99"/>
    <w:rsid w:val="62523174"/>
    <w:rsid w:val="625E6C7A"/>
    <w:rsid w:val="627D0D22"/>
    <w:rsid w:val="631F3A81"/>
    <w:rsid w:val="632A61FD"/>
    <w:rsid w:val="64161AF2"/>
    <w:rsid w:val="645051D3"/>
    <w:rsid w:val="64557AD8"/>
    <w:rsid w:val="645C10D5"/>
    <w:rsid w:val="6479300C"/>
    <w:rsid w:val="64A90EA9"/>
    <w:rsid w:val="64D600E7"/>
    <w:rsid w:val="64F56DE6"/>
    <w:rsid w:val="650A75D2"/>
    <w:rsid w:val="6547220B"/>
    <w:rsid w:val="6554126D"/>
    <w:rsid w:val="65C14D81"/>
    <w:rsid w:val="65C74417"/>
    <w:rsid w:val="65E06772"/>
    <w:rsid w:val="663E5DBA"/>
    <w:rsid w:val="667378EF"/>
    <w:rsid w:val="66752D15"/>
    <w:rsid w:val="667B0788"/>
    <w:rsid w:val="668F50BF"/>
    <w:rsid w:val="670F2C7E"/>
    <w:rsid w:val="67B06787"/>
    <w:rsid w:val="67E34EA5"/>
    <w:rsid w:val="6841701F"/>
    <w:rsid w:val="6845789D"/>
    <w:rsid w:val="684A2231"/>
    <w:rsid w:val="698A6F34"/>
    <w:rsid w:val="6A044533"/>
    <w:rsid w:val="6A270284"/>
    <w:rsid w:val="6AB01E44"/>
    <w:rsid w:val="6AD2649C"/>
    <w:rsid w:val="6AE179B7"/>
    <w:rsid w:val="6B3648B8"/>
    <w:rsid w:val="6B773899"/>
    <w:rsid w:val="6C0E2B05"/>
    <w:rsid w:val="6C472EBA"/>
    <w:rsid w:val="6C6C4CDC"/>
    <w:rsid w:val="6CF66F0A"/>
    <w:rsid w:val="6D4264A0"/>
    <w:rsid w:val="6D6A50B2"/>
    <w:rsid w:val="6D793051"/>
    <w:rsid w:val="6DC44FD9"/>
    <w:rsid w:val="6E345B22"/>
    <w:rsid w:val="6F376F57"/>
    <w:rsid w:val="6F5F465E"/>
    <w:rsid w:val="6FA24D1C"/>
    <w:rsid w:val="70247317"/>
    <w:rsid w:val="70330B0B"/>
    <w:rsid w:val="70390C25"/>
    <w:rsid w:val="704076BF"/>
    <w:rsid w:val="705430FD"/>
    <w:rsid w:val="7066632E"/>
    <w:rsid w:val="70B36D70"/>
    <w:rsid w:val="7133113C"/>
    <w:rsid w:val="720C498A"/>
    <w:rsid w:val="72176456"/>
    <w:rsid w:val="721A74EB"/>
    <w:rsid w:val="724F1D63"/>
    <w:rsid w:val="72B648F6"/>
    <w:rsid w:val="72BA2BA7"/>
    <w:rsid w:val="73447550"/>
    <w:rsid w:val="7347303D"/>
    <w:rsid w:val="73B76B77"/>
    <w:rsid w:val="73F66347"/>
    <w:rsid w:val="740A7B07"/>
    <w:rsid w:val="747A45C2"/>
    <w:rsid w:val="74A0243F"/>
    <w:rsid w:val="74D3353D"/>
    <w:rsid w:val="74D82591"/>
    <w:rsid w:val="75337715"/>
    <w:rsid w:val="759118E6"/>
    <w:rsid w:val="759E1E19"/>
    <w:rsid w:val="75BA46FD"/>
    <w:rsid w:val="761B77D2"/>
    <w:rsid w:val="76376E35"/>
    <w:rsid w:val="765C7452"/>
    <w:rsid w:val="76854976"/>
    <w:rsid w:val="76CE5807"/>
    <w:rsid w:val="771F6898"/>
    <w:rsid w:val="774D1960"/>
    <w:rsid w:val="77A75BB3"/>
    <w:rsid w:val="77F57C6E"/>
    <w:rsid w:val="78191BAF"/>
    <w:rsid w:val="78451C4C"/>
    <w:rsid w:val="787E7C64"/>
    <w:rsid w:val="78964A73"/>
    <w:rsid w:val="78AF4B03"/>
    <w:rsid w:val="78ED7920"/>
    <w:rsid w:val="78F148D9"/>
    <w:rsid w:val="78FA0020"/>
    <w:rsid w:val="790F2E99"/>
    <w:rsid w:val="7947274B"/>
    <w:rsid w:val="797C7185"/>
    <w:rsid w:val="79D91008"/>
    <w:rsid w:val="7A2F56B9"/>
    <w:rsid w:val="7AD01CBD"/>
    <w:rsid w:val="7AE45A1C"/>
    <w:rsid w:val="7B6E2F9B"/>
    <w:rsid w:val="7B781870"/>
    <w:rsid w:val="7BCC1A29"/>
    <w:rsid w:val="7C0C4D1D"/>
    <w:rsid w:val="7C783B28"/>
    <w:rsid w:val="7C9E6B26"/>
    <w:rsid w:val="7D017254"/>
    <w:rsid w:val="7D027841"/>
    <w:rsid w:val="7D650B15"/>
    <w:rsid w:val="7DAE014F"/>
    <w:rsid w:val="7E6A278D"/>
    <w:rsid w:val="7FA054AB"/>
    <w:rsid w:val="7FBD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4"/>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rPr>
  </w:style>
  <w:style w:type="paragraph" w:styleId="4">
    <w:name w:val="heading 3"/>
    <w:basedOn w:val="1"/>
    <w:next w:val="1"/>
    <w:link w:val="16"/>
    <w:semiHidden/>
    <w:unhideWhenUsed/>
    <w:qFormat/>
    <w:uiPriority w:val="9"/>
    <w:pPr>
      <w:keepNext/>
      <w:keepLines/>
      <w:spacing w:before="260" w:after="260" w:line="413" w:lineRule="auto"/>
      <w:outlineLvl w:val="2"/>
    </w:pPr>
    <w:rPr>
      <w:b/>
    </w:rPr>
  </w:style>
  <w:style w:type="paragraph" w:styleId="5">
    <w:name w:val="heading 4"/>
    <w:basedOn w:val="1"/>
    <w:next w:val="1"/>
    <w:link w:val="15"/>
    <w:semiHidden/>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paragraph" w:styleId="7">
    <w:name w:val="Body Text"/>
    <w:basedOn w:val="1"/>
    <w:qFormat/>
    <w:uiPriority w:val="1"/>
    <w:pPr>
      <w:ind w:left="112"/>
    </w:pPr>
    <w:rPr>
      <w:rFonts w:ascii="Microsoft JhengHei" w:hAnsi="Microsoft JhengHei" w:eastAsia="Microsoft JhengHei"/>
      <w:sz w:val="21"/>
      <w:szCs w:val="21"/>
    </w:rPr>
  </w:style>
  <w:style w:type="paragraph" w:styleId="8">
    <w:name w:val="Balloon Text"/>
    <w:basedOn w:val="1"/>
    <w:link w:val="17"/>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annotation reference"/>
    <w:basedOn w:val="12"/>
    <w:semiHidden/>
    <w:unhideWhenUsed/>
    <w:uiPriority w:val="99"/>
    <w:rPr>
      <w:sz w:val="21"/>
      <w:szCs w:val="21"/>
    </w:rPr>
  </w:style>
  <w:style w:type="character" w:customStyle="1" w:styleId="14">
    <w:name w:val="标题 1 Char"/>
    <w:link w:val="2"/>
    <w:qFormat/>
    <w:uiPriority w:val="0"/>
    <w:rPr>
      <w:b/>
      <w:kern w:val="44"/>
      <w:sz w:val="44"/>
    </w:rPr>
  </w:style>
  <w:style w:type="character" w:customStyle="1" w:styleId="15">
    <w:name w:val="标题 4 Char"/>
    <w:link w:val="5"/>
    <w:qFormat/>
    <w:uiPriority w:val="0"/>
    <w:rPr>
      <w:rFonts w:ascii="Arial" w:hAnsi="Arial" w:eastAsia="黑体"/>
      <w:b/>
      <w:sz w:val="28"/>
    </w:rPr>
  </w:style>
  <w:style w:type="character" w:customStyle="1" w:styleId="16">
    <w:name w:val="标题 3 Char"/>
    <w:link w:val="4"/>
    <w:qFormat/>
    <w:uiPriority w:val="0"/>
    <w:rPr>
      <w:b/>
      <w:sz w:val="32"/>
    </w:rPr>
  </w:style>
  <w:style w:type="character" w:customStyle="1" w:styleId="17">
    <w:name w:val="批注框文本 Char"/>
    <w:basedOn w:val="12"/>
    <w:link w:val="8"/>
    <w:semiHidden/>
    <w:qFormat/>
    <w:uiPriority w:val="99"/>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zjw</Company>
  <Pages>17</Pages>
  <Words>8570</Words>
  <Characters>8869</Characters>
  <Lines>64</Lines>
  <Paragraphs>18</Paragraphs>
  <TotalTime>53</TotalTime>
  <ScaleCrop>false</ScaleCrop>
  <LinksUpToDate>false</LinksUpToDate>
  <CharactersWithSpaces>8876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2019-07-09T01:26:00Z</dcterms:created>
  <dc:creator>user</dc:creator>
  <cp:lastModifiedBy>%E4%BD%95%E5%A4%A7%E8%84%9A%E7%9A%84%E7%</cp:lastModifiedBy>
  <cp:lastPrinted>2023-10-12T03:04:00Z</cp:lastPrinted>
  <dcterms:modified xsi:type="dcterms:W3CDTF">2023-10-13T01:43:30Z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0AB1E26F89B94C85899F61C99AA801F0_13</vt:lpwstr>
  </property>
</Properties>
</file>