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5" w:line="23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"/>
          <w:sz w:val="29"/>
          <w:szCs w:val="29"/>
        </w:rPr>
        <w:t>附</w:t>
      </w:r>
      <w:r>
        <w:rPr>
          <w:rFonts w:ascii="黑体" w:hAnsi="黑体" w:eastAsia="黑体" w:cs="黑体"/>
          <w:spacing w:val="-1"/>
          <w:sz w:val="29"/>
          <w:szCs w:val="29"/>
        </w:rPr>
        <w:t>件3</w:t>
      </w:r>
    </w:p>
    <w:p>
      <w:pPr>
        <w:spacing w:before="98" w:line="205" w:lineRule="auto"/>
        <w:ind w:left="4637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35"/>
          <w:szCs w:val="35"/>
        </w:rPr>
        <w:t>美</w:t>
      </w:r>
      <w:r>
        <w:rPr>
          <w:rFonts w:hint="eastAsia" w:ascii="方正小标宋_GBK" w:hAnsi="方正小标宋_GBK" w:eastAsia="方正小标宋_GBK" w:cs="方正小标宋_GBK"/>
          <w:spacing w:val="8"/>
          <w:sz w:val="35"/>
          <w:szCs w:val="35"/>
        </w:rPr>
        <w:t>丽中国建设评估指标体系</w:t>
      </w:r>
    </w:p>
    <w:p>
      <w:pPr>
        <w:spacing w:line="115" w:lineRule="exact"/>
      </w:pPr>
    </w:p>
    <w:tbl>
      <w:tblPr>
        <w:tblStyle w:val="4"/>
        <w:tblW w:w="13390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976"/>
        <w:gridCol w:w="7518"/>
        <w:gridCol w:w="3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9" w:type="dxa"/>
            <w:vAlign w:val="top"/>
          </w:tcPr>
          <w:p>
            <w:pPr>
              <w:spacing w:before="189" w:line="200" w:lineRule="auto"/>
              <w:ind w:left="29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评估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976" w:type="dxa"/>
            <w:vAlign w:val="top"/>
          </w:tcPr>
          <w:p>
            <w:pPr>
              <w:spacing w:before="192" w:line="198" w:lineRule="auto"/>
              <w:ind w:left="20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7518" w:type="dxa"/>
            <w:vAlign w:val="top"/>
          </w:tcPr>
          <w:p>
            <w:pPr>
              <w:spacing w:before="167" w:line="226" w:lineRule="auto"/>
              <w:ind w:left="2646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 xml:space="preserve">具体指标 ( 单位 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87" w:line="201" w:lineRule="auto"/>
              <w:ind w:left="1048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数据来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  <w:t>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line="287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before="120" w:line="199" w:lineRule="auto"/>
              <w:ind w:left="30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空</w:t>
            </w: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气清新</w:t>
            </w:r>
          </w:p>
        </w:tc>
        <w:tc>
          <w:tcPr>
            <w:tcW w:w="976" w:type="dxa"/>
            <w:vAlign w:val="top"/>
          </w:tcPr>
          <w:p>
            <w:pPr>
              <w:spacing w:before="236" w:line="189" w:lineRule="auto"/>
              <w:ind w:left="4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地级及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以上城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 xml:space="preserve">市细颗粒物( 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spacing w:val="8"/>
                <w:position w:val="-3"/>
                <w:sz w:val="17"/>
                <w:szCs w:val="17"/>
              </w:rPr>
              <w:t>2.5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3"/>
                <w:sz w:val="17"/>
                <w:szCs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)浓度(微克/立方米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37" w:line="214" w:lineRule="auto"/>
              <w:jc w:val="both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生态环境部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6" w:line="189" w:lineRule="auto"/>
              <w:ind w:left="4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18" w:type="dxa"/>
            <w:vAlign w:val="top"/>
          </w:tcPr>
          <w:p>
            <w:pPr>
              <w:spacing w:before="136" w:line="214" w:lineRule="auto"/>
              <w:ind w:left="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地级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以上城市可吸入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颗粒物 ( PM</w:t>
            </w:r>
            <w:r>
              <w:rPr>
                <w:rFonts w:hint="default" w:ascii="Times New Roman" w:hAnsi="Times New Roman" w:eastAsia="仿宋_GB2312" w:cs="Times New Roman"/>
                <w:spacing w:val="7"/>
                <w:position w:val="-3"/>
                <w:sz w:val="17"/>
                <w:szCs w:val="17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3"/>
                <w:sz w:val="17"/>
                <w:szCs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)浓度(微克/立方米)</w:t>
            </w:r>
          </w:p>
        </w:tc>
        <w:tc>
          <w:tcPr>
            <w:tcW w:w="320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7" w:line="189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18" w:type="dxa"/>
            <w:vAlign w:val="top"/>
          </w:tcPr>
          <w:p>
            <w:pPr>
              <w:spacing w:before="138" w:line="213" w:lineRule="auto"/>
              <w:ind w:left="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级及以上城市空气质量优良天数比例(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</w:tcBorders>
            <w:vAlign w:val="center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line="288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before="120" w:line="199" w:lineRule="auto"/>
              <w:ind w:left="301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水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体洁净</w:t>
            </w:r>
          </w:p>
        </w:tc>
        <w:tc>
          <w:tcPr>
            <w:tcW w:w="976" w:type="dxa"/>
            <w:vAlign w:val="top"/>
          </w:tcPr>
          <w:p>
            <w:pPr>
              <w:spacing w:before="238" w:line="189" w:lineRule="auto"/>
              <w:ind w:left="4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18" w:type="dxa"/>
            <w:vAlign w:val="top"/>
          </w:tcPr>
          <w:p>
            <w:pPr>
              <w:spacing w:before="139" w:line="213" w:lineRule="auto"/>
              <w:ind w:left="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地表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水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水质优良(达到或好于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III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类)比例(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37" w:line="214" w:lineRule="auto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生态环境部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42" w:line="186" w:lineRule="auto"/>
              <w:ind w:left="4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18" w:type="dxa"/>
            <w:vAlign w:val="top"/>
          </w:tcPr>
          <w:p>
            <w:pPr>
              <w:spacing w:before="139" w:line="213" w:lineRule="auto"/>
              <w:ind w:left="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表水劣Ⅴ类水体比例(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6" w:line="189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地级及以上城市集中式饮用水水源地水质达标率(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line="286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line="286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line="286" w:lineRule="auto"/>
              <w:rPr>
                <w:rFonts w:hint="eastAsia" w:ascii="楷体_GB2312" w:hAnsi="楷体_GB2312" w:eastAsia="楷体_GB2312" w:cs="楷体_GB2312"/>
                <w:sz w:val="21"/>
              </w:rPr>
            </w:pPr>
          </w:p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土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壤安全</w:t>
            </w:r>
          </w:p>
        </w:tc>
        <w:tc>
          <w:tcPr>
            <w:tcW w:w="976" w:type="dxa"/>
            <w:vAlign w:val="top"/>
          </w:tcPr>
          <w:p>
            <w:pPr>
              <w:spacing w:before="240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518" w:type="dxa"/>
            <w:vAlign w:val="top"/>
          </w:tcPr>
          <w:p>
            <w:pPr>
              <w:spacing w:before="138" w:line="213" w:lineRule="auto"/>
              <w:ind w:left="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受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污染耕地安全利用率(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农业农村部、生态环境部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8" w:line="189" w:lineRule="auto"/>
              <w:ind w:left="4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518" w:type="dxa"/>
            <w:vAlign w:val="top"/>
          </w:tcPr>
          <w:p>
            <w:pPr>
              <w:spacing w:before="139" w:line="213" w:lineRule="auto"/>
              <w:ind w:left="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污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染地块安全利用率(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生态环境部、自然资源部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8" w:line="189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518" w:type="dxa"/>
            <w:vAlign w:val="top"/>
          </w:tcPr>
          <w:p>
            <w:pPr>
              <w:spacing w:before="138" w:line="213" w:lineRule="auto"/>
              <w:ind w:left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农膜回收率(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农业农村部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9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  <w:tc>
          <w:tcPr>
            <w:tcW w:w="7518" w:type="dxa"/>
            <w:vAlign w:val="top"/>
          </w:tcPr>
          <w:p>
            <w:pPr>
              <w:spacing w:before="141" w:line="212" w:lineRule="auto"/>
              <w:ind w:left="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化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肥利用率(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9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1</w:t>
            </w:r>
          </w:p>
        </w:tc>
        <w:tc>
          <w:tcPr>
            <w:tcW w:w="7518" w:type="dxa"/>
            <w:vAlign w:val="top"/>
          </w:tcPr>
          <w:p>
            <w:pPr>
              <w:spacing w:before="141" w:line="213" w:lineRule="auto"/>
              <w:ind w:left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农药利用率(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1721" w:bottom="1681" w:left="1643" w:header="0" w:footer="1400" w:gutter="0"/>
          <w:cols w:space="720" w:num="1"/>
        </w:sectPr>
      </w:pPr>
    </w:p>
    <w:p/>
    <w:p/>
    <w:p/>
    <w:p/>
    <w:p>
      <w:pPr>
        <w:spacing w:line="63" w:lineRule="auto"/>
        <w:rPr>
          <w:rFonts w:ascii="Arial"/>
          <w:sz w:val="2"/>
        </w:rPr>
      </w:pPr>
    </w:p>
    <w:tbl>
      <w:tblPr>
        <w:tblStyle w:val="4"/>
        <w:tblW w:w="133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976"/>
        <w:gridCol w:w="7518"/>
        <w:gridCol w:w="3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9" w:type="dxa"/>
            <w:vAlign w:val="top"/>
          </w:tcPr>
          <w:p>
            <w:pPr>
              <w:spacing w:before="189" w:line="200" w:lineRule="auto"/>
              <w:ind w:left="294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评估指标</w:t>
            </w:r>
          </w:p>
        </w:tc>
        <w:tc>
          <w:tcPr>
            <w:tcW w:w="976" w:type="dxa"/>
            <w:vAlign w:val="top"/>
          </w:tcPr>
          <w:p>
            <w:pPr>
              <w:spacing w:before="189" w:line="200" w:lineRule="auto"/>
              <w:ind w:left="294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7518" w:type="dxa"/>
            <w:vAlign w:val="top"/>
          </w:tcPr>
          <w:p>
            <w:pPr>
              <w:spacing w:before="189" w:line="200" w:lineRule="auto"/>
              <w:ind w:left="294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具体指标 ( 单位 )</w:t>
            </w:r>
          </w:p>
        </w:tc>
        <w:tc>
          <w:tcPr>
            <w:tcW w:w="3207" w:type="dxa"/>
            <w:vAlign w:val="top"/>
          </w:tcPr>
          <w:p>
            <w:pPr>
              <w:spacing w:before="189" w:line="200" w:lineRule="auto"/>
              <w:ind w:left="294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数据来源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生态良好</w:t>
            </w:r>
          </w:p>
        </w:tc>
        <w:tc>
          <w:tcPr>
            <w:tcW w:w="976" w:type="dxa"/>
            <w:vAlign w:val="top"/>
          </w:tcPr>
          <w:p>
            <w:pPr>
              <w:spacing w:before="235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2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森林覆盖率(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国家林草局、自然资源部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5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3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湿地保护率(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5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4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水土保持率(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水利部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6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5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自然保护地面积占陆域国土面积比例(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国家林草局、自然资源部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8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6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重点生物物种种数保护率(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生态环境部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</w:p>
          <w:p>
            <w:pPr>
              <w:spacing w:before="120" w:line="198" w:lineRule="auto"/>
              <w:ind w:left="302"/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人居整洁</w:t>
            </w:r>
          </w:p>
        </w:tc>
        <w:tc>
          <w:tcPr>
            <w:tcW w:w="976" w:type="dxa"/>
            <w:vAlign w:val="top"/>
          </w:tcPr>
          <w:p>
            <w:pPr>
              <w:spacing w:before="238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7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城镇生活污水集中收集率(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住房城乡建设部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9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8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城镇生活垃圾无害化处理率(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40" w:line="189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9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农村生活污水处理和综合利用率(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生态环境部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40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农村生活垃圾无害化处理率(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住房城乡建设部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8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城市公园绿地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500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米服务半径覆盖率(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Merge w:val="continue"/>
            <w:tcBorders>
              <w:top w:val="nil"/>
            </w:tcBorders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39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7518" w:type="dxa"/>
            <w:vAlign w:val="top"/>
          </w:tcPr>
          <w:p>
            <w:pPr>
              <w:spacing w:before="137" w:line="214" w:lineRule="auto"/>
              <w:ind w:left="22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农村卫生厕所普及率(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)</w:t>
            </w:r>
          </w:p>
        </w:tc>
        <w:tc>
          <w:tcPr>
            <w:tcW w:w="3207" w:type="dxa"/>
            <w:vAlign w:val="top"/>
          </w:tcPr>
          <w:p>
            <w:pPr>
              <w:spacing w:before="137" w:line="214" w:lineRule="auto"/>
              <w:ind w:left="22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农业农村部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1721" w:bottom="1592" w:left="1721" w:header="0" w:footer="12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3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6"/>
        <w:position w:val="1"/>
        <w:sz w:val="28"/>
        <w:szCs w:val="28"/>
      </w:rPr>
      <w:t>—</w:t>
    </w:r>
    <w:r>
      <w:rPr>
        <w:rFonts w:ascii="宋体" w:hAnsi="宋体" w:eastAsia="宋体" w:cs="宋体"/>
        <w:spacing w:val="-13"/>
        <w:position w:val="1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 xml:space="preserve">2 </w:t>
    </w:r>
    <w:r>
      <w:rPr>
        <w:rFonts w:ascii="宋体" w:hAnsi="宋体" w:eastAsia="宋体" w:cs="宋体"/>
        <w:spacing w:val="-13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3ZGNjNGI1ZWZlODY2ZDIzMzZhZGRlM2Q3ZjFlMjEifQ=="/>
  </w:docVars>
  <w:rsids>
    <w:rsidRoot w:val="00000000"/>
    <w:rsid w:val="3422347F"/>
    <w:rsid w:val="34FD25C5"/>
    <w:rsid w:val="6629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469</Words>
  <Characters>533</Characters>
  <TotalTime>18</TotalTime>
  <ScaleCrop>false</ScaleCrop>
  <LinksUpToDate>false</LinksUpToDate>
  <CharactersWithSpaces>583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2023-08-28T14:44:00Z</dcterms:created>
  <dc:creator>Administrator</dc:creator>
  <cp:lastModifiedBy>施卫娟</cp:lastModifiedBy>
  <dcterms:modified xsi:type="dcterms:W3CDTF">2023-08-29T08:36:02Z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2023-08-29T16:08:00Z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9290DD3365654015995684AFF6F60A00_13</vt:lpwstr>
  </property>
</Properties>
</file>