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楷体_GB2312" w:cs="Times New Roman"/>
          <w:b/>
        </w:rPr>
      </w:pPr>
      <w:r>
        <w:rPr>
          <w:rFonts w:ascii="Times New Roman" w:hAnsi="Times New Roman" w:eastAsia="方正小标宋简体" w:cs="Times New Roman"/>
          <w:sz w:val="44"/>
          <w:szCs w:val="44"/>
        </w:rPr>
        <w:t>常州市</w:t>
      </w:r>
      <w:r>
        <w:rPr>
          <w:rFonts w:ascii="Times New Roman" w:hAnsi="Times New Roman" w:eastAsia="方正小标宋简体" w:cs="Times New Roman"/>
          <w:sz w:val="44"/>
          <w:szCs w:val="44"/>
          <w:lang w:val="en"/>
        </w:rPr>
        <w:t>金坛</w:t>
      </w:r>
      <w:bookmarkStart w:id="0" w:name="_GoBack"/>
      <w:bookmarkEnd w:id="0"/>
      <w:r>
        <w:rPr>
          <w:rFonts w:ascii="Times New Roman" w:hAnsi="Times New Roman" w:eastAsia="方正小标宋简体" w:cs="Times New Roman"/>
          <w:sz w:val="44"/>
          <w:szCs w:val="44"/>
        </w:rPr>
        <w:t>区政务公开</w:t>
      </w:r>
      <w:r>
        <w:rPr>
          <w:rFonts w:hint="eastAsia" w:ascii="Times New Roman" w:hAnsi="Times New Roman" w:eastAsia="方正小标宋简体" w:cs="Times New Roman"/>
          <w:sz w:val="44"/>
          <w:szCs w:val="44"/>
        </w:rPr>
        <w:t>事项</w:t>
      </w:r>
      <w:r>
        <w:rPr>
          <w:rFonts w:ascii="Times New Roman" w:hAnsi="Times New Roman" w:eastAsia="方正小标宋简体" w:cs="Times New Roman"/>
          <w:sz w:val="44"/>
          <w:szCs w:val="44"/>
        </w:rPr>
        <w:t>清单</w:t>
      </w:r>
    </w:p>
    <w:p>
      <w:pPr>
        <w:spacing w:line="600" w:lineRule="exact"/>
        <w:jc w:val="center"/>
        <w:rPr>
          <w:rFonts w:ascii="Times New Roman" w:hAnsi="Times New Roman" w:eastAsia="方正小标宋简体" w:cs="Times New Roman"/>
          <w:sz w:val="44"/>
          <w:szCs w:val="44"/>
        </w:rPr>
      </w:pPr>
    </w:p>
    <w:tbl>
      <w:tblPr>
        <w:tblStyle w:val="6"/>
        <w:tblW w:w="5155"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82"/>
        <w:gridCol w:w="1182"/>
        <w:gridCol w:w="1329"/>
        <w:gridCol w:w="2317"/>
        <w:gridCol w:w="5655"/>
        <w:gridCol w:w="1818"/>
        <w:gridCol w:w="11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blHeader/>
          <w:jc w:val="center"/>
        </w:trPr>
        <w:tc>
          <w:tcPr>
            <w:tcW w:w="1182" w:type="dxa"/>
            <w:vAlign w:val="center"/>
          </w:tcPr>
          <w:p>
            <w:pPr>
              <w:spacing w:line="370" w:lineRule="exact"/>
              <w:ind w:left="-57" w:right="-57"/>
              <w:jc w:val="center"/>
              <w:rPr>
                <w:rFonts w:ascii="仿宋_GB2312" w:hAnsi="黑体" w:eastAsia="仿宋_GB2312" w:cs="Times New Roman"/>
                <w:sz w:val="24"/>
                <w:szCs w:val="24"/>
              </w:rPr>
            </w:pPr>
            <w:r>
              <w:rPr>
                <w:rFonts w:hint="eastAsia" w:ascii="仿宋_GB2312" w:hAnsi="黑体" w:eastAsia="仿宋_GB2312" w:cs="Times New Roman"/>
                <w:sz w:val="24"/>
                <w:szCs w:val="24"/>
              </w:rPr>
              <w:t>一级指标</w:t>
            </w:r>
          </w:p>
        </w:tc>
        <w:tc>
          <w:tcPr>
            <w:tcW w:w="1182" w:type="dxa"/>
            <w:vAlign w:val="center"/>
          </w:tcPr>
          <w:p>
            <w:pPr>
              <w:spacing w:line="370" w:lineRule="exact"/>
              <w:ind w:left="-57" w:right="-57"/>
              <w:jc w:val="center"/>
              <w:rPr>
                <w:rFonts w:ascii="仿宋_GB2312" w:hAnsi="黑体" w:eastAsia="仿宋_GB2312" w:cs="Times New Roman"/>
                <w:sz w:val="24"/>
                <w:szCs w:val="24"/>
              </w:rPr>
            </w:pPr>
            <w:r>
              <w:rPr>
                <w:rFonts w:hint="eastAsia" w:ascii="仿宋_GB2312" w:hAnsi="黑体" w:eastAsia="仿宋_GB2312" w:cs="Times New Roman"/>
                <w:sz w:val="24"/>
                <w:szCs w:val="24"/>
              </w:rPr>
              <w:t>二级指标</w:t>
            </w:r>
          </w:p>
        </w:tc>
        <w:tc>
          <w:tcPr>
            <w:tcW w:w="1329" w:type="dxa"/>
            <w:vAlign w:val="center"/>
          </w:tcPr>
          <w:p>
            <w:pPr>
              <w:spacing w:line="370" w:lineRule="exact"/>
              <w:ind w:left="-57" w:right="-57"/>
              <w:jc w:val="center"/>
              <w:rPr>
                <w:rFonts w:ascii="仿宋_GB2312" w:hAnsi="黑体" w:eastAsia="仿宋_GB2312" w:cs="Times New Roman"/>
                <w:sz w:val="24"/>
                <w:szCs w:val="24"/>
              </w:rPr>
            </w:pPr>
            <w:r>
              <w:rPr>
                <w:rFonts w:hint="eastAsia" w:ascii="仿宋_GB2312" w:hAnsi="黑体" w:eastAsia="仿宋_GB2312" w:cs="Times New Roman"/>
                <w:sz w:val="24"/>
                <w:szCs w:val="24"/>
              </w:rPr>
              <w:t>三级指标</w:t>
            </w:r>
          </w:p>
        </w:tc>
        <w:tc>
          <w:tcPr>
            <w:tcW w:w="2317" w:type="dxa"/>
            <w:vAlign w:val="center"/>
          </w:tcPr>
          <w:p>
            <w:pPr>
              <w:spacing w:line="370" w:lineRule="exact"/>
              <w:ind w:left="-57" w:right="-57"/>
              <w:jc w:val="center"/>
              <w:rPr>
                <w:rFonts w:ascii="仿宋_GB2312" w:hAnsi="黑体" w:eastAsia="仿宋_GB2312" w:cs="Times New Roman"/>
                <w:sz w:val="24"/>
                <w:szCs w:val="24"/>
              </w:rPr>
            </w:pPr>
            <w:r>
              <w:rPr>
                <w:rFonts w:hint="eastAsia" w:ascii="仿宋_GB2312" w:hAnsi="黑体" w:eastAsia="仿宋_GB2312" w:cs="Times New Roman"/>
                <w:sz w:val="24"/>
                <w:szCs w:val="24"/>
              </w:rPr>
              <w:t>公开内容</w:t>
            </w:r>
          </w:p>
        </w:tc>
        <w:tc>
          <w:tcPr>
            <w:tcW w:w="5655" w:type="dxa"/>
            <w:vAlign w:val="center"/>
          </w:tcPr>
          <w:p>
            <w:pPr>
              <w:spacing w:line="370" w:lineRule="exact"/>
              <w:ind w:left="-57" w:right="-57"/>
              <w:jc w:val="center"/>
              <w:rPr>
                <w:rFonts w:ascii="仿宋_GB2312" w:hAnsi="黑体" w:eastAsia="仿宋_GB2312" w:cs="Times New Roman"/>
                <w:sz w:val="24"/>
                <w:szCs w:val="24"/>
              </w:rPr>
            </w:pPr>
            <w:r>
              <w:rPr>
                <w:rFonts w:hint="eastAsia" w:ascii="仿宋_GB2312" w:hAnsi="黑体" w:eastAsia="仿宋_GB2312" w:cs="Times New Roman"/>
                <w:sz w:val="24"/>
                <w:szCs w:val="24"/>
              </w:rPr>
              <w:t>公开依据</w:t>
            </w:r>
          </w:p>
        </w:tc>
        <w:tc>
          <w:tcPr>
            <w:tcW w:w="1818" w:type="dxa"/>
            <w:vAlign w:val="center"/>
          </w:tcPr>
          <w:p>
            <w:pPr>
              <w:spacing w:line="370" w:lineRule="exact"/>
              <w:ind w:left="-57" w:right="-57"/>
              <w:jc w:val="center"/>
              <w:rPr>
                <w:rFonts w:ascii="仿宋_GB2312" w:hAnsi="黑体" w:eastAsia="仿宋_GB2312" w:cs="Times New Roman"/>
                <w:sz w:val="24"/>
                <w:szCs w:val="24"/>
              </w:rPr>
            </w:pPr>
            <w:r>
              <w:rPr>
                <w:rFonts w:hint="eastAsia" w:ascii="仿宋_GB2312" w:hAnsi="黑体" w:eastAsia="仿宋_GB2312" w:cs="Times New Roman"/>
                <w:sz w:val="24"/>
                <w:szCs w:val="24"/>
              </w:rPr>
              <w:t>公开时限</w:t>
            </w:r>
          </w:p>
        </w:tc>
        <w:tc>
          <w:tcPr>
            <w:tcW w:w="1176" w:type="dxa"/>
            <w:vAlign w:val="center"/>
          </w:tcPr>
          <w:p>
            <w:pPr>
              <w:spacing w:line="370" w:lineRule="exact"/>
              <w:ind w:left="-57" w:right="-57"/>
              <w:jc w:val="center"/>
              <w:rPr>
                <w:rFonts w:ascii="仿宋_GB2312" w:hAnsi="黑体" w:eastAsia="仿宋_GB2312" w:cs="Times New Roman"/>
                <w:sz w:val="24"/>
                <w:szCs w:val="24"/>
              </w:rPr>
            </w:pPr>
            <w:r>
              <w:rPr>
                <w:rFonts w:hint="eastAsia" w:ascii="仿宋_GB2312" w:hAnsi="黑体" w:eastAsia="仿宋_GB2312" w:cs="Times New Roman"/>
                <w:sz w:val="24"/>
                <w:szCs w:val="24"/>
              </w:rPr>
              <w:t>公开渠道和载体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restart"/>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eastAsia="仿宋_GB2312" w:cs="Times New Roman"/>
                <w:sz w:val="24"/>
                <w:szCs w:val="24"/>
              </w:rPr>
              <w:t>主动公开</w:t>
            </w:r>
          </w:p>
        </w:tc>
        <w:tc>
          <w:tcPr>
            <w:tcW w:w="1182" w:type="dxa"/>
            <w:vMerge w:val="restart"/>
            <w:vAlign w:val="center"/>
          </w:tcPr>
          <w:p>
            <w:pPr>
              <w:spacing w:line="37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基础信息</w:t>
            </w:r>
          </w:p>
          <w:p>
            <w:pPr>
              <w:spacing w:line="370" w:lineRule="exact"/>
              <w:ind w:left="-57" w:right="-57"/>
              <w:jc w:val="center"/>
              <w:rPr>
                <w:rFonts w:ascii="仿宋_GB2312" w:hAnsi="Times New Roman" w:eastAsia="仿宋_GB2312" w:cs="Times New Roman"/>
                <w:sz w:val="24"/>
                <w:szCs w:val="24"/>
              </w:rPr>
            </w:pPr>
            <w:r>
              <w:rPr>
                <w:rFonts w:hint="eastAsia" w:ascii="仿宋_GB2312" w:eastAsia="仿宋_GB2312" w:cs="Times New Roman"/>
                <w:sz w:val="24"/>
                <w:szCs w:val="24"/>
              </w:rPr>
              <w:t>公开</w:t>
            </w:r>
          </w:p>
        </w:tc>
        <w:tc>
          <w:tcPr>
            <w:tcW w:w="1329" w:type="dxa"/>
            <w:vAlign w:val="center"/>
          </w:tcPr>
          <w:p>
            <w:pPr>
              <w:spacing w:line="37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信息公开</w:t>
            </w:r>
          </w:p>
          <w:p>
            <w:pPr>
              <w:spacing w:line="37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指南</w:t>
            </w:r>
          </w:p>
        </w:tc>
        <w:tc>
          <w:tcPr>
            <w:tcW w:w="2317" w:type="dxa"/>
            <w:vAlign w:val="center"/>
          </w:tcPr>
          <w:p>
            <w:pPr>
              <w:spacing w:line="370" w:lineRule="exact"/>
              <w:ind w:right="-57"/>
              <w:rPr>
                <w:rFonts w:ascii="仿宋_GB2312" w:eastAsia="仿宋_GB2312" w:cs="Times New Roman"/>
                <w:sz w:val="24"/>
                <w:szCs w:val="24"/>
              </w:rPr>
            </w:pPr>
            <w:r>
              <w:rPr>
                <w:rFonts w:hint="eastAsia" w:ascii="仿宋_GB2312" w:eastAsia="仿宋_GB2312" w:cs="Times New Roman"/>
                <w:sz w:val="24"/>
                <w:szCs w:val="24"/>
              </w:rPr>
              <w:t>1.主动公开</w:t>
            </w:r>
          </w:p>
          <w:p>
            <w:pPr>
              <w:spacing w:line="370" w:lineRule="exact"/>
              <w:ind w:right="-57"/>
              <w:rPr>
                <w:rFonts w:ascii="仿宋_GB2312" w:eastAsia="仿宋_GB2312" w:cs="Times New Roman"/>
                <w:sz w:val="24"/>
                <w:szCs w:val="24"/>
              </w:rPr>
            </w:pPr>
            <w:r>
              <w:rPr>
                <w:rFonts w:hint="eastAsia" w:ascii="仿宋_GB2312" w:eastAsia="仿宋_GB2312" w:cs="Times New Roman"/>
                <w:sz w:val="24"/>
                <w:szCs w:val="24"/>
              </w:rPr>
              <w:t>2.对外发布政府信息的渠道</w:t>
            </w:r>
          </w:p>
          <w:p>
            <w:pPr>
              <w:spacing w:line="370" w:lineRule="exact"/>
              <w:ind w:right="-57"/>
              <w:rPr>
                <w:rFonts w:ascii="仿宋_GB2312" w:eastAsia="仿宋_GB2312" w:cs="Times New Roman"/>
                <w:sz w:val="24"/>
                <w:szCs w:val="24"/>
              </w:rPr>
            </w:pPr>
            <w:r>
              <w:rPr>
                <w:rFonts w:hint="eastAsia" w:ascii="仿宋_GB2312" w:eastAsia="仿宋_GB2312" w:cs="Times New Roman"/>
                <w:sz w:val="24"/>
                <w:szCs w:val="24"/>
              </w:rPr>
              <w:t>3.依申请公开</w:t>
            </w:r>
          </w:p>
          <w:p>
            <w:pPr>
              <w:spacing w:line="370" w:lineRule="exact"/>
              <w:ind w:right="-57"/>
              <w:rPr>
                <w:rFonts w:ascii="仿宋_GB2312" w:eastAsia="仿宋_GB2312" w:cs="Times New Roman"/>
                <w:sz w:val="24"/>
                <w:szCs w:val="24"/>
              </w:rPr>
            </w:pPr>
            <w:r>
              <w:rPr>
                <w:rFonts w:hint="eastAsia" w:ascii="仿宋_GB2312" w:eastAsia="仿宋_GB2312" w:cs="Times New Roman"/>
                <w:sz w:val="24"/>
                <w:szCs w:val="24"/>
              </w:rPr>
              <w:t>4.工作机构、地址、联系方式、办公时间</w:t>
            </w:r>
          </w:p>
        </w:tc>
        <w:tc>
          <w:tcPr>
            <w:tcW w:w="5655"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eastAsia="仿宋_GB2312" w:cs="Times New Roman"/>
                <w:sz w:val="24"/>
                <w:szCs w:val="24"/>
              </w:rPr>
              <w:t>《中华人民共和国政府信息公开条例》第三条。</w:t>
            </w:r>
          </w:p>
        </w:tc>
        <w:tc>
          <w:tcPr>
            <w:tcW w:w="1818" w:type="dxa"/>
            <w:vAlign w:val="center"/>
          </w:tcPr>
          <w:p>
            <w:pPr>
              <w:spacing w:line="37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及时更新</w:t>
            </w:r>
          </w:p>
        </w:tc>
        <w:tc>
          <w:tcPr>
            <w:tcW w:w="1176" w:type="dxa"/>
            <w:vAlign w:val="center"/>
          </w:tcPr>
          <w:p>
            <w:pPr>
              <w:spacing w:line="37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eastAsia="仿宋_GB2312" w:cs="Times New Roman"/>
                <w:sz w:val="24"/>
                <w:szCs w:val="24"/>
              </w:rPr>
              <w:t>行政规范性文件</w:t>
            </w:r>
          </w:p>
        </w:tc>
        <w:tc>
          <w:tcPr>
            <w:tcW w:w="2317"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eastAsia="仿宋_GB2312" w:cs="Times New Roman"/>
                <w:sz w:val="24"/>
                <w:szCs w:val="24"/>
              </w:rPr>
              <w:t>本级政府现行有效行政规范性文件的集中规范公开与动态更新情况。</w:t>
            </w:r>
          </w:p>
        </w:tc>
        <w:tc>
          <w:tcPr>
            <w:tcW w:w="5655"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1.</w:t>
            </w:r>
            <w:r>
              <w:rPr>
                <w:rFonts w:hint="eastAsia" w:ascii="仿宋_GB2312" w:eastAsia="仿宋_GB2312" w:cs="Times New Roman"/>
                <w:sz w:val="24"/>
                <w:szCs w:val="24"/>
              </w:rPr>
              <w:t>《中华人民共和国政府信息公开条例》第二十条。</w:t>
            </w:r>
          </w:p>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2.</w:t>
            </w:r>
            <w:r>
              <w:rPr>
                <w:rFonts w:hint="eastAsia" w:ascii="仿宋_GB2312" w:eastAsia="仿宋_GB2312" w:cs="Times New Roman"/>
                <w:sz w:val="24"/>
                <w:szCs w:val="24"/>
              </w:rPr>
              <w:t>《国务院办公厅关于印发</w:t>
            </w:r>
            <w:r>
              <w:rPr>
                <w:rFonts w:hint="eastAsia" w:ascii="仿宋_GB2312" w:hAnsi="Times New Roman" w:eastAsia="仿宋_GB2312" w:cs="Times New Roman"/>
                <w:sz w:val="24"/>
                <w:szCs w:val="24"/>
              </w:rPr>
              <w:t>2022</w:t>
            </w:r>
            <w:r>
              <w:rPr>
                <w:rFonts w:hint="eastAsia" w:ascii="仿宋_GB2312" w:eastAsia="仿宋_GB2312" w:cs="Times New Roman"/>
                <w:sz w:val="24"/>
                <w:szCs w:val="24"/>
              </w:rPr>
              <w:t>年政务公开工作要点的通知》（国办发〔</w:t>
            </w:r>
            <w:r>
              <w:rPr>
                <w:rFonts w:hint="eastAsia" w:ascii="仿宋_GB2312" w:hAnsi="Times New Roman" w:eastAsia="仿宋_GB2312" w:cs="Times New Roman"/>
                <w:sz w:val="24"/>
                <w:szCs w:val="24"/>
              </w:rPr>
              <w:t>2022</w:t>
            </w:r>
            <w:r>
              <w:rPr>
                <w:rFonts w:hint="eastAsia" w:ascii="仿宋_GB2312" w:eastAsia="仿宋_GB2312" w:cs="Times New Roman"/>
                <w:sz w:val="24"/>
                <w:szCs w:val="24"/>
              </w:rPr>
              <w:t>〕</w:t>
            </w:r>
            <w:r>
              <w:rPr>
                <w:rFonts w:hint="eastAsia" w:ascii="仿宋_GB2312" w:hAnsi="Times New Roman" w:eastAsia="仿宋_GB2312" w:cs="Times New Roman"/>
                <w:sz w:val="24"/>
                <w:szCs w:val="24"/>
              </w:rPr>
              <w:t>8</w:t>
            </w:r>
            <w:r>
              <w:rPr>
                <w:rFonts w:hint="eastAsia" w:ascii="仿宋_GB2312" w:eastAsia="仿宋_GB2312" w:cs="Times New Roman"/>
                <w:sz w:val="24"/>
                <w:szCs w:val="24"/>
              </w:rPr>
              <w:t>号）</w:t>
            </w:r>
            <w:r>
              <w:rPr>
                <w:rFonts w:hint="eastAsia" w:ascii="仿宋_GB2312" w:hAnsi="Times New Roman" w:eastAsia="仿宋_GB2312" w:cs="Times New Roman"/>
                <w:sz w:val="24"/>
                <w:szCs w:val="24"/>
              </w:rPr>
              <w:t>“</w:t>
            </w:r>
            <w:r>
              <w:rPr>
                <w:rFonts w:hint="eastAsia" w:ascii="仿宋_GB2312" w:eastAsia="仿宋_GB2312" w:cs="Times New Roman"/>
                <w:sz w:val="24"/>
                <w:szCs w:val="24"/>
              </w:rPr>
              <w:t>三、提高政策公开质量，（二）开展行政规范性文件集中公开。</w:t>
            </w:r>
          </w:p>
        </w:tc>
        <w:tc>
          <w:tcPr>
            <w:tcW w:w="1818" w:type="dxa"/>
          </w:tcPr>
          <w:p>
            <w:pPr>
              <w:spacing w:line="37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eastAsia="仿宋_GB2312" w:cs="Times New Roman"/>
                <w:sz w:val="24"/>
                <w:szCs w:val="24"/>
              </w:rPr>
              <w:t>机构概况</w:t>
            </w:r>
          </w:p>
        </w:tc>
        <w:tc>
          <w:tcPr>
            <w:tcW w:w="2317" w:type="dxa"/>
            <w:vAlign w:val="center"/>
          </w:tcPr>
          <w:p>
            <w:pPr>
              <w:spacing w:line="370" w:lineRule="exact"/>
              <w:ind w:right="-57"/>
              <w:rPr>
                <w:rFonts w:ascii="仿宋_GB2312" w:eastAsia="仿宋_GB2312" w:cs="Times New Roman"/>
                <w:sz w:val="24"/>
                <w:szCs w:val="24"/>
              </w:rPr>
            </w:pPr>
            <w:r>
              <w:rPr>
                <w:rFonts w:hint="eastAsia" w:ascii="仿宋_GB2312" w:eastAsia="仿宋_GB2312" w:cs="Times New Roman"/>
                <w:sz w:val="24"/>
                <w:szCs w:val="24"/>
              </w:rPr>
              <w:t>1.领导</w:t>
            </w:r>
          </w:p>
          <w:p>
            <w:pPr>
              <w:spacing w:line="370" w:lineRule="exact"/>
              <w:ind w:right="-57"/>
              <w:rPr>
                <w:rFonts w:ascii="仿宋_GB2312" w:eastAsia="仿宋_GB2312" w:cs="Times New Roman"/>
                <w:sz w:val="24"/>
                <w:szCs w:val="24"/>
              </w:rPr>
            </w:pPr>
            <w:r>
              <w:rPr>
                <w:rFonts w:hint="eastAsia" w:ascii="仿宋_GB2312" w:eastAsia="仿宋_GB2312" w:cs="Times New Roman"/>
                <w:sz w:val="24"/>
                <w:szCs w:val="24"/>
              </w:rPr>
              <w:t>2.部门</w:t>
            </w:r>
          </w:p>
          <w:p>
            <w:pPr>
              <w:spacing w:line="370" w:lineRule="exact"/>
              <w:ind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3.政府部门领导</w:t>
            </w:r>
          </w:p>
          <w:p>
            <w:pPr>
              <w:spacing w:line="370" w:lineRule="exact"/>
              <w:ind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4.机构职能</w:t>
            </w:r>
          </w:p>
          <w:p>
            <w:pPr>
              <w:spacing w:line="370" w:lineRule="exact"/>
              <w:ind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5.镇、街道</w:t>
            </w:r>
          </w:p>
          <w:p>
            <w:pPr>
              <w:spacing w:line="370" w:lineRule="exact"/>
              <w:ind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6.人事任免</w:t>
            </w:r>
          </w:p>
        </w:tc>
        <w:tc>
          <w:tcPr>
            <w:tcW w:w="5655"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eastAsia="仿宋_GB2312" w:cs="Times New Roman"/>
                <w:sz w:val="24"/>
                <w:szCs w:val="24"/>
              </w:rPr>
              <w:t>《中华人民共和国政府信息公开条例》第二十条。</w:t>
            </w:r>
          </w:p>
        </w:tc>
        <w:tc>
          <w:tcPr>
            <w:tcW w:w="1818" w:type="dxa"/>
          </w:tcPr>
          <w:p>
            <w:pPr>
              <w:spacing w:line="37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restart"/>
            <w:vAlign w:val="center"/>
          </w:tcPr>
          <w:p>
            <w:pPr>
              <w:spacing w:line="40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主动公开</w:t>
            </w:r>
          </w:p>
        </w:tc>
        <w:tc>
          <w:tcPr>
            <w:tcW w:w="1182" w:type="dxa"/>
            <w:vMerge w:val="restart"/>
            <w:vAlign w:val="center"/>
          </w:tcPr>
          <w:p>
            <w:pPr>
              <w:spacing w:line="40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基础信息</w:t>
            </w:r>
          </w:p>
          <w:p>
            <w:pPr>
              <w:spacing w:line="40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公开</w:t>
            </w:r>
          </w:p>
        </w:tc>
        <w:tc>
          <w:tcPr>
            <w:tcW w:w="1329" w:type="dxa"/>
            <w:vAlign w:val="center"/>
          </w:tcPr>
          <w:p>
            <w:pPr>
              <w:spacing w:line="40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权责清单</w:t>
            </w:r>
          </w:p>
        </w:tc>
        <w:tc>
          <w:tcPr>
            <w:tcW w:w="2317" w:type="dxa"/>
            <w:vAlign w:val="center"/>
          </w:tcPr>
          <w:p>
            <w:pPr>
              <w:spacing w:line="400" w:lineRule="exact"/>
              <w:ind w:right="-57"/>
              <w:rPr>
                <w:rFonts w:ascii="仿宋_GB2312" w:eastAsia="仿宋_GB2312" w:cs="Times New Roman"/>
                <w:sz w:val="24"/>
                <w:szCs w:val="24"/>
              </w:rPr>
            </w:pPr>
            <w:r>
              <w:rPr>
                <w:rFonts w:hint="eastAsia" w:ascii="仿宋_GB2312" w:hAnsi="Times New Roman" w:eastAsia="仿宋_GB2312" w:cs="Times New Roman"/>
                <w:sz w:val="24"/>
                <w:szCs w:val="24"/>
              </w:rPr>
              <w:t>经相关部门核定的权力和责任清单。</w:t>
            </w:r>
          </w:p>
        </w:tc>
        <w:tc>
          <w:tcPr>
            <w:tcW w:w="5655" w:type="dxa"/>
            <w:vAlign w:val="center"/>
          </w:tcPr>
          <w:p>
            <w:pPr>
              <w:spacing w:line="400" w:lineRule="exact"/>
              <w:ind w:left="-57" w:right="-57"/>
              <w:rPr>
                <w:rFonts w:ascii="仿宋_GB2312" w:eastAsia="仿宋_GB2312" w:cs="Times New Roman"/>
                <w:sz w:val="24"/>
                <w:szCs w:val="24"/>
              </w:rPr>
            </w:pPr>
            <w:r>
              <w:rPr>
                <w:rFonts w:hint="eastAsia" w:ascii="仿宋_GB2312" w:hAnsi="Times New Roman" w:eastAsia="仿宋_GB2312" w:cs="Times New Roman"/>
                <w:sz w:val="24"/>
                <w:szCs w:val="24"/>
              </w:rPr>
              <w:t>《中华人民共和国政府信息公开条例》等。</w:t>
            </w:r>
          </w:p>
        </w:tc>
        <w:tc>
          <w:tcPr>
            <w:tcW w:w="1818" w:type="dxa"/>
          </w:tcPr>
          <w:p>
            <w:pPr>
              <w:spacing w:line="40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40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政府网站——江苏</w:t>
            </w:r>
            <w:r>
              <w:rPr>
                <w:rFonts w:hint="eastAsia" w:ascii="仿宋_GB2312" w:eastAsia="仿宋_GB2312" w:cs="Times New Roman"/>
                <w:spacing w:val="-18"/>
                <w:sz w:val="24"/>
                <w:szCs w:val="24"/>
              </w:rPr>
              <w:t>政务服务网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400" w:lineRule="exact"/>
              <w:ind w:left="-57" w:right="-57"/>
              <w:jc w:val="center"/>
              <w:rPr>
                <w:rFonts w:ascii="仿宋_GB2312" w:hAnsi="Times New Roman" w:eastAsia="仿宋_GB2312" w:cs="Times New Roman"/>
                <w:sz w:val="24"/>
                <w:szCs w:val="24"/>
              </w:rPr>
            </w:pPr>
          </w:p>
        </w:tc>
        <w:tc>
          <w:tcPr>
            <w:tcW w:w="1182" w:type="dxa"/>
            <w:vMerge w:val="continue"/>
            <w:vAlign w:val="center"/>
          </w:tcPr>
          <w:p>
            <w:pPr>
              <w:spacing w:line="400" w:lineRule="exact"/>
              <w:ind w:left="-57" w:right="-57"/>
              <w:jc w:val="center"/>
              <w:rPr>
                <w:rFonts w:ascii="仿宋_GB2312" w:hAnsi="Times New Roman" w:eastAsia="仿宋_GB2312" w:cs="Times New Roman"/>
                <w:sz w:val="24"/>
                <w:szCs w:val="24"/>
              </w:rPr>
            </w:pPr>
          </w:p>
        </w:tc>
        <w:tc>
          <w:tcPr>
            <w:tcW w:w="1329" w:type="dxa"/>
            <w:vAlign w:val="center"/>
          </w:tcPr>
          <w:p>
            <w:pPr>
              <w:spacing w:line="40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规划信息</w:t>
            </w:r>
          </w:p>
        </w:tc>
        <w:tc>
          <w:tcPr>
            <w:tcW w:w="2317" w:type="dxa"/>
            <w:vAlign w:val="center"/>
          </w:tcPr>
          <w:p>
            <w:pPr>
              <w:spacing w:line="400" w:lineRule="exact"/>
              <w:ind w:right="-57"/>
              <w:rPr>
                <w:rFonts w:ascii="仿宋_GB2312" w:eastAsia="仿宋_GB2312" w:cs="Times New Roman"/>
                <w:sz w:val="24"/>
                <w:szCs w:val="24"/>
              </w:rPr>
            </w:pPr>
            <w:r>
              <w:rPr>
                <w:rFonts w:hint="eastAsia" w:ascii="仿宋_GB2312" w:hAnsi="Times New Roman" w:eastAsia="仿宋_GB2312" w:cs="Times New Roman"/>
                <w:sz w:val="24"/>
                <w:szCs w:val="24"/>
              </w:rPr>
              <w:t>本级政府通过政府门户网站及时、规范、集中公开本地区国民经济和社会发展第十四个五年规划纲要、国土空间规划、专项规划和区域规划的情况。</w:t>
            </w:r>
          </w:p>
        </w:tc>
        <w:tc>
          <w:tcPr>
            <w:tcW w:w="5655" w:type="dxa"/>
            <w:vAlign w:val="center"/>
          </w:tcPr>
          <w:p>
            <w:pPr>
              <w:spacing w:line="400" w:lineRule="exact"/>
              <w:ind w:left="-57" w:right="-57"/>
              <w:rPr>
                <w:rFonts w:ascii="仿宋_GB2312" w:eastAsia="仿宋_GB2312" w:cs="Times New Roman"/>
                <w:sz w:val="24"/>
                <w:szCs w:val="24"/>
              </w:rPr>
            </w:pPr>
            <w:r>
              <w:rPr>
                <w:rFonts w:hint="eastAsia" w:ascii="仿宋_GB2312" w:hAnsi="Times New Roman" w:eastAsia="仿宋_GB2312" w:cs="Times New Roman"/>
                <w:sz w:val="24"/>
                <w:szCs w:val="24"/>
              </w:rPr>
              <w:t>《国务院办公厅关于印发2021年政务公开工作要点的通知》（国办发〔2021〕12号）“一、紧扣‘十四五’开好局起好步深化政务公开，（一）做好各类规划主动公开。”</w:t>
            </w:r>
          </w:p>
        </w:tc>
        <w:tc>
          <w:tcPr>
            <w:tcW w:w="1818" w:type="dxa"/>
          </w:tcPr>
          <w:p>
            <w:pPr>
              <w:spacing w:line="40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40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400" w:lineRule="exact"/>
              <w:ind w:left="-57" w:right="-57"/>
              <w:jc w:val="center"/>
              <w:rPr>
                <w:rFonts w:ascii="仿宋_GB2312" w:hAnsi="Times New Roman" w:eastAsia="仿宋_GB2312" w:cs="Times New Roman"/>
                <w:sz w:val="24"/>
                <w:szCs w:val="24"/>
              </w:rPr>
            </w:pPr>
          </w:p>
        </w:tc>
        <w:tc>
          <w:tcPr>
            <w:tcW w:w="1182" w:type="dxa"/>
            <w:vMerge w:val="continue"/>
            <w:vAlign w:val="center"/>
          </w:tcPr>
          <w:p>
            <w:pPr>
              <w:spacing w:line="400" w:lineRule="exact"/>
              <w:ind w:left="-57" w:right="-57"/>
              <w:jc w:val="center"/>
              <w:rPr>
                <w:rFonts w:ascii="仿宋_GB2312" w:hAnsi="Times New Roman" w:eastAsia="仿宋_GB2312" w:cs="Times New Roman"/>
                <w:sz w:val="24"/>
                <w:szCs w:val="24"/>
              </w:rPr>
            </w:pPr>
          </w:p>
        </w:tc>
        <w:tc>
          <w:tcPr>
            <w:tcW w:w="1329" w:type="dxa"/>
            <w:vAlign w:val="center"/>
          </w:tcPr>
          <w:p>
            <w:pPr>
              <w:spacing w:line="40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财政信息</w:t>
            </w:r>
          </w:p>
        </w:tc>
        <w:tc>
          <w:tcPr>
            <w:tcW w:w="2317" w:type="dxa"/>
            <w:vAlign w:val="center"/>
          </w:tcPr>
          <w:p>
            <w:pPr>
              <w:spacing w:line="400" w:lineRule="exact"/>
              <w:ind w:right="-57"/>
              <w:rPr>
                <w:rFonts w:ascii="仿宋_GB2312" w:eastAsia="仿宋_GB2312" w:cs="Times New Roman"/>
                <w:spacing w:val="-8"/>
                <w:sz w:val="24"/>
                <w:szCs w:val="24"/>
              </w:rPr>
            </w:pPr>
            <w:r>
              <w:rPr>
                <w:rFonts w:hint="eastAsia" w:ascii="仿宋_GB2312" w:eastAsia="仿宋_GB2312" w:cs="Times New Roman"/>
                <w:sz w:val="24"/>
                <w:szCs w:val="24"/>
              </w:rPr>
              <w:t>1.财</w:t>
            </w:r>
            <w:r>
              <w:rPr>
                <w:rFonts w:hint="eastAsia" w:ascii="仿宋_GB2312" w:eastAsia="仿宋_GB2312" w:cs="Times New Roman"/>
                <w:spacing w:val="-8"/>
                <w:sz w:val="24"/>
                <w:szCs w:val="24"/>
              </w:rPr>
              <w:t>政资金直达基层</w:t>
            </w:r>
          </w:p>
          <w:p>
            <w:pPr>
              <w:spacing w:line="400" w:lineRule="exact"/>
              <w:rPr>
                <w:rFonts w:ascii="仿宋_GB2312" w:eastAsia="仿宋_GB2312"/>
                <w:sz w:val="24"/>
                <w:szCs w:val="24"/>
              </w:rPr>
            </w:pPr>
            <w:r>
              <w:rPr>
                <w:rFonts w:hint="eastAsia" w:ascii="仿宋_GB2312" w:eastAsia="仿宋_GB2312"/>
                <w:sz w:val="24"/>
                <w:szCs w:val="24"/>
              </w:rPr>
              <w:t>2.债务信息</w:t>
            </w:r>
          </w:p>
          <w:p>
            <w:pPr>
              <w:spacing w:line="400" w:lineRule="exact"/>
              <w:rPr>
                <w:rFonts w:ascii="仿宋_GB2312" w:eastAsia="仿宋_GB2312"/>
                <w:sz w:val="24"/>
                <w:szCs w:val="24"/>
              </w:rPr>
            </w:pPr>
            <w:r>
              <w:rPr>
                <w:rFonts w:hint="eastAsia" w:ascii="仿宋_GB2312" w:eastAsia="仿宋_GB2312"/>
                <w:sz w:val="24"/>
                <w:szCs w:val="24"/>
              </w:rPr>
              <w:t>3.财政预决算</w:t>
            </w:r>
          </w:p>
        </w:tc>
        <w:tc>
          <w:tcPr>
            <w:tcW w:w="5655" w:type="dxa"/>
            <w:vAlign w:val="center"/>
          </w:tcPr>
          <w:p>
            <w:pPr>
              <w:spacing w:line="400" w:lineRule="exact"/>
              <w:ind w:left="-57" w:right="-57"/>
              <w:rPr>
                <w:rFonts w:ascii="仿宋_GB2312" w:eastAsia="仿宋_GB2312" w:cs="Times New Roman"/>
                <w:sz w:val="24"/>
                <w:szCs w:val="24"/>
              </w:rPr>
            </w:pPr>
            <w:r>
              <w:rPr>
                <w:rFonts w:hint="eastAsia" w:ascii="仿宋_GB2312" w:hAnsi="Times New Roman" w:eastAsia="仿宋_GB2312" w:cs="Times New Roman"/>
                <w:sz w:val="24"/>
                <w:szCs w:val="24"/>
              </w:rPr>
              <w:t>《中华人民共和国预算法》《中华人民共和国政府信息公开条例》等。</w:t>
            </w:r>
          </w:p>
        </w:tc>
        <w:tc>
          <w:tcPr>
            <w:tcW w:w="1818" w:type="dxa"/>
          </w:tcPr>
          <w:p>
            <w:pPr>
              <w:spacing w:line="40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40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restart"/>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主动公开</w:t>
            </w:r>
          </w:p>
        </w:tc>
        <w:tc>
          <w:tcPr>
            <w:tcW w:w="1182" w:type="dxa"/>
            <w:vAlign w:val="center"/>
          </w:tcPr>
          <w:p>
            <w:pPr>
              <w:spacing w:line="40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基础信息</w:t>
            </w:r>
          </w:p>
          <w:p>
            <w:pPr>
              <w:spacing w:line="40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公开</w:t>
            </w:r>
          </w:p>
        </w:tc>
        <w:tc>
          <w:tcPr>
            <w:tcW w:w="1329" w:type="dxa"/>
            <w:vAlign w:val="center"/>
          </w:tcPr>
          <w:p>
            <w:pPr>
              <w:spacing w:line="40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重大决策</w:t>
            </w:r>
          </w:p>
          <w:p>
            <w:pPr>
              <w:spacing w:line="40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预公开</w:t>
            </w:r>
          </w:p>
        </w:tc>
        <w:tc>
          <w:tcPr>
            <w:tcW w:w="2317" w:type="dxa"/>
            <w:vAlign w:val="center"/>
          </w:tcPr>
          <w:p>
            <w:pPr>
              <w:spacing w:line="340" w:lineRule="exact"/>
              <w:ind w:right="-57"/>
              <w:rPr>
                <w:rFonts w:ascii="仿宋_GB2312" w:eastAsia="仿宋_GB2312" w:cs="Times New Roman"/>
                <w:sz w:val="24"/>
                <w:szCs w:val="24"/>
              </w:rPr>
            </w:pPr>
            <w:r>
              <w:rPr>
                <w:rFonts w:hint="eastAsia" w:ascii="仿宋_GB2312" w:hAnsi="Times New Roman" w:eastAsia="仿宋_GB2312" w:cs="Times New Roman"/>
                <w:sz w:val="24"/>
                <w:szCs w:val="24"/>
              </w:rPr>
              <w:t>本级政府通过政府门户网站开展政策意见征集的情况，包括及时、规范、集中公开文件征求意见稿、对征求意见稿的解读，以及意见征集结果的情况。</w:t>
            </w:r>
          </w:p>
        </w:tc>
        <w:tc>
          <w:tcPr>
            <w:tcW w:w="5655" w:type="dxa"/>
            <w:vAlign w:val="center"/>
          </w:tcPr>
          <w:p>
            <w:pPr>
              <w:spacing w:line="40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《中华人民共和国政府信息公开条例》《中共中央办公厅</w:t>
            </w:r>
            <w:r>
              <w:rPr>
                <w:rFonts w:hint="eastAsia" w:ascii="仿宋_GB2312" w:hAnsi="Times New Roman" w:eastAsia="仿宋_GB2312" w:cs="Times New Roman"/>
                <w:spacing w:val="-6"/>
                <w:sz w:val="24"/>
                <w:szCs w:val="24"/>
              </w:rPr>
              <w:t>国务院办公厅关于全面推进政务公开工作的意见》等</w:t>
            </w:r>
            <w:r>
              <w:rPr>
                <w:rFonts w:hint="eastAsia" w:ascii="仿宋_GB2312" w:hAnsi="Times New Roman" w:eastAsia="仿宋_GB2312" w:cs="Times New Roman"/>
                <w:sz w:val="24"/>
                <w:szCs w:val="24"/>
              </w:rPr>
              <w:t>。</w:t>
            </w:r>
          </w:p>
        </w:tc>
        <w:tc>
          <w:tcPr>
            <w:tcW w:w="1818" w:type="dxa"/>
            <w:vAlign w:val="center"/>
          </w:tcPr>
          <w:p>
            <w:pPr>
              <w:spacing w:line="40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40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rPr>
                <w:rFonts w:ascii="仿宋_GB2312" w:hAnsi="Times New Roman" w:eastAsia="仿宋_GB2312" w:cs="Times New Roman"/>
                <w:sz w:val="24"/>
                <w:szCs w:val="24"/>
              </w:rPr>
            </w:pPr>
          </w:p>
        </w:tc>
        <w:tc>
          <w:tcPr>
            <w:tcW w:w="1182" w:type="dxa"/>
            <w:vMerge w:val="restart"/>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重点领域</w:t>
            </w:r>
          </w:p>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公开</w:t>
            </w: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养老服务</w:t>
            </w:r>
          </w:p>
        </w:tc>
        <w:tc>
          <w:tcPr>
            <w:tcW w:w="2317" w:type="dxa"/>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本级政府通过政府门户网站及时、规范、集中公开养老服务信息的情况，如养老服务基层政务公开标准、扶持政策措施、行业管理等信息。</w:t>
            </w:r>
          </w:p>
        </w:tc>
        <w:tc>
          <w:tcPr>
            <w:tcW w:w="5655"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1.《中华人民共和国政府信息公开条例》第二十条。</w:t>
            </w:r>
          </w:p>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2.《民政部办公厅关于印发〈社会救助和养老服务领域基层政务公开标准指引〉的通知》（民办函〔2019〕52号）。</w:t>
            </w:r>
          </w:p>
        </w:tc>
        <w:tc>
          <w:tcPr>
            <w:tcW w:w="1818" w:type="dxa"/>
            <w:vAlign w:val="center"/>
          </w:tcPr>
          <w:p>
            <w:pPr>
              <w:spacing w:line="37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rPr>
                <w:rFonts w:ascii="仿宋_GB2312" w:hAnsi="Times New Roman" w:eastAsia="仿宋_GB2312" w:cs="Times New Roman"/>
                <w:sz w:val="24"/>
                <w:szCs w:val="24"/>
              </w:rPr>
            </w:pPr>
          </w:p>
        </w:tc>
        <w:tc>
          <w:tcPr>
            <w:tcW w:w="1182" w:type="dxa"/>
            <w:vMerge w:val="continue"/>
            <w:vAlign w:val="center"/>
          </w:tcPr>
          <w:p>
            <w:pPr>
              <w:spacing w:line="370" w:lineRule="exact"/>
              <w:ind w:left="-57" w:right="-57"/>
              <w:rPr>
                <w:rFonts w:ascii="仿宋_GB2312" w:hAnsi="Times New Roman" w:eastAsia="仿宋_GB2312" w:cs="Times New Roman"/>
                <w:sz w:val="24"/>
                <w:szCs w:val="24"/>
              </w:rPr>
            </w:pP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义务教育</w:t>
            </w:r>
          </w:p>
        </w:tc>
        <w:tc>
          <w:tcPr>
            <w:tcW w:w="2317" w:type="dxa"/>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本级政府在保护个人信息权益的前提下通过政府门户网站及时、规范、集中公开义务教育信息的情况，如义务教育基层政务公开标准、教育概况、招生管理、学生资助奖励等信息。</w:t>
            </w:r>
          </w:p>
        </w:tc>
        <w:tc>
          <w:tcPr>
            <w:tcW w:w="5655"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1.《中华人民共和国政府信息公开条例》第二十条。</w:t>
            </w:r>
          </w:p>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2.《教育部办公厅关于印发〈义务教育领域基层政务公开标准指引〉的通知》（教办厅函〔2019〕39号）。</w:t>
            </w:r>
          </w:p>
        </w:tc>
        <w:tc>
          <w:tcPr>
            <w:tcW w:w="1818" w:type="dxa"/>
            <w:vAlign w:val="center"/>
          </w:tcPr>
          <w:p>
            <w:pPr>
              <w:spacing w:line="37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restart"/>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主动公开</w:t>
            </w:r>
          </w:p>
        </w:tc>
        <w:tc>
          <w:tcPr>
            <w:tcW w:w="1182" w:type="dxa"/>
            <w:vMerge w:val="restart"/>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重点领域</w:t>
            </w:r>
          </w:p>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公开</w:t>
            </w: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稳岗就业</w:t>
            </w:r>
          </w:p>
        </w:tc>
        <w:tc>
          <w:tcPr>
            <w:tcW w:w="2317" w:type="dxa"/>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本级政府通过政府门户网站及时、规范、集中公开稳岗就业信息的情况，如就业基层政务公开标准、就业政策、职业指导、就业服务等信息。</w:t>
            </w:r>
          </w:p>
        </w:tc>
        <w:tc>
          <w:tcPr>
            <w:tcW w:w="5655" w:type="dxa"/>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1.《人力资源社会保障部办公厅关于印发就业和社会保险领域基层政务公开标准指引的通知》（人社厅函〔2019〕113号）。</w:t>
            </w:r>
          </w:p>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2.《人力资源社会保障部国家发展改革委教育部财政部中央军委国防动员部关于延续实施部分减负稳岗扩就业政策措施的通知》（人社部发〔2021〕29号）。</w:t>
            </w:r>
          </w:p>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3.《国务院办公厅关于印发2022年政务公开工作要点的通知》（国办发〔2022〕8号）“二、以公开助力保持社会和谐稳定，（五）强化稳就业保就业信息公开。”</w:t>
            </w:r>
          </w:p>
        </w:tc>
        <w:tc>
          <w:tcPr>
            <w:tcW w:w="1818" w:type="dxa"/>
            <w:vAlign w:val="center"/>
          </w:tcPr>
          <w:p>
            <w:pPr>
              <w:spacing w:line="34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182" w:type="dxa"/>
            <w:vMerge w:val="continue"/>
            <w:vAlign w:val="center"/>
          </w:tcPr>
          <w:p>
            <w:pPr>
              <w:spacing w:line="370" w:lineRule="exact"/>
              <w:ind w:left="-57" w:right="-57"/>
              <w:rPr>
                <w:rFonts w:ascii="仿宋_GB2312" w:hAnsi="Times New Roman" w:eastAsia="仿宋_GB2312" w:cs="Times New Roman"/>
                <w:sz w:val="24"/>
                <w:szCs w:val="24"/>
              </w:rPr>
            </w:pP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食品药品</w:t>
            </w:r>
          </w:p>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监管</w:t>
            </w:r>
          </w:p>
        </w:tc>
        <w:tc>
          <w:tcPr>
            <w:tcW w:w="2317" w:type="dxa"/>
            <w:vAlign w:val="center"/>
          </w:tcPr>
          <w:p>
            <w:pPr>
              <w:spacing w:line="32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本级政府通过政府门户网站及时、规范、集中公开食品药品监管信息的情况，如食品药品监管基层政务公开标准、食品生产监督检查、食品安全抽检、药品零售经营监督检查等信息。</w:t>
            </w:r>
          </w:p>
        </w:tc>
        <w:tc>
          <w:tcPr>
            <w:tcW w:w="5655" w:type="dxa"/>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1.《中华人民共和国政府信息公开条例》第二十条。</w:t>
            </w:r>
          </w:p>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2.《市场监管总局办公厅关于印发〈食品药品监管领域基层政务公开标准指引〉的通知》（市监办函〔2019〕1111号）。</w:t>
            </w:r>
          </w:p>
        </w:tc>
        <w:tc>
          <w:tcPr>
            <w:tcW w:w="1818" w:type="dxa"/>
            <w:vAlign w:val="center"/>
          </w:tcPr>
          <w:p>
            <w:pPr>
              <w:spacing w:line="34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rPr>
                <w:rFonts w:ascii="仿宋_GB2312" w:hAnsi="Times New Roman" w:eastAsia="仿宋_GB2312" w:cs="Times New Roman"/>
                <w:sz w:val="24"/>
                <w:szCs w:val="24"/>
              </w:rPr>
            </w:pPr>
          </w:p>
        </w:tc>
        <w:tc>
          <w:tcPr>
            <w:tcW w:w="1182" w:type="dxa"/>
            <w:vMerge w:val="continue"/>
            <w:vAlign w:val="center"/>
          </w:tcPr>
          <w:p>
            <w:pPr>
              <w:spacing w:line="370" w:lineRule="exact"/>
              <w:ind w:left="-57" w:right="-57"/>
              <w:rPr>
                <w:rFonts w:ascii="仿宋_GB2312" w:hAnsi="Times New Roman" w:eastAsia="仿宋_GB2312" w:cs="Times New Roman"/>
                <w:sz w:val="24"/>
                <w:szCs w:val="24"/>
              </w:rPr>
            </w:pP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疫情防控</w:t>
            </w:r>
          </w:p>
        </w:tc>
        <w:tc>
          <w:tcPr>
            <w:tcW w:w="2317" w:type="dxa"/>
            <w:vAlign w:val="center"/>
          </w:tcPr>
          <w:p>
            <w:pPr>
              <w:spacing w:line="32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本级政府通过政府门户网站及时、规范、集中公开疫情防控信息的情况，如隔离管控、精准防控、疫苗接种等权威信息。</w:t>
            </w:r>
          </w:p>
        </w:tc>
        <w:tc>
          <w:tcPr>
            <w:tcW w:w="5655" w:type="dxa"/>
            <w:vAlign w:val="center"/>
          </w:tcPr>
          <w:p>
            <w:pPr>
              <w:spacing w:line="32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1.《国务院办公厅关于印发2021年政务公开工作要点的通知》（国办发〔2021〕12号）“一、紧扣‘十四五’开好局起好步深化政务公开，（四）做好常态化疫情防控信息公开。”</w:t>
            </w:r>
          </w:p>
          <w:p>
            <w:pPr>
              <w:spacing w:line="320" w:lineRule="exact"/>
              <w:ind w:left="-57" w:right="-57"/>
              <w:rPr>
                <w:rFonts w:ascii="仿宋_GB2312" w:hAnsi="Times New Roman" w:eastAsia="仿宋_GB2312" w:cs="Times New Roman"/>
                <w:color w:val="000000" w:themeColor="text1"/>
                <w:sz w:val="24"/>
                <w:szCs w:val="24"/>
              </w:rPr>
            </w:pPr>
            <w:r>
              <w:rPr>
                <w:rFonts w:hint="eastAsia" w:ascii="仿宋_GB2312" w:hAnsi="Times New Roman" w:eastAsia="仿宋_GB2312" w:cs="Times New Roman"/>
                <w:sz w:val="24"/>
                <w:szCs w:val="24"/>
              </w:rPr>
              <w:t>2.《国务院办公厅关于印发2022年政务公开工作要点的通知》（国办发〔2022〕8号）“二、以公开助力保持社会和谐稳定，（四）持续做好疫情防控信息公开。”</w:t>
            </w:r>
          </w:p>
        </w:tc>
        <w:tc>
          <w:tcPr>
            <w:tcW w:w="1818" w:type="dxa"/>
            <w:vAlign w:val="center"/>
          </w:tcPr>
          <w:p>
            <w:pPr>
              <w:spacing w:line="34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restart"/>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主动公开</w:t>
            </w:r>
          </w:p>
        </w:tc>
        <w:tc>
          <w:tcPr>
            <w:tcW w:w="1182" w:type="dxa"/>
            <w:vMerge w:val="restart"/>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重点领域</w:t>
            </w:r>
          </w:p>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公开</w:t>
            </w: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助企纾困</w:t>
            </w:r>
          </w:p>
        </w:tc>
        <w:tc>
          <w:tcPr>
            <w:tcW w:w="2317" w:type="dxa"/>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本级政府通过政府门户网站及时、规范、集中公开优化营商环境、纾困帮扶企业有关信息的情况，如减税降费、扩大有效投资等信息。</w:t>
            </w:r>
          </w:p>
        </w:tc>
        <w:tc>
          <w:tcPr>
            <w:tcW w:w="5655" w:type="dxa"/>
            <w:vAlign w:val="center"/>
          </w:tcPr>
          <w:p>
            <w:pPr>
              <w:spacing w:line="370" w:lineRule="exact"/>
              <w:ind w:left="-57" w:right="-57"/>
              <w:rPr>
                <w:rFonts w:ascii="仿宋_GB2312" w:hAnsi="Times New Roman" w:eastAsia="仿宋_GB2312" w:cs="Times New Roman"/>
                <w:color w:val="000000" w:themeColor="text1"/>
                <w:sz w:val="24"/>
                <w:szCs w:val="24"/>
              </w:rPr>
            </w:pPr>
            <w:r>
              <w:rPr>
                <w:rFonts w:hint="eastAsia" w:ascii="仿宋_GB2312" w:hAnsi="Times New Roman" w:eastAsia="仿宋_GB2312" w:cs="Times New Roman"/>
                <w:sz w:val="24"/>
                <w:szCs w:val="24"/>
              </w:rPr>
              <w:t>《国务院办公厅关于印发2022年政务公开工作要点的通知》（国办发〔2022〕8号）“一、以公开助力经济平稳健康发展。”</w:t>
            </w:r>
          </w:p>
        </w:tc>
        <w:tc>
          <w:tcPr>
            <w:tcW w:w="1818" w:type="dxa"/>
            <w:vAlign w:val="center"/>
          </w:tcPr>
          <w:p>
            <w:pPr>
              <w:spacing w:line="37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政府网站——常州</w:t>
            </w:r>
            <w:r>
              <w:rPr>
                <w:rFonts w:hint="eastAsia" w:ascii="仿宋_GB2312" w:hAnsi="Times New Roman" w:eastAsia="仿宋_GB2312" w:cs="Times New Roman"/>
                <w:spacing w:val="-14"/>
                <w:sz w:val="24"/>
                <w:szCs w:val="24"/>
              </w:rPr>
              <w:t>市优化营商</w:t>
            </w:r>
            <w:r>
              <w:rPr>
                <w:rFonts w:hint="eastAsia" w:ascii="仿宋_GB2312" w:hAnsi="Times New Roman" w:eastAsia="仿宋_GB2312" w:cs="Times New Roman"/>
                <w:sz w:val="24"/>
                <w:szCs w:val="24"/>
              </w:rPr>
              <w:t>环境惠企政策专区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rPr>
                <w:rFonts w:ascii="仿宋_GB2312" w:hAnsi="Times New Roman" w:eastAsia="仿宋_GB2312" w:cs="Times New Roman"/>
                <w:sz w:val="24"/>
                <w:szCs w:val="24"/>
              </w:rPr>
            </w:pPr>
          </w:p>
        </w:tc>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公共文化</w:t>
            </w:r>
          </w:p>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服务</w:t>
            </w:r>
          </w:p>
        </w:tc>
        <w:tc>
          <w:tcPr>
            <w:tcW w:w="2317" w:type="dxa"/>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本级政府通过政府门户网站及时、规范、集中公开公共文化服务信息的情况，如公共文化服务基层政务公开标准、公共文化机构免费开放、群众文化活动、展览讲座等信息。</w:t>
            </w:r>
          </w:p>
        </w:tc>
        <w:tc>
          <w:tcPr>
            <w:tcW w:w="5655" w:type="dxa"/>
            <w:vAlign w:val="center"/>
          </w:tcPr>
          <w:p>
            <w:pPr>
              <w:spacing w:line="370" w:lineRule="exact"/>
              <w:ind w:left="-57" w:right="-57"/>
              <w:rPr>
                <w:rFonts w:ascii="仿宋_GB2312" w:hAnsi="Times New Roman" w:eastAsia="仿宋_GB2312" w:cs="Times New Roman"/>
                <w:color w:val="000000" w:themeColor="text1"/>
                <w:sz w:val="24"/>
                <w:szCs w:val="24"/>
              </w:rPr>
            </w:pPr>
            <w:r>
              <w:rPr>
                <w:rFonts w:hint="eastAsia" w:ascii="仿宋_GB2312" w:hAnsi="Times New Roman" w:eastAsia="仿宋_GB2312" w:cs="Times New Roman"/>
                <w:color w:val="000000" w:themeColor="text1"/>
                <w:sz w:val="24"/>
                <w:szCs w:val="24"/>
              </w:rPr>
              <w:t>《文化和旅游部办公厅国家文物局办公室关于印发公共文化服务领域基层政务公开标准指引的通知》（办办发〔2019〕139号）。</w:t>
            </w:r>
          </w:p>
        </w:tc>
        <w:tc>
          <w:tcPr>
            <w:tcW w:w="1818"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涉农补贴</w:t>
            </w:r>
          </w:p>
        </w:tc>
        <w:tc>
          <w:tcPr>
            <w:tcW w:w="2317" w:type="dxa"/>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本级政府在保护个人信息权益的前提下通过政府门户网站及时、规范、集中公开涉农补贴信息的情况，如涉农补贴基层政务公开标准、补贴申报等信息。</w:t>
            </w:r>
          </w:p>
        </w:tc>
        <w:tc>
          <w:tcPr>
            <w:tcW w:w="5655"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1.《农业农村部办公厅关于印发涉农补贴领域基层政务公开标准指引的通知》（农办计财〔2019〕41号）。</w:t>
            </w:r>
          </w:p>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2.《国务院办公厅关于印发2022年政务公开工作要点的通知》（国办发〔2022〕8号）“四、夯实公开工作基础，（十四）扎实推进基层政务公开。”</w:t>
            </w:r>
          </w:p>
        </w:tc>
        <w:tc>
          <w:tcPr>
            <w:tcW w:w="1818"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restart"/>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主动公开</w:t>
            </w:r>
          </w:p>
        </w:tc>
        <w:tc>
          <w:tcPr>
            <w:tcW w:w="1182"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重点领域</w:t>
            </w:r>
          </w:p>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公开</w:t>
            </w: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社会救助</w:t>
            </w:r>
          </w:p>
        </w:tc>
        <w:tc>
          <w:tcPr>
            <w:tcW w:w="2317" w:type="dxa"/>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本级政府在保护个人信息权益的前提下通过政府门户网站及时、规范、集中公开社会救助信息的情况，如社会救助基层政务公开标准、救助政策、办事指南、监督检查等信息。</w:t>
            </w:r>
          </w:p>
        </w:tc>
        <w:tc>
          <w:tcPr>
            <w:tcW w:w="5655"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《民政部办公厅关于印发社会救助和养老服务领域基层政务公开标准指引的通知》（民办函〔2019〕52号）。</w:t>
            </w:r>
          </w:p>
        </w:tc>
        <w:tc>
          <w:tcPr>
            <w:tcW w:w="1818"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182"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其他需要</w:t>
            </w:r>
            <w:r>
              <w:rPr>
                <w:rFonts w:hint="eastAsia" w:ascii="仿宋_GB2312" w:hAnsi="Times New Roman" w:eastAsia="仿宋_GB2312" w:cs="Times New Roman"/>
                <w:spacing w:val="-14"/>
                <w:sz w:val="24"/>
                <w:szCs w:val="24"/>
              </w:rPr>
              <w:t>公开的事项</w:t>
            </w: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建议提案</w:t>
            </w:r>
          </w:p>
        </w:tc>
        <w:tc>
          <w:tcPr>
            <w:tcW w:w="2317"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建</w:t>
            </w:r>
            <w:r>
              <w:rPr>
                <w:rFonts w:hint="eastAsia" w:ascii="仿宋_GB2312" w:hAnsi="Times New Roman" w:eastAsia="仿宋_GB2312" w:cs="Times New Roman"/>
                <w:spacing w:val="-6"/>
                <w:sz w:val="24"/>
                <w:szCs w:val="24"/>
              </w:rPr>
              <w:t>议提案的答复情况</w:t>
            </w:r>
            <w:r>
              <w:rPr>
                <w:rFonts w:hint="eastAsia" w:ascii="仿宋_GB2312" w:hAnsi="Times New Roman" w:eastAsia="仿宋_GB2312" w:cs="Times New Roman"/>
                <w:sz w:val="24"/>
                <w:szCs w:val="24"/>
              </w:rPr>
              <w:t>。</w:t>
            </w:r>
          </w:p>
        </w:tc>
        <w:tc>
          <w:tcPr>
            <w:tcW w:w="5655"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《国务院办公厅关于做好全国人大代表建议和全国政协委员提案办理结果公开工作的通知》</w:t>
            </w:r>
          </w:p>
        </w:tc>
        <w:tc>
          <w:tcPr>
            <w:tcW w:w="1818" w:type="dxa"/>
            <w:vAlign w:val="center"/>
          </w:tcPr>
          <w:p>
            <w:pPr>
              <w:spacing w:line="37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tcBorders>
              <w:bottom w:val="single" w:color="000000" w:themeColor="text1" w:sz="4" w:space="0"/>
            </w:tcBorders>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解读回应</w:t>
            </w:r>
          </w:p>
        </w:tc>
        <w:tc>
          <w:tcPr>
            <w:tcW w:w="1182" w:type="dxa"/>
            <w:tcBorders>
              <w:bottom w:val="single" w:color="000000" w:themeColor="text1" w:sz="4" w:space="0"/>
            </w:tcBorders>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政策解读</w:t>
            </w:r>
          </w:p>
        </w:tc>
        <w:tc>
          <w:tcPr>
            <w:tcW w:w="1329" w:type="dxa"/>
            <w:tcBorders>
              <w:bottom w:val="single" w:color="000000" w:themeColor="text1" w:sz="4" w:space="0"/>
            </w:tcBorders>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解读内容</w:t>
            </w:r>
          </w:p>
        </w:tc>
        <w:tc>
          <w:tcPr>
            <w:tcW w:w="2317" w:type="dxa"/>
            <w:tcBorders>
              <w:bottom w:val="single" w:color="000000" w:themeColor="text1" w:sz="4" w:space="0"/>
            </w:tcBorders>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本级政府通过政府门户网站、政务新媒体对本地区出台的减税降费、扩大有效投资、疫情防控、稳就业保就业、稳住宏观经济大盘等方面政策进行解读的情况。</w:t>
            </w:r>
          </w:p>
        </w:tc>
        <w:tc>
          <w:tcPr>
            <w:tcW w:w="5655" w:type="dxa"/>
            <w:tcBorders>
              <w:bottom w:val="single" w:color="000000" w:themeColor="text1" w:sz="4" w:space="0"/>
            </w:tcBorders>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务院办公厅关于印发2022年政务公开工作要点的通知》（国办发〔2022〕8号）“一、以公开助力经济平稳健康发展，（一）加强涉及市场主体的信息公开”，“二、以公开助力保持社会和谐稳定，（四）持续做好疫情防控信息公开，（五）强化稳就业保就业信息公开”，“五、强化工作指导监督，（十五）严格落实主体责任。”</w:t>
            </w:r>
          </w:p>
        </w:tc>
        <w:tc>
          <w:tcPr>
            <w:tcW w:w="1818" w:type="dxa"/>
            <w:tcBorders>
              <w:bottom w:val="single" w:color="000000" w:themeColor="text1" w:sz="4" w:space="0"/>
            </w:tcBorders>
            <w:vAlign w:val="center"/>
          </w:tcPr>
          <w:p>
            <w:pPr>
              <w:spacing w:line="370" w:lineRule="exact"/>
              <w:ind w:left="-57" w:right="-57"/>
              <w:rPr>
                <w:rFonts w:ascii="仿宋_GB2312" w:hAnsi="Times New Roman"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tcBorders>
              <w:bottom w:val="single" w:color="000000" w:themeColor="text1" w:sz="4" w:space="0"/>
            </w:tcBorders>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restart"/>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解读回应</w:t>
            </w:r>
          </w:p>
        </w:tc>
        <w:tc>
          <w:tcPr>
            <w:tcW w:w="1182" w:type="dxa"/>
            <w:tcBorders>
              <w:bottom w:val="single" w:color="000000" w:themeColor="text1" w:sz="4" w:space="0"/>
            </w:tcBorders>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政策解读</w:t>
            </w:r>
          </w:p>
        </w:tc>
        <w:tc>
          <w:tcPr>
            <w:tcW w:w="1329" w:type="dxa"/>
            <w:tcBorders>
              <w:bottom w:val="single" w:color="000000" w:themeColor="text1" w:sz="4" w:space="0"/>
            </w:tcBorders>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解读质量</w:t>
            </w:r>
          </w:p>
        </w:tc>
        <w:tc>
          <w:tcPr>
            <w:tcW w:w="2317" w:type="dxa"/>
            <w:tcBorders>
              <w:bottom w:val="single" w:color="000000" w:themeColor="text1" w:sz="4" w:space="0"/>
            </w:tcBorders>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本级政府通过政府门户网站、政务新媒体开展政策解读质量情况，如是否围绕政策要点和公众关注热点提供实质性解读，内容是否准确透彻，方便公众理解。</w:t>
            </w:r>
          </w:p>
        </w:tc>
        <w:tc>
          <w:tcPr>
            <w:tcW w:w="5655" w:type="dxa"/>
            <w:tcBorders>
              <w:bottom w:val="single" w:color="000000" w:themeColor="text1" w:sz="4" w:space="0"/>
            </w:tcBorders>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务院办公厅关于印发2022年政务公开工作要点的通知》（国办发〔2022〕8号）“一、以公开助力经济平稳健康发展，（一）加强涉及市场主体的信息公开”，“二、以公开助力保持社会和谐稳定，（四）持续做好疫情防控信息公开，（五）强化稳就业保就业信息公开”，“五、强化工作指导监督，（十五）严格落实主体责任。”</w:t>
            </w:r>
          </w:p>
        </w:tc>
        <w:tc>
          <w:tcPr>
            <w:tcW w:w="1818" w:type="dxa"/>
            <w:tcBorders>
              <w:bottom w:val="single" w:color="000000" w:themeColor="text1" w:sz="4" w:space="0"/>
            </w:tcBorders>
            <w:vAlign w:val="center"/>
          </w:tcPr>
          <w:p>
            <w:pPr>
              <w:spacing w:line="370" w:lineRule="exact"/>
              <w:ind w:left="-57" w:right="-57"/>
              <w:rPr>
                <w:rFonts w:ascii="仿宋_GB2312" w:hAnsi="Times New Roman"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tcBorders>
              <w:bottom w:val="single" w:color="000000" w:themeColor="text1" w:sz="4" w:space="0"/>
            </w:tcBorders>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182"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政务舆情</w:t>
            </w:r>
          </w:p>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回应</w:t>
            </w: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回应时限</w:t>
            </w:r>
          </w:p>
        </w:tc>
        <w:tc>
          <w:tcPr>
            <w:tcW w:w="2317"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本级地方政府及部门回应政务舆情的及时性，如对于涉及特别重大、重大突发事件的政务舆情，是否在5小时内发布权威信息，在24小时内举行新闻发布会；其他舆情是否在48小时内予以回应。</w:t>
            </w:r>
          </w:p>
        </w:tc>
        <w:tc>
          <w:tcPr>
            <w:tcW w:w="5655"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1.《中共中央办公厅国务院办公厅印发〈关于全面推进政务公开工作的意见〉的通知》“十三，回应社会关切。”</w:t>
            </w:r>
          </w:p>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2.《国务院办公厅关于在政务公开工作中进一步做好政务舆情回应的通知》（国办发〔2016〕61号）。</w:t>
            </w:r>
          </w:p>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3.《国务院办公厅关于印发〈关于全面推进政务公开工作的意见〉实施细则的通知》（国办发〔2016〕80号）“三、积极回应关切。”</w:t>
            </w:r>
          </w:p>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4.《国务院办公厅关于印发2022年政务公开工作要点的通知》（国办发〔2022〕8号）“五、强化工作指导监督，（十五）严格落实主体责任。”</w:t>
            </w:r>
          </w:p>
        </w:tc>
        <w:tc>
          <w:tcPr>
            <w:tcW w:w="1818"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及时公开</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bl>
    <w:p>
      <w:pPr>
        <w:widowControl/>
        <w:rPr>
          <w:rFonts w:ascii="Times New Roman" w:hAnsi="Times New Roman" w:eastAsia="楷体_GB2312" w:cs="Times New Roman"/>
          <w:b/>
        </w:rPr>
      </w:pPr>
    </w:p>
    <w:sectPr>
      <w:footerReference r:id="rId5" w:type="default"/>
      <w:pgSz w:w="16838" w:h="11906" w:orient="landscape"/>
      <w:pgMar w:top="1418" w:right="1418" w:bottom="1418" w:left="1418" w:header="851" w:footer="1134"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康娃娃体W5">
    <w:panose1 w:val="040B0509000000000000"/>
    <w:charset w:val="86"/>
    <w:family w:val="auto"/>
    <w:pitch w:val="default"/>
    <w:sig w:usb0="00000001" w:usb1="08010000" w:usb2="0000001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564571"/>
      <w:docPartObj>
        <w:docPartGallery w:val="AutoText"/>
      </w:docPartObj>
    </w:sdtPr>
    <w:sdtEndPr>
      <w:rPr>
        <w:rFonts w:asciiTheme="minorEastAsia" w:hAnsiTheme="minorEastAsia"/>
        <w:sz w:val="28"/>
        <w:szCs w:val="28"/>
      </w:rPr>
    </w:sdtEndPr>
    <w:sdtContent>
      <w:p>
        <w:pPr>
          <w:pStyle w:val="3"/>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4097"/>
    <w:rsid w:val="0002571A"/>
    <w:rsid w:val="00036407"/>
    <w:rsid w:val="000613B8"/>
    <w:rsid w:val="00066D2D"/>
    <w:rsid w:val="000745DA"/>
    <w:rsid w:val="00074DC4"/>
    <w:rsid w:val="00080015"/>
    <w:rsid w:val="000839F6"/>
    <w:rsid w:val="000A005F"/>
    <w:rsid w:val="000A39B8"/>
    <w:rsid w:val="000A432E"/>
    <w:rsid w:val="000C2A00"/>
    <w:rsid w:val="000C2FFD"/>
    <w:rsid w:val="000D7ABC"/>
    <w:rsid w:val="000E0449"/>
    <w:rsid w:val="000E23DF"/>
    <w:rsid w:val="00101967"/>
    <w:rsid w:val="00106602"/>
    <w:rsid w:val="00121A11"/>
    <w:rsid w:val="0012521B"/>
    <w:rsid w:val="00131344"/>
    <w:rsid w:val="00183832"/>
    <w:rsid w:val="00192ACD"/>
    <w:rsid w:val="001A1242"/>
    <w:rsid w:val="001A1742"/>
    <w:rsid w:val="001B32C5"/>
    <w:rsid w:val="001B4096"/>
    <w:rsid w:val="001C1356"/>
    <w:rsid w:val="001C7855"/>
    <w:rsid w:val="001D26F0"/>
    <w:rsid w:val="001F424D"/>
    <w:rsid w:val="00207E48"/>
    <w:rsid w:val="00231D3A"/>
    <w:rsid w:val="00254DC9"/>
    <w:rsid w:val="0028287B"/>
    <w:rsid w:val="00285D47"/>
    <w:rsid w:val="002B0562"/>
    <w:rsid w:val="002B58DA"/>
    <w:rsid w:val="002B6E69"/>
    <w:rsid w:val="002D63FB"/>
    <w:rsid w:val="002E6ACF"/>
    <w:rsid w:val="002F2246"/>
    <w:rsid w:val="002F720F"/>
    <w:rsid w:val="00305A59"/>
    <w:rsid w:val="0031352A"/>
    <w:rsid w:val="00315F41"/>
    <w:rsid w:val="003270E5"/>
    <w:rsid w:val="0034264C"/>
    <w:rsid w:val="003467B1"/>
    <w:rsid w:val="0035158D"/>
    <w:rsid w:val="00370971"/>
    <w:rsid w:val="003714DD"/>
    <w:rsid w:val="00393943"/>
    <w:rsid w:val="003B1456"/>
    <w:rsid w:val="003E3C90"/>
    <w:rsid w:val="003F21D0"/>
    <w:rsid w:val="0042045A"/>
    <w:rsid w:val="00447F90"/>
    <w:rsid w:val="00461AB2"/>
    <w:rsid w:val="00462DD2"/>
    <w:rsid w:val="00464115"/>
    <w:rsid w:val="0047505E"/>
    <w:rsid w:val="004A7397"/>
    <w:rsid w:val="004B19ED"/>
    <w:rsid w:val="004C7845"/>
    <w:rsid w:val="004D1CD4"/>
    <w:rsid w:val="004E6D19"/>
    <w:rsid w:val="0051414C"/>
    <w:rsid w:val="00545E26"/>
    <w:rsid w:val="005475B8"/>
    <w:rsid w:val="0059595B"/>
    <w:rsid w:val="00597430"/>
    <w:rsid w:val="00597D9B"/>
    <w:rsid w:val="005B5373"/>
    <w:rsid w:val="005D2FF9"/>
    <w:rsid w:val="005F5B8D"/>
    <w:rsid w:val="006140E7"/>
    <w:rsid w:val="00641EA2"/>
    <w:rsid w:val="00655F6D"/>
    <w:rsid w:val="00657FB9"/>
    <w:rsid w:val="00660644"/>
    <w:rsid w:val="00673D1F"/>
    <w:rsid w:val="00680B7E"/>
    <w:rsid w:val="00684E4E"/>
    <w:rsid w:val="006B7A74"/>
    <w:rsid w:val="006D7D60"/>
    <w:rsid w:val="007173A2"/>
    <w:rsid w:val="0072223B"/>
    <w:rsid w:val="00742D3E"/>
    <w:rsid w:val="00742F79"/>
    <w:rsid w:val="00744440"/>
    <w:rsid w:val="00754749"/>
    <w:rsid w:val="00763FC1"/>
    <w:rsid w:val="00772620"/>
    <w:rsid w:val="007850E0"/>
    <w:rsid w:val="0079101B"/>
    <w:rsid w:val="00794B11"/>
    <w:rsid w:val="007B74AD"/>
    <w:rsid w:val="007D48F0"/>
    <w:rsid w:val="007E3187"/>
    <w:rsid w:val="007E6B92"/>
    <w:rsid w:val="007F4358"/>
    <w:rsid w:val="007F469C"/>
    <w:rsid w:val="0080177A"/>
    <w:rsid w:val="00803F11"/>
    <w:rsid w:val="00806A14"/>
    <w:rsid w:val="00814AA2"/>
    <w:rsid w:val="008267FC"/>
    <w:rsid w:val="008577D3"/>
    <w:rsid w:val="00864F09"/>
    <w:rsid w:val="00891EA4"/>
    <w:rsid w:val="00894097"/>
    <w:rsid w:val="008A4DD5"/>
    <w:rsid w:val="008B0E4E"/>
    <w:rsid w:val="008B12FD"/>
    <w:rsid w:val="008C02F0"/>
    <w:rsid w:val="008C0A42"/>
    <w:rsid w:val="008C4A2C"/>
    <w:rsid w:val="008D617F"/>
    <w:rsid w:val="008F08C1"/>
    <w:rsid w:val="00910CAB"/>
    <w:rsid w:val="0092407A"/>
    <w:rsid w:val="00957073"/>
    <w:rsid w:val="00981B19"/>
    <w:rsid w:val="00993047"/>
    <w:rsid w:val="009B70CA"/>
    <w:rsid w:val="009E5E66"/>
    <w:rsid w:val="009F40E6"/>
    <w:rsid w:val="00A03AF3"/>
    <w:rsid w:val="00A05A04"/>
    <w:rsid w:val="00A23ADE"/>
    <w:rsid w:val="00A263AD"/>
    <w:rsid w:val="00A320A6"/>
    <w:rsid w:val="00A55923"/>
    <w:rsid w:val="00A5616B"/>
    <w:rsid w:val="00A939F4"/>
    <w:rsid w:val="00A95F23"/>
    <w:rsid w:val="00AD7103"/>
    <w:rsid w:val="00AF0B01"/>
    <w:rsid w:val="00AF22C8"/>
    <w:rsid w:val="00B040A3"/>
    <w:rsid w:val="00B17FFE"/>
    <w:rsid w:val="00B27D0E"/>
    <w:rsid w:val="00B30679"/>
    <w:rsid w:val="00B41572"/>
    <w:rsid w:val="00B733E7"/>
    <w:rsid w:val="00BA28FF"/>
    <w:rsid w:val="00BA34B8"/>
    <w:rsid w:val="00BD55F7"/>
    <w:rsid w:val="00C10768"/>
    <w:rsid w:val="00C21DB8"/>
    <w:rsid w:val="00C44590"/>
    <w:rsid w:val="00C46694"/>
    <w:rsid w:val="00C74C26"/>
    <w:rsid w:val="00CA199F"/>
    <w:rsid w:val="00CB0CDF"/>
    <w:rsid w:val="00CC737A"/>
    <w:rsid w:val="00CE16B1"/>
    <w:rsid w:val="00CE5D14"/>
    <w:rsid w:val="00D01B20"/>
    <w:rsid w:val="00D01BAF"/>
    <w:rsid w:val="00D12740"/>
    <w:rsid w:val="00D43B47"/>
    <w:rsid w:val="00D449E9"/>
    <w:rsid w:val="00D7132C"/>
    <w:rsid w:val="00D73780"/>
    <w:rsid w:val="00D811A5"/>
    <w:rsid w:val="00D921BA"/>
    <w:rsid w:val="00DA7283"/>
    <w:rsid w:val="00DC110D"/>
    <w:rsid w:val="00DC7C2F"/>
    <w:rsid w:val="00DD33FF"/>
    <w:rsid w:val="00DF49A5"/>
    <w:rsid w:val="00DF6F6E"/>
    <w:rsid w:val="00E01146"/>
    <w:rsid w:val="00E41EE1"/>
    <w:rsid w:val="00E60B11"/>
    <w:rsid w:val="00E67A79"/>
    <w:rsid w:val="00E8702A"/>
    <w:rsid w:val="00E9039A"/>
    <w:rsid w:val="00E91AA9"/>
    <w:rsid w:val="00EA5FC0"/>
    <w:rsid w:val="00EA73BD"/>
    <w:rsid w:val="00F14E5B"/>
    <w:rsid w:val="00F3755A"/>
    <w:rsid w:val="00F4545E"/>
    <w:rsid w:val="00F70E58"/>
    <w:rsid w:val="00F71735"/>
    <w:rsid w:val="00F73F9E"/>
    <w:rsid w:val="00F8017A"/>
    <w:rsid w:val="00F814C5"/>
    <w:rsid w:val="00F81C32"/>
    <w:rsid w:val="00FA06A8"/>
    <w:rsid w:val="00FB676E"/>
    <w:rsid w:val="00FE29ED"/>
    <w:rsid w:val="00FF51A3"/>
    <w:rsid w:val="F26FE8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pPr>
      <w:spacing w:line="240" w:lineRule="auto"/>
    </w:pPr>
    <w:rPr>
      <w:sz w:val="18"/>
      <w:szCs w:val="18"/>
    </w:rPr>
  </w:style>
  <w:style w:type="paragraph" w:styleId="3">
    <w:name w:val="footer"/>
    <w:basedOn w:val="1"/>
    <w:link w:val="10"/>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6">
    <w:name w:val="Table Grid"/>
    <w:basedOn w:val="5"/>
    <w:qFormat/>
    <w:uiPriority w:val="59"/>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8">
    <w:name w:val="List Paragraph"/>
    <w:basedOn w:val="1"/>
    <w:qFormat/>
    <w:uiPriority w:val="34"/>
    <w:pPr>
      <w:ind w:firstLine="420"/>
    </w:p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639</Words>
  <Characters>3645</Characters>
  <Lines>30</Lines>
  <Paragraphs>8</Paragraphs>
  <TotalTime>486</TotalTime>
  <ScaleCrop>false</ScaleCrop>
  <LinksUpToDate>false</LinksUpToDate>
  <CharactersWithSpaces>4276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2023-01-13T10:35:00Z</dcterms:created>
  <dc:creator>userlei</dc:creator>
  <cp:lastModifiedBy>kylin</cp:lastModifiedBy>
  <cp:lastPrinted>2023-01-17T12:48:00Z</cp:lastPrinted>
  <dcterms:modified xsi:type="dcterms:W3CDTF">2023-07-18T08:42:34Z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