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公文小标宋" w:hAnsi="方正公文小标宋" w:eastAsia="方正公文小标宋" w:cs="方正公文小标宋"/>
          <w:sz w:val="44"/>
          <w:szCs w:val="44"/>
          <w:lang w:eastAsia="zh-CN"/>
        </w:rPr>
      </w:pPr>
      <w:r>
        <w:rPr>
          <w:rFonts w:hint="eastAsia" w:ascii="方正小标宋简体" w:hAnsi="方正小标宋简体" w:eastAsia="方正小标宋简体" w:cs="方正小标宋简体"/>
          <w:sz w:val="44"/>
          <w:szCs w:val="44"/>
        </w:rPr>
        <w:t>金坛区政策措施公平竞争审查</w:t>
      </w:r>
      <w:r>
        <w:rPr>
          <w:rFonts w:hint="eastAsia" w:ascii="方正小标宋简体" w:hAnsi="方正小标宋简体" w:eastAsia="方正小标宋简体" w:cs="方正小标宋简体"/>
          <w:sz w:val="44"/>
          <w:szCs w:val="44"/>
          <w:lang w:eastAsia="zh-CN"/>
        </w:rPr>
        <w:t>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lang w:eastAsia="zh-CN"/>
        </w:rPr>
        <w:t>日期：</w:t>
      </w:r>
      <w:r>
        <w:rPr>
          <w:rFonts w:hint="eastAsia" w:ascii="仿宋_GB2312" w:hAnsi="仿宋_GB2312" w:eastAsia="仿宋_GB2312" w:cs="仿宋_GB2312"/>
          <w:sz w:val="28"/>
          <w:szCs w:val="28"/>
          <w:lang w:val="en-US" w:eastAsia="zh-CN"/>
        </w:rPr>
        <w:t xml:space="preserve">                     </w:t>
      </w:r>
    </w:p>
    <w:tbl>
      <w:tblPr>
        <w:tblStyle w:val="2"/>
        <w:tblpPr w:leftFromText="180" w:rightFromText="180" w:vertAnchor="text" w:horzAnchor="page" w:tblpX="1908" w:tblpY="7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3" w:hRule="atLeast"/>
        </w:trPr>
        <w:tc>
          <w:tcPr>
            <w:tcW w:w="1248"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政策措施名称</w:t>
            </w:r>
          </w:p>
        </w:tc>
        <w:tc>
          <w:tcPr>
            <w:tcW w:w="7200" w:type="dxa"/>
            <w:gridSpan w:val="5"/>
            <w:tcBorders>
              <w:top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2" w:hRule="atLeast"/>
        </w:trPr>
        <w:tc>
          <w:tcPr>
            <w:tcW w:w="124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涉及行业领域</w:t>
            </w:r>
          </w:p>
        </w:tc>
        <w:tc>
          <w:tcPr>
            <w:tcW w:w="7200" w:type="dxa"/>
            <w:gridSpan w:val="5"/>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性质</w:t>
            </w:r>
          </w:p>
        </w:tc>
        <w:tc>
          <w:tcPr>
            <w:tcW w:w="720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行政法规草案 </w:t>
            </w:r>
            <w:r>
              <w:rPr>
                <w:rFonts w:hint="eastAsia" w:ascii="仿宋" w:hAnsi="仿宋" w:eastAsia="仿宋" w:cs="仿宋"/>
                <w:b/>
                <w:color w:val="auto"/>
                <w:sz w:val="32"/>
                <w:szCs w:val="32"/>
              </w:rPr>
              <w:sym w:font="Wingdings 2" w:char="00A3"/>
            </w:r>
            <w:r>
              <w:rPr>
                <w:rFonts w:hint="eastAsia" w:ascii="仿宋" w:hAnsi="仿宋" w:eastAsia="仿宋" w:cs="仿宋"/>
                <w:sz w:val="28"/>
                <w:szCs w:val="28"/>
              </w:rPr>
              <w:t xml:space="preserve">  地方性法规草案 </w:t>
            </w:r>
            <w:r>
              <w:rPr>
                <w:rFonts w:hint="eastAsia" w:ascii="仿宋" w:hAnsi="仿宋" w:eastAsia="仿宋" w:cs="仿宋"/>
                <w:b/>
                <w:color w:val="auto"/>
                <w:sz w:val="32"/>
                <w:szCs w:val="32"/>
              </w:rPr>
              <w:sym w:font="Wingdings 2" w:char="00A3"/>
            </w:r>
            <w:r>
              <w:rPr>
                <w:rFonts w:hint="eastAsia" w:ascii="仿宋" w:hAnsi="仿宋" w:eastAsia="仿宋" w:cs="仿宋"/>
                <w:sz w:val="28"/>
                <w:szCs w:val="28"/>
              </w:rPr>
              <w:t xml:space="preserve">    规章</w:t>
            </w:r>
            <w:r>
              <w:rPr>
                <w:rFonts w:hint="eastAsia" w:ascii="仿宋" w:hAnsi="仿宋" w:eastAsia="仿宋" w:cs="仿宋"/>
                <w:sz w:val="28"/>
                <w:szCs w:val="28"/>
                <w:lang w:val="en-US" w:eastAsia="zh-CN"/>
              </w:rPr>
              <w:t xml:space="preserve"> </w:t>
            </w:r>
            <w:r>
              <w:rPr>
                <w:rFonts w:hint="eastAsia" w:ascii="仿宋" w:hAnsi="仿宋" w:eastAsia="仿宋" w:cs="仿宋"/>
                <w:b/>
                <w:color w:val="auto"/>
                <w:sz w:val="32"/>
                <w:szCs w:val="32"/>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rPr>
              <w:t>规范性文件</w:t>
            </w:r>
            <w:r>
              <w:rPr>
                <w:rFonts w:hint="eastAsia" w:ascii="仿宋" w:hAnsi="仿宋" w:eastAsia="仿宋" w:cs="仿宋"/>
                <w:sz w:val="28"/>
                <w:szCs w:val="28"/>
                <w:lang w:val="en-US" w:eastAsia="zh-CN"/>
              </w:rPr>
              <w:t xml:space="preserve">   </w:t>
            </w:r>
            <w:r>
              <w:rPr>
                <w:rFonts w:hint="eastAsia" w:ascii="仿宋" w:hAnsi="仿宋" w:eastAsia="仿宋" w:cs="仿宋"/>
                <w:b/>
                <w:color w:val="auto"/>
                <w:sz w:val="32"/>
                <w:szCs w:val="32"/>
              </w:rPr>
              <w:sym w:font="Wingdings 2" w:char="00A3"/>
            </w:r>
            <w:r>
              <w:rPr>
                <w:rFonts w:hint="eastAsia" w:ascii="仿宋" w:hAnsi="仿宋" w:eastAsia="仿宋" w:cs="仿宋"/>
                <w:sz w:val="28"/>
                <w:szCs w:val="28"/>
              </w:rPr>
              <w:t xml:space="preserve">  其他政策措施</w:t>
            </w:r>
            <w:r>
              <w:rPr>
                <w:rFonts w:hint="eastAsia" w:ascii="仿宋" w:hAnsi="仿宋" w:eastAsia="仿宋" w:cs="仿宋"/>
                <w:sz w:val="28"/>
                <w:szCs w:val="28"/>
                <w:lang w:val="en-US" w:eastAsia="zh-CN"/>
              </w:rPr>
              <w:t xml:space="preserve">   </w:t>
            </w:r>
            <w:r>
              <w:rPr>
                <w:rFonts w:hint="eastAsia" w:ascii="仿宋" w:hAnsi="仿宋" w:eastAsia="仿宋" w:cs="仿宋"/>
                <w:b/>
                <w:color w:val="auto"/>
                <w:sz w:val="32"/>
                <w:szCs w:val="32"/>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trPr>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起草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机构</w:t>
            </w:r>
          </w:p>
        </w:tc>
        <w:tc>
          <w:tcPr>
            <w:tcW w:w="182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名  称</w:t>
            </w:r>
          </w:p>
        </w:tc>
        <w:tc>
          <w:tcPr>
            <w:tcW w:w="5371"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1" w:hRule="atLeast"/>
        </w:trPr>
        <w:tc>
          <w:tcPr>
            <w:tcW w:w="12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p>
        </w:tc>
        <w:tc>
          <w:tcPr>
            <w:tcW w:w="182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199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c>
          <w:tcPr>
            <w:tcW w:w="113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电话</w:t>
            </w:r>
          </w:p>
        </w:tc>
        <w:tc>
          <w:tcPr>
            <w:tcW w:w="22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审查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机构</w:t>
            </w:r>
          </w:p>
        </w:tc>
        <w:tc>
          <w:tcPr>
            <w:tcW w:w="182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名  称</w:t>
            </w:r>
          </w:p>
        </w:tc>
        <w:tc>
          <w:tcPr>
            <w:tcW w:w="5371"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12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p>
        </w:tc>
        <w:tc>
          <w:tcPr>
            <w:tcW w:w="1829"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199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c>
          <w:tcPr>
            <w:tcW w:w="113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电话</w:t>
            </w:r>
          </w:p>
        </w:tc>
        <w:tc>
          <w:tcPr>
            <w:tcW w:w="22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8" w:hRule="atLeast"/>
        </w:trPr>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征求意见情况</w:t>
            </w:r>
          </w:p>
        </w:tc>
        <w:tc>
          <w:tcPr>
            <w:tcW w:w="7200"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征求利害关系人意见 </w:t>
            </w:r>
            <w:r>
              <w:rPr>
                <w:rFonts w:hint="eastAsia" w:ascii="仿宋" w:hAnsi="仿宋" w:eastAsia="仿宋" w:cs="仿宋"/>
                <w:b/>
                <w:color w:val="auto"/>
                <w:sz w:val="32"/>
                <w:szCs w:val="32"/>
              </w:rPr>
              <w:sym w:font="Wingdings 2" w:char="00A3"/>
            </w:r>
            <w:r>
              <w:rPr>
                <w:rFonts w:hint="eastAsia" w:ascii="仿宋" w:hAnsi="仿宋" w:eastAsia="仿宋" w:cs="仿宋"/>
                <w:sz w:val="28"/>
                <w:szCs w:val="28"/>
              </w:rPr>
              <w:t xml:space="preserve">  向社会公开征求意见</w:t>
            </w:r>
            <w:r>
              <w:rPr>
                <w:rFonts w:hint="eastAsia" w:ascii="仿宋" w:hAnsi="仿宋" w:eastAsia="仿宋" w:cs="仿宋"/>
                <w:sz w:val="28"/>
                <w:szCs w:val="28"/>
                <w:lang w:val="en-US" w:eastAsia="zh-CN"/>
              </w:rPr>
              <w:t xml:space="preserve"> </w:t>
            </w:r>
            <w:r>
              <w:rPr>
                <w:rFonts w:hint="eastAsia" w:ascii="仿宋" w:hAnsi="仿宋" w:eastAsia="仿宋" w:cs="仿宋"/>
                <w:b/>
                <w:color w:val="auto"/>
                <w:sz w:val="32"/>
                <w:szCs w:val="32"/>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70" w:hRule="atLeast"/>
        </w:trPr>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28"/>
              </w:rPr>
            </w:pPr>
          </w:p>
        </w:tc>
        <w:tc>
          <w:tcPr>
            <w:tcW w:w="7200" w:type="dxa"/>
            <w:gridSpan w:val="5"/>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具体情况（时间、对象、意见反馈和采纳情况）：</w:t>
            </w:r>
          </w:p>
          <w:p>
            <w:pPr>
              <w:keepNext w:val="0"/>
              <w:keepLines w:val="0"/>
              <w:pageBreakBefore w:val="0"/>
              <w:widowControl w:val="0"/>
              <w:kinsoku/>
              <w:wordWrap/>
              <w:overflowPunct/>
              <w:topLinePunct w:val="0"/>
              <w:autoSpaceDE/>
              <w:autoSpaceDN/>
              <w:bidi w:val="0"/>
              <w:adjustRightInd/>
              <w:snapToGrid/>
              <w:spacing w:line="240" w:lineRule="auto"/>
              <w:ind w:firstLine="4900" w:firstLineChars="17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900" w:firstLineChars="17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900" w:firstLineChars="17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3"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咨询</w:t>
            </w:r>
            <w:r>
              <w:rPr>
                <w:rFonts w:hint="eastAsia" w:ascii="仿宋" w:hAnsi="仿宋" w:eastAsia="仿宋" w:cs="仿宋"/>
                <w:b/>
                <w:bCs/>
                <w:sz w:val="28"/>
                <w:szCs w:val="28"/>
                <w:lang w:eastAsia="zh-CN"/>
              </w:rPr>
              <w:t>及第三方评估情况</w:t>
            </w:r>
            <w:r>
              <w:rPr>
                <w:rFonts w:hint="eastAsia" w:ascii="仿宋" w:hAnsi="仿宋" w:eastAsia="仿宋" w:cs="仿宋"/>
                <w:b/>
                <w:bCs/>
                <w:sz w:val="28"/>
                <w:szCs w:val="28"/>
              </w:rPr>
              <w:t>（可选）</w:t>
            </w:r>
          </w:p>
        </w:tc>
        <w:tc>
          <w:tcPr>
            <w:tcW w:w="720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760" w:firstLineChars="1700"/>
              <w:jc w:val="both"/>
              <w:textAlignment w:val="auto"/>
              <w:rPr>
                <w:rFonts w:hint="eastAsia" w:ascii="仿宋" w:hAnsi="仿宋" w:eastAsia="仿宋" w:cs="仿宋"/>
                <w:sz w:val="28"/>
                <w:szCs w:val="28"/>
              </w:rPr>
            </w:pPr>
            <w:r>
              <w:rPr>
                <w:rFonts w:hint="eastAsia" w:ascii="仿宋" w:hAnsi="仿宋" w:eastAsia="仿宋" w:cs="仿宋"/>
                <w:sz w:val="28"/>
                <w:szCs w:val="28"/>
              </w:rPr>
              <w:t>（可附</w:t>
            </w:r>
            <w:r>
              <w:rPr>
                <w:rFonts w:hint="eastAsia" w:ascii="仿宋" w:hAnsi="仿宋" w:eastAsia="仿宋" w:cs="仿宋"/>
                <w:sz w:val="28"/>
                <w:szCs w:val="28"/>
                <w:lang w:eastAsia="zh-CN"/>
              </w:rPr>
              <w:t>相关报告</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8"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审查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结论</w:t>
            </w:r>
          </w:p>
        </w:tc>
        <w:tc>
          <w:tcPr>
            <w:tcW w:w="72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760" w:firstLineChars="1700"/>
              <w:jc w:val="both"/>
              <w:textAlignment w:val="auto"/>
              <w:rPr>
                <w:rFonts w:hint="eastAsia" w:ascii="仿宋" w:hAnsi="仿宋" w:eastAsia="仿宋" w:cs="仿宋"/>
                <w:sz w:val="28"/>
                <w:szCs w:val="28"/>
              </w:rPr>
            </w:pPr>
            <w:r>
              <w:rPr>
                <w:rFonts w:hint="eastAsia" w:ascii="仿宋" w:hAnsi="仿宋" w:eastAsia="仿宋" w:cs="仿宋"/>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适用例外规定</w:t>
            </w:r>
          </w:p>
        </w:tc>
        <w:tc>
          <w:tcPr>
            <w:tcW w:w="7200"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是</w:t>
            </w:r>
            <w:r>
              <w:rPr>
                <w:rFonts w:hint="eastAsia" w:ascii="仿宋" w:hAnsi="仿宋" w:eastAsia="仿宋" w:cs="仿宋"/>
                <w:sz w:val="28"/>
                <w:szCs w:val="28"/>
                <w:lang w:val="en-US" w:eastAsia="zh-CN"/>
              </w:rPr>
              <w:t xml:space="preserve"> </w:t>
            </w:r>
            <w:r>
              <w:rPr>
                <w:rFonts w:hint="eastAsia" w:ascii="仿宋" w:hAnsi="仿宋" w:eastAsia="仿宋" w:cs="仿宋"/>
                <w:b/>
                <w:color w:val="auto"/>
                <w:sz w:val="32"/>
                <w:szCs w:val="32"/>
              </w:rPr>
              <w:sym w:font="Wingdings 2" w:char="00A3"/>
            </w:r>
            <w:r>
              <w:rPr>
                <w:rFonts w:hint="eastAsia" w:ascii="仿宋" w:hAnsi="仿宋" w:eastAsia="仿宋" w:cs="仿宋"/>
                <w:sz w:val="28"/>
                <w:szCs w:val="28"/>
              </w:rPr>
              <w:t xml:space="preserve">         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6" w:hRule="atLeast"/>
        </w:trPr>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rPr>
            </w:pP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选择“是”时详细说明理由</w:t>
            </w:r>
          </w:p>
        </w:tc>
        <w:tc>
          <w:tcPr>
            <w:tcW w:w="593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2"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其他需要说明的情况</w:t>
            </w:r>
          </w:p>
        </w:tc>
        <w:tc>
          <w:tcPr>
            <w:tcW w:w="720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审查机构主要负责人意见</w:t>
            </w:r>
          </w:p>
        </w:tc>
        <w:tc>
          <w:tcPr>
            <w:tcW w:w="720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56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560" w:firstLine="2380" w:firstLineChars="850"/>
              <w:textAlignment w:val="auto"/>
              <w:rPr>
                <w:rFonts w:hint="eastAsia" w:ascii="仿宋" w:hAnsi="仿宋" w:eastAsia="仿宋" w:cs="仿宋"/>
                <w:sz w:val="28"/>
                <w:szCs w:val="28"/>
              </w:rPr>
            </w:pPr>
            <w:r>
              <w:rPr>
                <w:rFonts w:hint="eastAsia" w:ascii="仿宋" w:hAnsi="仿宋" w:eastAsia="仿宋" w:cs="仿宋"/>
                <w:sz w:val="28"/>
                <w:szCs w:val="28"/>
              </w:rPr>
              <w:t>签字：          盖章：</w:t>
            </w:r>
          </w:p>
        </w:tc>
      </w:tr>
    </w:tbl>
    <w:p/>
    <w:p/>
    <w:tbl>
      <w:tblPr>
        <w:tblStyle w:val="2"/>
        <w:tblW w:w="8997"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997" w:type="dxa"/>
            <w:gridSpan w:val="2"/>
            <w:noWrap w:val="0"/>
            <w:vAlign w:val="center"/>
          </w:tcPr>
          <w:p>
            <w:pPr>
              <w:spacing w:line="320" w:lineRule="exact"/>
              <w:jc w:val="center"/>
              <w:rPr>
                <w:rFonts w:hint="eastAsia" w:ascii="黑体" w:hAnsi="黑体" w:eastAsia="黑体" w:cs="黑体"/>
                <w:b/>
                <w:szCs w:val="21"/>
              </w:rPr>
            </w:pPr>
            <w:r>
              <w:rPr>
                <w:rFonts w:hint="eastAsia" w:ascii="黑体" w:hAnsi="黑体" w:eastAsia="黑体" w:cs="黑体"/>
                <w:b w:val="0"/>
                <w:bCs/>
                <w:sz w:val="32"/>
                <w:szCs w:val="32"/>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szCs w:val="21"/>
              </w:rPr>
            </w:pPr>
            <w:r>
              <w:rPr>
                <w:rFonts w:hint="eastAsia" w:ascii="黑体" w:hAnsi="黑体" w:eastAsia="黑体" w:cs="黑体"/>
                <w:b/>
                <w:szCs w:val="21"/>
              </w:rPr>
              <w:t>一、市场准入与退出标准</w:t>
            </w:r>
          </w:p>
        </w:tc>
        <w:tc>
          <w:tcPr>
            <w:tcW w:w="975" w:type="dxa"/>
            <w:noWrap w:val="0"/>
            <w:vAlign w:val="center"/>
          </w:tcPr>
          <w:p>
            <w:pPr>
              <w:spacing w:line="320" w:lineRule="exact"/>
              <w:jc w:val="center"/>
              <w:rPr>
                <w:rFonts w:hint="eastAsia" w:ascii="黑体" w:hAnsi="黑体" w:eastAsia="黑体" w:cs="黑体"/>
                <w:b/>
                <w:szCs w:val="20"/>
              </w:rPr>
            </w:pPr>
            <w:r>
              <w:rPr>
                <w:rFonts w:hint="eastAsia" w:ascii="黑体" w:hAnsi="黑体" w:eastAsia="黑体" w:cs="黑体"/>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1.设置不合理和歧视性的准入和退出条件</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2.未经公平竞争授予经营者特许经营权</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3.限定经营、购买、使用特定经营者提供的商品和服务</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jc w:val="left"/>
              <w:rPr>
                <w:rFonts w:hint="eastAsia" w:ascii="黑体" w:hAnsi="黑体" w:eastAsia="黑体" w:cs="黑体"/>
                <w:b w:val="0"/>
                <w:bCs/>
                <w:szCs w:val="21"/>
              </w:rPr>
            </w:pPr>
            <w:r>
              <w:rPr>
                <w:rFonts w:hint="eastAsia" w:ascii="黑体" w:hAnsi="黑体" w:eastAsia="黑体" w:cs="黑体"/>
                <w:b w:val="0"/>
                <w:bCs/>
                <w:szCs w:val="21"/>
              </w:rPr>
              <w:t>4.设置没有法律法规依据的审批或者具有行政审批性质的事前备案程序</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ind w:left="210" w:hanging="210" w:hangingChars="100"/>
              <w:rPr>
                <w:rFonts w:hint="eastAsia" w:ascii="黑体" w:hAnsi="黑体" w:eastAsia="黑体" w:cs="黑体"/>
                <w:b w:val="0"/>
                <w:bCs/>
                <w:szCs w:val="21"/>
              </w:rPr>
            </w:pPr>
            <w:r>
              <w:rPr>
                <w:rFonts w:hint="eastAsia" w:ascii="黑体" w:hAnsi="黑体" w:eastAsia="黑体" w:cs="黑体"/>
                <w:b w:val="0"/>
                <w:bCs/>
                <w:szCs w:val="21"/>
              </w:rPr>
              <w:t>5.对市场准入负面清单以外的行业、领域、业务等设置审批程序</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szCs w:val="21"/>
              </w:rPr>
            </w:pPr>
            <w:r>
              <w:rPr>
                <w:rFonts w:hint="eastAsia" w:ascii="黑体" w:hAnsi="黑体" w:eastAsia="黑体" w:cs="黑体"/>
                <w:b/>
                <w:szCs w:val="21"/>
              </w:rPr>
              <w:t>二、商品和要素自由流动标准</w:t>
            </w:r>
          </w:p>
        </w:tc>
        <w:tc>
          <w:tcPr>
            <w:tcW w:w="975" w:type="dxa"/>
            <w:noWrap w:val="0"/>
            <w:vAlign w:val="center"/>
          </w:tcPr>
          <w:p>
            <w:pPr>
              <w:spacing w:line="320" w:lineRule="exact"/>
              <w:jc w:val="center"/>
              <w:rPr>
                <w:rFonts w:hint="eastAsia" w:ascii="黑体" w:hAnsi="黑体" w:eastAsia="黑体" w:cs="黑体"/>
                <w:b/>
                <w:szCs w:val="20"/>
              </w:rPr>
            </w:pPr>
            <w:r>
              <w:rPr>
                <w:rFonts w:hint="eastAsia" w:ascii="黑体" w:hAnsi="黑体" w:eastAsia="黑体" w:cs="黑体"/>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1.对外地和进口商品、服务实行歧视性价格或歧视性补贴政策</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2.限制外地和进口商品、服务进入本地市场或阻碍本地商品运出、服务输出</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3.排斥或限制外地经营者参加本地招标投标活动</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4.排斥、限制或者强制外地经营者在本地投资或者设立分支机构</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5.对外地经营者在本地的投资或者设立的分支机构实行歧视性待遇，侵害其合法权益</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szCs w:val="21"/>
              </w:rPr>
            </w:pPr>
            <w:r>
              <w:rPr>
                <w:rFonts w:hint="eastAsia" w:ascii="黑体" w:hAnsi="黑体" w:eastAsia="黑体" w:cs="黑体"/>
                <w:b/>
                <w:szCs w:val="21"/>
              </w:rPr>
              <w:t>三、影响生产经营成本标准</w:t>
            </w:r>
          </w:p>
        </w:tc>
        <w:tc>
          <w:tcPr>
            <w:tcW w:w="975" w:type="dxa"/>
            <w:noWrap w:val="0"/>
            <w:vAlign w:val="center"/>
          </w:tcPr>
          <w:p>
            <w:pPr>
              <w:spacing w:line="320" w:lineRule="exact"/>
              <w:jc w:val="center"/>
              <w:rPr>
                <w:rFonts w:hint="eastAsia" w:ascii="黑体" w:hAnsi="黑体" w:eastAsia="黑体" w:cs="黑体"/>
                <w:b/>
                <w:szCs w:val="20"/>
              </w:rPr>
            </w:pPr>
            <w:r>
              <w:rPr>
                <w:rFonts w:hint="eastAsia" w:ascii="黑体" w:hAnsi="黑体" w:eastAsia="黑体" w:cs="黑体"/>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1.违法给予特定经营者优惠政策</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2.安排财政支出与企业缴纳的税收或非税收入挂钩</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3.违法减免特定经营者需要缴纳的社会保险费用</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4.在法律规定之外要求经营者提供或者扣留经营者各类保证金</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szCs w:val="21"/>
              </w:rPr>
            </w:pPr>
            <w:r>
              <w:rPr>
                <w:rFonts w:hint="eastAsia" w:ascii="黑体" w:hAnsi="黑体" w:eastAsia="黑体" w:cs="黑体"/>
                <w:b/>
                <w:szCs w:val="21"/>
              </w:rPr>
              <w:t>四、影响生产经营行为标准</w:t>
            </w:r>
          </w:p>
        </w:tc>
        <w:tc>
          <w:tcPr>
            <w:tcW w:w="975" w:type="dxa"/>
            <w:noWrap w:val="0"/>
            <w:vAlign w:val="center"/>
          </w:tcPr>
          <w:p>
            <w:pPr>
              <w:spacing w:line="320" w:lineRule="exact"/>
              <w:ind w:firstLine="105" w:firstLineChars="50"/>
              <w:rPr>
                <w:rFonts w:hint="eastAsia" w:ascii="黑体" w:hAnsi="黑体" w:eastAsia="黑体" w:cs="黑体"/>
                <w:b/>
                <w:szCs w:val="20"/>
              </w:rPr>
            </w:pPr>
            <w:r>
              <w:rPr>
                <w:rFonts w:hint="eastAsia" w:ascii="黑体" w:hAnsi="黑体" w:eastAsia="黑体" w:cs="黑体"/>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1.强制经营者从事《反垄断法》规定的垄断行为</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2.违法披露或者要求经营者披露生产经营敏感信息，为经营者从事垄断行为提供便利条件</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3.超越定价权限进行政府定价</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4.违法干预实行市场调节价的商品和服务的价格水平</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szCs w:val="21"/>
              </w:rPr>
            </w:pPr>
            <w:r>
              <w:rPr>
                <w:rFonts w:hint="eastAsia" w:ascii="黑体" w:hAnsi="黑体" w:eastAsia="黑体" w:cs="黑体"/>
                <w:b/>
                <w:szCs w:val="21"/>
              </w:rPr>
              <w:t>五、是否违反兜底条款</w:t>
            </w:r>
          </w:p>
        </w:tc>
        <w:tc>
          <w:tcPr>
            <w:tcW w:w="975" w:type="dxa"/>
            <w:noWrap w:val="0"/>
            <w:vAlign w:val="center"/>
          </w:tcPr>
          <w:p>
            <w:pPr>
              <w:spacing w:line="320" w:lineRule="exact"/>
              <w:jc w:val="center"/>
              <w:rPr>
                <w:rFonts w:hint="eastAsia" w:ascii="黑体" w:hAnsi="黑体" w:eastAsia="黑体" w:cs="黑体"/>
                <w:b/>
                <w:szCs w:val="20"/>
              </w:rPr>
            </w:pPr>
            <w:r>
              <w:rPr>
                <w:rFonts w:hint="eastAsia" w:ascii="黑体" w:hAnsi="黑体" w:eastAsia="黑体" w:cs="黑体"/>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1.没有法律法规依据减损市场主体合法权益或者增加其义务</w:t>
            </w:r>
          </w:p>
        </w:tc>
        <w:tc>
          <w:tcPr>
            <w:tcW w:w="975" w:type="dxa"/>
            <w:noWrap w:val="0"/>
            <w:vAlign w:val="center"/>
          </w:tcPr>
          <w:p>
            <w:pPr>
              <w:spacing w:line="320" w:lineRule="exact"/>
              <w:jc w:val="center"/>
              <w:rPr>
                <w:rFonts w:hint="eastAsia" w:ascii="黑体" w:hAnsi="黑体" w:eastAsia="黑体" w:cs="黑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2" w:type="dxa"/>
            <w:noWrap w:val="0"/>
            <w:vAlign w:val="center"/>
          </w:tcPr>
          <w:p>
            <w:pPr>
              <w:spacing w:line="320" w:lineRule="exact"/>
              <w:rPr>
                <w:rFonts w:hint="eastAsia" w:ascii="黑体" w:hAnsi="黑体" w:eastAsia="黑体" w:cs="黑体"/>
                <w:b w:val="0"/>
                <w:bCs/>
                <w:szCs w:val="21"/>
              </w:rPr>
            </w:pPr>
            <w:r>
              <w:rPr>
                <w:rFonts w:hint="eastAsia" w:ascii="黑体" w:hAnsi="黑体" w:eastAsia="黑体" w:cs="黑体"/>
                <w:b w:val="0"/>
                <w:bCs/>
                <w:szCs w:val="21"/>
              </w:rPr>
              <w:t>2.违反《反垄断法》制定含有排除限制竞争内容的政策措施</w:t>
            </w:r>
          </w:p>
        </w:tc>
        <w:tc>
          <w:tcPr>
            <w:tcW w:w="975" w:type="dxa"/>
            <w:noWrap w:val="0"/>
            <w:vAlign w:val="center"/>
          </w:tcPr>
          <w:p>
            <w:pPr>
              <w:spacing w:line="320" w:lineRule="exact"/>
              <w:jc w:val="center"/>
              <w:rPr>
                <w:rFonts w:hint="eastAsia" w:ascii="黑体" w:hAnsi="黑体" w:eastAsia="黑体" w:cs="黑体"/>
                <w:b/>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2E5M2FlOGFlMWU5NjE1MGU4NWYxMjBhYTQyZGIifQ=="/>
  </w:docVars>
  <w:rsids>
    <w:rsidRoot w:val="00000000"/>
    <w:rsid w:val="1C303266"/>
    <w:rsid w:val="2641739F"/>
    <w:rsid w:val="2A2F20D6"/>
    <w:rsid w:val="32487D05"/>
    <w:rsid w:val="3D887D2E"/>
    <w:rsid w:val="40F07CCE"/>
    <w:rsid w:val="43D020B5"/>
    <w:rsid w:val="4ECF7A46"/>
    <w:rsid w:val="53ED1450"/>
    <w:rsid w:val="5CD0596B"/>
    <w:rsid w:val="66A01F9C"/>
    <w:rsid w:val="6C46798A"/>
    <w:rsid w:val="7352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800</Words>
  <Characters>820</Characters>
  <Lines>0</Lines>
  <Paragraphs>0</Paragraphs>
  <TotalTime>1</TotalTime>
  <ScaleCrop>false</ScaleCrop>
  <LinksUpToDate>false</LinksUpToDate>
  <CharactersWithSpaces>901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2022-11-24T01:45:00Z</dcterms:created>
  <dc:creator>Administrator</dc:creator>
  <cp:lastModifiedBy>芸霏儿</cp:lastModifiedBy>
  <dcterms:modified xsi:type="dcterms:W3CDTF">2022-11-25T02:32:30Z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EADEDAE4AAA7470AB76E9B8ACB9EF03B</vt:lpwstr>
  </property>
</Properties>
</file>