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numPr>
          <w:numId w:val="0"/>
        </w:numPr>
        <w:spacing w:line="580" w:lineRule="exact"/>
        <w:ind w:firstLine="630" w:firstLineChars="196"/>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中国人民银行金坛支行</w:t>
      </w:r>
    </w:p>
    <w:p>
      <w:pPr>
        <w:numPr>
          <w:numId w:val="0"/>
        </w:numPr>
        <w:spacing w:line="580" w:lineRule="exact"/>
        <w:ind w:firstLine="630" w:firstLineChars="196"/>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2020年度政府信息公开工作报告</w:t>
      </w:r>
    </w:p>
    <w:p>
      <w:pPr>
        <w:widowControl w:val="0"/>
        <w:numPr>
          <w:numId w:val="0"/>
        </w:numPr>
        <w:wordWrap/>
        <w:adjustRightInd/>
        <w:snapToGrid/>
        <w:spacing w:line="600" w:lineRule="exact"/>
        <w:ind w:left="0" w:leftChars="0" w:right="0" w:firstLine="630" w:firstLineChars="196"/>
        <w:textAlignment w:val="auto"/>
        <w:outlineLvl w:val="9"/>
        <w:rPr>
          <w:rFonts w:ascii="Times New Roman" w:hAnsi="Times New Roman" w:eastAsia="黑体" w:cs="Times New Roman"/>
          <w:b w:val="0"/>
          <w:bCs w:val="0"/>
          <w:color w:val="000000"/>
          <w:sz w:val="32"/>
          <w:szCs w:val="32"/>
        </w:rPr>
      </w:pPr>
      <w:r>
        <w:rPr>
          <w:rFonts w:hint="eastAsia" w:eastAsia="黑体"/>
          <w:b w:val="0"/>
          <w:bCs w:val="0"/>
          <w:color w:val="000000"/>
          <w:sz w:val="32"/>
          <w:szCs w:val="32"/>
        </w:rPr>
        <w:t>一、</w:t>
      </w:r>
      <w:r>
        <w:rPr>
          <w:rFonts w:hint="eastAsia" w:ascii="Times New Roman" w:hAnsi="黑体" w:eastAsia="黑体" w:cs="Times New Roman"/>
          <w:b w:val="0"/>
          <w:bCs w:val="0"/>
          <w:color w:val="000000"/>
          <w:sz w:val="32"/>
          <w:szCs w:val="32"/>
          <w:u w:val="none"/>
        </w:rPr>
        <w:t>总体情况</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bookmarkStart w:id="0" w:name="zong"/>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支行</w:t>
      </w:r>
      <w:r>
        <w:rPr>
          <w:rFonts w:hint="eastAsia" w:ascii="仿宋_GB2312" w:hAnsi="仿宋_GB2312" w:eastAsia="仿宋_GB2312" w:cs="仿宋_GB2312"/>
          <w:sz w:val="32"/>
          <w:szCs w:val="32"/>
        </w:rPr>
        <w:t>坚持以公开为常态、不公开为例外，遵循公正、公平、合法、便民的原则，认真贯彻落实《政府信息公开条例》《中国人民银行政务公开实施办法》等规章制度要求，切实履行央行分支机构政府信息公开职责。</w:t>
      </w:r>
    </w:p>
    <w:p>
      <w:pPr>
        <w:widowControl w:val="0"/>
        <w:wordWrap/>
        <w:adjustRightInd/>
        <w:snapToGrid/>
        <w:spacing w:line="600" w:lineRule="exact"/>
        <w:ind w:left="0" w:leftChars="0" w:right="0" w:firstLine="643"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（一）加强组织领导。</w:t>
      </w:r>
      <w:r>
        <w:rPr>
          <w:rFonts w:hint="eastAsia" w:ascii="仿宋_GB2312" w:hAnsi="仿宋_GB2312" w:eastAsia="仿宋_GB2312" w:cs="仿宋_GB2312"/>
          <w:sz w:val="32"/>
          <w:szCs w:val="32"/>
        </w:rPr>
        <w:t>支行党组高度重视政府信息公开工作，将政府信息公开列入重要议事内容，并定期召开政务公开领导小组专题会议，对相关工作进行研究部署。</w:t>
      </w:r>
    </w:p>
    <w:p>
      <w:pPr>
        <w:widowControl w:val="0"/>
        <w:wordWrap/>
        <w:adjustRightInd/>
        <w:snapToGrid/>
        <w:spacing w:line="600" w:lineRule="exact"/>
        <w:ind w:left="0" w:leftChars="0" w:right="0" w:firstLine="643"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（二）加强监督检查。</w:t>
      </w:r>
      <w:r>
        <w:rPr>
          <w:rFonts w:hint="eastAsia" w:ascii="仿宋_GB2312" w:hAnsi="仿宋_GB2312" w:eastAsia="仿宋_GB2312" w:cs="仿宋_GB2312"/>
          <w:sz w:val="32"/>
          <w:szCs w:val="32"/>
        </w:rPr>
        <w:t>切实加强指导和监督，明确主动公开信息的机制和流程，确定分工。定期检查相关职能部门依法行政和政务公开工作，有效促进基层央行各项履职行为的科学化、规范化、标准化。广泛听取群众意见和建议，主动接受外部监督。积极做好投诉受理工作，保证投诉件按程序、时限办结。</w:t>
      </w:r>
    </w:p>
    <w:p>
      <w:pPr>
        <w:widowControl w:val="0"/>
        <w:wordWrap/>
        <w:adjustRightInd/>
        <w:snapToGrid/>
        <w:spacing w:line="600" w:lineRule="exact"/>
        <w:ind w:left="0" w:leftChars="0" w:right="0" w:firstLine="643" w:firstLineChars="200"/>
        <w:jc w:val="left"/>
        <w:textAlignment w:val="auto"/>
        <w:outlineLvl w:val="9"/>
        <w:rPr>
          <w:rFonts w:hint="eastAsia" w:ascii="仿宋" w:hAnsi="仿宋" w:eastAsia="仿宋"/>
          <w:sz w:val="32"/>
          <w:szCs w:val="32"/>
        </w:rPr>
      </w:pPr>
      <w:r>
        <w:rPr>
          <w:rFonts w:hint="eastAsia" w:ascii="楷体_GB2312" w:hAnsi="楷体_GB2312" w:eastAsia="楷体_GB2312" w:cs="楷体_GB2312"/>
          <w:b w:val="0"/>
          <w:bCs w:val="0"/>
          <w:sz w:val="32"/>
          <w:szCs w:val="32"/>
        </w:rPr>
        <w:t>（三）完善信息公开。</w:t>
      </w:r>
      <w:r>
        <w:rPr>
          <w:rFonts w:hint="eastAsia" w:ascii="仿宋_GB2312" w:hAnsi="仿宋_GB2312" w:eastAsia="仿宋_GB2312" w:cs="仿宋_GB2312"/>
          <w:sz w:val="32"/>
          <w:szCs w:val="32"/>
        </w:rPr>
        <w:t>根据《政府信息公开条例》要求，按时完成并主动公开《中国人民银行金坛支行</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19</w:t>
      </w:r>
      <w:r>
        <w:rPr>
          <w:rFonts w:hint="eastAsia" w:ascii="仿宋_GB2312" w:hAnsi="仿宋_GB2312" w:eastAsia="仿宋_GB2312" w:cs="仿宋_GB2312"/>
          <w:sz w:val="32"/>
          <w:szCs w:val="32"/>
        </w:rPr>
        <w:t>年政府信息公开工作年报》，将</w:t>
      </w:r>
      <w:r>
        <w:rPr>
          <w:rFonts w:hint="eastAsia" w:ascii="仿宋_GB2312" w:hAnsi="仿宋_GB2312" w:eastAsia="仿宋_GB2312" w:cs="仿宋_GB2312"/>
          <w:sz w:val="32"/>
          <w:szCs w:val="32"/>
          <w:lang w:eastAsia="zh-CN"/>
        </w:rPr>
        <w:t>拓宽</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rPr>
        <w:t>、增强透明度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加强对内监督等作为全年政务公开工作重点。按时向上级行上报政务公开年度工作总结、政务公开信息，及时反馈政务公开工作动态及工作难点。</w:t>
      </w:r>
      <w:bookmarkEnd w:id="0"/>
    </w:p>
    <w:p>
      <w:pPr>
        <w:widowControl w:val="0"/>
        <w:wordWrap/>
        <w:adjustRightInd/>
        <w:snapToGrid/>
        <w:spacing w:line="600" w:lineRule="exact"/>
        <w:ind w:left="0" w:leftChars="0" w:right="0" w:firstLine="630" w:firstLineChars="196"/>
        <w:textAlignment w:val="auto"/>
        <w:outlineLvl w:val="9"/>
        <w:rPr>
          <w:rFonts w:hint="eastAsia" w:ascii="Times New Roman" w:hAnsi="黑体" w:eastAsia="黑体" w:cs="Times New Roman"/>
          <w:b/>
          <w:bCs/>
          <w:color w:val="000000"/>
          <w:sz w:val="32"/>
          <w:szCs w:val="32"/>
          <w:u w:val="none"/>
        </w:rPr>
      </w:pPr>
    </w:p>
    <w:p>
      <w:pPr>
        <w:spacing w:line="580" w:lineRule="exact"/>
        <w:ind w:firstLine="630" w:firstLineChars="196"/>
        <w:rPr>
          <w:rFonts w:hint="eastAsia" w:ascii="Times New Roman" w:hAnsi="黑体" w:eastAsia="黑体" w:cs="Times New Roman"/>
          <w:b/>
          <w:bCs/>
          <w:color w:val="000000"/>
          <w:sz w:val="32"/>
          <w:szCs w:val="32"/>
          <w:u w:val="none"/>
        </w:rPr>
      </w:pPr>
    </w:p>
    <w:p>
      <w:pPr>
        <w:spacing w:line="580" w:lineRule="exact"/>
        <w:ind w:firstLine="630" w:firstLineChars="196"/>
        <w:rPr>
          <w:rFonts w:ascii="Times New Roman" w:hAnsi="Times New Roman" w:eastAsia="黑体" w:cs="Times New Roman"/>
          <w:b w:val="0"/>
          <w:bCs w:val="0"/>
          <w:color w:val="000000"/>
          <w:sz w:val="32"/>
          <w:szCs w:val="32"/>
        </w:rPr>
      </w:pPr>
      <w:r>
        <w:rPr>
          <w:rFonts w:hint="eastAsia" w:ascii="Times New Roman" w:hAnsi="黑体" w:eastAsia="黑体" w:cs="Times New Roman"/>
          <w:b w:val="0"/>
          <w:bCs w:val="0"/>
          <w:color w:val="000000"/>
          <w:sz w:val="32"/>
          <w:szCs w:val="32"/>
          <w:u w:val="none"/>
        </w:rPr>
        <w:t>二、主动公开政府信息情况</w:t>
      </w:r>
    </w:p>
    <w:tbl>
      <w:tblPr>
        <w:tblStyle w:val="7"/>
        <w:tblW w:w="81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07"/>
        <w:gridCol w:w="1872"/>
        <w:gridCol w:w="6"/>
        <w:gridCol w:w="1263"/>
        <w:gridCol w:w="1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7" w:hRule="atLeast"/>
          <w:jc w:val="center"/>
        </w:trPr>
        <w:tc>
          <w:tcPr>
            <w:tcW w:w="8126"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7" w:hRule="atLeast"/>
          <w:jc w:val="center"/>
        </w:trPr>
        <w:tc>
          <w:tcPr>
            <w:tcW w:w="31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信息内容</w:t>
            </w:r>
          </w:p>
        </w:tc>
        <w:tc>
          <w:tcPr>
            <w:tcW w:w="1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本年新</w:t>
            </w:r>
            <w:r>
              <w:rPr>
                <w:rFonts w:ascii="Times New Roman" w:hAnsi="Times New Roman" w:cs="Times New Roman"/>
                <w:color w:val="000000"/>
                <w:kern w:val="0"/>
                <w:sz w:val="20"/>
                <w:szCs w:val="20"/>
                <w:u w:val="none"/>
              </w:rPr>
              <w:br/>
            </w:r>
            <w:r>
              <w:rPr>
                <w:rFonts w:ascii="Times New Roman" w:hAnsi="宋体" w:cs="Times New Roman"/>
                <w:color w:val="000000"/>
                <w:kern w:val="0"/>
                <w:sz w:val="20"/>
                <w:szCs w:val="20"/>
                <w:u w:val="none"/>
              </w:rPr>
              <w:t>制作数量</w:t>
            </w:r>
          </w:p>
        </w:tc>
        <w:tc>
          <w:tcPr>
            <w:tcW w:w="126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本年新</w:t>
            </w:r>
            <w:r>
              <w:rPr>
                <w:rFonts w:ascii="Times New Roman" w:hAnsi="Times New Roman" w:cs="Times New Roman"/>
                <w:color w:val="000000"/>
                <w:kern w:val="0"/>
                <w:sz w:val="20"/>
                <w:szCs w:val="20"/>
                <w:u w:val="none"/>
              </w:rPr>
              <w:br/>
            </w:r>
            <w:r>
              <w:rPr>
                <w:rFonts w:ascii="Times New Roman" w:hAnsi="宋体" w:cs="Times New Roman"/>
                <w:color w:val="000000"/>
                <w:kern w:val="0"/>
                <w:sz w:val="20"/>
                <w:szCs w:val="20"/>
                <w:u w:val="none"/>
              </w:rPr>
              <w:t>公开数量</w:t>
            </w:r>
          </w:p>
        </w:tc>
        <w:tc>
          <w:tcPr>
            <w:tcW w:w="1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2" w:hRule="atLeast"/>
          <w:jc w:val="center"/>
        </w:trPr>
        <w:tc>
          <w:tcPr>
            <w:tcW w:w="31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规章</w:t>
            </w:r>
          </w:p>
        </w:tc>
        <w:tc>
          <w:tcPr>
            <w:tcW w:w="1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c>
          <w:tcPr>
            <w:tcW w:w="126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cs="Times New Roman"/>
                <w:color w:val="000000"/>
                <w:kern w:val="0"/>
                <w:sz w:val="20"/>
                <w:szCs w:val="20"/>
                <w:u w:val="none"/>
                <w:lang w:val="en-US" w:eastAsia="zh-CN"/>
              </w:rPr>
              <w:t>0</w:t>
            </w:r>
          </w:p>
        </w:tc>
        <w:tc>
          <w:tcPr>
            <w:tcW w:w="1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31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规范性文件</w:t>
            </w:r>
          </w:p>
        </w:tc>
        <w:tc>
          <w:tcPr>
            <w:tcW w:w="1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c>
          <w:tcPr>
            <w:tcW w:w="126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cs="Times New Roman"/>
                <w:color w:val="000000"/>
                <w:kern w:val="0"/>
                <w:sz w:val="20"/>
                <w:szCs w:val="20"/>
                <w:u w:val="none"/>
                <w:lang w:val="en-US" w:eastAsia="zh-CN"/>
              </w:rPr>
              <w:t>0</w:t>
            </w:r>
          </w:p>
        </w:tc>
        <w:tc>
          <w:tcPr>
            <w:tcW w:w="1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jc w:val="center"/>
        </w:trPr>
        <w:tc>
          <w:tcPr>
            <w:tcW w:w="8126"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3" w:hRule="atLeast"/>
          <w:jc w:val="center"/>
        </w:trPr>
        <w:tc>
          <w:tcPr>
            <w:tcW w:w="31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信息内容</w:t>
            </w:r>
          </w:p>
        </w:tc>
        <w:tc>
          <w:tcPr>
            <w:tcW w:w="1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上一年项目数量</w:t>
            </w:r>
          </w:p>
        </w:tc>
        <w:tc>
          <w:tcPr>
            <w:tcW w:w="126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本年增</w:t>
            </w:r>
            <w:r>
              <w:rPr>
                <w:rFonts w:ascii="Times New Roman" w:hAnsi="Times New Roman" w:cs="Times New Roman"/>
                <w:color w:val="000000"/>
                <w:kern w:val="0"/>
                <w:sz w:val="20"/>
                <w:szCs w:val="20"/>
                <w:u w:val="none"/>
              </w:rPr>
              <w:t>/</w:t>
            </w:r>
            <w:r>
              <w:rPr>
                <w:rFonts w:hint="eastAsia" w:ascii="Times New Roman" w:hAnsi="宋体" w:cs="Times New Roman"/>
                <w:color w:val="000000"/>
                <w:kern w:val="0"/>
                <w:sz w:val="20"/>
                <w:szCs w:val="20"/>
                <w:u w:val="none"/>
              </w:rPr>
              <w:t>减</w:t>
            </w:r>
          </w:p>
        </w:tc>
        <w:tc>
          <w:tcPr>
            <w:tcW w:w="1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jc w:val="center"/>
        </w:trPr>
        <w:tc>
          <w:tcPr>
            <w:tcW w:w="31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行政许可</w:t>
            </w:r>
          </w:p>
        </w:tc>
        <w:tc>
          <w:tcPr>
            <w:tcW w:w="1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1</w:t>
            </w:r>
          </w:p>
        </w:tc>
        <w:tc>
          <w:tcPr>
            <w:tcW w:w="12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c>
          <w:tcPr>
            <w:tcW w:w="1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7" w:hRule="atLeast"/>
          <w:jc w:val="center"/>
        </w:trPr>
        <w:tc>
          <w:tcPr>
            <w:tcW w:w="31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其他对外管理服务事项</w:t>
            </w:r>
          </w:p>
        </w:tc>
        <w:tc>
          <w:tcPr>
            <w:tcW w:w="1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c>
          <w:tcPr>
            <w:tcW w:w="12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c>
          <w:tcPr>
            <w:tcW w:w="1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jc w:val="center"/>
        </w:trPr>
        <w:tc>
          <w:tcPr>
            <w:tcW w:w="8126"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3" w:hRule="atLeast"/>
          <w:jc w:val="center"/>
        </w:trPr>
        <w:tc>
          <w:tcPr>
            <w:tcW w:w="31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信息内容</w:t>
            </w:r>
          </w:p>
        </w:tc>
        <w:tc>
          <w:tcPr>
            <w:tcW w:w="1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上一年项目数量</w:t>
            </w:r>
          </w:p>
        </w:tc>
        <w:tc>
          <w:tcPr>
            <w:tcW w:w="126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本年增</w:t>
            </w:r>
            <w:r>
              <w:rPr>
                <w:rFonts w:ascii="Times New Roman" w:hAnsi="Times New Roman" w:cs="Times New Roman"/>
                <w:color w:val="000000"/>
                <w:kern w:val="0"/>
                <w:sz w:val="20"/>
                <w:szCs w:val="20"/>
                <w:u w:val="none"/>
              </w:rPr>
              <w:t>/</w:t>
            </w:r>
            <w:r>
              <w:rPr>
                <w:rFonts w:hint="eastAsia" w:ascii="Times New Roman" w:hAnsi="宋体" w:cs="Times New Roman"/>
                <w:color w:val="000000"/>
                <w:kern w:val="0"/>
                <w:sz w:val="20"/>
                <w:szCs w:val="20"/>
                <w:u w:val="none"/>
              </w:rPr>
              <w:t>减</w:t>
            </w:r>
          </w:p>
        </w:tc>
        <w:tc>
          <w:tcPr>
            <w:tcW w:w="1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8" w:hRule="atLeast"/>
          <w:jc w:val="center"/>
        </w:trPr>
        <w:tc>
          <w:tcPr>
            <w:tcW w:w="31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行政处罚</w:t>
            </w:r>
          </w:p>
        </w:tc>
        <w:tc>
          <w:tcPr>
            <w:tcW w:w="1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c>
          <w:tcPr>
            <w:tcW w:w="12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c>
          <w:tcPr>
            <w:tcW w:w="1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31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行政强制</w:t>
            </w:r>
          </w:p>
        </w:tc>
        <w:tc>
          <w:tcPr>
            <w:tcW w:w="1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c>
          <w:tcPr>
            <w:tcW w:w="12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c>
          <w:tcPr>
            <w:tcW w:w="1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8" w:hRule="atLeast"/>
          <w:jc w:val="center"/>
        </w:trPr>
        <w:tc>
          <w:tcPr>
            <w:tcW w:w="8126"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4" w:hRule="atLeast"/>
          <w:jc w:val="center"/>
        </w:trPr>
        <w:tc>
          <w:tcPr>
            <w:tcW w:w="31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信息内容</w:t>
            </w:r>
          </w:p>
        </w:tc>
        <w:tc>
          <w:tcPr>
            <w:tcW w:w="1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上一年项目数量</w:t>
            </w:r>
          </w:p>
        </w:tc>
        <w:tc>
          <w:tcPr>
            <w:tcW w:w="3141"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本年增</w:t>
            </w:r>
            <w:r>
              <w:rPr>
                <w:rFonts w:ascii="Times New Roman" w:hAnsi="Times New Roman" w:cs="Times New Roman"/>
                <w:color w:val="000000"/>
                <w:kern w:val="0"/>
                <w:sz w:val="20"/>
                <w:szCs w:val="20"/>
                <w:u w:val="none"/>
              </w:rPr>
              <w:t>/</w:t>
            </w:r>
            <w:r>
              <w:rPr>
                <w:rFonts w:hint="eastAsia" w:ascii="Times New Roman" w:hAnsi="宋体" w:cs="Times New Roman"/>
                <w:color w:val="000000"/>
                <w:kern w:val="0"/>
                <w:sz w:val="20"/>
                <w:szCs w:val="20"/>
                <w:u w:val="none"/>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8" w:hRule="atLeast"/>
          <w:jc w:val="center"/>
        </w:trPr>
        <w:tc>
          <w:tcPr>
            <w:tcW w:w="31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行政事业性收费</w:t>
            </w:r>
          </w:p>
        </w:tc>
        <w:tc>
          <w:tcPr>
            <w:tcW w:w="1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c>
          <w:tcPr>
            <w:tcW w:w="3141"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Times New Roman" w:cs="Times New Roman"/>
                <w:color w:val="000000"/>
                <w:kern w:val="0"/>
                <w:sz w:val="20"/>
                <w:szCs w:val="20"/>
                <w:u w:val="none"/>
              </w:rPr>
              <w:t> </w:t>
            </w: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jc w:val="center"/>
        </w:trPr>
        <w:tc>
          <w:tcPr>
            <w:tcW w:w="8126"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8" w:hRule="atLeast"/>
          <w:jc w:val="center"/>
        </w:trPr>
        <w:tc>
          <w:tcPr>
            <w:tcW w:w="31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信息内容</w:t>
            </w:r>
          </w:p>
        </w:tc>
        <w:tc>
          <w:tcPr>
            <w:tcW w:w="1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采购项目数量</w:t>
            </w:r>
          </w:p>
        </w:tc>
        <w:tc>
          <w:tcPr>
            <w:tcW w:w="3141"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7" w:hRule="atLeast"/>
          <w:jc w:val="center"/>
        </w:trPr>
        <w:tc>
          <w:tcPr>
            <w:tcW w:w="31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left"/>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政府集中采购</w:t>
            </w:r>
          </w:p>
        </w:tc>
        <w:tc>
          <w:tcPr>
            <w:tcW w:w="1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exact"/>
              <w:jc w:val="center"/>
              <w:rPr>
                <w:rFonts w:ascii="Times New Roman" w:hAnsi="Times New Roman" w:cs="Times New Roman"/>
                <w:color w:val="000000"/>
                <w:kern w:val="0"/>
                <w:sz w:val="24"/>
              </w:rPr>
            </w:pPr>
            <w:r>
              <w:rPr>
                <w:rFonts w:hint="eastAsia" w:hAnsi="宋体" w:cs="Times New Roman"/>
                <w:color w:val="000000"/>
                <w:kern w:val="0"/>
                <w:sz w:val="20"/>
                <w:szCs w:val="20"/>
                <w:u w:val="none"/>
                <w:lang w:val="en-US" w:eastAsia="zh-CN"/>
              </w:rPr>
              <w:t>0</w:t>
            </w:r>
          </w:p>
        </w:tc>
        <w:tc>
          <w:tcPr>
            <w:tcW w:w="3141"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spacing w:line="240" w:lineRule="exact"/>
              <w:jc w:val="center"/>
              <w:rPr>
                <w:rFonts w:hint="eastAsia" w:ascii="Times New Roman" w:hAnsi="Times New Roman" w:eastAsia="宋体" w:cs="Times New Roman"/>
                <w:color w:val="000000"/>
                <w:kern w:val="0"/>
                <w:sz w:val="24"/>
                <w:lang w:val="en-US" w:eastAsia="zh-CN"/>
              </w:rPr>
            </w:pPr>
            <w:r>
              <w:rPr>
                <w:rFonts w:hint="eastAsia" w:cs="Times New Roman"/>
                <w:color w:val="000000"/>
                <w:kern w:val="0"/>
                <w:sz w:val="20"/>
                <w:szCs w:val="20"/>
                <w:lang w:val="en-US" w:eastAsia="zh-CN"/>
              </w:rPr>
              <w:t>0元</w:t>
            </w:r>
            <w:bookmarkStart w:id="3" w:name="_GoBack"/>
            <w:bookmarkEnd w:id="3"/>
          </w:p>
        </w:tc>
      </w:tr>
    </w:tbl>
    <w:p>
      <w:pPr>
        <w:widowControl/>
        <w:shd w:val="clear" w:color="auto" w:fill="FFFFFF"/>
        <w:rPr>
          <w:rFonts w:hint="eastAsia"/>
          <w:color w:val="000000"/>
          <w:kern w:val="0"/>
          <w:sz w:val="24"/>
        </w:rPr>
      </w:pPr>
      <w:r>
        <w:rPr>
          <w:rFonts w:hint="eastAsia"/>
          <w:color w:val="000000"/>
          <w:kern w:val="0"/>
          <w:sz w:val="24"/>
        </w:rPr>
        <w:t xml:space="preserve"> </w:t>
      </w:r>
    </w:p>
    <w:p>
      <w:pPr>
        <w:widowControl/>
        <w:shd w:val="clear" w:color="auto" w:fill="FFFFFF"/>
        <w:rPr>
          <w:rFonts w:hint="eastAsia"/>
          <w:color w:val="000000"/>
          <w:kern w:val="0"/>
          <w:sz w:val="24"/>
        </w:rPr>
      </w:pPr>
    </w:p>
    <w:p>
      <w:pPr>
        <w:widowControl/>
        <w:shd w:val="clear" w:color="auto" w:fill="FFFFFF"/>
        <w:rPr>
          <w:rFonts w:hint="eastAsia"/>
          <w:color w:val="000000"/>
          <w:kern w:val="0"/>
          <w:sz w:val="24"/>
        </w:rPr>
      </w:pPr>
    </w:p>
    <w:p>
      <w:pPr>
        <w:widowControl/>
        <w:shd w:val="clear" w:color="auto" w:fill="FFFFFF"/>
        <w:rPr>
          <w:rFonts w:hint="eastAsia"/>
          <w:color w:val="000000"/>
          <w:kern w:val="0"/>
          <w:sz w:val="24"/>
        </w:rPr>
      </w:pPr>
    </w:p>
    <w:p>
      <w:pPr>
        <w:widowControl/>
        <w:shd w:val="clear" w:color="auto" w:fill="FFFFFF"/>
        <w:rPr>
          <w:rFonts w:hint="eastAsia"/>
          <w:color w:val="000000"/>
          <w:kern w:val="0"/>
          <w:sz w:val="24"/>
        </w:rPr>
      </w:pPr>
    </w:p>
    <w:p>
      <w:pPr>
        <w:widowControl/>
        <w:shd w:val="clear" w:color="auto" w:fill="FFFFFF"/>
        <w:rPr>
          <w:rFonts w:hint="eastAsia"/>
          <w:color w:val="000000"/>
          <w:kern w:val="0"/>
          <w:sz w:val="24"/>
        </w:rPr>
      </w:pPr>
    </w:p>
    <w:p>
      <w:pPr>
        <w:widowControl/>
        <w:shd w:val="clear" w:color="auto" w:fill="FFFFFF"/>
        <w:rPr>
          <w:rFonts w:hint="eastAsia"/>
          <w:color w:val="000000"/>
          <w:kern w:val="0"/>
          <w:sz w:val="24"/>
        </w:rPr>
      </w:pPr>
    </w:p>
    <w:p>
      <w:pPr>
        <w:widowControl/>
        <w:shd w:val="clear" w:color="auto" w:fill="FFFFFF"/>
        <w:rPr>
          <w:rFonts w:hint="eastAsia"/>
          <w:color w:val="000000"/>
          <w:kern w:val="0"/>
          <w:sz w:val="24"/>
        </w:rPr>
      </w:pPr>
    </w:p>
    <w:p>
      <w:pPr>
        <w:widowControl/>
        <w:shd w:val="clear" w:color="auto" w:fill="FFFFFF"/>
        <w:rPr>
          <w:rFonts w:hint="eastAsia"/>
          <w:color w:val="000000"/>
          <w:kern w:val="0"/>
          <w:sz w:val="24"/>
        </w:rPr>
      </w:pPr>
    </w:p>
    <w:p>
      <w:pPr>
        <w:widowControl/>
        <w:shd w:val="clear" w:color="auto" w:fill="FFFFFF"/>
        <w:rPr>
          <w:rFonts w:hint="eastAsia"/>
          <w:color w:val="000000"/>
          <w:kern w:val="0"/>
          <w:sz w:val="24"/>
        </w:rPr>
      </w:pPr>
    </w:p>
    <w:p>
      <w:pPr>
        <w:widowControl/>
        <w:shd w:val="clear" w:color="auto" w:fill="FFFFFF"/>
        <w:rPr>
          <w:rFonts w:hint="eastAsia"/>
          <w:color w:val="000000"/>
          <w:kern w:val="0"/>
          <w:sz w:val="24"/>
        </w:rPr>
      </w:pPr>
    </w:p>
    <w:p>
      <w:pPr>
        <w:widowControl/>
        <w:shd w:val="clear" w:color="auto" w:fill="FFFFFF"/>
        <w:rPr>
          <w:rFonts w:ascii="Times New Roman" w:hAnsi="Times New Roman" w:eastAsia="黑体" w:cs="Times New Roman"/>
          <w:b/>
          <w:bCs/>
          <w:color w:val="000000"/>
          <w:kern w:val="0"/>
          <w:sz w:val="32"/>
          <w:szCs w:val="32"/>
        </w:rPr>
      </w:pPr>
      <w:r>
        <w:rPr>
          <w:rFonts w:hint="eastAsia"/>
          <w:color w:val="000000"/>
          <w:kern w:val="0"/>
          <w:sz w:val="24"/>
        </w:rPr>
        <w:t xml:space="preserve">   </w:t>
      </w:r>
      <w:r>
        <w:rPr>
          <w:rFonts w:hint="eastAsia" w:ascii="Times New Roman" w:hAnsi="黑体" w:eastAsia="黑体" w:cs="Times New Roman"/>
          <w:b w:val="0"/>
          <w:bCs w:val="0"/>
          <w:color w:val="000000"/>
          <w:kern w:val="0"/>
          <w:sz w:val="32"/>
          <w:szCs w:val="32"/>
          <w:u w:val="none"/>
        </w:rPr>
        <w:t>三、收到和处理政府信息公开申请情况</w:t>
      </w:r>
    </w:p>
    <w:tbl>
      <w:tblPr>
        <w:tblStyle w:val="7"/>
        <w:tblW w:w="93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7"/>
        <w:gridCol w:w="854"/>
        <w:gridCol w:w="2086"/>
        <w:gridCol w:w="813"/>
        <w:gridCol w:w="755"/>
        <w:gridCol w:w="755"/>
        <w:gridCol w:w="1024"/>
        <w:gridCol w:w="1037"/>
        <w:gridCol w:w="659"/>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（本列数据的勾稽关系为：第一项加第二项之和，等于第三项加第四项之和）</w:t>
            </w:r>
          </w:p>
        </w:tc>
        <w:tc>
          <w:tcPr>
            <w:tcW w:w="578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1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自然人</w:t>
            </w:r>
          </w:p>
        </w:tc>
        <w:tc>
          <w:tcPr>
            <w:tcW w:w="423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法人或其他组织</w:t>
            </w:r>
          </w:p>
        </w:tc>
        <w:tc>
          <w:tcPr>
            <w:tcW w:w="74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13"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科研机构</w:t>
            </w:r>
          </w:p>
        </w:tc>
        <w:tc>
          <w:tcPr>
            <w:tcW w:w="10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社会公益组织</w:t>
            </w:r>
          </w:p>
        </w:tc>
        <w:tc>
          <w:tcPr>
            <w:tcW w:w="10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法律服务机构</w:t>
            </w:r>
          </w:p>
        </w:tc>
        <w:tc>
          <w:tcPr>
            <w:tcW w:w="6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其他</w:t>
            </w:r>
          </w:p>
        </w:tc>
        <w:tc>
          <w:tcPr>
            <w:tcW w:w="746" w:type="dxa"/>
            <w:vMerge w:val="continue"/>
            <w:tcBorders>
              <w:top w:val="single" w:color="auto" w:sz="8" w:space="0"/>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一、本年新收政府信息公开申请数量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二、上年结转政府信息公开申请数量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hint="eastAsia" w:ascii="Times New Roman" w:hAnsi="楷体" w:eastAsia="楷体" w:cs="Times New Roman"/>
                <w:color w:val="000000"/>
                <w:kern w:val="0"/>
                <w:sz w:val="20"/>
                <w:szCs w:val="20"/>
                <w:u w:val="none"/>
              </w:rPr>
              <w:t>（一）予以公开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eastAsia="zh-CN"/>
              </w:rPr>
              <w:t>0</w:t>
            </w:r>
          </w:p>
        </w:tc>
        <w:tc>
          <w:tcPr>
            <w:tcW w:w="7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hint="eastAsia" w:ascii="Times New Roman" w:hAnsi="楷体" w:eastAsia="楷体" w:cs="Times New Roman"/>
                <w:color w:val="000000"/>
                <w:kern w:val="0"/>
                <w:sz w:val="20"/>
                <w:szCs w:val="20"/>
                <w:u w:val="none"/>
              </w:rPr>
              <w:t>（二）部分公开（区分处理的，只计这一情形，不计其他情形）</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hint="eastAsia" w:ascii="Times New Roman" w:hAnsi="楷体" w:eastAsia="楷体" w:cs="Times New Roman"/>
                <w:color w:val="000000"/>
                <w:kern w:val="0"/>
                <w:sz w:val="20"/>
                <w:szCs w:val="20"/>
                <w:u w:val="none"/>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1.</w:t>
            </w:r>
            <w:r>
              <w:rPr>
                <w:rFonts w:hint="eastAsia" w:ascii="Times New Roman" w:hAnsi="楷体" w:eastAsia="楷体" w:cs="Times New Roman"/>
                <w:color w:val="000000"/>
                <w:kern w:val="0"/>
                <w:sz w:val="20"/>
                <w:szCs w:val="20"/>
                <w:u w:val="none"/>
              </w:rPr>
              <w:t>属于国家秘密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2.</w:t>
            </w:r>
            <w:r>
              <w:rPr>
                <w:rFonts w:hint="eastAsia" w:ascii="Times New Roman" w:hAnsi="楷体" w:eastAsia="楷体" w:cs="Times New Roman"/>
                <w:color w:val="000000"/>
                <w:kern w:val="0"/>
                <w:sz w:val="20"/>
                <w:szCs w:val="20"/>
                <w:u w:val="none"/>
              </w:rPr>
              <w:t>其他法律行政法规禁止公开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3.</w:t>
            </w:r>
            <w:r>
              <w:rPr>
                <w:rFonts w:hint="eastAsia" w:ascii="Times New Roman" w:hAnsi="楷体" w:eastAsia="楷体" w:cs="Times New Roman"/>
                <w:color w:val="000000"/>
                <w:kern w:val="0"/>
                <w:sz w:val="20"/>
                <w:szCs w:val="20"/>
                <w:u w:val="none"/>
              </w:rPr>
              <w:t>危及</w:t>
            </w:r>
            <w:r>
              <w:rPr>
                <w:rFonts w:hint="eastAsia" w:ascii="Times New Roman" w:hAnsi="Times New Roman" w:eastAsia="楷体" w:cs="Times New Roman"/>
                <w:color w:val="000000"/>
                <w:kern w:val="0"/>
                <w:sz w:val="20"/>
                <w:szCs w:val="20"/>
                <w:u w:val="none"/>
              </w:rPr>
              <w:t>“</w:t>
            </w:r>
            <w:r>
              <w:rPr>
                <w:rFonts w:hint="eastAsia" w:ascii="Times New Roman" w:hAnsi="楷体" w:eastAsia="楷体" w:cs="Times New Roman"/>
                <w:color w:val="000000"/>
                <w:kern w:val="0"/>
                <w:sz w:val="20"/>
                <w:szCs w:val="20"/>
                <w:u w:val="none"/>
              </w:rPr>
              <w:t>三安全一稳定</w:t>
            </w:r>
            <w:r>
              <w:rPr>
                <w:rFonts w:hint="eastAsia" w:ascii="Times New Roman" w:hAnsi="Times New Roman" w:eastAsia="楷体" w:cs="Times New Roman"/>
                <w:color w:val="000000"/>
                <w:kern w:val="0"/>
                <w:sz w:val="20"/>
                <w:szCs w:val="20"/>
                <w:u w:val="none"/>
              </w:rPr>
              <w:t>”</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4.</w:t>
            </w:r>
            <w:r>
              <w:rPr>
                <w:rFonts w:hint="eastAsia" w:ascii="Times New Roman" w:hAnsi="楷体" w:eastAsia="楷体" w:cs="Times New Roman"/>
                <w:color w:val="000000"/>
                <w:kern w:val="0"/>
                <w:sz w:val="20"/>
                <w:szCs w:val="20"/>
                <w:u w:val="none"/>
              </w:rPr>
              <w:t>保护第三方合法权益</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5.</w:t>
            </w:r>
            <w:r>
              <w:rPr>
                <w:rFonts w:hint="eastAsia" w:ascii="Times New Roman" w:hAnsi="楷体" w:eastAsia="楷体" w:cs="Times New Roman"/>
                <w:color w:val="000000"/>
                <w:kern w:val="0"/>
                <w:sz w:val="20"/>
                <w:szCs w:val="20"/>
                <w:u w:val="none"/>
              </w:rPr>
              <w:t>属于三类内部事务信息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6.</w:t>
            </w:r>
            <w:r>
              <w:rPr>
                <w:rFonts w:hint="eastAsia" w:ascii="Times New Roman" w:hAnsi="楷体" w:eastAsia="楷体" w:cs="Times New Roman"/>
                <w:color w:val="000000"/>
                <w:kern w:val="0"/>
                <w:sz w:val="20"/>
                <w:szCs w:val="20"/>
                <w:u w:val="none"/>
              </w:rPr>
              <w:t>属于四类过程性信息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7.</w:t>
            </w:r>
            <w:r>
              <w:rPr>
                <w:rFonts w:hint="eastAsia" w:ascii="Times New Roman" w:hAnsi="楷体" w:eastAsia="楷体" w:cs="Times New Roman"/>
                <w:color w:val="000000"/>
                <w:kern w:val="0"/>
                <w:sz w:val="20"/>
                <w:szCs w:val="20"/>
                <w:u w:val="none"/>
              </w:rPr>
              <w:t>属于行政执法案卷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8.</w:t>
            </w:r>
            <w:r>
              <w:rPr>
                <w:rFonts w:hint="eastAsia" w:ascii="Times New Roman" w:hAnsi="楷体" w:eastAsia="楷体" w:cs="Times New Roman"/>
                <w:color w:val="000000"/>
                <w:kern w:val="0"/>
                <w:sz w:val="20"/>
                <w:szCs w:val="20"/>
                <w:u w:val="none"/>
              </w:rPr>
              <w:t>属于行政查询事项</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hint="eastAsia" w:ascii="Times New Roman" w:hAnsi="楷体" w:eastAsia="楷体" w:cs="Times New Roman"/>
                <w:color w:val="000000"/>
                <w:kern w:val="0"/>
                <w:sz w:val="20"/>
                <w:szCs w:val="20"/>
                <w:u w:val="none"/>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1.</w:t>
            </w:r>
            <w:r>
              <w:rPr>
                <w:rFonts w:hint="eastAsia" w:ascii="Times New Roman" w:hAnsi="楷体" w:eastAsia="楷体" w:cs="Times New Roman"/>
                <w:color w:val="000000"/>
                <w:kern w:val="0"/>
                <w:sz w:val="20"/>
                <w:szCs w:val="20"/>
                <w:u w:val="none"/>
              </w:rPr>
              <w:t>本机关不掌握相关政府信息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2.</w:t>
            </w:r>
            <w:r>
              <w:rPr>
                <w:rFonts w:hint="eastAsia" w:ascii="Times New Roman" w:hAnsi="楷体" w:eastAsia="楷体" w:cs="Times New Roman"/>
                <w:color w:val="000000"/>
                <w:kern w:val="0"/>
                <w:sz w:val="20"/>
                <w:szCs w:val="20"/>
                <w:u w:val="none"/>
              </w:rPr>
              <w:t>没有现成信息需要另行制作</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3.</w:t>
            </w:r>
            <w:r>
              <w:rPr>
                <w:rFonts w:hint="eastAsia" w:ascii="Times New Roman" w:hAnsi="楷体" w:eastAsia="楷体" w:cs="Times New Roman"/>
                <w:color w:val="000000"/>
                <w:kern w:val="0"/>
                <w:sz w:val="20"/>
                <w:szCs w:val="20"/>
                <w:u w:val="none"/>
              </w:rPr>
              <w:t>补正后申请内容仍不明确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hint="eastAsia" w:ascii="Times New Roman" w:hAnsi="楷体" w:eastAsia="楷体" w:cs="Times New Roman"/>
                <w:color w:val="000000"/>
                <w:kern w:val="0"/>
                <w:sz w:val="20"/>
                <w:szCs w:val="20"/>
                <w:u w:val="none"/>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1.</w:t>
            </w:r>
            <w:r>
              <w:rPr>
                <w:rFonts w:hint="eastAsia" w:ascii="Times New Roman" w:hAnsi="楷体" w:eastAsia="楷体" w:cs="Times New Roman"/>
                <w:color w:val="000000"/>
                <w:kern w:val="0"/>
                <w:sz w:val="20"/>
                <w:szCs w:val="20"/>
                <w:u w:val="none"/>
              </w:rPr>
              <w:t>信访举报投诉类申请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2.</w:t>
            </w:r>
            <w:r>
              <w:rPr>
                <w:rFonts w:hint="eastAsia" w:ascii="Times New Roman" w:hAnsi="楷体" w:eastAsia="楷体" w:cs="Times New Roman"/>
                <w:color w:val="000000"/>
                <w:kern w:val="0"/>
                <w:sz w:val="20"/>
                <w:szCs w:val="20"/>
                <w:u w:val="none"/>
              </w:rPr>
              <w:t>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3.</w:t>
            </w:r>
            <w:r>
              <w:rPr>
                <w:rFonts w:hint="eastAsia" w:ascii="Times New Roman" w:hAnsi="楷体" w:eastAsia="楷体" w:cs="Times New Roman"/>
                <w:color w:val="000000"/>
                <w:kern w:val="0"/>
                <w:sz w:val="20"/>
                <w:szCs w:val="20"/>
                <w:u w:val="none"/>
              </w:rPr>
              <w:t>要求提供公开出版物</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4.</w:t>
            </w:r>
            <w:r>
              <w:rPr>
                <w:rFonts w:hint="eastAsia" w:ascii="Times New Roman" w:hAnsi="楷体" w:eastAsia="楷体" w:cs="Times New Roman"/>
                <w:color w:val="000000"/>
                <w:kern w:val="0"/>
                <w:sz w:val="20"/>
                <w:szCs w:val="20"/>
                <w:u w:val="none"/>
              </w:rPr>
              <w:t>无正当理由大量反复申请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854" w:type="dxa"/>
            <w:vMerge w:val="continue"/>
            <w:tcBorders>
              <w:top w:val="nil"/>
              <w:left w:val="nil"/>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ascii="Times New Roman" w:hAnsi="Times New Roman" w:eastAsia="楷体" w:cs="Times New Roman"/>
                <w:color w:val="000000"/>
                <w:kern w:val="0"/>
                <w:sz w:val="20"/>
                <w:szCs w:val="20"/>
                <w:u w:val="none"/>
              </w:rPr>
              <w:t>5.</w:t>
            </w:r>
            <w:r>
              <w:rPr>
                <w:rFonts w:hint="eastAsia" w:ascii="Times New Roman" w:hAnsi="楷体" w:eastAsia="楷体" w:cs="Times New Roman"/>
                <w:color w:val="000000"/>
                <w:kern w:val="0"/>
                <w:sz w:val="20"/>
                <w:szCs w:val="20"/>
                <w:u w:val="none"/>
              </w:rPr>
              <w:t>要求行政机关确认或重新出具已获取信息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hint="eastAsia" w:ascii="Times New Roman" w:hAnsi="楷体" w:eastAsia="楷体" w:cs="Times New Roman"/>
                <w:color w:val="000000"/>
                <w:kern w:val="0"/>
                <w:sz w:val="20"/>
                <w:szCs w:val="20"/>
                <w:u w:val="none"/>
              </w:rPr>
              <w:t>（六）其他处理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pacing w:before="0" w:after="0" w:line="280" w:lineRule="exact"/>
              <w:jc w:val="left"/>
              <w:rPr>
                <w:rFonts w:ascii="Times New Roman" w:hAnsi="Times New Roman" w:cs="Times New Roman"/>
                <w:b w:val="0"/>
                <w:bCs w:val="0"/>
                <w:color w:val="000000"/>
                <w:kern w:val="0"/>
                <w:sz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hint="eastAsia" w:ascii="Times New Roman" w:hAnsi="楷体" w:eastAsia="楷体" w:cs="Times New Roman"/>
                <w:color w:val="000000"/>
                <w:kern w:val="0"/>
                <w:sz w:val="20"/>
                <w:szCs w:val="20"/>
                <w:u w:val="none"/>
              </w:rPr>
              <w:t>（七）总计</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rPr>
            </w:pPr>
            <w:r>
              <w:rPr>
                <w:rFonts w:hint="eastAsia" w:cs="Times New Roman"/>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四、结转下年度继续办理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lang w:val="en-US"/>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lang w:val="en-US"/>
              </w:rPr>
            </w:pPr>
            <w:r>
              <w:rPr>
                <w:rFonts w:hint="eastAsia" w:cs="Times New Roman"/>
                <w:color w:val="000000"/>
                <w:kern w:val="0"/>
                <w:sz w:val="20"/>
                <w:szCs w:val="20"/>
                <w:u w:val="none"/>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lang w:val="en-US"/>
              </w:rPr>
            </w:pPr>
            <w:r>
              <w:rPr>
                <w:rFonts w:hint="eastAsia" w:cs="Times New Roman"/>
                <w:color w:val="000000"/>
                <w:kern w:val="0"/>
                <w:sz w:val="20"/>
                <w:szCs w:val="20"/>
                <w:u w:val="none"/>
                <w:lang w:val="en-US" w:eastAsia="zh-CN"/>
              </w:rPr>
              <w:t>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lang w:val="en-US"/>
              </w:rPr>
            </w:pPr>
            <w:r>
              <w:rPr>
                <w:rFonts w:hint="eastAsia" w:cs="Times New Roman"/>
                <w:color w:val="000000"/>
                <w:kern w:val="0"/>
                <w:sz w:val="20"/>
                <w:szCs w:val="20"/>
                <w:u w:val="none"/>
                <w:lang w:val="en-US" w:eastAsia="zh-CN"/>
              </w:rPr>
              <w:t>0</w:t>
            </w:r>
          </w:p>
        </w:tc>
        <w:tc>
          <w:tcPr>
            <w:tcW w:w="10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lang w:val="en-US"/>
              </w:rPr>
            </w:pPr>
            <w:r>
              <w:rPr>
                <w:rFonts w:hint="eastAsia" w:cs="Times New Roman"/>
                <w:color w:val="000000"/>
                <w:kern w:val="0"/>
                <w:sz w:val="20"/>
                <w:szCs w:val="20"/>
                <w:u w:val="none"/>
                <w:lang w:val="en-US" w:eastAsia="zh-CN"/>
              </w:rPr>
              <w:t>0</w:t>
            </w:r>
          </w:p>
        </w:tc>
        <w:tc>
          <w:tcPr>
            <w:tcW w:w="6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color w:val="000000"/>
                <w:kern w:val="0"/>
                <w:sz w:val="20"/>
                <w:szCs w:val="20"/>
                <w:lang w:val="en-US"/>
              </w:rPr>
            </w:pPr>
            <w:r>
              <w:rPr>
                <w:rFonts w:hint="eastAsia" w:cs="Times New Roman"/>
                <w:color w:val="000000"/>
                <w:kern w:val="0"/>
                <w:sz w:val="20"/>
                <w:szCs w:val="20"/>
                <w:u w:val="none"/>
                <w:lang w:val="en-US" w:eastAsia="zh-CN"/>
              </w:rPr>
              <w:t>0</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Times New Roman" w:hAnsi="Times New Roman" w:cs="Times New Roman"/>
                <w:b w:val="0"/>
                <w:bCs w:val="0"/>
                <w:color w:val="000000"/>
                <w:kern w:val="0"/>
                <w:sz w:val="20"/>
                <w:szCs w:val="20"/>
                <w:lang w:val="en-US"/>
              </w:rPr>
            </w:pPr>
            <w:r>
              <w:rPr>
                <w:rFonts w:hint="eastAsia" w:cs="Times New Roman"/>
                <w:color w:val="000000"/>
                <w:kern w:val="0"/>
                <w:sz w:val="20"/>
                <w:szCs w:val="20"/>
                <w:u w:val="none"/>
                <w:lang w:val="en-US" w:eastAsia="zh-CN"/>
              </w:rPr>
              <w:t>0</w:t>
            </w:r>
          </w:p>
        </w:tc>
      </w:tr>
    </w:tbl>
    <w:p>
      <w:pPr>
        <w:spacing w:line="580" w:lineRule="exact"/>
        <w:ind w:firstLine="630" w:firstLineChars="196"/>
        <w:rPr>
          <w:rFonts w:ascii="Times New Roman" w:hAnsi="Times New Roman" w:eastAsia="黑体"/>
          <w:b w:val="0"/>
          <w:bCs/>
          <w:color w:val="000000"/>
          <w:sz w:val="32"/>
          <w:szCs w:val="32"/>
        </w:rPr>
      </w:pPr>
      <w:r>
        <w:rPr>
          <w:rFonts w:hint="eastAsia" w:ascii="Times New Roman" w:hAnsi="黑体" w:eastAsia="黑体"/>
          <w:b w:val="0"/>
          <w:bCs/>
          <w:color w:val="000000"/>
          <w:sz w:val="32"/>
          <w:szCs w:val="32"/>
          <w:u w:val="none"/>
        </w:rPr>
        <w:t>四、政府信息公开行政复议、行政诉讼情况</w:t>
      </w:r>
    </w:p>
    <w:tbl>
      <w:tblPr>
        <w:tblStyle w:val="7"/>
        <w:tblW w:w="87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5"/>
        <w:gridCol w:w="575"/>
        <w:gridCol w:w="575"/>
        <w:gridCol w:w="575"/>
        <w:gridCol w:w="576"/>
        <w:gridCol w:w="594"/>
        <w:gridCol w:w="594"/>
        <w:gridCol w:w="594"/>
        <w:gridCol w:w="594"/>
        <w:gridCol w:w="594"/>
        <w:gridCol w:w="584"/>
        <w:gridCol w:w="584"/>
        <w:gridCol w:w="585"/>
        <w:gridCol w:w="584"/>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87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行政复议</w:t>
            </w:r>
          </w:p>
        </w:tc>
        <w:tc>
          <w:tcPr>
            <w:tcW w:w="5892"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结果维持</w:t>
            </w:r>
          </w:p>
        </w:tc>
        <w:tc>
          <w:tcPr>
            <w:tcW w:w="57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结果纠正</w:t>
            </w:r>
          </w:p>
        </w:tc>
        <w:tc>
          <w:tcPr>
            <w:tcW w:w="57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其他结果</w:t>
            </w:r>
          </w:p>
        </w:tc>
        <w:tc>
          <w:tcPr>
            <w:tcW w:w="57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尚未审结</w:t>
            </w:r>
          </w:p>
        </w:tc>
        <w:tc>
          <w:tcPr>
            <w:tcW w:w="57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未经复议直接起诉</w:t>
            </w:r>
          </w:p>
        </w:tc>
        <w:tc>
          <w:tcPr>
            <w:tcW w:w="292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5" w:type="dxa"/>
            <w:vMerge w:val="continue"/>
            <w:tcBorders>
              <w:top w:val="nil"/>
              <w:left w:val="single" w:color="auto" w:sz="8" w:space="0"/>
              <w:bottom w:val="single" w:color="auto" w:sz="8" w:space="0"/>
              <w:right w:val="single" w:color="auto" w:sz="8" w:space="0"/>
            </w:tcBorders>
            <w:vAlign w:val="center"/>
          </w:tcPr>
          <w:p>
            <w:pPr>
              <w:keepNext/>
              <w:keepLines/>
              <w:widowControl/>
              <w:spacing w:before="340" w:after="330" w:line="578" w:lineRule="auto"/>
              <w:jc w:val="left"/>
              <w:rPr>
                <w:rFonts w:ascii="Times New Roman" w:hAnsi="Times New Roman" w:cs="Times New Roman"/>
                <w:b w:val="0"/>
                <w:bCs w:val="0"/>
                <w:color w:val="000000"/>
                <w:kern w:val="0"/>
                <w:sz w:val="24"/>
              </w:rPr>
            </w:pPr>
          </w:p>
        </w:tc>
        <w:tc>
          <w:tcPr>
            <w:tcW w:w="575" w:type="dxa"/>
            <w:vMerge w:val="continue"/>
            <w:tcBorders>
              <w:top w:val="nil"/>
              <w:left w:val="nil"/>
              <w:bottom w:val="single" w:color="auto" w:sz="8" w:space="0"/>
              <w:right w:val="single" w:color="auto" w:sz="8" w:space="0"/>
            </w:tcBorders>
            <w:vAlign w:val="center"/>
          </w:tcPr>
          <w:p>
            <w:pPr>
              <w:keepNext/>
              <w:keepLines/>
              <w:widowControl/>
              <w:spacing w:before="340" w:after="330" w:line="578" w:lineRule="auto"/>
              <w:jc w:val="left"/>
              <w:rPr>
                <w:rFonts w:ascii="Times New Roman" w:hAnsi="Times New Roman" w:cs="Times New Roman"/>
                <w:b w:val="0"/>
                <w:bCs w:val="0"/>
                <w:color w:val="000000"/>
                <w:kern w:val="0"/>
                <w:sz w:val="24"/>
              </w:rPr>
            </w:pPr>
          </w:p>
        </w:tc>
        <w:tc>
          <w:tcPr>
            <w:tcW w:w="575" w:type="dxa"/>
            <w:vMerge w:val="continue"/>
            <w:tcBorders>
              <w:top w:val="single" w:color="auto" w:sz="8" w:space="0"/>
              <w:left w:val="nil"/>
              <w:bottom w:val="single" w:color="auto" w:sz="8" w:space="0"/>
              <w:right w:val="single" w:color="auto" w:sz="8" w:space="0"/>
            </w:tcBorders>
            <w:vAlign w:val="center"/>
          </w:tcPr>
          <w:p>
            <w:pPr>
              <w:keepNext/>
              <w:keepLines/>
              <w:widowControl/>
              <w:spacing w:before="340" w:after="330" w:line="578" w:lineRule="auto"/>
              <w:jc w:val="left"/>
              <w:rPr>
                <w:rFonts w:ascii="Times New Roman" w:hAnsi="Times New Roman" w:cs="Times New Roman"/>
                <w:b w:val="0"/>
                <w:bCs w:val="0"/>
                <w:color w:val="000000"/>
                <w:kern w:val="0"/>
                <w:sz w:val="24"/>
              </w:rPr>
            </w:pPr>
          </w:p>
        </w:tc>
        <w:tc>
          <w:tcPr>
            <w:tcW w:w="575" w:type="dxa"/>
            <w:vMerge w:val="continue"/>
            <w:tcBorders>
              <w:top w:val="single" w:color="auto" w:sz="8" w:space="0"/>
              <w:left w:val="nil"/>
              <w:bottom w:val="single" w:color="auto" w:sz="8" w:space="0"/>
              <w:right w:val="single" w:color="auto" w:sz="8" w:space="0"/>
            </w:tcBorders>
            <w:vAlign w:val="center"/>
          </w:tcPr>
          <w:p>
            <w:pPr>
              <w:keepNext/>
              <w:keepLines/>
              <w:widowControl/>
              <w:spacing w:before="340" w:after="330" w:line="578" w:lineRule="auto"/>
              <w:jc w:val="left"/>
              <w:rPr>
                <w:rFonts w:ascii="Times New Roman" w:hAnsi="Times New Roman" w:cs="Times New Roman"/>
                <w:b w:val="0"/>
                <w:bCs w:val="0"/>
                <w:color w:val="000000"/>
                <w:kern w:val="0"/>
                <w:sz w:val="24"/>
              </w:rPr>
            </w:pPr>
          </w:p>
        </w:tc>
        <w:tc>
          <w:tcPr>
            <w:tcW w:w="576" w:type="dxa"/>
            <w:vMerge w:val="continue"/>
            <w:tcBorders>
              <w:top w:val="single" w:color="auto" w:sz="8" w:space="0"/>
              <w:left w:val="nil"/>
              <w:bottom w:val="single" w:color="auto" w:sz="8" w:space="0"/>
              <w:right w:val="single" w:color="auto" w:sz="8" w:space="0"/>
            </w:tcBorders>
            <w:vAlign w:val="center"/>
          </w:tcPr>
          <w:p>
            <w:pPr>
              <w:keepNext/>
              <w:keepLines/>
              <w:widowControl/>
              <w:spacing w:before="340" w:after="330" w:line="578" w:lineRule="auto"/>
              <w:jc w:val="left"/>
              <w:rPr>
                <w:rFonts w:ascii="Times New Roman" w:hAnsi="Times New Roman" w:cs="Times New Roman"/>
                <w:b w:val="0"/>
                <w:bCs w:val="0"/>
                <w:color w:val="000000"/>
                <w:kern w:val="0"/>
                <w:sz w:val="24"/>
              </w:rPr>
            </w:pPr>
          </w:p>
        </w:tc>
        <w:tc>
          <w:tcPr>
            <w:tcW w:w="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结果维持</w:t>
            </w:r>
          </w:p>
        </w:tc>
        <w:tc>
          <w:tcPr>
            <w:tcW w:w="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结果纠正</w:t>
            </w:r>
          </w:p>
        </w:tc>
        <w:tc>
          <w:tcPr>
            <w:tcW w:w="5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其他结果</w:t>
            </w:r>
          </w:p>
        </w:tc>
        <w:tc>
          <w:tcPr>
            <w:tcW w:w="5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尚未审结</w:t>
            </w:r>
          </w:p>
        </w:tc>
        <w:tc>
          <w:tcPr>
            <w:tcW w:w="5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总计</w:t>
            </w:r>
          </w:p>
        </w:tc>
        <w:tc>
          <w:tcPr>
            <w:tcW w:w="5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结果维持</w:t>
            </w:r>
          </w:p>
        </w:tc>
        <w:tc>
          <w:tcPr>
            <w:tcW w:w="5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结果纠正</w:t>
            </w:r>
          </w:p>
        </w:tc>
        <w:tc>
          <w:tcPr>
            <w:tcW w:w="5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其他结果</w:t>
            </w:r>
          </w:p>
        </w:tc>
        <w:tc>
          <w:tcPr>
            <w:tcW w:w="5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尚未审结</w:t>
            </w:r>
          </w:p>
        </w:tc>
        <w:tc>
          <w:tcPr>
            <w:tcW w:w="5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宋体" w:cs="Times New Roman"/>
                <w:color w:val="000000"/>
                <w:kern w:val="0"/>
                <w:sz w:val="20"/>
                <w:szCs w:val="20"/>
                <w:u w:val="none"/>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cs="Times New Roman"/>
                <w:color w:val="000000"/>
                <w:kern w:val="0"/>
                <w:sz w:val="20"/>
                <w:szCs w:val="20"/>
                <w:u w:val="none"/>
                <w:lang w:val="en-US" w:eastAsia="zh-CN"/>
              </w:rPr>
              <w:t>0</w:t>
            </w:r>
            <w:r>
              <w:rPr>
                <w:rFonts w:ascii="Times New Roman" w:hAnsi="Times New Roman" w:cs="Times New Roman"/>
                <w:color w:val="000000"/>
                <w:kern w:val="0"/>
                <w:sz w:val="20"/>
                <w:szCs w:val="20"/>
                <w:u w:val="none"/>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cs="Times New Roman"/>
                <w:color w:val="000000"/>
                <w:kern w:val="0"/>
                <w:sz w:val="20"/>
                <w:szCs w:val="20"/>
                <w:u w:val="none"/>
                <w:lang w:val="en-US" w:eastAsia="zh-CN"/>
              </w:rPr>
              <w:t>0</w:t>
            </w:r>
            <w:r>
              <w:rPr>
                <w:rFonts w:ascii="Times New Roman" w:hAnsi="Times New Roman" w:cs="Times New Roman"/>
                <w:color w:val="000000"/>
                <w:kern w:val="0"/>
                <w:sz w:val="20"/>
                <w:szCs w:val="20"/>
                <w:u w:val="none"/>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cs="Times New Roman"/>
                <w:color w:val="000000"/>
                <w:kern w:val="0"/>
                <w:sz w:val="20"/>
                <w:szCs w:val="20"/>
                <w:u w:val="none"/>
                <w:lang w:val="en-US" w:eastAsia="zh-CN"/>
              </w:rPr>
              <w:t>0</w:t>
            </w:r>
            <w:r>
              <w:rPr>
                <w:rFonts w:ascii="Times New Roman" w:hAnsi="Times New Roman" w:cs="Times New Roman"/>
                <w:color w:val="000000"/>
                <w:kern w:val="0"/>
                <w:sz w:val="20"/>
                <w:szCs w:val="20"/>
                <w:u w:val="none"/>
              </w:rPr>
              <w:t> </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cs="Times New Roman"/>
                <w:color w:val="000000"/>
                <w:kern w:val="0"/>
                <w:sz w:val="20"/>
                <w:szCs w:val="20"/>
                <w:u w:val="none"/>
                <w:lang w:val="en-US" w:eastAsia="zh-CN"/>
              </w:rPr>
              <w:t>0</w:t>
            </w:r>
            <w:r>
              <w:rPr>
                <w:rFonts w:ascii="Times New Roman" w:hAnsi="Times New Roman" w:cs="Times New Roman"/>
                <w:color w:val="000000"/>
                <w:kern w:val="0"/>
                <w:sz w:val="20"/>
                <w:szCs w:val="20"/>
                <w:u w:val="none"/>
              </w:rPr>
              <w:t> </w:t>
            </w:r>
          </w:p>
        </w:tc>
        <w:tc>
          <w:tcPr>
            <w:tcW w:w="5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cs="Times New Roman"/>
                <w:color w:val="000000"/>
                <w:kern w:val="0"/>
                <w:sz w:val="20"/>
                <w:szCs w:val="20"/>
                <w:u w:val="none"/>
                <w:lang w:val="en-US" w:eastAsia="zh-CN"/>
              </w:rPr>
              <w:t>0</w:t>
            </w:r>
            <w:r>
              <w:rPr>
                <w:rFonts w:ascii="Times New Roman" w:hAnsi="Times New Roman" w:cs="Times New Roman"/>
                <w:color w:val="000000"/>
                <w:kern w:val="0"/>
                <w:sz w:val="20"/>
                <w:szCs w:val="20"/>
                <w:u w:val="none"/>
              </w:rPr>
              <w:t> </w:t>
            </w:r>
          </w:p>
        </w:tc>
        <w:tc>
          <w:tcPr>
            <w:tcW w:w="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0"/>
                <w:szCs w:val="20"/>
                <w:u w:val="none"/>
              </w:rPr>
              <w:t> </w:t>
            </w:r>
            <w:r>
              <w:rPr>
                <w:rFonts w:hint="eastAsia" w:cs="Times New Roman"/>
                <w:color w:val="000000"/>
                <w:kern w:val="0"/>
                <w:sz w:val="20"/>
                <w:szCs w:val="20"/>
                <w:u w:val="none"/>
                <w:lang w:val="en-US" w:eastAsia="zh-CN"/>
              </w:rPr>
              <w:t>0</w:t>
            </w:r>
          </w:p>
        </w:tc>
        <w:tc>
          <w:tcPr>
            <w:tcW w:w="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cs="Times New Roman"/>
                <w:color w:val="000000"/>
                <w:kern w:val="0"/>
                <w:sz w:val="20"/>
                <w:szCs w:val="20"/>
                <w:u w:val="none"/>
                <w:lang w:val="en-US" w:eastAsia="zh-CN"/>
              </w:rPr>
              <w:t>0</w:t>
            </w:r>
            <w:r>
              <w:rPr>
                <w:rFonts w:hint="eastAsia" w:ascii="Times New Roman" w:hAnsi="Times New Roman" w:cs="Times New Roman"/>
                <w:color w:val="000000"/>
                <w:kern w:val="0"/>
                <w:sz w:val="20"/>
                <w:szCs w:val="20"/>
                <w:u w:val="none"/>
              </w:rPr>
              <w:t> </w:t>
            </w:r>
          </w:p>
        </w:tc>
        <w:tc>
          <w:tcPr>
            <w:tcW w:w="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0"/>
                <w:szCs w:val="20"/>
                <w:u w:val="none"/>
              </w:rPr>
              <w:t> </w:t>
            </w:r>
            <w:r>
              <w:rPr>
                <w:rFonts w:hint="eastAsia" w:cs="Times New Roman"/>
                <w:color w:val="000000"/>
                <w:kern w:val="0"/>
                <w:sz w:val="20"/>
                <w:szCs w:val="20"/>
                <w:u w:val="none"/>
                <w:lang w:val="en-US" w:eastAsia="zh-CN"/>
              </w:rPr>
              <w:t>0</w:t>
            </w:r>
          </w:p>
        </w:tc>
        <w:tc>
          <w:tcPr>
            <w:tcW w:w="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0"/>
                <w:szCs w:val="20"/>
                <w:u w:val="none"/>
              </w:rPr>
              <w:t> </w:t>
            </w:r>
            <w:r>
              <w:rPr>
                <w:rFonts w:hint="eastAsia" w:cs="Times New Roman"/>
                <w:color w:val="000000"/>
                <w:kern w:val="0"/>
                <w:sz w:val="20"/>
                <w:szCs w:val="20"/>
                <w:u w:val="none"/>
                <w:lang w:val="en-US" w:eastAsia="zh-CN"/>
              </w:rPr>
              <w:t>0</w:t>
            </w:r>
          </w:p>
        </w:tc>
        <w:tc>
          <w:tcPr>
            <w:tcW w:w="5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0"/>
                <w:szCs w:val="20"/>
                <w:u w:val="none"/>
              </w:rPr>
              <w:t> </w:t>
            </w:r>
            <w:r>
              <w:rPr>
                <w:rFonts w:hint="eastAsia" w:cs="Times New Roman"/>
                <w:color w:val="000000"/>
                <w:kern w:val="0"/>
                <w:sz w:val="20"/>
                <w:szCs w:val="20"/>
                <w:u w:val="none"/>
                <w:lang w:val="en-US" w:eastAsia="zh-CN"/>
              </w:rPr>
              <w:t>0</w:t>
            </w:r>
          </w:p>
        </w:tc>
        <w:tc>
          <w:tcPr>
            <w:tcW w:w="5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0"/>
                <w:szCs w:val="20"/>
                <w:u w:val="none"/>
              </w:rPr>
              <w:t> </w:t>
            </w:r>
            <w:r>
              <w:rPr>
                <w:rFonts w:hint="eastAsia" w:cs="Times New Roman"/>
                <w:color w:val="000000"/>
                <w:kern w:val="0"/>
                <w:sz w:val="20"/>
                <w:szCs w:val="20"/>
                <w:u w:val="none"/>
                <w:lang w:val="en-US" w:eastAsia="zh-CN"/>
              </w:rPr>
              <w:t>0</w:t>
            </w:r>
          </w:p>
        </w:tc>
        <w:tc>
          <w:tcPr>
            <w:tcW w:w="5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cs="Times New Roman"/>
                <w:color w:val="000000"/>
                <w:kern w:val="0"/>
                <w:sz w:val="20"/>
                <w:szCs w:val="20"/>
                <w:u w:val="none"/>
                <w:lang w:val="en-US" w:eastAsia="zh-CN"/>
              </w:rPr>
              <w:t>0</w:t>
            </w:r>
            <w:r>
              <w:rPr>
                <w:rFonts w:hint="eastAsia" w:ascii="Times New Roman" w:hAnsi="Times New Roman" w:cs="Times New Roman"/>
                <w:color w:val="000000"/>
                <w:kern w:val="0"/>
                <w:sz w:val="20"/>
                <w:szCs w:val="20"/>
                <w:u w:val="none"/>
              </w:rPr>
              <w:t> </w:t>
            </w:r>
          </w:p>
        </w:tc>
        <w:tc>
          <w:tcPr>
            <w:tcW w:w="5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0"/>
                <w:szCs w:val="20"/>
                <w:u w:val="none"/>
              </w:rPr>
              <w:t> </w:t>
            </w:r>
            <w:r>
              <w:rPr>
                <w:rFonts w:hint="eastAsia" w:cs="Times New Roman"/>
                <w:color w:val="000000"/>
                <w:kern w:val="0"/>
                <w:sz w:val="20"/>
                <w:szCs w:val="20"/>
                <w:u w:val="none"/>
                <w:lang w:val="en-US" w:eastAsia="zh-CN"/>
              </w:rPr>
              <w:t>0</w:t>
            </w:r>
          </w:p>
        </w:tc>
        <w:tc>
          <w:tcPr>
            <w:tcW w:w="5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color w:val="000000"/>
                <w:kern w:val="0"/>
                <w:sz w:val="24"/>
              </w:rPr>
            </w:pPr>
            <w:r>
              <w:rPr>
                <w:rFonts w:hint="eastAsia" w:ascii="Times New Roman" w:hAnsi="Times New Roman" w:cs="Times New Roman"/>
                <w:color w:val="000000"/>
                <w:kern w:val="0"/>
                <w:sz w:val="20"/>
                <w:szCs w:val="20"/>
                <w:u w:val="none"/>
              </w:rPr>
              <w:t> </w:t>
            </w:r>
            <w:r>
              <w:rPr>
                <w:rFonts w:hint="eastAsia" w:cs="Times New Roman"/>
                <w:color w:val="000000"/>
                <w:kern w:val="0"/>
                <w:sz w:val="20"/>
                <w:szCs w:val="20"/>
                <w:u w:val="none"/>
                <w:lang w:val="en-US" w:eastAsia="zh-CN"/>
              </w:rPr>
              <w:t>0</w:t>
            </w:r>
          </w:p>
        </w:tc>
        <w:tc>
          <w:tcPr>
            <w:tcW w:w="58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keepLines/>
              <w:widowControl/>
              <w:spacing w:before="340" w:after="330" w:line="578" w:lineRule="auto"/>
              <w:jc w:val="center"/>
              <w:rPr>
                <w:rFonts w:hint="eastAsia" w:ascii="Times New Roman" w:hAnsi="Times New Roman" w:eastAsia="宋体" w:cs="Times New Roman"/>
                <w:b w:val="0"/>
                <w:bCs w:val="0"/>
                <w:color w:val="000000"/>
                <w:kern w:val="0"/>
                <w:sz w:val="24"/>
                <w:lang w:val="en-US" w:eastAsia="zh-CN"/>
              </w:rPr>
            </w:pPr>
            <w:r>
              <w:rPr>
                <w:rFonts w:hint="eastAsia" w:cs="Times New Roman"/>
                <w:b w:val="0"/>
                <w:bCs w:val="0"/>
                <w:color w:val="000000"/>
                <w:kern w:val="0"/>
                <w:sz w:val="20"/>
                <w:szCs w:val="20"/>
                <w:lang w:val="en-US" w:eastAsia="zh-CN"/>
              </w:rPr>
              <w:t>0</w:t>
            </w:r>
          </w:p>
        </w:tc>
      </w:tr>
    </w:tbl>
    <w:p>
      <w:pPr>
        <w:widowControl w:val="0"/>
        <w:numPr>
          <w:numId w:val="0"/>
        </w:numPr>
        <w:wordWrap/>
        <w:adjustRightInd/>
        <w:snapToGrid/>
        <w:spacing w:line="600" w:lineRule="exact"/>
        <w:ind w:left="0" w:leftChars="0" w:right="0" w:firstLine="630" w:firstLineChars="196"/>
        <w:textAlignment w:val="auto"/>
        <w:outlineLvl w:val="9"/>
        <w:rPr>
          <w:rFonts w:ascii="Times New Roman" w:hAnsi="Times New Roman" w:eastAsia="黑体"/>
          <w:b w:val="0"/>
          <w:bCs/>
          <w:color w:val="000000"/>
          <w:sz w:val="32"/>
          <w:szCs w:val="32"/>
        </w:rPr>
      </w:pPr>
      <w:r>
        <w:rPr>
          <w:rFonts w:hint="eastAsia" w:hAnsi="黑体" w:eastAsia="黑体"/>
          <w:b w:val="0"/>
          <w:bCs/>
          <w:color w:val="000000"/>
          <w:sz w:val="32"/>
          <w:szCs w:val="32"/>
        </w:rPr>
        <w:t>五、</w:t>
      </w:r>
      <w:r>
        <w:rPr>
          <w:rFonts w:hint="eastAsia" w:ascii="Times New Roman" w:hAnsi="黑体" w:eastAsia="黑体"/>
          <w:b w:val="0"/>
          <w:bCs/>
          <w:color w:val="000000"/>
          <w:sz w:val="32"/>
          <w:szCs w:val="32"/>
          <w:u w:val="none"/>
        </w:rPr>
        <w:t>存在的主要问题及改进情况</w:t>
      </w:r>
    </w:p>
    <w:p>
      <w:pPr>
        <w:widowControl w:val="0"/>
        <w:wordWrap/>
        <w:adjustRightInd/>
        <w:snapToGrid/>
        <w:spacing w:line="600" w:lineRule="exact"/>
        <w:ind w:left="0" w:leftChars="0" w:right="0" w:firstLine="643" w:firstLineChars="200"/>
        <w:jc w:val="left"/>
        <w:textAlignment w:val="auto"/>
        <w:outlineLvl w:val="9"/>
        <w:rPr>
          <w:rFonts w:hint="eastAsia" w:ascii="仿宋_GB2312" w:hAnsi="仿宋_GB2312" w:eastAsia="仿宋_GB2312" w:cs="仿宋_GB2312"/>
          <w:sz w:val="32"/>
          <w:szCs w:val="32"/>
        </w:rPr>
      </w:pPr>
      <w:bookmarkStart w:id="1" w:name="cun"/>
      <w:r>
        <w:rPr>
          <w:rFonts w:hint="eastAsia"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rPr>
        <w:t>年，金坛支行政务公开工作虽然取得了一定成效，但也存在着部分职能部门主动公开意识不强、公开范围和程度不深、等困难与问题，政务公开的工作合力尚有待进一步提升。</w:t>
      </w:r>
    </w:p>
    <w:p>
      <w:pPr>
        <w:widowControl w:val="0"/>
        <w:wordWrap/>
        <w:adjustRightInd/>
        <w:snapToGrid/>
        <w:spacing w:line="600" w:lineRule="exact"/>
        <w:ind w:left="0" w:leftChars="0" w:right="0" w:firstLine="643" w:firstLineChars="200"/>
        <w:jc w:val="left"/>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rPr>
        <w:t>年，金坛支行将围绕不足，进一步巩固政务公开基础，拓展政务公开平台，构筑政务公开合力，切实提升基层央行公信力。</w:t>
      </w:r>
    </w:p>
    <w:p>
      <w:pPr>
        <w:widowControl w:val="0"/>
        <w:wordWrap/>
        <w:adjustRightInd/>
        <w:snapToGrid/>
        <w:spacing w:line="600" w:lineRule="exact"/>
        <w:ind w:left="0" w:leftChars="0" w:right="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提升信息公开工作质效</w:t>
      </w:r>
      <w:r>
        <w:rPr>
          <w:rFonts w:hint="eastAsia" w:ascii="仿宋_GB2312" w:hAnsi="仿宋_GB2312" w:eastAsia="仿宋_GB2312" w:cs="仿宋_GB2312"/>
          <w:sz w:val="32"/>
          <w:szCs w:val="32"/>
        </w:rPr>
        <w:t>。支行注重提高网站信息发布时效，明确责任和期限，在保证“量”的基础上，注重“质”的提升。</w:t>
      </w:r>
    </w:p>
    <w:p>
      <w:pPr>
        <w:widowControl w:val="0"/>
        <w:wordWrap/>
        <w:adjustRightInd/>
        <w:snapToGrid/>
        <w:spacing w:line="600" w:lineRule="exact"/>
        <w:ind w:left="0" w:leftChars="0" w:right="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二是进一步加大工作创新力度。我支行</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不断拓宽政府信息公开渠道，努力探索信息公开的新路子、新途径，开展多种形式的信息公开方式，畅通公开渠道，使公众对央行工作的知情权、监督权和表达权得到切实尊重。</w:t>
      </w:r>
    </w:p>
    <w:p>
      <w:pPr>
        <w:widowControl w:val="0"/>
        <w:wordWrap/>
        <w:adjustRightInd/>
        <w:snapToGrid/>
        <w:spacing w:line="600" w:lineRule="exact"/>
        <w:ind w:left="0" w:leftChars="0" w:right="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今后我们将认真按照《条例》的要求，进一步规范政府信息公开工作流程，确保信息公开工作按流程有效运作，努力提高工作效率，方便公众查询，更大程度做到公开、透明。</w:t>
      </w:r>
      <w:bookmarkEnd w:id="1"/>
    </w:p>
    <w:p>
      <w:pPr>
        <w:widowControl w:val="0"/>
        <w:numPr>
          <w:numId w:val="0"/>
        </w:numPr>
        <w:wordWrap/>
        <w:adjustRightInd/>
        <w:snapToGrid/>
        <w:spacing w:line="600" w:lineRule="exact"/>
        <w:ind w:left="0" w:leftChars="0" w:right="0" w:firstLine="630" w:firstLineChars="196"/>
        <w:textAlignment w:val="auto"/>
        <w:outlineLvl w:val="9"/>
        <w:rPr>
          <w:rFonts w:ascii="Times New Roman" w:hAnsi="Times New Roman" w:eastAsia="黑体"/>
          <w:b w:val="0"/>
          <w:bCs/>
          <w:color w:val="000000"/>
          <w:sz w:val="32"/>
          <w:szCs w:val="32"/>
        </w:rPr>
      </w:pPr>
      <w:r>
        <w:rPr>
          <w:rFonts w:hint="eastAsia" w:hAnsi="黑体" w:eastAsia="黑体"/>
          <w:b w:val="0"/>
          <w:bCs/>
          <w:color w:val="000000"/>
          <w:sz w:val="32"/>
          <w:szCs w:val="32"/>
        </w:rPr>
        <w:t>六、</w:t>
      </w:r>
      <w:r>
        <w:rPr>
          <w:rFonts w:hint="eastAsia" w:ascii="Times New Roman" w:hAnsi="黑体" w:eastAsia="黑体"/>
          <w:b w:val="0"/>
          <w:bCs/>
          <w:color w:val="000000"/>
          <w:sz w:val="32"/>
          <w:szCs w:val="32"/>
          <w:u w:val="none"/>
        </w:rPr>
        <w:t>其他需要报告的事项</w:t>
      </w:r>
    </w:p>
    <w:p>
      <w:pPr>
        <w:widowControl w:val="0"/>
        <w:wordWrap/>
        <w:adjustRightInd/>
        <w:snapToGrid/>
        <w:spacing w:line="600" w:lineRule="exact"/>
        <w:ind w:left="0" w:leftChars="0" w:right="0" w:firstLine="643" w:firstLineChars="200"/>
        <w:jc w:val="left"/>
        <w:textAlignment w:val="auto"/>
        <w:outlineLvl w:val="9"/>
        <w:rPr>
          <w:rFonts w:hint="eastAsia" w:ascii="仿宋_GB2312" w:hAnsi="仿宋_GB2312" w:eastAsia="仿宋_GB2312" w:cs="仿宋_GB2312"/>
          <w:sz w:val="32"/>
          <w:szCs w:val="32"/>
          <w:lang w:val="en-US" w:eastAsia="zh-CN"/>
        </w:rPr>
      </w:pPr>
      <w:bookmarkStart w:id="2" w:name="qi"/>
      <w:r>
        <w:rPr>
          <w:rFonts w:hint="eastAsia" w:ascii="仿宋_GB2312" w:hAnsi="仿宋_GB2312" w:eastAsia="仿宋_GB2312" w:cs="仿宋_GB2312"/>
          <w:sz w:val="32"/>
          <w:szCs w:val="32"/>
          <w:lang w:val="en-US" w:eastAsia="zh-CN"/>
        </w:rPr>
        <w:t>公众向中国人民银行金坛支行申请公开政府信息的注意事项：</w:t>
      </w:r>
    </w:p>
    <w:p>
      <w:pPr>
        <w:widowControl w:val="0"/>
        <w:wordWrap/>
        <w:adjustRightInd/>
        <w:snapToGrid/>
        <w:spacing w:line="600" w:lineRule="exact"/>
        <w:ind w:left="0" w:leftChars="0" w:right="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一、中国人民银行金坛支行是中国人民银行的派出机构，根据中国人民银行的授权，依法履行相关职责。</w:t>
      </w:r>
    </w:p>
    <w:p>
      <w:pPr>
        <w:widowControl w:val="0"/>
        <w:wordWrap/>
        <w:adjustRightInd/>
        <w:snapToGrid/>
        <w:spacing w:line="600" w:lineRule="exact"/>
        <w:ind w:left="0" w:leftChars="0" w:right="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r>
        <w:rPr>
          <w:rFonts w:hint="eastAsia" w:ascii="Times New Roman" w:hAnsi="Times New Roman" w:eastAsia="仿宋_GB2312" w:cs="Times New Roman"/>
          <w:sz w:val="32"/>
          <w:szCs w:val="32"/>
          <w:lang w:val="en-US" w:eastAsia="zh-CN"/>
        </w:rPr>
        <w:t>0519-82822025，</w:t>
      </w:r>
      <w:r>
        <w:rPr>
          <w:rFonts w:hint="eastAsia" w:ascii="仿宋_GB2312" w:hAnsi="仿宋_GB2312" w:eastAsia="仿宋_GB2312" w:cs="仿宋_GB2312"/>
          <w:sz w:val="32"/>
          <w:szCs w:val="32"/>
          <w:lang w:val="en-US" w:eastAsia="zh-CN"/>
        </w:rPr>
        <w:t>传真：</w:t>
      </w:r>
      <w:r>
        <w:rPr>
          <w:rFonts w:hint="eastAsia" w:ascii="Times New Roman" w:hAnsi="Times New Roman" w:eastAsia="仿宋_GB2312" w:cs="Times New Roman"/>
          <w:sz w:val="32"/>
          <w:szCs w:val="32"/>
          <w:lang w:val="en-US" w:eastAsia="zh-CN"/>
        </w:rPr>
        <w:t>0519-82822025</w:t>
      </w:r>
      <w:r>
        <w:rPr>
          <w:rFonts w:hint="eastAsia" w:ascii="仿宋_GB2312" w:hAnsi="仿宋_GB2312" w:eastAsia="仿宋_GB2312" w:cs="仿宋_GB2312"/>
          <w:sz w:val="32"/>
          <w:szCs w:val="32"/>
          <w:lang w:val="en-US" w:eastAsia="zh-CN"/>
        </w:rPr>
        <w:t>，地址：常州市金坛区西门大街</w:t>
      </w:r>
      <w:r>
        <w:rPr>
          <w:rFonts w:hint="eastAsia" w:ascii="Times New Roman" w:hAnsi="Times New Roman" w:eastAsia="仿宋_GB2312" w:cs="Times New Roman"/>
          <w:sz w:val="32"/>
          <w:szCs w:val="32"/>
          <w:lang w:val="en-US" w:eastAsia="zh-CN"/>
        </w:rPr>
        <w:t>23</w:t>
      </w:r>
      <w:r>
        <w:rPr>
          <w:rFonts w:hint="eastAsia" w:ascii="仿宋_GB2312" w:hAnsi="仿宋_GB2312" w:eastAsia="仿宋_GB2312" w:cs="仿宋_GB2312"/>
          <w:sz w:val="32"/>
          <w:szCs w:val="32"/>
          <w:lang w:val="en-US" w:eastAsia="zh-CN"/>
        </w:rPr>
        <w:t>号。</w:t>
      </w:r>
    </w:p>
    <w:p>
      <w:pPr>
        <w:widowControl w:val="0"/>
        <w:wordWrap/>
        <w:adjustRightInd/>
        <w:snapToGrid/>
        <w:spacing w:line="600" w:lineRule="exact"/>
        <w:ind w:left="0" w:leftChars="0" w:right="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二、公民个人向中国人民银行金坛支行申请获取政务事项或者政府信息时，应当提供身份证件或者法律规定的其他有效证件及其复印件；法人或者其他组织应当提供组织代码证及其复印件。</w:t>
      </w:r>
    </w:p>
    <w:p>
      <w:pPr>
        <w:widowControl w:val="0"/>
        <w:wordWrap/>
        <w:adjustRightInd/>
        <w:snapToGrid/>
        <w:spacing w:line="600" w:lineRule="exact"/>
        <w:ind w:left="0" w:leftChars="0" w:right="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三、申请人收到中国人民银行金坛支行政府信息公开告知书后应及时填写金坛支行政府信息公开告知书回执，并传真或者邮寄至中国人民银行金坛支行办公室。</w:t>
      </w:r>
    </w:p>
    <w:p>
      <w:pPr>
        <w:widowControl w:val="0"/>
        <w:wordWrap/>
        <w:adjustRightInd/>
        <w:snapToGrid/>
        <w:spacing w:line="600" w:lineRule="exact"/>
        <w:ind w:left="0" w:leftChars="0" w:right="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传真：</w:t>
      </w:r>
      <w:r>
        <w:rPr>
          <w:rFonts w:hint="eastAsia" w:ascii="Times New Roman" w:hAnsi="Times New Roman" w:eastAsia="仿宋_GB2312" w:cs="Times New Roman"/>
          <w:sz w:val="32"/>
          <w:szCs w:val="32"/>
          <w:lang w:val="en-US" w:eastAsia="zh-CN"/>
        </w:rPr>
        <w:t>0519-82822025</w:t>
      </w:r>
      <w:r>
        <w:rPr>
          <w:rFonts w:hint="eastAsia" w:ascii="仿宋_GB2312" w:hAnsi="仿宋_GB2312" w:eastAsia="仿宋_GB2312" w:cs="仿宋_GB2312"/>
          <w:sz w:val="32"/>
          <w:szCs w:val="32"/>
          <w:lang w:val="en-US" w:eastAsia="zh-CN"/>
        </w:rPr>
        <w:t>，地址：常州市金坛区西门大街</w:t>
      </w:r>
      <w:r>
        <w:rPr>
          <w:rFonts w:hint="eastAsia" w:ascii="Times New Roman" w:hAnsi="Times New Roman" w:eastAsia="仿宋_GB2312" w:cs="Times New Roman"/>
          <w:sz w:val="32"/>
          <w:szCs w:val="32"/>
          <w:lang w:val="en-US" w:eastAsia="zh-CN"/>
        </w:rPr>
        <w:t>23</w:t>
      </w:r>
      <w:r>
        <w:rPr>
          <w:rFonts w:hint="eastAsia" w:ascii="仿宋_GB2312" w:hAnsi="仿宋_GB2312" w:eastAsia="仿宋_GB2312" w:cs="仿宋_GB2312"/>
          <w:sz w:val="32"/>
          <w:szCs w:val="32"/>
          <w:lang w:val="en-US" w:eastAsia="zh-CN"/>
        </w:rPr>
        <w:t>号。</w:t>
      </w:r>
      <w:bookmarkEnd w:id="2"/>
    </w:p>
    <w:p>
      <w:pPr>
        <w:widowControl w:val="0"/>
        <w:wordWrap/>
        <w:adjustRightInd/>
        <w:snapToGrid/>
        <w:spacing w:line="560" w:lineRule="exact"/>
        <w:ind w:left="0" w:leftChars="0" w:right="0" w:firstLine="643" w:firstLineChars="200"/>
        <w:jc w:val="left"/>
        <w:textAlignment w:val="auto"/>
        <w:outlineLvl w:val="9"/>
        <w:rPr>
          <w:rFonts w:hint="eastAsia" w:ascii="仿宋_GB2312" w:hAnsi="仿宋_GB2312" w:eastAsia="仿宋_GB2312" w:cs="仿宋_GB2312"/>
          <w:sz w:val="32"/>
          <w:szCs w:val="32"/>
          <w:lang w:val="en-US" w:eastAsia="zh-CN"/>
        </w:rPr>
      </w:pPr>
    </w:p>
    <w:p>
      <w:pPr>
        <w:spacing w:line="580" w:lineRule="exact"/>
        <w:rPr>
          <w:rFonts w:ascii="黑体" w:hAnsi="黑体" w:eastAsia="黑体"/>
          <w:color w:val="000000"/>
          <w:sz w:val="32"/>
          <w:szCs w:val="32"/>
        </w:rPr>
      </w:pPr>
    </w:p>
    <w:p>
      <w:pPr>
        <w:spacing w:line="580" w:lineRule="exact"/>
        <w:rPr>
          <w:rFonts w:ascii="Times New Roman" w:hAnsi="Times New Roman" w:eastAsia="仿宋_GB2312" w:cs="Times New Roman"/>
          <w:bCs/>
          <w:color w:val="000000"/>
          <w:sz w:val="32"/>
          <w:szCs w:val="32"/>
        </w:rPr>
      </w:pPr>
    </w:p>
    <w:sectPr>
      <w:footerReference r:id="rId4"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sz w:val="28"/>
        <w:szCs w:val="28"/>
      </w:rPr>
    </w:pPr>
    <w:r>
      <w:rPr>
        <w:rFonts w:hint="eastAsia" w:ascii="Calibri" w:hAnsi="Calibri" w:eastAsia="宋体" w:cs="黑体"/>
        <w:sz w:val="28"/>
        <w:szCs w:val="28"/>
      </w:rPr>
      <w:t>—</w:t>
    </w:r>
    <w:r>
      <w:rPr>
        <w:rFonts w:ascii="Calibri" w:hAnsi="Calibri" w:eastAsia="宋体" w:cs="黑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t>1</w:t>
    </w:r>
    <w:r>
      <w:rPr>
        <w:rFonts w:ascii="Times New Roman" w:hAnsi="Times New Roman" w:eastAsia="宋体" w:cs="Times New Roman"/>
        <w:sz w:val="28"/>
        <w:szCs w:val="28"/>
      </w:rPr>
      <w:fldChar w:fldCharType="end"/>
    </w:r>
    <w:r>
      <w:rPr>
        <w:rFonts w:ascii="Calibri" w:hAnsi="Calibri" w:eastAsia="宋体" w:cs="黑体"/>
        <w:sz w:val="28"/>
        <w:szCs w:val="28"/>
      </w:rPr>
      <w:t xml:space="preserve"> </w:t>
    </w:r>
    <w:r>
      <w:rPr>
        <w:rFonts w:hint="eastAsia" w:ascii="Calibri" w:hAnsi="Calibri" w:eastAsia="宋体" w:cs="黑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5FF8005E0000935B" w:val=" "/>
    <w:docVar w:name="5FF8070A0000738A" w:val=" "/>
    <w:docVar w:name="5FF808710000EE92" w:val=" "/>
    <w:docVar w:name="5FF80A770000D3E2" w:val=" "/>
  </w:docVars>
  <w:rsids>
    <w:rsidRoot w:val="006306FF"/>
    <w:rsid w:val="00057077"/>
    <w:rsid w:val="000A40B8"/>
    <w:rsid w:val="001211ED"/>
    <w:rsid w:val="00177E1D"/>
    <w:rsid w:val="0019646D"/>
    <w:rsid w:val="001B3E85"/>
    <w:rsid w:val="001C136D"/>
    <w:rsid w:val="00245BFB"/>
    <w:rsid w:val="002E2A4A"/>
    <w:rsid w:val="00307CF1"/>
    <w:rsid w:val="00314512"/>
    <w:rsid w:val="00330B42"/>
    <w:rsid w:val="00383D01"/>
    <w:rsid w:val="003B34ED"/>
    <w:rsid w:val="003C4883"/>
    <w:rsid w:val="003E7711"/>
    <w:rsid w:val="00421BDC"/>
    <w:rsid w:val="00470315"/>
    <w:rsid w:val="004C08B8"/>
    <w:rsid w:val="00553DDA"/>
    <w:rsid w:val="0056107F"/>
    <w:rsid w:val="005A6A57"/>
    <w:rsid w:val="006306FF"/>
    <w:rsid w:val="00632F2F"/>
    <w:rsid w:val="006578D6"/>
    <w:rsid w:val="006A6CA7"/>
    <w:rsid w:val="007901DC"/>
    <w:rsid w:val="00796F76"/>
    <w:rsid w:val="007C6D0A"/>
    <w:rsid w:val="00812957"/>
    <w:rsid w:val="00816158"/>
    <w:rsid w:val="008365F9"/>
    <w:rsid w:val="00841993"/>
    <w:rsid w:val="008631E3"/>
    <w:rsid w:val="0088181B"/>
    <w:rsid w:val="008C2638"/>
    <w:rsid w:val="00933E18"/>
    <w:rsid w:val="00952EDB"/>
    <w:rsid w:val="00983882"/>
    <w:rsid w:val="009A0E1C"/>
    <w:rsid w:val="009D4F71"/>
    <w:rsid w:val="009F0262"/>
    <w:rsid w:val="009F4AD2"/>
    <w:rsid w:val="00A11CF4"/>
    <w:rsid w:val="00A57FB0"/>
    <w:rsid w:val="00A935CD"/>
    <w:rsid w:val="00AC2B82"/>
    <w:rsid w:val="00AF5CBF"/>
    <w:rsid w:val="00AF706C"/>
    <w:rsid w:val="00B43F88"/>
    <w:rsid w:val="00BD7E1F"/>
    <w:rsid w:val="00BE6CF8"/>
    <w:rsid w:val="00C126F5"/>
    <w:rsid w:val="00C87231"/>
    <w:rsid w:val="00CC0B65"/>
    <w:rsid w:val="00CE5AEF"/>
    <w:rsid w:val="00CE670C"/>
    <w:rsid w:val="00D44D9C"/>
    <w:rsid w:val="00D53852"/>
    <w:rsid w:val="00DC3B7C"/>
    <w:rsid w:val="00DC49A9"/>
    <w:rsid w:val="00E638BA"/>
    <w:rsid w:val="00EA7E7D"/>
    <w:rsid w:val="00EC2FE7"/>
    <w:rsid w:val="00F32E96"/>
    <w:rsid w:val="00F46F82"/>
    <w:rsid w:val="00F67269"/>
    <w:rsid w:val="09C30C46"/>
    <w:rsid w:val="0AF657BF"/>
    <w:rsid w:val="0E0F4249"/>
    <w:rsid w:val="0EB3707D"/>
    <w:rsid w:val="0F94019E"/>
    <w:rsid w:val="0F9878C9"/>
    <w:rsid w:val="16225960"/>
    <w:rsid w:val="18B021E3"/>
    <w:rsid w:val="1A332072"/>
    <w:rsid w:val="1C6414D8"/>
    <w:rsid w:val="1D5A0FA2"/>
    <w:rsid w:val="21A25FE9"/>
    <w:rsid w:val="23646EB2"/>
    <w:rsid w:val="26E5599F"/>
    <w:rsid w:val="28A450B1"/>
    <w:rsid w:val="2A451208"/>
    <w:rsid w:val="2BAE465D"/>
    <w:rsid w:val="2BC30CF4"/>
    <w:rsid w:val="2C345009"/>
    <w:rsid w:val="3292152A"/>
    <w:rsid w:val="3792529A"/>
    <w:rsid w:val="3B476099"/>
    <w:rsid w:val="47F31102"/>
    <w:rsid w:val="55AF14E1"/>
    <w:rsid w:val="571A6BB8"/>
    <w:rsid w:val="58976161"/>
    <w:rsid w:val="58D43F04"/>
    <w:rsid w:val="6080648B"/>
    <w:rsid w:val="61762549"/>
    <w:rsid w:val="639F3A80"/>
    <w:rsid w:val="65B6062E"/>
    <w:rsid w:val="68135219"/>
    <w:rsid w:val="69EB3569"/>
    <w:rsid w:val="6CE03780"/>
    <w:rsid w:val="72353001"/>
    <w:rsid w:val="73F04A68"/>
    <w:rsid w:val="754D5C7B"/>
    <w:rsid w:val="79F96F19"/>
    <w:rsid w:val="7EBE6B9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6">
    <w:name w:val="Hyperlink"/>
    <w:basedOn w:val="5"/>
    <w:unhideWhenUsed/>
    <w:qFormat/>
    <w:uiPriority w:val="99"/>
    <w:rPr>
      <w:color w:val="0000FF"/>
      <w:u w:val="single"/>
    </w:rPr>
  </w:style>
  <w:style w:type="table" w:styleId="8">
    <w:name w:val="Table Grid"/>
    <w:basedOn w:val="7"/>
    <w:qFormat/>
    <w:uiPriority w:val="59"/>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9">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z w:val="44"/>
      <w:szCs w:val="20"/>
    </w:rPr>
  </w:style>
  <w:style w:type="paragraph" w:customStyle="1" w:styleId="10">
    <w:name w:val="List Paragraph"/>
    <w:basedOn w:val="1"/>
    <w:qFormat/>
    <w:uiPriority w:val="34"/>
    <w:pPr>
      <w:ind w:firstLine="420" w:firstLineChars="200"/>
    </w:pPr>
  </w:style>
  <w:style w:type="character" w:customStyle="1" w:styleId="11">
    <w:name w:val="页眉 Char"/>
    <w:basedOn w:val="5"/>
    <w:link w:val="4"/>
    <w:qFormat/>
    <w:uiPriority w:val="99"/>
    <w:rPr>
      <w:sz w:val="18"/>
      <w:szCs w:val="18"/>
    </w:rPr>
  </w:style>
  <w:style w:type="character" w:customStyle="1" w:styleId="12">
    <w:name w:val="页脚 Char"/>
    <w:basedOn w:val="5"/>
    <w:link w:val="3"/>
    <w:qFormat/>
    <w:uiPriority w:val="99"/>
    <w:rPr>
      <w:sz w:val="18"/>
      <w:szCs w:val="18"/>
    </w:rPr>
  </w:style>
  <w:style w:type="character" w:customStyle="1" w:styleId="13">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651</Words>
  <Characters>3711</Characters>
  <Lines>30</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2021-01-08T07:32:00Z</dcterms:created>
  <dc:creator>ADMIN</dc:creator>
  <cp:lastModifiedBy>姜韬/金坛支行/常州/PBC</cp:lastModifiedBy>
  <cp:lastPrinted>2021-01-19T08:39:00Z</cp:lastPrinted>
  <dcterms:modified xsi:type="dcterms:W3CDTF">2021-03-29T07:49:22Z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