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eastAsia="长城小标宋体"/>
          <w:b/>
          <w:bCs/>
          <w:color w:val="000000"/>
          <w:sz w:val="32"/>
          <w:szCs w:val="32"/>
        </w:rPr>
        <w:t xml:space="preserve">  </w:t>
      </w:r>
      <w:bookmarkStart w:id="0" w:name="_GoBack"/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常州市金坛区20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年度高新技术企业预申报表</w:t>
      </w:r>
    </w:p>
    <w:bookmarkEnd w:id="0"/>
    <w:p>
      <w:pPr>
        <w:rPr>
          <w:rFonts w:eastAsia="长城小标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0"/>
          <w:szCs w:val="20"/>
        </w:rPr>
        <w:t xml:space="preserve">                                             </w:t>
      </w:r>
      <w:r>
        <w:rPr>
          <w:rFonts w:hint="eastAsia" w:ascii="仿宋_GB2312" w:hAnsi="宋体" w:eastAsia="仿宋_GB2312" w:cs="宋体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2"/>
          <w:szCs w:val="22"/>
        </w:rPr>
        <w:t xml:space="preserve"> </w:t>
      </w:r>
      <w:r>
        <w:rPr>
          <w:rFonts w:hint="eastAsia" w:ascii="宋体" w:hAnsi="宋体"/>
          <w:color w:val="000000"/>
          <w:kern w:val="0"/>
          <w:sz w:val="20"/>
          <w:szCs w:val="20"/>
        </w:rPr>
        <w:t>单位：万元（不需要小数点，填写整数）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46"/>
        <w:gridCol w:w="720"/>
        <w:gridCol w:w="432"/>
        <w:gridCol w:w="774"/>
        <w:gridCol w:w="204"/>
        <w:gridCol w:w="154"/>
        <w:gridCol w:w="716"/>
        <w:gridCol w:w="1115"/>
        <w:gridCol w:w="1000"/>
        <w:gridCol w:w="720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78" w:hRule="atLeas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5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所属镇区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技术领域（第三级）</w:t>
            </w:r>
          </w:p>
        </w:tc>
        <w:tc>
          <w:tcPr>
            <w:tcW w:w="354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社会统一信用代码</w:t>
            </w:r>
          </w:p>
        </w:tc>
        <w:tc>
          <w:tcPr>
            <w:tcW w:w="24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6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0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企业注册日期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是否委托中介公司</w:t>
            </w:r>
          </w:p>
        </w:tc>
        <w:tc>
          <w:tcPr>
            <w:tcW w:w="16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中介公司名称</w:t>
            </w:r>
          </w:p>
        </w:tc>
        <w:tc>
          <w:tcPr>
            <w:tcW w:w="35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职工总数（人）</w:t>
            </w:r>
          </w:p>
        </w:tc>
        <w:tc>
          <w:tcPr>
            <w:tcW w:w="22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科技人员数（人）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近三年来企业的销售收入</w:t>
            </w:r>
          </w:p>
        </w:tc>
        <w:tc>
          <w:tcPr>
            <w:tcW w:w="582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：           201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            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其中：最近一年的总收入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近三年来的研究开发费用总额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其中：最近一年的高新技术产品（服务）销售收入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最近一年高新技术产品收入占收入总额比例（%）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近三年来的研究开发费用总额占销售收入的比例（%）</w:t>
            </w:r>
          </w:p>
        </w:tc>
        <w:tc>
          <w:tcPr>
            <w:tcW w:w="582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知识产权（≤</w:t>
            </w:r>
            <w:r>
              <w:rPr>
                <w:rFonts w:ascii="宋体" w:hAnsi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技术的先进程度（≤8分）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□A.高（7-8分）  □B.较高（5-6分） □C.一般（3-4分）□D.较低（1-2分） □E.无（0分）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对企业产品（服务）在技术上发挥核心支持作用（≤8分）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□A.强（7-8分）  □B.较强（5-6分） □C.一般（3-4分）</w:t>
            </w: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D.较弱（1-2分）□E.无（0分）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知识产权数量（≤8分）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 xml:space="preserve">□A.1项及以上（Ⅰ类）（7-8分）  □B.5项及以上（Ⅱ类）（5-6分）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□C.3～4项</w:t>
            </w:r>
            <w:r>
              <w:rPr>
                <w:rFonts w:ascii="宋体" w:hAnsi="宋体"/>
                <w:kern w:val="0"/>
                <w:sz w:val="16"/>
                <w:szCs w:val="16"/>
              </w:rPr>
              <w:t>（</w:t>
            </w: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Ⅱ类）（3-4分）     □D.1～2项（Ⅱ类）（1-2分）   □E.无（0分）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知识产权获得方式（≤6分）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□A.有自主研发（1-6分）  □B.仅有受让、受增和并购等（1-3分）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加分项，≤2分）企业是否参与编制国家标准、行业标准、检测方法、技术规范的情况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□A.是（1-2分）  □B.否（0分）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2.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科技成果转化能力（≤</w:t>
            </w:r>
            <w:r>
              <w:rPr>
                <w:rFonts w:ascii="宋体" w:hAnsi="宋体"/>
                <w:kern w:val="0"/>
                <w:sz w:val="16"/>
                <w:szCs w:val="16"/>
              </w:rPr>
              <w:t>30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6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 xml:space="preserve">□A.转化能力强，≥5项（25-30分）□B.转化能力较强，≥4项（19-24分） □C.转化能力一般，≥3项（13-18分）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 xml:space="preserve">D.转化能力较弱，≥2项（7-12分） </w:t>
            </w: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E.转化能力弱，≥1项（1-6分）  □F.转化能力无，0项（0分）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3.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技术创新组织管理水平（≤</w:t>
            </w:r>
            <w:r>
              <w:rPr>
                <w:rFonts w:ascii="宋体" w:hAnsi="宋体"/>
                <w:kern w:val="0"/>
                <w:sz w:val="16"/>
                <w:szCs w:val="16"/>
              </w:rPr>
              <w:t>20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制定了企业研究开发的组织管理制度，建立了研发投入核算体系，编制了研发费用辅助账（≤6分）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设立了内部科学技术研究开发机构并具备相应的科研条件，与国内外研究开发机构开展多种形式的产学研合作（≤6分）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建立了科技成果转化的组织实施与激励奖励制度，建立开放式的创新创业平台（≤4分）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建立了科技人员的培养进修、职工技能培训、优秀人才引进，以及人才绩效评价奖励制度（≤4分）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4.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企业成长性（≤</w:t>
            </w:r>
            <w:r>
              <w:rPr>
                <w:rFonts w:ascii="宋体" w:hAnsi="宋体"/>
                <w:kern w:val="0"/>
                <w:sz w:val="16"/>
                <w:szCs w:val="16"/>
              </w:rPr>
              <w:t>20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净资产增长率（10分）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 xml:space="preserve">□A.≥35%（9-10分） </w:t>
            </w:r>
            <w:r>
              <w:rPr>
                <w:rFonts w:ascii="宋体" w:hAnsi="宋体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 xml:space="preserve">□B.≥25%（7-8分）    □C.≥15%（5-6分）  </w:t>
            </w: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 xml:space="preserve">D.＞5%（3-4分）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□E.＞0（1-2分）      □F.≤0（0分）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销售收入增长率（10分）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仿宋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 xml:space="preserve">□A.≥35%（9-10分） </w:t>
            </w:r>
            <w:r>
              <w:rPr>
                <w:rFonts w:ascii="宋体" w:hAnsi="宋体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 xml:space="preserve">□B.≥25%（7-8分）    □C.≥15%（5-6分）  </w:t>
            </w: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 xml:space="preserve">D.＞5%（3-4分）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仿宋"/>
                <w:kern w:val="0"/>
                <w:sz w:val="16"/>
                <w:szCs w:val="16"/>
              </w:rPr>
              <w:t>□E.＞0（1-2分）      □F.≤0（0分）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净资产增长率（%）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销售增长率（%）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合计得分</w:t>
            </w:r>
          </w:p>
        </w:tc>
        <w:tc>
          <w:tcPr>
            <w:tcW w:w="65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0160D"/>
    <w:rsid w:val="61B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2020-11-05T06:02:00Z</dcterms:created>
  <dc:creator>日山一圆</dc:creator>
  <cp:lastModifiedBy>日山一圆</cp:lastModifiedBy>
  <dcterms:modified xsi:type="dcterms:W3CDTF">2020-11-05T06:03:00Z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