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方正黑体_GBK" w:eastAsia="方正黑体_GBK"/>
          <w:sz w:val="32"/>
          <w:szCs w:val="32"/>
        </w:rPr>
      </w:pPr>
      <w:r>
        <w:rPr>
          <w:rFonts w:hint="eastAsia" w:ascii="方正黑体_GBK" w:eastAsia="方正黑体_GBK"/>
          <w:sz w:val="32"/>
          <w:szCs w:val="32"/>
        </w:rPr>
        <w:t>附件</w:t>
      </w:r>
    </w:p>
    <w:p>
      <w:pPr>
        <w:adjustRightInd w:val="0"/>
        <w:snapToGrid w:val="0"/>
        <w:spacing w:after="156" w:afterLines="50" w:line="700" w:lineRule="exact"/>
        <w:jc w:val="center"/>
        <w:rPr>
          <w:rFonts w:eastAsia="方正小标宋_GBK"/>
          <w:sz w:val="44"/>
          <w:szCs w:val="44"/>
        </w:rPr>
      </w:pPr>
      <w:bookmarkStart w:id="0" w:name="_GoBack"/>
      <w:r>
        <w:rPr>
          <w:rFonts w:eastAsia="方正小标宋_GBK"/>
          <w:sz w:val="44"/>
          <w:szCs w:val="44"/>
        </w:rPr>
        <w:t>常州市</w:t>
      </w:r>
      <w:r>
        <w:rPr>
          <w:rFonts w:hint="eastAsia" w:eastAsia="方正小标宋_GBK"/>
          <w:sz w:val="44"/>
          <w:szCs w:val="44"/>
          <w:lang w:val="en-US" w:eastAsia="zh-CN"/>
        </w:rPr>
        <w:t>金坛区</w:t>
      </w:r>
      <w:r>
        <w:rPr>
          <w:rFonts w:eastAsia="方正小标宋_GBK"/>
          <w:sz w:val="44"/>
          <w:szCs w:val="44"/>
        </w:rPr>
        <w:t>全面推进和落实行政执法“三项制度”重点任务清单</w:t>
      </w:r>
    </w:p>
    <w:bookmarkEnd w:id="0"/>
    <w:tbl>
      <w:tblPr>
        <w:tblStyle w:val="4"/>
        <w:tblW w:w="13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1"/>
        <w:gridCol w:w="984"/>
        <w:gridCol w:w="7241"/>
        <w:gridCol w:w="283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tblHeader/>
        </w:trPr>
        <w:tc>
          <w:tcPr>
            <w:tcW w:w="621" w:type="dxa"/>
            <w:noWrap w:val="0"/>
            <w:vAlign w:val="center"/>
          </w:tcPr>
          <w:p>
            <w:pPr>
              <w:adjustRightInd w:val="0"/>
              <w:snapToGrid w:val="0"/>
              <w:jc w:val="center"/>
              <w:rPr>
                <w:rFonts w:hint="eastAsia" w:ascii="方正黑体_GBK" w:eastAsia="方正黑体_GBK"/>
                <w:color w:val="000000"/>
                <w:szCs w:val="21"/>
              </w:rPr>
            </w:pPr>
            <w:r>
              <w:rPr>
                <w:rFonts w:hint="eastAsia" w:ascii="方正黑体_GBK" w:hAnsi="宋体" w:eastAsia="方正黑体_GBK"/>
                <w:color w:val="000000"/>
                <w:szCs w:val="21"/>
              </w:rPr>
              <w:t>序号</w:t>
            </w:r>
          </w:p>
        </w:tc>
        <w:tc>
          <w:tcPr>
            <w:tcW w:w="8225" w:type="dxa"/>
            <w:gridSpan w:val="2"/>
            <w:noWrap w:val="0"/>
            <w:vAlign w:val="center"/>
          </w:tcPr>
          <w:p>
            <w:pPr>
              <w:adjustRightInd w:val="0"/>
              <w:snapToGrid w:val="0"/>
              <w:jc w:val="center"/>
              <w:rPr>
                <w:rFonts w:hint="eastAsia" w:ascii="方正黑体_GBK" w:eastAsia="方正黑体_GBK"/>
                <w:color w:val="000000"/>
                <w:szCs w:val="21"/>
              </w:rPr>
            </w:pPr>
            <w:r>
              <w:rPr>
                <w:rFonts w:hint="eastAsia" w:ascii="方正黑体_GBK" w:hAnsi="宋体" w:eastAsia="方正黑体_GBK"/>
                <w:color w:val="000000"/>
                <w:szCs w:val="21"/>
              </w:rPr>
              <w:t>具  体  措  施</w:t>
            </w:r>
          </w:p>
        </w:tc>
        <w:tc>
          <w:tcPr>
            <w:tcW w:w="2835" w:type="dxa"/>
            <w:noWrap w:val="0"/>
            <w:vAlign w:val="center"/>
          </w:tcPr>
          <w:p>
            <w:pPr>
              <w:adjustRightInd w:val="0"/>
              <w:snapToGrid w:val="0"/>
              <w:jc w:val="center"/>
              <w:rPr>
                <w:rFonts w:hint="eastAsia" w:ascii="方正黑体_GBK" w:eastAsia="方正黑体_GBK"/>
                <w:color w:val="000000"/>
                <w:szCs w:val="21"/>
              </w:rPr>
            </w:pPr>
            <w:r>
              <w:rPr>
                <w:rFonts w:hint="eastAsia" w:ascii="方正黑体_GBK" w:hAnsi="宋体" w:eastAsia="方正黑体_GBK"/>
                <w:color w:val="000000"/>
                <w:szCs w:val="21"/>
              </w:rPr>
              <w:t>责任单位</w:t>
            </w:r>
          </w:p>
        </w:tc>
        <w:tc>
          <w:tcPr>
            <w:tcW w:w="2126" w:type="dxa"/>
            <w:noWrap w:val="0"/>
            <w:vAlign w:val="center"/>
          </w:tcPr>
          <w:p>
            <w:pPr>
              <w:adjustRightInd w:val="0"/>
              <w:snapToGrid w:val="0"/>
              <w:jc w:val="center"/>
              <w:rPr>
                <w:rFonts w:hint="eastAsia" w:ascii="方正黑体_GBK" w:eastAsia="方正黑体_GBK"/>
                <w:color w:val="000000"/>
                <w:szCs w:val="21"/>
              </w:rPr>
            </w:pPr>
            <w:r>
              <w:rPr>
                <w:rFonts w:hint="eastAsia" w:ascii="方正黑体_GBK" w:hAnsi="宋体" w:eastAsia="方正黑体_GBK"/>
                <w:color w:val="000000"/>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1" w:hRule="atLeast"/>
        </w:trPr>
        <w:tc>
          <w:tcPr>
            <w:tcW w:w="621" w:type="dxa"/>
            <w:noWrap w:val="0"/>
            <w:vAlign w:val="center"/>
          </w:tcPr>
          <w:p>
            <w:pPr>
              <w:adjustRightInd w:val="0"/>
              <w:snapToGrid w:val="0"/>
              <w:jc w:val="center"/>
              <w:rPr>
                <w:color w:val="000000"/>
                <w:szCs w:val="21"/>
              </w:rPr>
            </w:pPr>
            <w:r>
              <w:rPr>
                <w:color w:val="000000"/>
                <w:szCs w:val="21"/>
              </w:rPr>
              <w:t>1</w:t>
            </w:r>
          </w:p>
        </w:tc>
        <w:tc>
          <w:tcPr>
            <w:tcW w:w="984" w:type="dxa"/>
            <w:noWrap w:val="0"/>
            <w:vAlign w:val="center"/>
          </w:tcPr>
          <w:p>
            <w:pPr>
              <w:adjustRightInd w:val="0"/>
              <w:snapToGrid w:val="0"/>
              <w:jc w:val="center"/>
              <w:rPr>
                <w:szCs w:val="21"/>
              </w:rPr>
            </w:pPr>
            <w:r>
              <w:rPr>
                <w:rFonts w:hAnsi="宋体"/>
                <w:szCs w:val="21"/>
              </w:rPr>
              <w:t>建立健全制度</w:t>
            </w:r>
          </w:p>
        </w:tc>
        <w:tc>
          <w:tcPr>
            <w:tcW w:w="7241" w:type="dxa"/>
            <w:noWrap w:val="0"/>
            <w:vAlign w:val="center"/>
          </w:tcPr>
          <w:p>
            <w:pPr>
              <w:adjustRightInd w:val="0"/>
              <w:snapToGrid w:val="0"/>
              <w:rPr>
                <w:szCs w:val="21"/>
              </w:rPr>
            </w:pPr>
            <w:r>
              <w:rPr>
                <w:rFonts w:hAnsi="宋体"/>
                <w:szCs w:val="21"/>
              </w:rPr>
              <w:t>根据本部门执法实际和条线要求，制定出台本部门的行政执法公示、行政执法全过程记录、重大执法决定法制审核制度。</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color w:val="000000"/>
                <w:szCs w:val="21"/>
              </w:rPr>
            </w:pPr>
            <w:r>
              <w:rPr>
                <w:szCs w:val="21"/>
              </w:rPr>
              <w:t>2019</w:t>
            </w:r>
            <w:r>
              <w:rPr>
                <w:rFonts w:hAnsi="宋体"/>
                <w:szCs w:val="21"/>
              </w:rPr>
              <w:t>年</w:t>
            </w:r>
            <w:r>
              <w:rPr>
                <w:szCs w:val="21"/>
              </w:rPr>
              <w:t>12</w:t>
            </w:r>
            <w:r>
              <w:rPr>
                <w:rFonts w:hAnsi="宋体"/>
                <w:szCs w:val="21"/>
              </w:rPr>
              <w:t>月（可直接适用省级相关规定）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621" w:type="dxa"/>
            <w:noWrap w:val="0"/>
            <w:vAlign w:val="center"/>
          </w:tcPr>
          <w:p>
            <w:pPr>
              <w:adjustRightInd w:val="0"/>
              <w:snapToGrid w:val="0"/>
              <w:jc w:val="center"/>
              <w:rPr>
                <w:color w:val="000000"/>
                <w:szCs w:val="21"/>
              </w:rPr>
            </w:pPr>
            <w:r>
              <w:rPr>
                <w:color w:val="000000"/>
                <w:szCs w:val="21"/>
              </w:rPr>
              <w:t>2</w:t>
            </w:r>
          </w:p>
        </w:tc>
        <w:tc>
          <w:tcPr>
            <w:tcW w:w="984" w:type="dxa"/>
            <w:vMerge w:val="restart"/>
            <w:noWrap w:val="0"/>
            <w:vAlign w:val="center"/>
          </w:tcPr>
          <w:p>
            <w:pPr>
              <w:adjustRightInd w:val="0"/>
              <w:snapToGrid w:val="0"/>
              <w:jc w:val="center"/>
              <w:rPr>
                <w:szCs w:val="21"/>
              </w:rPr>
            </w:pPr>
            <w:r>
              <w:rPr>
                <w:rFonts w:hAnsi="宋体"/>
                <w:szCs w:val="21"/>
              </w:rPr>
              <w:t>强化事前公开</w:t>
            </w:r>
          </w:p>
        </w:tc>
        <w:tc>
          <w:tcPr>
            <w:tcW w:w="7241" w:type="dxa"/>
            <w:noWrap w:val="0"/>
            <w:vAlign w:val="center"/>
          </w:tcPr>
          <w:p>
            <w:pPr>
              <w:adjustRightInd w:val="0"/>
              <w:snapToGrid w:val="0"/>
              <w:rPr>
                <w:szCs w:val="21"/>
              </w:rPr>
            </w:pPr>
            <w:r>
              <w:rPr>
                <w:rFonts w:hAnsi="宋体"/>
                <w:szCs w:val="21"/>
              </w:rPr>
              <w:t>根据机构改革情况，及时编制、更新本部门行政执法职权事项清单，特别是行政处罚、行政许可、行政强制、行政征收征用、行政检查五类事项。要逐项列明项目编码、执法事项名称、执法主体、承办机构或处室、执法依据、办理时限等要素。经</w:t>
            </w:r>
            <w:r>
              <w:rPr>
                <w:rFonts w:hint="eastAsia" w:hAnsi="宋体"/>
                <w:szCs w:val="21"/>
                <w:lang w:val="en-US" w:eastAsia="zh-CN"/>
              </w:rPr>
              <w:t>区</w:t>
            </w:r>
            <w:r>
              <w:rPr>
                <w:rFonts w:hAnsi="宋体"/>
                <w:szCs w:val="21"/>
              </w:rPr>
              <w:t>政府相关主管部门审核后公示，并及时更新、维护。</w:t>
            </w:r>
          </w:p>
        </w:tc>
        <w:tc>
          <w:tcPr>
            <w:tcW w:w="2835" w:type="dxa"/>
            <w:noWrap w:val="0"/>
            <w:vAlign w:val="center"/>
          </w:tcPr>
          <w:p>
            <w:pPr>
              <w:adjustRightInd w:val="0"/>
              <w:snapToGrid w:val="0"/>
              <w:jc w:val="center"/>
              <w:rPr>
                <w:spacing w:val="-6"/>
                <w:szCs w:val="21"/>
              </w:rPr>
            </w:pPr>
            <w:r>
              <w:rPr>
                <w:rFonts w:hint="eastAsia" w:hAnsi="宋体"/>
                <w:spacing w:val="-6"/>
                <w:szCs w:val="21"/>
                <w:lang w:val="en-US" w:eastAsia="zh-CN"/>
              </w:rPr>
              <w:t>区</w:t>
            </w:r>
            <w:r>
              <w:rPr>
                <w:rFonts w:hAnsi="宋体"/>
                <w:spacing w:val="-6"/>
                <w:szCs w:val="21"/>
              </w:rPr>
              <w:t>委编办、司法局、</w:t>
            </w:r>
            <w:r>
              <w:rPr>
                <w:rFonts w:hAnsi="宋体"/>
                <w:szCs w:val="21"/>
              </w:rPr>
              <w:t>政务办</w:t>
            </w:r>
            <w:r>
              <w:rPr>
                <w:rFonts w:hAnsi="宋体"/>
                <w:spacing w:val="-6"/>
                <w:szCs w:val="21"/>
              </w:rPr>
              <w:t>、市场监管局、各行政执法机关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trPr>
        <w:tc>
          <w:tcPr>
            <w:tcW w:w="621" w:type="dxa"/>
            <w:noWrap w:val="0"/>
            <w:vAlign w:val="center"/>
          </w:tcPr>
          <w:p>
            <w:pPr>
              <w:adjustRightInd w:val="0"/>
              <w:snapToGrid w:val="0"/>
              <w:jc w:val="center"/>
              <w:rPr>
                <w:color w:val="000000"/>
                <w:szCs w:val="21"/>
              </w:rPr>
            </w:pPr>
            <w:r>
              <w:rPr>
                <w:color w:val="000000"/>
                <w:szCs w:val="21"/>
              </w:rPr>
              <w:t>3</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zCs w:val="21"/>
              </w:rPr>
            </w:pPr>
            <w:r>
              <w:rPr>
                <w:rFonts w:hAnsi="宋体"/>
                <w:szCs w:val="21"/>
              </w:rPr>
              <w:t>根据相关法律、法规、规章的规定，编制或者完善本部门行政执法行为流程图、服务指南，并向社会公布。</w:t>
            </w:r>
          </w:p>
        </w:tc>
        <w:tc>
          <w:tcPr>
            <w:tcW w:w="2835" w:type="dxa"/>
            <w:noWrap w:val="0"/>
            <w:vAlign w:val="center"/>
          </w:tcPr>
          <w:p>
            <w:pPr>
              <w:adjustRightInd w:val="0"/>
              <w:snapToGrid w:val="0"/>
              <w:jc w:val="center"/>
              <w:rPr>
                <w:szCs w:val="21"/>
              </w:rPr>
            </w:pPr>
            <w:r>
              <w:rPr>
                <w:rFonts w:hAnsi="宋体"/>
                <w:szCs w:val="21"/>
              </w:rPr>
              <w:t>各行政执法机关、政务办</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9" w:hRule="atLeast"/>
        </w:trPr>
        <w:tc>
          <w:tcPr>
            <w:tcW w:w="621" w:type="dxa"/>
            <w:noWrap w:val="0"/>
            <w:vAlign w:val="center"/>
          </w:tcPr>
          <w:p>
            <w:pPr>
              <w:adjustRightInd w:val="0"/>
              <w:snapToGrid w:val="0"/>
              <w:jc w:val="center"/>
              <w:rPr>
                <w:color w:val="000000"/>
                <w:szCs w:val="21"/>
              </w:rPr>
            </w:pPr>
            <w:r>
              <w:rPr>
                <w:color w:val="000000"/>
                <w:szCs w:val="21"/>
              </w:rPr>
              <w:t>4</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zCs w:val="21"/>
              </w:rPr>
            </w:pPr>
            <w:r>
              <w:rPr>
                <w:rFonts w:hAnsi="宋体"/>
                <w:szCs w:val="21"/>
              </w:rPr>
              <w:t>完善本部门随机抽查事项清单，明确抽查主体、依据、对象、内容、比例、方式、频次等事前公开的内容。根据《江苏省全面推行行政执法公示制度执法全过程记录制度重大执法决定法制审核制度实施方案》的要求，经</w:t>
            </w:r>
            <w:r>
              <w:rPr>
                <w:rFonts w:hint="eastAsia" w:hAnsi="宋体"/>
                <w:szCs w:val="21"/>
                <w:lang w:val="en-US" w:eastAsia="zh-CN"/>
              </w:rPr>
              <w:t>区</w:t>
            </w:r>
            <w:r>
              <w:rPr>
                <w:rFonts w:hAnsi="宋体"/>
                <w:szCs w:val="21"/>
              </w:rPr>
              <w:t>市场监管</w:t>
            </w:r>
            <w:r>
              <w:rPr>
                <w:rFonts w:hint="eastAsia" w:hAnsi="宋体"/>
                <w:szCs w:val="21"/>
                <w:lang w:val="en-US" w:eastAsia="zh-CN"/>
              </w:rPr>
              <w:t>局</w:t>
            </w:r>
            <w:r>
              <w:rPr>
                <w:rFonts w:hAnsi="宋体"/>
                <w:szCs w:val="21"/>
              </w:rPr>
              <w:t>审核后予以公示。</w:t>
            </w:r>
          </w:p>
        </w:tc>
        <w:tc>
          <w:tcPr>
            <w:tcW w:w="2835" w:type="dxa"/>
            <w:noWrap w:val="0"/>
            <w:vAlign w:val="center"/>
          </w:tcPr>
          <w:p>
            <w:pPr>
              <w:adjustRightInd w:val="0"/>
              <w:snapToGrid w:val="0"/>
              <w:jc w:val="center"/>
              <w:rPr>
                <w:rFonts w:hint="eastAsia" w:eastAsia="宋体"/>
                <w:szCs w:val="21"/>
                <w:lang w:eastAsia="zh-CN"/>
              </w:rPr>
            </w:pPr>
            <w:r>
              <w:rPr>
                <w:rFonts w:hAnsi="宋体"/>
                <w:szCs w:val="21"/>
              </w:rPr>
              <w:t>各行政执法机关、市场监管</w:t>
            </w:r>
            <w:r>
              <w:rPr>
                <w:rFonts w:hint="eastAsia" w:hAnsi="宋体"/>
                <w:szCs w:val="21"/>
                <w:lang w:val="en-US" w:eastAsia="zh-CN"/>
              </w:rPr>
              <w:t>局</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trPr>
        <w:tc>
          <w:tcPr>
            <w:tcW w:w="621" w:type="dxa"/>
            <w:noWrap w:val="0"/>
            <w:vAlign w:val="center"/>
          </w:tcPr>
          <w:p>
            <w:pPr>
              <w:adjustRightInd w:val="0"/>
              <w:snapToGrid w:val="0"/>
              <w:jc w:val="center"/>
              <w:rPr>
                <w:color w:val="000000"/>
                <w:szCs w:val="21"/>
              </w:rPr>
            </w:pPr>
            <w:r>
              <w:rPr>
                <w:color w:val="000000"/>
                <w:szCs w:val="21"/>
              </w:rPr>
              <w:t>5</w:t>
            </w:r>
          </w:p>
        </w:tc>
        <w:tc>
          <w:tcPr>
            <w:tcW w:w="984" w:type="dxa"/>
            <w:vMerge w:val="restart"/>
            <w:noWrap w:val="0"/>
            <w:vAlign w:val="center"/>
          </w:tcPr>
          <w:p>
            <w:pPr>
              <w:adjustRightInd w:val="0"/>
              <w:snapToGrid w:val="0"/>
              <w:jc w:val="center"/>
              <w:rPr>
                <w:szCs w:val="21"/>
              </w:rPr>
            </w:pPr>
            <w:r>
              <w:rPr>
                <w:rFonts w:hAnsi="宋体"/>
                <w:szCs w:val="21"/>
              </w:rPr>
              <w:t>规范事中公开</w:t>
            </w:r>
          </w:p>
        </w:tc>
        <w:tc>
          <w:tcPr>
            <w:tcW w:w="7241" w:type="dxa"/>
            <w:noWrap w:val="0"/>
            <w:vAlign w:val="center"/>
          </w:tcPr>
          <w:p>
            <w:pPr>
              <w:adjustRightInd w:val="0"/>
              <w:snapToGrid w:val="0"/>
              <w:rPr>
                <w:spacing w:val="-4"/>
                <w:szCs w:val="21"/>
              </w:rPr>
            </w:pPr>
            <w:r>
              <w:rPr>
                <w:rFonts w:hAnsi="宋体"/>
                <w:spacing w:val="-4"/>
                <w:szCs w:val="21"/>
              </w:rPr>
              <w:t>公布行政执法主体和人员信息。执法人员公示信息应当包括姓名、单位、证件编号、执法类别、执法区域等。实现行政执法人员信息的网上可查询，确保行政执法主体和人员信息公开透明，随时接受群众监督。</w:t>
            </w:r>
          </w:p>
        </w:tc>
        <w:tc>
          <w:tcPr>
            <w:tcW w:w="2835" w:type="dxa"/>
            <w:noWrap w:val="0"/>
            <w:vAlign w:val="center"/>
          </w:tcPr>
          <w:p>
            <w:pPr>
              <w:adjustRightInd w:val="0"/>
              <w:snapToGrid w:val="0"/>
              <w:jc w:val="center"/>
              <w:rPr>
                <w:szCs w:val="21"/>
              </w:rPr>
            </w:pPr>
            <w:r>
              <w:rPr>
                <w:rFonts w:hint="eastAsia" w:hAnsi="宋体"/>
                <w:szCs w:val="21"/>
                <w:lang w:val="en-US" w:eastAsia="zh-CN"/>
              </w:rPr>
              <w:t>司法局</w:t>
            </w:r>
            <w:r>
              <w:rPr>
                <w:rFonts w:hAnsi="宋体"/>
                <w:szCs w:val="21"/>
              </w:rPr>
              <w:t>、政务办、行政执法机关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9" w:hRule="atLeast"/>
        </w:trPr>
        <w:tc>
          <w:tcPr>
            <w:tcW w:w="621" w:type="dxa"/>
            <w:noWrap w:val="0"/>
            <w:vAlign w:val="center"/>
          </w:tcPr>
          <w:p>
            <w:pPr>
              <w:adjustRightInd w:val="0"/>
              <w:snapToGrid w:val="0"/>
              <w:jc w:val="center"/>
              <w:rPr>
                <w:color w:val="000000"/>
                <w:szCs w:val="21"/>
              </w:rPr>
            </w:pPr>
            <w:r>
              <w:rPr>
                <w:color w:val="000000"/>
                <w:szCs w:val="21"/>
              </w:rPr>
              <w:t>6</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zCs w:val="21"/>
              </w:rPr>
            </w:pPr>
            <w:r>
              <w:rPr>
                <w:rFonts w:hAnsi="宋体"/>
                <w:szCs w:val="21"/>
              </w:rPr>
              <w:t>全面落实行政执法人员持证上岗和资格管理制度，行政执法人员在进行监督检查、调查、采取强制措施和强制执行、送达执法文书等执法活动时，必须主动向当事人和相关人员出示合法有效的行政执法证件，并按规定规范着装、佩戴标识。鼓励探索执法全程公示执法身份的有效方式。</w:t>
            </w:r>
          </w:p>
        </w:tc>
        <w:tc>
          <w:tcPr>
            <w:tcW w:w="2835" w:type="dxa"/>
            <w:noWrap w:val="0"/>
            <w:vAlign w:val="center"/>
          </w:tcPr>
          <w:p>
            <w:pPr>
              <w:adjustRightInd w:val="0"/>
              <w:snapToGrid w:val="0"/>
              <w:jc w:val="center"/>
              <w:rPr>
                <w:szCs w:val="21"/>
              </w:rPr>
            </w:pPr>
            <w:r>
              <w:rPr>
                <w:rFonts w:hint="eastAsia" w:hAnsi="宋体"/>
                <w:szCs w:val="21"/>
                <w:lang w:val="en-US" w:eastAsia="zh-CN"/>
              </w:rPr>
              <w:t>司法局</w:t>
            </w:r>
            <w:r>
              <w:rPr>
                <w:rFonts w:hAnsi="宋体"/>
                <w:szCs w:val="21"/>
              </w:rPr>
              <w:t>、行政执法机关</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4" w:hRule="atLeast"/>
        </w:trPr>
        <w:tc>
          <w:tcPr>
            <w:tcW w:w="621" w:type="dxa"/>
            <w:noWrap w:val="0"/>
            <w:vAlign w:val="center"/>
          </w:tcPr>
          <w:p>
            <w:pPr>
              <w:adjustRightInd w:val="0"/>
              <w:snapToGrid w:val="0"/>
              <w:jc w:val="center"/>
              <w:rPr>
                <w:color w:val="000000"/>
                <w:szCs w:val="21"/>
              </w:rPr>
            </w:pPr>
            <w:r>
              <w:rPr>
                <w:color w:val="000000"/>
                <w:szCs w:val="21"/>
              </w:rPr>
              <w:t>7</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zCs w:val="21"/>
              </w:rPr>
            </w:pPr>
            <w:r>
              <w:rPr>
                <w:rFonts w:hAnsi="宋体"/>
                <w:spacing w:val="-4"/>
                <w:szCs w:val="21"/>
              </w:rPr>
              <w:t>向当事人出具的执法文书应当包含执法事由、执法依据、权利义务等内容。出具执示文书时，要主动向当事人做好告知和解释工作。</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3" w:hRule="atLeast"/>
        </w:trPr>
        <w:tc>
          <w:tcPr>
            <w:tcW w:w="621" w:type="dxa"/>
            <w:noWrap w:val="0"/>
            <w:vAlign w:val="center"/>
          </w:tcPr>
          <w:p>
            <w:pPr>
              <w:adjustRightInd w:val="0"/>
              <w:snapToGrid w:val="0"/>
              <w:jc w:val="center"/>
              <w:rPr>
                <w:color w:val="000000"/>
                <w:szCs w:val="21"/>
              </w:rPr>
            </w:pPr>
            <w:r>
              <w:rPr>
                <w:color w:val="000000"/>
                <w:szCs w:val="21"/>
              </w:rPr>
              <w:t>8</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政务服务窗口要通过设置公示牌、发放宣传资料、电子触摸屏等方式公示工作人员姓名和岗位职责、服务指南、填报材料示范文本、办理进度查询、咨询服务、投诉举报等信息，方便群众办事。</w:t>
            </w:r>
          </w:p>
        </w:tc>
        <w:tc>
          <w:tcPr>
            <w:tcW w:w="2835" w:type="dxa"/>
            <w:noWrap w:val="0"/>
            <w:vAlign w:val="center"/>
          </w:tcPr>
          <w:p>
            <w:pPr>
              <w:adjustRightInd w:val="0"/>
              <w:snapToGrid w:val="0"/>
              <w:jc w:val="center"/>
              <w:rPr>
                <w:szCs w:val="21"/>
              </w:rPr>
            </w:pPr>
            <w:r>
              <w:rPr>
                <w:rFonts w:hAnsi="宋体"/>
                <w:szCs w:val="21"/>
              </w:rPr>
              <w:t>各行政执法机关、政务办</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6" w:hRule="atLeast"/>
        </w:trPr>
        <w:tc>
          <w:tcPr>
            <w:tcW w:w="621" w:type="dxa"/>
            <w:noWrap w:val="0"/>
            <w:vAlign w:val="center"/>
          </w:tcPr>
          <w:p>
            <w:pPr>
              <w:adjustRightInd w:val="0"/>
              <w:snapToGrid w:val="0"/>
              <w:jc w:val="center"/>
              <w:rPr>
                <w:color w:val="000000"/>
                <w:szCs w:val="21"/>
              </w:rPr>
            </w:pPr>
            <w:r>
              <w:rPr>
                <w:color w:val="000000"/>
                <w:szCs w:val="21"/>
              </w:rPr>
              <w:t>9</w:t>
            </w:r>
          </w:p>
        </w:tc>
        <w:tc>
          <w:tcPr>
            <w:tcW w:w="984" w:type="dxa"/>
            <w:vMerge w:val="restart"/>
            <w:noWrap w:val="0"/>
            <w:vAlign w:val="center"/>
          </w:tcPr>
          <w:p>
            <w:pPr>
              <w:adjustRightInd w:val="0"/>
              <w:snapToGrid w:val="0"/>
              <w:jc w:val="center"/>
              <w:rPr>
                <w:szCs w:val="21"/>
              </w:rPr>
            </w:pPr>
            <w:r>
              <w:rPr>
                <w:rFonts w:hAnsi="宋体"/>
                <w:szCs w:val="21"/>
              </w:rPr>
              <w:t>加强事后公开</w:t>
            </w:r>
          </w:p>
        </w:tc>
        <w:tc>
          <w:tcPr>
            <w:tcW w:w="7241" w:type="dxa"/>
            <w:noWrap w:val="0"/>
            <w:vAlign w:val="center"/>
          </w:tcPr>
          <w:p>
            <w:pPr>
              <w:adjustRightInd w:val="0"/>
              <w:snapToGrid w:val="0"/>
              <w:rPr>
                <w:spacing w:val="-4"/>
                <w:szCs w:val="21"/>
              </w:rPr>
            </w:pPr>
            <w:r>
              <w:rPr>
                <w:rFonts w:hAnsi="宋体"/>
                <w:spacing w:val="-4"/>
                <w:szCs w:val="21"/>
              </w:rPr>
              <w:t>行政执法机关要在执法决定作出</w:t>
            </w:r>
            <w:r>
              <w:rPr>
                <w:spacing w:val="-4"/>
                <w:szCs w:val="21"/>
              </w:rPr>
              <w:t>20</w:t>
            </w:r>
            <w:r>
              <w:rPr>
                <w:rFonts w:hAnsi="宋体"/>
                <w:spacing w:val="-4"/>
                <w:szCs w:val="21"/>
              </w:rPr>
              <w:t>个工作日内向社会公布相关信息，接受社会监督，行政许可、行政处罚的执法决定信息在作出执法决定之日起</w:t>
            </w:r>
            <w:r>
              <w:rPr>
                <w:spacing w:val="-4"/>
                <w:szCs w:val="21"/>
              </w:rPr>
              <w:t>7</w:t>
            </w:r>
            <w:r>
              <w:rPr>
                <w:rFonts w:hAnsi="宋体"/>
                <w:spacing w:val="-4"/>
                <w:szCs w:val="21"/>
              </w:rPr>
              <w:t>个工作日内公开，但法律、行政法规另有规定的除外。资源环境、市场监管、食品药品安全、安全生产、劳动监察、城市管理、城乡建设、交通运输等重点领域和社会关注度高的行政执法决定信息应当作为重点率先公示。各级行政执法机关要以</w:t>
            </w:r>
            <w:r>
              <w:rPr>
                <w:spacing w:val="-4"/>
                <w:szCs w:val="21"/>
              </w:rPr>
              <w:t>“</w:t>
            </w:r>
            <w:r>
              <w:rPr>
                <w:rFonts w:hAnsi="宋体"/>
                <w:spacing w:val="-4"/>
                <w:szCs w:val="21"/>
              </w:rPr>
              <w:t>公开为常态，不公开为例外</w:t>
            </w:r>
            <w:r>
              <w:rPr>
                <w:spacing w:val="-4"/>
                <w:szCs w:val="21"/>
              </w:rPr>
              <w:t>”</w:t>
            </w:r>
            <w:r>
              <w:rPr>
                <w:rFonts w:hAnsi="宋体"/>
                <w:spacing w:val="-4"/>
                <w:szCs w:val="21"/>
              </w:rPr>
              <w:t>的原则主动公开执法决定信息。</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rPr>
                <w:szCs w:val="21"/>
              </w:rPr>
            </w:pPr>
            <w:r>
              <w:rPr>
                <w:rFonts w:hAnsi="宋体"/>
                <w:szCs w:val="21"/>
              </w:rPr>
              <w:t>自然资源、生态环境、市场监管、应急管理、人社、城市管理、住建、交通运输等部门于</w:t>
            </w:r>
            <w:r>
              <w:rPr>
                <w:szCs w:val="21"/>
              </w:rPr>
              <w:t>2019</w:t>
            </w:r>
            <w:r>
              <w:rPr>
                <w:rFonts w:hAnsi="宋体"/>
                <w:szCs w:val="21"/>
              </w:rPr>
              <w:t>年</w:t>
            </w:r>
            <w:r>
              <w:rPr>
                <w:szCs w:val="21"/>
              </w:rPr>
              <w:t>6</w:t>
            </w:r>
            <w:r>
              <w:rPr>
                <w:rFonts w:hAnsi="宋体"/>
                <w:szCs w:val="21"/>
              </w:rPr>
              <w:t>月；</w:t>
            </w:r>
            <w:r>
              <w:rPr>
                <w:szCs w:val="21"/>
              </w:rPr>
              <w:t xml:space="preserve"> </w:t>
            </w:r>
            <w:r>
              <w:rPr>
                <w:rFonts w:hAnsi="宋体"/>
                <w:szCs w:val="21"/>
              </w:rPr>
              <w:t>其他行政执法机关</w:t>
            </w:r>
            <w:r>
              <w:rPr>
                <w:szCs w:val="21"/>
              </w:rPr>
              <w:t>2019</w:t>
            </w:r>
            <w:r>
              <w:rPr>
                <w:rFonts w:hAnsi="宋体"/>
                <w:szCs w:val="21"/>
              </w:rPr>
              <w:t>年</w:t>
            </w:r>
            <w:r>
              <w:rPr>
                <w:szCs w:val="21"/>
              </w:rPr>
              <w:t>9</w:t>
            </w:r>
            <w:r>
              <w:rPr>
                <w:rFonts w:hAnsi="宋体"/>
                <w:szCs w:val="21"/>
              </w:rPr>
              <w:t>月，并长期执行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9" w:hRule="atLeast"/>
        </w:trPr>
        <w:tc>
          <w:tcPr>
            <w:tcW w:w="621" w:type="dxa"/>
            <w:noWrap w:val="0"/>
            <w:vAlign w:val="center"/>
          </w:tcPr>
          <w:p>
            <w:pPr>
              <w:adjustRightInd w:val="0"/>
              <w:snapToGrid w:val="0"/>
              <w:jc w:val="center"/>
              <w:rPr>
                <w:color w:val="000000"/>
                <w:szCs w:val="21"/>
              </w:rPr>
            </w:pPr>
            <w:r>
              <w:rPr>
                <w:color w:val="000000"/>
                <w:szCs w:val="21"/>
              </w:rPr>
              <w:t>10</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建立双随机抽查公开制度，实现随机抽查事项公开、程序公开、结果公开，实行</w:t>
            </w:r>
            <w:r>
              <w:rPr>
                <w:spacing w:val="-4"/>
                <w:szCs w:val="21"/>
              </w:rPr>
              <w:t>“</w:t>
            </w:r>
            <w:r>
              <w:rPr>
                <w:rFonts w:hAnsi="宋体"/>
                <w:spacing w:val="-4"/>
                <w:szCs w:val="21"/>
              </w:rPr>
              <w:t>阳光执法</w:t>
            </w:r>
            <w:r>
              <w:rPr>
                <w:spacing w:val="-4"/>
                <w:szCs w:val="21"/>
              </w:rPr>
              <w:t>”</w:t>
            </w:r>
            <w:r>
              <w:rPr>
                <w:rFonts w:hAnsi="宋体"/>
                <w:spacing w:val="-4"/>
                <w:szCs w:val="21"/>
              </w:rPr>
              <w:t>，保障市场主体权利平等、机会平等、规则平等。</w:t>
            </w:r>
          </w:p>
        </w:tc>
        <w:tc>
          <w:tcPr>
            <w:tcW w:w="2835" w:type="dxa"/>
            <w:noWrap w:val="0"/>
            <w:vAlign w:val="center"/>
          </w:tcPr>
          <w:p>
            <w:pPr>
              <w:adjustRightInd w:val="0"/>
              <w:snapToGrid w:val="0"/>
              <w:jc w:val="center"/>
              <w:rPr>
                <w:szCs w:val="21"/>
              </w:rPr>
            </w:pPr>
            <w:r>
              <w:rPr>
                <w:rFonts w:hAnsi="宋体"/>
                <w:szCs w:val="21"/>
              </w:rPr>
              <w:t>市场监管</w:t>
            </w:r>
            <w:r>
              <w:rPr>
                <w:rFonts w:hint="eastAsia" w:hAnsi="宋体"/>
                <w:szCs w:val="21"/>
                <w:lang w:val="en-US" w:eastAsia="zh-CN"/>
              </w:rPr>
              <w:t>局</w:t>
            </w:r>
            <w:r>
              <w:rPr>
                <w:rFonts w:hAnsi="宋体"/>
                <w:szCs w:val="21"/>
              </w:rPr>
              <w:t>、行政执法机关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trPr>
        <w:tc>
          <w:tcPr>
            <w:tcW w:w="621" w:type="dxa"/>
            <w:noWrap w:val="0"/>
            <w:vAlign w:val="center"/>
          </w:tcPr>
          <w:p>
            <w:pPr>
              <w:adjustRightInd w:val="0"/>
              <w:snapToGrid w:val="0"/>
              <w:jc w:val="center"/>
              <w:rPr>
                <w:color w:val="000000"/>
                <w:szCs w:val="21"/>
              </w:rPr>
            </w:pPr>
            <w:r>
              <w:rPr>
                <w:color w:val="000000"/>
                <w:szCs w:val="21"/>
              </w:rPr>
              <w:t>11</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建立行政执法统计年报制度，行政执法机关应当于每年</w:t>
            </w:r>
            <w:r>
              <w:rPr>
                <w:spacing w:val="-4"/>
                <w:szCs w:val="21"/>
              </w:rPr>
              <w:t>1</w:t>
            </w:r>
            <w:r>
              <w:rPr>
                <w:rFonts w:hAnsi="宋体"/>
                <w:spacing w:val="-4"/>
                <w:szCs w:val="21"/>
              </w:rPr>
              <w:t>月</w:t>
            </w:r>
            <w:r>
              <w:rPr>
                <w:spacing w:val="-4"/>
                <w:szCs w:val="21"/>
              </w:rPr>
              <w:t>15</w:t>
            </w:r>
            <w:r>
              <w:rPr>
                <w:rFonts w:hAnsi="宋体"/>
                <w:spacing w:val="-4"/>
                <w:szCs w:val="21"/>
              </w:rPr>
              <w:t>日前将上年度行政执法总体情况有关数据并报</w:t>
            </w:r>
            <w:r>
              <w:rPr>
                <w:rFonts w:hint="eastAsia" w:hAnsi="宋体"/>
                <w:spacing w:val="-4"/>
                <w:szCs w:val="21"/>
                <w:lang w:val="en-US" w:eastAsia="zh-CN"/>
              </w:rPr>
              <w:t>区司法局</w:t>
            </w:r>
            <w:r>
              <w:rPr>
                <w:rFonts w:hAnsi="宋体"/>
                <w:spacing w:val="-4"/>
                <w:szCs w:val="21"/>
              </w:rPr>
              <w:t>和上级主管部门；</w:t>
            </w:r>
            <w:r>
              <w:rPr>
                <w:rFonts w:hint="eastAsia" w:hAnsi="宋体"/>
                <w:spacing w:val="-4"/>
                <w:szCs w:val="21"/>
                <w:lang w:val="en-US" w:eastAsia="zh-CN"/>
              </w:rPr>
              <w:t>区司法局</w:t>
            </w:r>
            <w:r>
              <w:rPr>
                <w:rFonts w:hAnsi="宋体"/>
                <w:spacing w:val="-4"/>
                <w:szCs w:val="21"/>
              </w:rPr>
              <w:t>将本地行政执法机关的执法总体情况有关数据汇总后报</w:t>
            </w:r>
            <w:r>
              <w:rPr>
                <w:rFonts w:hint="eastAsia" w:hAnsi="宋体"/>
                <w:spacing w:val="-4"/>
                <w:szCs w:val="21"/>
                <w:lang w:val="en-US" w:eastAsia="zh-CN"/>
              </w:rPr>
              <w:t>区</w:t>
            </w:r>
            <w:r>
              <w:rPr>
                <w:rFonts w:hAnsi="宋体"/>
                <w:spacing w:val="-4"/>
                <w:szCs w:val="21"/>
              </w:rPr>
              <w:t>政府和上级司法行政部门。</w:t>
            </w:r>
            <w:r>
              <w:rPr>
                <w:spacing w:val="-4"/>
                <w:szCs w:val="21"/>
              </w:rPr>
              <w:t>1</w:t>
            </w:r>
            <w:r>
              <w:rPr>
                <w:rFonts w:hAnsi="宋体"/>
                <w:spacing w:val="-4"/>
                <w:szCs w:val="21"/>
              </w:rPr>
              <w:t>月</w:t>
            </w:r>
            <w:r>
              <w:rPr>
                <w:spacing w:val="-4"/>
                <w:szCs w:val="21"/>
              </w:rPr>
              <w:t>31</w:t>
            </w:r>
            <w:r>
              <w:rPr>
                <w:rFonts w:hAnsi="宋体"/>
                <w:spacing w:val="-4"/>
                <w:szCs w:val="21"/>
              </w:rPr>
              <w:t>日前，各行政执法机关向社会公开本机关上年度行政执法总体情况有关数据。</w:t>
            </w:r>
          </w:p>
        </w:tc>
        <w:tc>
          <w:tcPr>
            <w:tcW w:w="2835" w:type="dxa"/>
            <w:noWrap w:val="0"/>
            <w:vAlign w:val="center"/>
          </w:tcPr>
          <w:p>
            <w:pPr>
              <w:adjustRightInd w:val="0"/>
              <w:snapToGrid w:val="0"/>
              <w:jc w:val="center"/>
              <w:rPr>
                <w:szCs w:val="21"/>
              </w:rPr>
            </w:pPr>
            <w:r>
              <w:rPr>
                <w:rFonts w:hint="eastAsia" w:hAnsi="宋体"/>
                <w:szCs w:val="21"/>
                <w:lang w:val="en-US" w:eastAsia="zh-CN"/>
              </w:rPr>
              <w:t>司法局</w:t>
            </w:r>
            <w:r>
              <w:rPr>
                <w:rFonts w:hAnsi="宋体"/>
                <w:szCs w:val="21"/>
              </w:rPr>
              <w:t>、行政执法机关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9</w:t>
            </w:r>
            <w:r>
              <w:rPr>
                <w:rFonts w:hAnsi="宋体"/>
                <w:szCs w:val="21"/>
              </w:rPr>
              <w:t>月，并长期执行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12</w:t>
            </w:r>
          </w:p>
        </w:tc>
        <w:tc>
          <w:tcPr>
            <w:tcW w:w="984" w:type="dxa"/>
            <w:vMerge w:val="restart"/>
            <w:noWrap w:val="0"/>
            <w:vAlign w:val="center"/>
          </w:tcPr>
          <w:p>
            <w:pPr>
              <w:adjustRightInd w:val="0"/>
              <w:snapToGrid w:val="0"/>
              <w:jc w:val="center"/>
              <w:rPr>
                <w:szCs w:val="21"/>
              </w:rPr>
            </w:pPr>
            <w:r>
              <w:rPr>
                <w:rFonts w:hAnsi="宋体"/>
                <w:szCs w:val="21"/>
              </w:rPr>
              <w:t>明确公示载体</w:t>
            </w:r>
          </w:p>
        </w:tc>
        <w:tc>
          <w:tcPr>
            <w:tcW w:w="7241" w:type="dxa"/>
            <w:noWrap w:val="0"/>
            <w:vAlign w:val="center"/>
          </w:tcPr>
          <w:p>
            <w:pPr>
              <w:adjustRightInd w:val="0"/>
              <w:snapToGrid w:val="0"/>
              <w:rPr>
                <w:spacing w:val="-4"/>
                <w:szCs w:val="21"/>
              </w:rPr>
            </w:pPr>
            <w:r>
              <w:rPr>
                <w:rFonts w:hAnsi="宋体"/>
                <w:spacing w:val="-4"/>
                <w:szCs w:val="21"/>
              </w:rPr>
              <w:t>根据省</w:t>
            </w:r>
            <w:r>
              <w:rPr>
                <w:rFonts w:hint="eastAsia" w:hAnsi="宋体"/>
                <w:spacing w:val="-4"/>
                <w:szCs w:val="21"/>
                <w:lang w:eastAsia="zh-CN"/>
              </w:rPr>
              <w:t>、</w:t>
            </w:r>
            <w:r>
              <w:rPr>
                <w:rFonts w:hint="eastAsia" w:hAnsi="宋体"/>
                <w:spacing w:val="-4"/>
                <w:szCs w:val="21"/>
                <w:lang w:val="en-US" w:eastAsia="zh-CN"/>
              </w:rPr>
              <w:t>市</w:t>
            </w:r>
            <w:r>
              <w:rPr>
                <w:rFonts w:hAnsi="宋体"/>
                <w:spacing w:val="-4"/>
                <w:szCs w:val="21"/>
              </w:rPr>
              <w:t>和上级条线要求，建设统一的行政执法信息公示平台，以已有的权力清单为基础，进一步完善权力清单和执法流程图，增加行政执法主体和执法人员、执法决定、救济渠道等信息，实现全</w:t>
            </w:r>
            <w:r>
              <w:rPr>
                <w:rFonts w:hint="eastAsia" w:hAnsi="宋体"/>
                <w:spacing w:val="-4"/>
                <w:szCs w:val="21"/>
                <w:lang w:val="en-US" w:eastAsia="zh-CN"/>
              </w:rPr>
              <w:t>区</w:t>
            </w:r>
            <w:r>
              <w:rPr>
                <w:rFonts w:hAnsi="宋体"/>
                <w:spacing w:val="-4"/>
                <w:szCs w:val="21"/>
              </w:rPr>
              <w:t>所有行政执法机关执法公示信息的归集和公示，保障行政相对人和社会公众的知情权、参与权和监督权。</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13</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积极支持统一的行政执法信息公示平台建设，及时组织行政执法机关做好执法信息公示的归集、更新、维护等工作。有门户网站或者其他政务新媒体的行政执法机关，应当在门户网站或者其他政务新媒体上同时公示行政执法信息。</w:t>
            </w:r>
          </w:p>
        </w:tc>
        <w:tc>
          <w:tcPr>
            <w:tcW w:w="2835" w:type="dxa"/>
            <w:noWrap w:val="0"/>
            <w:vAlign w:val="center"/>
          </w:tcPr>
          <w:p>
            <w:pPr>
              <w:adjustRightInd w:val="0"/>
              <w:snapToGrid w:val="0"/>
              <w:jc w:val="center"/>
              <w:rPr>
                <w:spacing w:val="-10"/>
                <w:szCs w:val="21"/>
              </w:rPr>
            </w:pPr>
            <w:r>
              <w:rPr>
                <w:rFonts w:hAnsi="宋体"/>
                <w:spacing w:val="-10"/>
                <w:szCs w:val="21"/>
              </w:rPr>
              <w:t>相关行政执法机关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14</w:t>
            </w:r>
          </w:p>
        </w:tc>
        <w:tc>
          <w:tcPr>
            <w:tcW w:w="984" w:type="dxa"/>
            <w:noWrap w:val="0"/>
            <w:vAlign w:val="center"/>
          </w:tcPr>
          <w:p>
            <w:pPr>
              <w:adjustRightInd w:val="0"/>
              <w:snapToGrid w:val="0"/>
              <w:jc w:val="center"/>
              <w:rPr>
                <w:szCs w:val="21"/>
              </w:rPr>
            </w:pPr>
            <w:r>
              <w:rPr>
                <w:rFonts w:hAnsi="宋体"/>
                <w:szCs w:val="21"/>
              </w:rPr>
              <w:t>推行音像记录</w:t>
            </w:r>
          </w:p>
        </w:tc>
        <w:tc>
          <w:tcPr>
            <w:tcW w:w="7241" w:type="dxa"/>
            <w:noWrap w:val="0"/>
            <w:vAlign w:val="center"/>
          </w:tcPr>
          <w:p>
            <w:pPr>
              <w:adjustRightInd w:val="0"/>
              <w:snapToGrid w:val="0"/>
              <w:rPr>
                <w:spacing w:val="-4"/>
                <w:szCs w:val="21"/>
              </w:rPr>
            </w:pPr>
            <w:r>
              <w:rPr>
                <w:rFonts w:hAnsi="宋体"/>
                <w:spacing w:val="-4"/>
                <w:szCs w:val="21"/>
              </w:rPr>
              <w:t>有条件的部门可以按照工作必需、厉行节约、性能适度、安全稳定、适量够用的原则，建设询问室和听证室等音像记录场所。公安、市场监管、农业农村、生态环境、文广旅、交通运输、应急管理等重点行政执法部门和行使相对集中行政处罚权的机关，原则上按照不低于其执法人员和执法辅助人员数</w:t>
            </w:r>
            <w:r>
              <w:rPr>
                <w:spacing w:val="-4"/>
                <w:szCs w:val="21"/>
              </w:rPr>
              <w:t>2:1</w:t>
            </w:r>
            <w:r>
              <w:rPr>
                <w:rFonts w:hAnsi="宋体"/>
                <w:spacing w:val="-4"/>
                <w:szCs w:val="21"/>
              </w:rPr>
              <w:t>的标准配备执法记录仪等移动执法设备，其他执法部门应当按一定比例配备与其任务相适应的设备。进一步规范音像记录，根据行政执法行为的不同类别、阶段、环节，采用相应音像记录形式，充分发挥音像记录直观有力的证据作用、规范执法的监督作用、依法履职的保障作用。</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szCs w:val="21"/>
              </w:rPr>
              <w:t>2020</w:t>
            </w:r>
            <w:r>
              <w:rPr>
                <w:rFonts w:hAnsi="宋体"/>
                <w:szCs w:val="21"/>
              </w:rPr>
              <w:t>年</w:t>
            </w:r>
            <w:r>
              <w:rPr>
                <w:szCs w:val="21"/>
              </w:rPr>
              <w:t>12</w:t>
            </w:r>
            <w:r>
              <w:rPr>
                <w:rFonts w:hAnsi="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15</w:t>
            </w:r>
          </w:p>
        </w:tc>
        <w:tc>
          <w:tcPr>
            <w:tcW w:w="984" w:type="dxa"/>
            <w:vMerge w:val="restart"/>
            <w:noWrap w:val="0"/>
            <w:vAlign w:val="center"/>
          </w:tcPr>
          <w:p>
            <w:pPr>
              <w:adjustRightInd w:val="0"/>
              <w:snapToGrid w:val="0"/>
              <w:jc w:val="center"/>
              <w:rPr>
                <w:szCs w:val="21"/>
              </w:rPr>
            </w:pPr>
            <w:r>
              <w:rPr>
                <w:rFonts w:hAnsi="宋体"/>
                <w:szCs w:val="21"/>
              </w:rPr>
              <w:t>发挥记录实效</w:t>
            </w:r>
          </w:p>
        </w:tc>
        <w:tc>
          <w:tcPr>
            <w:tcW w:w="7241" w:type="dxa"/>
            <w:noWrap w:val="0"/>
            <w:vAlign w:val="center"/>
          </w:tcPr>
          <w:p>
            <w:pPr>
              <w:adjustRightInd w:val="0"/>
              <w:snapToGrid w:val="0"/>
              <w:rPr>
                <w:spacing w:val="-4"/>
                <w:szCs w:val="21"/>
              </w:rPr>
            </w:pPr>
            <w:r>
              <w:rPr>
                <w:rFonts w:hAnsi="宋体"/>
                <w:spacing w:val="-4"/>
                <w:szCs w:val="21"/>
              </w:rPr>
              <w:t>行政执法机关要充分发挥全过程记录信息对案卷评查、执法监督、评议考核、舆情应对、行政决策和健全社会信用体系等工作的积极作用，善于通过各种途径和方式，发现行政执法薄弱环节，改进行政执法工作，依法公正维护执法人员和行政相对人的合法权益。</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trPr>
        <w:tc>
          <w:tcPr>
            <w:tcW w:w="621" w:type="dxa"/>
            <w:noWrap w:val="0"/>
            <w:vAlign w:val="center"/>
          </w:tcPr>
          <w:p>
            <w:pPr>
              <w:adjustRightInd w:val="0"/>
              <w:snapToGrid w:val="0"/>
              <w:jc w:val="center"/>
              <w:rPr>
                <w:color w:val="000000"/>
                <w:szCs w:val="21"/>
              </w:rPr>
            </w:pPr>
            <w:r>
              <w:rPr>
                <w:color w:val="000000"/>
                <w:szCs w:val="21"/>
              </w:rPr>
              <w:t>16</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鼓励</w:t>
            </w:r>
            <w:r>
              <w:rPr>
                <w:rFonts w:hint="eastAsia" w:hAnsi="宋体"/>
                <w:spacing w:val="-4"/>
                <w:szCs w:val="21"/>
                <w:lang w:val="en-US" w:eastAsia="zh-CN"/>
              </w:rPr>
              <w:t>各地</w:t>
            </w:r>
            <w:r>
              <w:rPr>
                <w:rFonts w:hAnsi="宋体"/>
                <w:spacing w:val="-4"/>
                <w:szCs w:val="21"/>
              </w:rPr>
              <w:t>各部门按照不同的执法类别、执法环节制作音像记录示范视频，指导</w:t>
            </w:r>
            <w:r>
              <w:rPr>
                <w:rFonts w:hint="eastAsia" w:hAnsi="宋体"/>
                <w:spacing w:val="-4"/>
                <w:szCs w:val="21"/>
                <w:lang w:val="en-US" w:eastAsia="zh-CN"/>
              </w:rPr>
              <w:t>本地区</w:t>
            </w:r>
            <w:r>
              <w:rPr>
                <w:rFonts w:hAnsi="宋体"/>
                <w:spacing w:val="-4"/>
                <w:szCs w:val="21"/>
              </w:rPr>
              <w:t>行政执法主体开展音像记录。</w:t>
            </w:r>
          </w:p>
        </w:tc>
        <w:tc>
          <w:tcPr>
            <w:tcW w:w="2835" w:type="dxa"/>
            <w:noWrap w:val="0"/>
            <w:vAlign w:val="center"/>
          </w:tcPr>
          <w:p>
            <w:pPr>
              <w:adjustRightInd w:val="0"/>
              <w:snapToGrid w:val="0"/>
              <w:jc w:val="center"/>
              <w:rPr>
                <w:szCs w:val="21"/>
              </w:rPr>
            </w:pPr>
            <w:r>
              <w:rPr>
                <w:rFonts w:hAnsi="宋体"/>
                <w:szCs w:val="21"/>
              </w:rPr>
              <w:t>各级行政执法机关</w:t>
            </w:r>
          </w:p>
        </w:tc>
        <w:tc>
          <w:tcPr>
            <w:tcW w:w="2126" w:type="dxa"/>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trPr>
        <w:tc>
          <w:tcPr>
            <w:tcW w:w="621" w:type="dxa"/>
            <w:noWrap w:val="0"/>
            <w:vAlign w:val="center"/>
          </w:tcPr>
          <w:p>
            <w:pPr>
              <w:adjustRightInd w:val="0"/>
              <w:snapToGrid w:val="0"/>
              <w:jc w:val="center"/>
              <w:rPr>
                <w:color w:val="000000"/>
                <w:szCs w:val="21"/>
              </w:rPr>
            </w:pPr>
            <w:r>
              <w:rPr>
                <w:color w:val="000000"/>
                <w:szCs w:val="21"/>
              </w:rPr>
              <w:t>17</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司法行政部门要切实履行行政执法监督职能，建立健全记录信息调阅监督制度，做到可实时调阅，切实加强监督，确保行政执法文字记录、音像记录规范、合法、有效。</w:t>
            </w:r>
          </w:p>
        </w:tc>
        <w:tc>
          <w:tcPr>
            <w:tcW w:w="2835" w:type="dxa"/>
            <w:noWrap w:val="0"/>
            <w:vAlign w:val="center"/>
          </w:tcPr>
          <w:p>
            <w:pPr>
              <w:adjustRightInd w:val="0"/>
              <w:snapToGrid w:val="0"/>
              <w:jc w:val="center"/>
              <w:rPr>
                <w:rFonts w:hint="eastAsia" w:eastAsia="宋体"/>
                <w:szCs w:val="21"/>
                <w:lang w:eastAsia="zh-CN"/>
              </w:rPr>
            </w:pPr>
            <w:r>
              <w:rPr>
                <w:rFonts w:hint="eastAsia" w:hAnsi="宋体"/>
                <w:szCs w:val="21"/>
                <w:lang w:val="en-US" w:eastAsia="zh-CN"/>
              </w:rPr>
              <w:t>司法局</w:t>
            </w:r>
          </w:p>
        </w:tc>
        <w:tc>
          <w:tcPr>
            <w:tcW w:w="2126" w:type="dxa"/>
            <w:noWrap w:val="0"/>
            <w:vAlign w:val="center"/>
          </w:tcPr>
          <w:p>
            <w:pPr>
              <w:adjustRightInd w:val="0"/>
              <w:snapToGrid w:val="0"/>
              <w:jc w:val="center"/>
              <w:rPr>
                <w:szCs w:val="21"/>
              </w:rPr>
            </w:pPr>
            <w:r>
              <w:rPr>
                <w:szCs w:val="21"/>
              </w:rPr>
              <w:t>2020</w:t>
            </w:r>
            <w:r>
              <w:rPr>
                <w:rFonts w:hAnsi="宋体"/>
                <w:szCs w:val="21"/>
              </w:rPr>
              <w:t>年</w:t>
            </w:r>
            <w:r>
              <w:rPr>
                <w:szCs w:val="21"/>
              </w:rPr>
              <w:t>6</w:t>
            </w:r>
            <w:r>
              <w:rPr>
                <w:rFonts w:hAnsi="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71" w:hRule="atLeast"/>
        </w:trPr>
        <w:tc>
          <w:tcPr>
            <w:tcW w:w="621" w:type="dxa"/>
            <w:noWrap w:val="0"/>
            <w:vAlign w:val="center"/>
          </w:tcPr>
          <w:p>
            <w:pPr>
              <w:adjustRightInd w:val="0"/>
              <w:snapToGrid w:val="0"/>
              <w:jc w:val="center"/>
              <w:rPr>
                <w:color w:val="000000"/>
                <w:szCs w:val="21"/>
              </w:rPr>
            </w:pPr>
            <w:r>
              <w:rPr>
                <w:color w:val="000000"/>
                <w:szCs w:val="21"/>
              </w:rPr>
              <w:t>18</w:t>
            </w:r>
          </w:p>
        </w:tc>
        <w:tc>
          <w:tcPr>
            <w:tcW w:w="984" w:type="dxa"/>
            <w:noWrap w:val="0"/>
            <w:vAlign w:val="center"/>
          </w:tcPr>
          <w:p>
            <w:pPr>
              <w:adjustRightInd w:val="0"/>
              <w:snapToGrid w:val="0"/>
              <w:jc w:val="center"/>
              <w:rPr>
                <w:szCs w:val="21"/>
              </w:rPr>
            </w:pPr>
            <w:r>
              <w:rPr>
                <w:rFonts w:hAnsi="宋体"/>
                <w:szCs w:val="21"/>
              </w:rPr>
              <w:t>落实审核主体</w:t>
            </w:r>
          </w:p>
        </w:tc>
        <w:tc>
          <w:tcPr>
            <w:tcW w:w="7241" w:type="dxa"/>
            <w:noWrap w:val="0"/>
            <w:vAlign w:val="center"/>
          </w:tcPr>
          <w:p>
            <w:pPr>
              <w:pStyle w:val="6"/>
              <w:snapToGrid w:val="0"/>
              <w:jc w:val="both"/>
              <w:rPr>
                <w:rFonts w:ascii="Times New Roman" w:cs="Times New Roman"/>
                <w:sz w:val="21"/>
                <w:szCs w:val="21"/>
              </w:rPr>
            </w:pPr>
            <w:r>
              <w:rPr>
                <w:rFonts w:ascii="Times New Roman" w:hAnsi="宋体" w:cs="Times New Roman"/>
                <w:sz w:val="21"/>
                <w:szCs w:val="21"/>
              </w:rPr>
              <w:t>在机构改革中要统筹考虑、合理设置机构和配备人员，确保法制审核工作有机构承担、有专人负责。原则上各行政执法机关的法制审核人员不得少于本单位执法人员总数的</w:t>
            </w:r>
            <w:r>
              <w:rPr>
                <w:rFonts w:ascii="Times New Roman" w:cs="Times New Roman"/>
                <w:sz w:val="21"/>
                <w:szCs w:val="21"/>
              </w:rPr>
              <w:t>5%</w:t>
            </w:r>
            <w:r>
              <w:rPr>
                <w:rFonts w:ascii="Times New Roman" w:hAnsi="宋体" w:cs="Times New Roman"/>
                <w:sz w:val="21"/>
                <w:szCs w:val="21"/>
              </w:rPr>
              <w:t>。要加强法制审核队伍的正规化、专业化、职业化建设，把政治素质高、业务能力强、具有法律专业素养的人员调整到法制审核岗位。建立法制审核人员定期培训制度。法制审核人员配备暂时达不到要求、无法与形势任务相适应的，可以通过进一步建立健全法律顾问、公职律师制度，明确法律顾问和公职律师在法制审核中的职责，充分发挥法律顾问、公职律师在法制审核工作中的作用。</w:t>
            </w:r>
            <w:r>
              <w:rPr>
                <w:rFonts w:ascii="Times New Roman" w:cs="Times New Roman"/>
                <w:sz w:val="21"/>
                <w:szCs w:val="21"/>
              </w:rPr>
              <w:t xml:space="preserve"> </w:t>
            </w:r>
          </w:p>
        </w:tc>
        <w:tc>
          <w:tcPr>
            <w:tcW w:w="2835" w:type="dxa"/>
            <w:noWrap w:val="0"/>
            <w:vAlign w:val="center"/>
          </w:tcPr>
          <w:p>
            <w:pPr>
              <w:adjustRightInd w:val="0"/>
              <w:snapToGrid w:val="0"/>
              <w:jc w:val="center"/>
              <w:rPr>
                <w:szCs w:val="21"/>
              </w:rPr>
            </w:pPr>
            <w:r>
              <w:rPr>
                <w:rFonts w:hint="eastAsia" w:hAnsi="宋体"/>
                <w:szCs w:val="21"/>
                <w:lang w:val="en-US" w:eastAsia="zh-CN"/>
              </w:rPr>
              <w:t>区</w:t>
            </w:r>
            <w:r>
              <w:rPr>
                <w:rFonts w:hAnsi="宋体"/>
                <w:szCs w:val="21"/>
              </w:rPr>
              <w:t>委编办、司法局、各行政执法机关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4" w:hRule="atLeast"/>
        </w:trPr>
        <w:tc>
          <w:tcPr>
            <w:tcW w:w="621" w:type="dxa"/>
            <w:noWrap w:val="0"/>
            <w:vAlign w:val="center"/>
          </w:tcPr>
          <w:p>
            <w:pPr>
              <w:adjustRightInd w:val="0"/>
              <w:snapToGrid w:val="0"/>
              <w:jc w:val="center"/>
              <w:rPr>
                <w:color w:val="000000"/>
                <w:szCs w:val="21"/>
              </w:rPr>
            </w:pPr>
            <w:r>
              <w:rPr>
                <w:color w:val="000000"/>
                <w:szCs w:val="21"/>
              </w:rPr>
              <w:t>19</w:t>
            </w:r>
          </w:p>
        </w:tc>
        <w:tc>
          <w:tcPr>
            <w:tcW w:w="984" w:type="dxa"/>
            <w:noWrap w:val="0"/>
            <w:vAlign w:val="center"/>
          </w:tcPr>
          <w:p>
            <w:pPr>
              <w:adjustRightInd w:val="0"/>
              <w:snapToGrid w:val="0"/>
              <w:jc w:val="center"/>
              <w:rPr>
                <w:szCs w:val="21"/>
              </w:rPr>
            </w:pPr>
            <w:r>
              <w:rPr>
                <w:rFonts w:hAnsi="宋体"/>
                <w:szCs w:val="21"/>
              </w:rPr>
              <w:t>明确审核范围</w:t>
            </w:r>
          </w:p>
        </w:tc>
        <w:tc>
          <w:tcPr>
            <w:tcW w:w="7241" w:type="dxa"/>
            <w:noWrap w:val="0"/>
            <w:vAlign w:val="center"/>
          </w:tcPr>
          <w:p>
            <w:pPr>
              <w:adjustRightInd w:val="0"/>
              <w:snapToGrid w:val="0"/>
              <w:rPr>
                <w:spacing w:val="-4"/>
                <w:szCs w:val="21"/>
              </w:rPr>
            </w:pPr>
            <w:r>
              <w:rPr>
                <w:rFonts w:hAnsi="宋体"/>
                <w:spacing w:val="-4"/>
                <w:szCs w:val="21"/>
              </w:rPr>
              <w:t>各行政执法机关要根据本系统确定的法制审核范围，编制本机关行政许可、行政处罚、行政强制、行政征收征用四类执法行为的重大执法决定法制审核目录清单，并向社会公布。</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8</w:t>
            </w:r>
            <w:r>
              <w:rPr>
                <w:rFonts w:hAnsi="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20</w:t>
            </w:r>
          </w:p>
        </w:tc>
        <w:tc>
          <w:tcPr>
            <w:tcW w:w="984" w:type="dxa"/>
            <w:noWrap w:val="0"/>
            <w:vAlign w:val="center"/>
          </w:tcPr>
          <w:p>
            <w:pPr>
              <w:adjustRightInd w:val="0"/>
              <w:snapToGrid w:val="0"/>
              <w:jc w:val="center"/>
              <w:rPr>
                <w:szCs w:val="21"/>
              </w:rPr>
            </w:pPr>
            <w:r>
              <w:rPr>
                <w:rFonts w:hAnsi="宋体"/>
                <w:szCs w:val="21"/>
              </w:rPr>
              <w:t>明确审核内容</w:t>
            </w:r>
          </w:p>
        </w:tc>
        <w:tc>
          <w:tcPr>
            <w:tcW w:w="7241" w:type="dxa"/>
            <w:noWrap w:val="0"/>
            <w:vAlign w:val="center"/>
          </w:tcPr>
          <w:p>
            <w:pPr>
              <w:adjustRightInd w:val="0"/>
              <w:snapToGrid w:val="0"/>
              <w:rPr>
                <w:spacing w:val="-4"/>
                <w:szCs w:val="21"/>
              </w:rPr>
            </w:pPr>
            <w:r>
              <w:rPr>
                <w:rFonts w:hint="eastAsia" w:hAnsi="宋体"/>
                <w:spacing w:val="-4"/>
                <w:szCs w:val="21"/>
                <w:lang w:val="en-US" w:eastAsia="zh-CN"/>
              </w:rPr>
              <w:t>各地</w:t>
            </w:r>
            <w:r>
              <w:rPr>
                <w:rFonts w:hAnsi="宋体"/>
                <w:spacing w:val="-4"/>
                <w:szCs w:val="21"/>
              </w:rPr>
              <w:t>各部门要根据执法实际确定法制审核的范围和内容。法制审核机构应当从行政执法主体、人员、程序是否合法，案件的事实是否清楚、证据是否全面、适用法律法规规章和裁量基准运用是否准确，行政执法文书是否完备、规范，违法行为是否涉嫌犯罪、需要移送司法机关等方面进行审核。法制审核机构完成审核后，要形成具体的书面审核意见送给行政执法承办机构。行政执法承办机构要对法制审核机构提出存在问题的审核意见进行研究，作出相应处理后再次报送法制审核。</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21</w:t>
            </w:r>
          </w:p>
        </w:tc>
        <w:tc>
          <w:tcPr>
            <w:tcW w:w="984" w:type="dxa"/>
            <w:noWrap w:val="0"/>
            <w:vAlign w:val="center"/>
          </w:tcPr>
          <w:p>
            <w:pPr>
              <w:adjustRightInd w:val="0"/>
              <w:snapToGrid w:val="0"/>
              <w:jc w:val="center"/>
              <w:rPr>
                <w:szCs w:val="21"/>
              </w:rPr>
            </w:pPr>
            <w:r>
              <w:rPr>
                <w:rFonts w:hAnsi="宋体"/>
                <w:szCs w:val="21"/>
              </w:rPr>
              <w:t>明确审核责任</w:t>
            </w:r>
          </w:p>
        </w:tc>
        <w:tc>
          <w:tcPr>
            <w:tcW w:w="7241" w:type="dxa"/>
            <w:noWrap w:val="0"/>
            <w:vAlign w:val="center"/>
          </w:tcPr>
          <w:p>
            <w:pPr>
              <w:adjustRightInd w:val="0"/>
              <w:snapToGrid w:val="0"/>
              <w:rPr>
                <w:spacing w:val="-4"/>
                <w:szCs w:val="21"/>
              </w:rPr>
            </w:pPr>
            <w:r>
              <w:rPr>
                <w:rFonts w:hAnsi="宋体"/>
                <w:spacing w:val="-4"/>
                <w:szCs w:val="21"/>
              </w:rPr>
              <w:t>各行政执法机关的主要负责人是推动落实本机关重大执法决定法制审核制度的第一责任人，对本机关作出的行政执法决定负责。行政执法承办机构对送审材料的真实性、准确性、完整性，以及执法的事实、证据、法律适用、程序的合法性负责。法制审核机构对重大执法决定的法制审核意见负责。因滥用职权、玩忽职守、徇私枉法，使送审材料不真实、不准确、不完整导致法制审核意见、行政执法决定错误的，行政执法承办机构及其承办人员应当承担相应的责任；出具法制审核意见错误导致行政执法决定错误的，法制审核机构及其承办人员应当承担相应的责任；审批行政执法决定的负责人改变执法承办机构、法制审核机构意见导致行政执法决定错误的，由相关负责人承担相应责任。</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22</w:t>
            </w:r>
          </w:p>
        </w:tc>
        <w:tc>
          <w:tcPr>
            <w:tcW w:w="984" w:type="dxa"/>
            <w:vMerge w:val="restart"/>
            <w:noWrap w:val="0"/>
            <w:vAlign w:val="center"/>
          </w:tcPr>
          <w:p>
            <w:pPr>
              <w:adjustRightInd w:val="0"/>
              <w:snapToGrid w:val="0"/>
              <w:jc w:val="center"/>
              <w:rPr>
                <w:rFonts w:hint="eastAsia" w:hAnsi="宋体"/>
                <w:szCs w:val="21"/>
              </w:rPr>
            </w:pPr>
            <w:r>
              <w:rPr>
                <w:rFonts w:hAnsi="宋体"/>
                <w:szCs w:val="21"/>
              </w:rPr>
              <w:t>加强信息化平台</w:t>
            </w:r>
          </w:p>
          <w:p>
            <w:pPr>
              <w:adjustRightInd w:val="0"/>
              <w:snapToGrid w:val="0"/>
              <w:jc w:val="center"/>
              <w:rPr>
                <w:szCs w:val="21"/>
              </w:rPr>
            </w:pPr>
            <w:r>
              <w:rPr>
                <w:rFonts w:hAnsi="宋体"/>
                <w:szCs w:val="21"/>
              </w:rPr>
              <w:t>建设</w:t>
            </w:r>
          </w:p>
        </w:tc>
        <w:tc>
          <w:tcPr>
            <w:tcW w:w="7241" w:type="dxa"/>
            <w:noWrap w:val="0"/>
            <w:vAlign w:val="center"/>
          </w:tcPr>
          <w:p>
            <w:pPr>
              <w:adjustRightInd w:val="0"/>
              <w:snapToGrid w:val="0"/>
              <w:rPr>
                <w:spacing w:val="-4"/>
                <w:szCs w:val="21"/>
              </w:rPr>
            </w:pPr>
            <w:r>
              <w:rPr>
                <w:rFonts w:hAnsi="宋体"/>
                <w:spacing w:val="-4"/>
                <w:szCs w:val="21"/>
              </w:rPr>
              <w:t>已建成相关平台或者系统的</w:t>
            </w:r>
            <w:r>
              <w:rPr>
                <w:rFonts w:hint="eastAsia" w:hAnsi="宋体"/>
                <w:spacing w:val="-4"/>
                <w:szCs w:val="21"/>
                <w:lang w:val="en-US" w:eastAsia="zh-CN"/>
              </w:rPr>
              <w:t>地方和</w:t>
            </w:r>
            <w:r>
              <w:rPr>
                <w:rFonts w:hAnsi="宋体"/>
                <w:spacing w:val="-4"/>
                <w:szCs w:val="21"/>
              </w:rPr>
              <w:t>部门，要积极做好与行政执法信息公示平台和行政执法综合管理监督信息系统数据对接；尚未建立执法信息公示平台和综合管理监督系统的</w:t>
            </w:r>
            <w:r>
              <w:rPr>
                <w:rFonts w:hint="eastAsia" w:hAnsi="宋体"/>
                <w:spacing w:val="-4"/>
                <w:szCs w:val="21"/>
                <w:lang w:val="en-US" w:eastAsia="zh-CN"/>
              </w:rPr>
              <w:t>地方和</w:t>
            </w:r>
            <w:r>
              <w:rPr>
                <w:rFonts w:hAnsi="宋体"/>
                <w:spacing w:val="-4"/>
                <w:szCs w:val="21"/>
              </w:rPr>
              <w:t>部门，可以直接使用省行政执法信息公示平台和行政执法综合管理监督信息系统。</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1" w:hRule="atLeast"/>
        </w:trPr>
        <w:tc>
          <w:tcPr>
            <w:tcW w:w="621" w:type="dxa"/>
            <w:noWrap w:val="0"/>
            <w:vAlign w:val="center"/>
          </w:tcPr>
          <w:p>
            <w:pPr>
              <w:adjustRightInd w:val="0"/>
              <w:snapToGrid w:val="0"/>
              <w:jc w:val="center"/>
              <w:rPr>
                <w:color w:val="000000"/>
                <w:szCs w:val="21"/>
              </w:rPr>
            </w:pPr>
            <w:r>
              <w:rPr>
                <w:color w:val="000000"/>
                <w:szCs w:val="21"/>
              </w:rPr>
              <w:t>23</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按照我省、市推进</w:t>
            </w:r>
            <w:r>
              <w:rPr>
                <w:spacing w:val="-4"/>
                <w:szCs w:val="21"/>
              </w:rPr>
              <w:t>“</w:t>
            </w:r>
            <w:r>
              <w:rPr>
                <w:rFonts w:hAnsi="宋体"/>
                <w:spacing w:val="-4"/>
                <w:szCs w:val="21"/>
              </w:rPr>
              <w:t>不见面审批</w:t>
            </w:r>
            <w:r>
              <w:rPr>
                <w:spacing w:val="-4"/>
                <w:szCs w:val="21"/>
              </w:rPr>
              <w:t>”</w:t>
            </w:r>
            <w:r>
              <w:rPr>
                <w:rFonts w:hAnsi="宋体"/>
                <w:spacing w:val="-4"/>
                <w:szCs w:val="21"/>
              </w:rPr>
              <w:t>工作要求，依托政务服务网开展网上行政服务工作，全面推行网上受理、网上审批、网上办公，让数据多跑路、群众少跑腿。</w:t>
            </w:r>
          </w:p>
        </w:tc>
        <w:tc>
          <w:tcPr>
            <w:tcW w:w="2835" w:type="dxa"/>
            <w:noWrap w:val="0"/>
            <w:vAlign w:val="center"/>
          </w:tcPr>
          <w:p>
            <w:pPr>
              <w:adjustRightInd w:val="0"/>
              <w:snapToGrid w:val="0"/>
              <w:jc w:val="center"/>
              <w:rPr>
                <w:rFonts w:hint="default" w:eastAsia="宋体"/>
                <w:szCs w:val="21"/>
                <w:lang w:val="en-US" w:eastAsia="zh-CN"/>
              </w:rPr>
            </w:pPr>
            <w:r>
              <w:rPr>
                <w:rFonts w:hint="eastAsia" w:hAnsi="宋体"/>
                <w:szCs w:val="21"/>
                <w:lang w:val="en-US" w:eastAsia="zh-CN"/>
              </w:rPr>
              <w:t>行政审批局</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6</w:t>
            </w:r>
            <w:r>
              <w:rPr>
                <w:rFonts w:hAnsi="宋体"/>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24</w:t>
            </w:r>
          </w:p>
        </w:tc>
        <w:tc>
          <w:tcPr>
            <w:tcW w:w="984" w:type="dxa"/>
            <w:noWrap w:val="0"/>
            <w:vAlign w:val="center"/>
          </w:tcPr>
          <w:p>
            <w:pPr>
              <w:adjustRightInd w:val="0"/>
              <w:snapToGrid w:val="0"/>
              <w:jc w:val="center"/>
              <w:rPr>
                <w:szCs w:val="21"/>
              </w:rPr>
            </w:pPr>
            <w:r>
              <w:rPr>
                <w:rFonts w:hAnsi="宋体"/>
                <w:szCs w:val="21"/>
              </w:rPr>
              <w:t>推进信息共享</w:t>
            </w:r>
          </w:p>
        </w:tc>
        <w:tc>
          <w:tcPr>
            <w:tcW w:w="7241" w:type="dxa"/>
            <w:noWrap w:val="0"/>
            <w:vAlign w:val="center"/>
          </w:tcPr>
          <w:p>
            <w:pPr>
              <w:adjustRightInd w:val="0"/>
              <w:snapToGrid w:val="0"/>
              <w:rPr>
                <w:spacing w:val="-4"/>
                <w:szCs w:val="21"/>
              </w:rPr>
            </w:pPr>
            <w:r>
              <w:rPr>
                <w:rFonts w:hAnsi="宋体"/>
                <w:spacing w:val="-4"/>
                <w:szCs w:val="21"/>
              </w:rPr>
              <w:t>按照国家统一出台的执法数据标准和省行政执法数据汇集和信息共享机制要求，加快促进执法数据高效采集、有效整合，打通信息壁垒，实现数据共享互通，解决</w:t>
            </w:r>
            <w:r>
              <w:rPr>
                <w:spacing w:val="-4"/>
                <w:szCs w:val="21"/>
              </w:rPr>
              <w:t>“</w:t>
            </w:r>
            <w:r>
              <w:rPr>
                <w:rFonts w:hAnsi="宋体"/>
                <w:spacing w:val="-4"/>
                <w:szCs w:val="21"/>
              </w:rPr>
              <w:t>信息孤岛</w:t>
            </w:r>
            <w:r>
              <w:rPr>
                <w:spacing w:val="-4"/>
                <w:szCs w:val="21"/>
              </w:rPr>
              <w:t>”</w:t>
            </w:r>
            <w:r>
              <w:rPr>
                <w:rFonts w:hAnsi="宋体"/>
                <w:spacing w:val="-4"/>
                <w:szCs w:val="21"/>
              </w:rPr>
              <w:t>等问题。要认真梳理完善各类行政执法主体和执法人员信息、权责清单、办案信息、监督信息和统计分析信息，建立行政执法信息数据库，按照</w:t>
            </w:r>
            <w:r>
              <w:rPr>
                <w:spacing w:val="-4"/>
                <w:szCs w:val="21"/>
              </w:rPr>
              <w:t>“</w:t>
            </w:r>
            <w:r>
              <w:rPr>
                <w:rFonts w:hAnsi="宋体"/>
                <w:spacing w:val="-4"/>
                <w:szCs w:val="21"/>
              </w:rPr>
              <w:t>无条件归集，有条件使用</w:t>
            </w:r>
            <w:r>
              <w:rPr>
                <w:spacing w:val="-4"/>
                <w:szCs w:val="21"/>
              </w:rPr>
              <w:t>”</w:t>
            </w:r>
            <w:r>
              <w:rPr>
                <w:rFonts w:hAnsi="宋体"/>
                <w:spacing w:val="-4"/>
                <w:szCs w:val="21"/>
              </w:rPr>
              <w:t>的原则，统一归集行政执法信息资源，充分利用全省一体化的数据共享交换体系，实现行政执法数据共享。</w:t>
            </w:r>
          </w:p>
        </w:tc>
        <w:tc>
          <w:tcPr>
            <w:tcW w:w="2835" w:type="dxa"/>
            <w:noWrap w:val="0"/>
            <w:vAlign w:val="center"/>
          </w:tcPr>
          <w:p>
            <w:pPr>
              <w:adjustRightInd w:val="0"/>
              <w:snapToGrid w:val="0"/>
              <w:jc w:val="center"/>
              <w:rPr>
                <w:szCs w:val="21"/>
              </w:rPr>
            </w:pPr>
            <w:r>
              <w:rPr>
                <w:rFonts w:hAnsi="宋体"/>
                <w:szCs w:val="21"/>
              </w:rPr>
              <w:t>司法局、政务办、各行政执法机关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25</w:t>
            </w:r>
          </w:p>
        </w:tc>
        <w:tc>
          <w:tcPr>
            <w:tcW w:w="984" w:type="dxa"/>
            <w:vMerge w:val="restart"/>
            <w:noWrap w:val="0"/>
            <w:vAlign w:val="center"/>
          </w:tcPr>
          <w:p>
            <w:pPr>
              <w:adjustRightInd w:val="0"/>
              <w:snapToGrid w:val="0"/>
              <w:jc w:val="center"/>
              <w:rPr>
                <w:szCs w:val="21"/>
              </w:rPr>
            </w:pPr>
            <w:r>
              <w:rPr>
                <w:rFonts w:hAnsi="宋体"/>
                <w:szCs w:val="21"/>
              </w:rPr>
              <w:t>强化智能应用</w:t>
            </w:r>
          </w:p>
        </w:tc>
        <w:tc>
          <w:tcPr>
            <w:tcW w:w="7241" w:type="dxa"/>
            <w:noWrap w:val="0"/>
            <w:vAlign w:val="center"/>
          </w:tcPr>
          <w:p>
            <w:pPr>
              <w:adjustRightInd w:val="0"/>
              <w:snapToGrid w:val="0"/>
              <w:rPr>
                <w:spacing w:val="-4"/>
                <w:szCs w:val="21"/>
              </w:rPr>
            </w:pPr>
            <w:r>
              <w:rPr>
                <w:rFonts w:hAnsi="宋体"/>
                <w:spacing w:val="-4"/>
                <w:szCs w:val="21"/>
              </w:rPr>
              <w:t>积极探索人工智能技术在行政执法实践中的运用，研究开发行政执法裁量智能辅助信息系统，利用语音识别、文本分析等技术对行政执法信息数据资源进行分析挖掘，发挥人工智能在证据收集、案例分析、法律文件阅读与分析中的作用，逐步实现执法文书网上生成、执法规范精准推送、争议焦点自动提示、疑难案例网上探讨、执法数据高效共享。</w:t>
            </w:r>
          </w:p>
        </w:tc>
        <w:tc>
          <w:tcPr>
            <w:tcW w:w="2835" w:type="dxa"/>
            <w:noWrap w:val="0"/>
            <w:vAlign w:val="center"/>
          </w:tcPr>
          <w:p>
            <w:pPr>
              <w:adjustRightInd w:val="0"/>
              <w:snapToGrid w:val="0"/>
              <w:jc w:val="center"/>
              <w:rPr>
                <w:szCs w:val="21"/>
              </w:rPr>
            </w:pPr>
            <w:r>
              <w:rPr>
                <w:rFonts w:hAnsi="宋体"/>
                <w:szCs w:val="21"/>
              </w:rPr>
              <w:t>各行政执法机关</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26</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int="eastAsia" w:hAnsi="宋体"/>
                <w:spacing w:val="-4"/>
                <w:szCs w:val="21"/>
                <w:lang w:val="en-US" w:eastAsia="zh-CN"/>
              </w:rPr>
              <w:t>各地</w:t>
            </w:r>
            <w:r>
              <w:rPr>
                <w:rFonts w:hAnsi="宋体"/>
                <w:spacing w:val="-4"/>
                <w:szCs w:val="21"/>
              </w:rPr>
              <w:t>各部门加强对</w:t>
            </w:r>
            <w:r>
              <w:rPr>
                <w:rFonts w:hint="eastAsia" w:hAnsi="宋体"/>
                <w:spacing w:val="-4"/>
                <w:szCs w:val="21"/>
                <w:lang w:val="en-US" w:eastAsia="zh-CN"/>
              </w:rPr>
              <w:t>本地、</w:t>
            </w:r>
            <w:r>
              <w:rPr>
                <w:rFonts w:hAnsi="宋体"/>
                <w:spacing w:val="-4"/>
                <w:szCs w:val="21"/>
              </w:rPr>
              <w:t>本系统行政执法大数据的关联分析、深化应用，通过提前预警、监测、研判，及时发现解决行政机关在履行政府职能、管理经济社会事务中遇到的新情况、新问题，提升行政立法、行政决策和风险防范水平，提高政府治理的精准性和有效性。</w:t>
            </w:r>
          </w:p>
        </w:tc>
        <w:tc>
          <w:tcPr>
            <w:tcW w:w="2835" w:type="dxa"/>
            <w:noWrap w:val="0"/>
            <w:vAlign w:val="center"/>
          </w:tcPr>
          <w:p>
            <w:pPr>
              <w:adjustRightInd w:val="0"/>
              <w:snapToGrid w:val="0"/>
              <w:jc w:val="center"/>
              <w:rPr>
                <w:szCs w:val="21"/>
              </w:rPr>
            </w:pPr>
            <w:r>
              <w:rPr>
                <w:rFonts w:hint="eastAsia" w:hAnsi="宋体"/>
                <w:szCs w:val="21"/>
                <w:lang w:val="en-US" w:eastAsia="zh-CN"/>
              </w:rPr>
              <w:t>司法局</w:t>
            </w:r>
            <w:r>
              <w:rPr>
                <w:rFonts w:hAnsi="宋体"/>
                <w:szCs w:val="21"/>
              </w:rPr>
              <w:t>、行政执法机关</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color w:val="000000"/>
                <w:szCs w:val="21"/>
              </w:rPr>
            </w:pPr>
            <w:r>
              <w:rPr>
                <w:color w:val="000000"/>
                <w:szCs w:val="21"/>
              </w:rPr>
              <w:t>27</w:t>
            </w:r>
          </w:p>
        </w:tc>
        <w:tc>
          <w:tcPr>
            <w:tcW w:w="984" w:type="dxa"/>
            <w:noWrap w:val="0"/>
            <w:vAlign w:val="center"/>
          </w:tcPr>
          <w:p>
            <w:pPr>
              <w:adjustRightInd w:val="0"/>
              <w:snapToGrid w:val="0"/>
              <w:jc w:val="center"/>
              <w:rPr>
                <w:szCs w:val="21"/>
              </w:rPr>
            </w:pPr>
            <w:r>
              <w:rPr>
                <w:rFonts w:hAnsi="宋体"/>
                <w:szCs w:val="21"/>
              </w:rPr>
              <w:t>加强组织实施</w:t>
            </w:r>
          </w:p>
        </w:tc>
        <w:tc>
          <w:tcPr>
            <w:tcW w:w="7241" w:type="dxa"/>
            <w:noWrap w:val="0"/>
            <w:vAlign w:val="center"/>
          </w:tcPr>
          <w:p>
            <w:pPr>
              <w:adjustRightInd w:val="0"/>
              <w:snapToGrid w:val="0"/>
              <w:rPr>
                <w:spacing w:val="-4"/>
                <w:szCs w:val="21"/>
              </w:rPr>
            </w:pPr>
            <w:r>
              <w:rPr>
                <w:rFonts w:hAnsi="宋体"/>
                <w:spacing w:val="-4"/>
                <w:szCs w:val="21"/>
              </w:rPr>
              <w:t>各部门主要负责同志作为</w:t>
            </w:r>
            <w:r>
              <w:rPr>
                <w:rFonts w:hint="eastAsia" w:hAnsi="宋体"/>
                <w:spacing w:val="-4"/>
                <w:szCs w:val="21"/>
                <w:lang w:val="en-US" w:eastAsia="zh-CN"/>
              </w:rPr>
              <w:t>本地区、</w:t>
            </w:r>
            <w:r>
              <w:rPr>
                <w:rFonts w:hAnsi="宋体"/>
                <w:spacing w:val="-4"/>
                <w:szCs w:val="21"/>
              </w:rPr>
              <w:t>本部门全面推行</w:t>
            </w:r>
            <w:r>
              <w:rPr>
                <w:spacing w:val="-4"/>
                <w:szCs w:val="21"/>
              </w:rPr>
              <w:t>“</w:t>
            </w:r>
            <w:r>
              <w:rPr>
                <w:rFonts w:hAnsi="宋体"/>
                <w:spacing w:val="-4"/>
                <w:szCs w:val="21"/>
              </w:rPr>
              <w:t>三项制度</w:t>
            </w:r>
            <w:r>
              <w:rPr>
                <w:spacing w:val="-4"/>
                <w:szCs w:val="21"/>
              </w:rPr>
              <w:t>”</w:t>
            </w:r>
            <w:r>
              <w:rPr>
                <w:rFonts w:hAnsi="宋体"/>
                <w:spacing w:val="-4"/>
                <w:szCs w:val="21"/>
              </w:rPr>
              <w:t>工作的第一责任人，要切实加强对</w:t>
            </w:r>
            <w:r>
              <w:rPr>
                <w:rFonts w:hint="eastAsia" w:hAnsi="宋体"/>
                <w:spacing w:val="-4"/>
                <w:szCs w:val="21"/>
                <w:lang w:val="en-US" w:eastAsia="zh-CN"/>
              </w:rPr>
              <w:t>本地区、</w:t>
            </w:r>
            <w:r>
              <w:rPr>
                <w:rFonts w:hAnsi="宋体"/>
                <w:spacing w:val="-4"/>
                <w:szCs w:val="21"/>
              </w:rPr>
              <w:t>本部门行政执法工作的领导，做好</w:t>
            </w:r>
            <w:r>
              <w:rPr>
                <w:spacing w:val="-4"/>
                <w:szCs w:val="21"/>
              </w:rPr>
              <w:t>“</w:t>
            </w:r>
            <w:r>
              <w:rPr>
                <w:rFonts w:hAnsi="宋体"/>
                <w:spacing w:val="-4"/>
                <w:szCs w:val="21"/>
              </w:rPr>
              <w:t>三项制度</w:t>
            </w:r>
            <w:r>
              <w:rPr>
                <w:spacing w:val="-4"/>
                <w:szCs w:val="21"/>
              </w:rPr>
              <w:t>”</w:t>
            </w:r>
            <w:r>
              <w:rPr>
                <w:rFonts w:hAnsi="宋体"/>
                <w:spacing w:val="-4"/>
                <w:szCs w:val="21"/>
              </w:rPr>
              <w:t>组织实施工作，定期听取有关工作情况汇报，及时研究解决工作中的重大问题，确保工作有方案、部署有进度、推进有标准、结果有考核。</w:t>
            </w:r>
          </w:p>
        </w:tc>
        <w:tc>
          <w:tcPr>
            <w:tcW w:w="2835" w:type="dxa"/>
            <w:noWrap w:val="0"/>
            <w:vAlign w:val="center"/>
          </w:tcPr>
          <w:p>
            <w:pPr>
              <w:adjustRightInd w:val="0"/>
              <w:snapToGrid w:val="0"/>
              <w:jc w:val="center"/>
              <w:rPr>
                <w:rFonts w:hint="default" w:eastAsia="宋体"/>
                <w:szCs w:val="21"/>
                <w:lang w:val="en-US" w:eastAsia="zh-CN"/>
              </w:rPr>
            </w:pPr>
            <w:r>
              <w:rPr>
                <w:rFonts w:hint="eastAsia" w:hAnsi="宋体"/>
                <w:szCs w:val="21"/>
                <w:lang w:val="en-US" w:eastAsia="zh-CN"/>
              </w:rPr>
              <w:t>各相关部门</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rFonts w:hint="eastAsia" w:eastAsia="宋体"/>
                <w:color w:val="000000"/>
                <w:szCs w:val="21"/>
                <w:lang w:eastAsia="zh-CN"/>
              </w:rPr>
            </w:pPr>
            <w:r>
              <w:rPr>
                <w:color w:val="000000"/>
                <w:szCs w:val="21"/>
              </w:rPr>
              <w:t>2</w:t>
            </w:r>
            <w:r>
              <w:rPr>
                <w:rFonts w:hint="eastAsia"/>
                <w:color w:val="000000"/>
                <w:szCs w:val="21"/>
                <w:lang w:val="en-US" w:eastAsia="zh-CN"/>
              </w:rPr>
              <w:t>8</w:t>
            </w:r>
          </w:p>
        </w:tc>
        <w:tc>
          <w:tcPr>
            <w:tcW w:w="984" w:type="dxa"/>
            <w:noWrap w:val="0"/>
            <w:vAlign w:val="center"/>
          </w:tcPr>
          <w:p>
            <w:pPr>
              <w:adjustRightInd w:val="0"/>
              <w:snapToGrid w:val="0"/>
              <w:jc w:val="center"/>
              <w:rPr>
                <w:szCs w:val="21"/>
              </w:rPr>
            </w:pPr>
            <w:r>
              <w:rPr>
                <w:rFonts w:hAnsi="宋体"/>
                <w:szCs w:val="21"/>
              </w:rPr>
              <w:t>强化统筹衔接</w:t>
            </w:r>
          </w:p>
        </w:tc>
        <w:tc>
          <w:tcPr>
            <w:tcW w:w="7241" w:type="dxa"/>
            <w:noWrap w:val="0"/>
            <w:vAlign w:val="center"/>
          </w:tcPr>
          <w:p>
            <w:pPr>
              <w:adjustRightInd w:val="0"/>
              <w:snapToGrid w:val="0"/>
              <w:rPr>
                <w:spacing w:val="-4"/>
                <w:szCs w:val="21"/>
              </w:rPr>
            </w:pPr>
            <w:r>
              <w:rPr>
                <w:rFonts w:hAnsi="宋体"/>
                <w:spacing w:val="-4"/>
                <w:szCs w:val="21"/>
              </w:rPr>
              <w:t>要与我</w:t>
            </w:r>
            <w:r>
              <w:rPr>
                <w:rFonts w:hint="eastAsia" w:hAnsi="宋体"/>
                <w:spacing w:val="-4"/>
                <w:szCs w:val="21"/>
                <w:lang w:val="en-US" w:eastAsia="zh-CN"/>
              </w:rPr>
              <w:t>区</w:t>
            </w:r>
            <w:r>
              <w:rPr>
                <w:rFonts w:hAnsi="宋体"/>
                <w:spacing w:val="-4"/>
                <w:szCs w:val="21"/>
              </w:rPr>
              <w:t>深入推进</w:t>
            </w:r>
            <w:r>
              <w:rPr>
                <w:spacing w:val="-4"/>
                <w:szCs w:val="21"/>
              </w:rPr>
              <w:t>“</w:t>
            </w:r>
            <w:r>
              <w:rPr>
                <w:rFonts w:hAnsi="宋体"/>
                <w:spacing w:val="-4"/>
                <w:szCs w:val="21"/>
              </w:rPr>
              <w:t>放管服</w:t>
            </w:r>
            <w:r>
              <w:rPr>
                <w:spacing w:val="-4"/>
                <w:szCs w:val="21"/>
              </w:rPr>
              <w:t>”</w:t>
            </w:r>
            <w:r>
              <w:rPr>
                <w:rFonts w:hAnsi="宋体"/>
                <w:spacing w:val="-4"/>
                <w:szCs w:val="21"/>
              </w:rPr>
              <w:t>改革工作、机构改革工作、优化营商环境等重点工作相结合，与规范行政执法程序、推行政府法律顾问制度、推行行政执法案例指导、健全行政执法裁量基准、开展行政执法案卷管理和评查、行政执法投诉举报以及行政执法考核监督等制度建设相结合，着力解决执法领域社会反映强烈的突出问题。</w:t>
            </w:r>
          </w:p>
        </w:tc>
        <w:tc>
          <w:tcPr>
            <w:tcW w:w="2835" w:type="dxa"/>
            <w:noWrap w:val="0"/>
            <w:vAlign w:val="center"/>
          </w:tcPr>
          <w:p>
            <w:pPr>
              <w:adjustRightInd w:val="0"/>
              <w:snapToGrid w:val="0"/>
              <w:jc w:val="center"/>
              <w:rPr>
                <w:szCs w:val="21"/>
              </w:rPr>
            </w:pPr>
            <w:r>
              <w:rPr>
                <w:rFonts w:hint="eastAsia" w:hAnsi="宋体"/>
                <w:szCs w:val="21"/>
                <w:lang w:val="en-US" w:eastAsia="zh-CN"/>
              </w:rPr>
              <w:t>各相关部门</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trPr>
        <w:tc>
          <w:tcPr>
            <w:tcW w:w="621" w:type="dxa"/>
            <w:noWrap w:val="0"/>
            <w:vAlign w:val="center"/>
          </w:tcPr>
          <w:p>
            <w:pPr>
              <w:adjustRightInd w:val="0"/>
              <w:snapToGrid w:val="0"/>
              <w:jc w:val="center"/>
              <w:rPr>
                <w:rFonts w:hint="default" w:eastAsia="宋体"/>
                <w:color w:val="000000"/>
                <w:szCs w:val="21"/>
                <w:lang w:val="en-US" w:eastAsia="zh-CN"/>
              </w:rPr>
            </w:pPr>
            <w:r>
              <w:rPr>
                <w:rFonts w:hint="eastAsia"/>
                <w:color w:val="000000"/>
                <w:szCs w:val="21"/>
                <w:lang w:val="en-US" w:eastAsia="zh-CN"/>
              </w:rPr>
              <w:t>29</w:t>
            </w:r>
          </w:p>
        </w:tc>
        <w:tc>
          <w:tcPr>
            <w:tcW w:w="984" w:type="dxa"/>
            <w:vMerge w:val="restart"/>
            <w:noWrap w:val="0"/>
            <w:vAlign w:val="center"/>
          </w:tcPr>
          <w:p>
            <w:pPr>
              <w:adjustRightInd w:val="0"/>
              <w:snapToGrid w:val="0"/>
              <w:jc w:val="center"/>
              <w:rPr>
                <w:szCs w:val="21"/>
              </w:rPr>
            </w:pPr>
            <w:r>
              <w:rPr>
                <w:rFonts w:hAnsi="宋体"/>
                <w:szCs w:val="21"/>
              </w:rPr>
              <w:t>保障经费投入</w:t>
            </w:r>
          </w:p>
        </w:tc>
        <w:tc>
          <w:tcPr>
            <w:tcW w:w="7241" w:type="dxa"/>
            <w:noWrap w:val="0"/>
            <w:vAlign w:val="center"/>
          </w:tcPr>
          <w:p>
            <w:pPr>
              <w:adjustRightInd w:val="0"/>
              <w:snapToGrid w:val="0"/>
              <w:rPr>
                <w:spacing w:val="-4"/>
                <w:szCs w:val="21"/>
              </w:rPr>
            </w:pPr>
            <w:r>
              <w:rPr>
                <w:rFonts w:hint="eastAsia" w:hAnsi="宋体"/>
                <w:spacing w:val="-4"/>
                <w:szCs w:val="21"/>
                <w:lang w:val="en-US" w:eastAsia="zh-CN"/>
              </w:rPr>
              <w:t>各地区、</w:t>
            </w:r>
            <w:r>
              <w:rPr>
                <w:rFonts w:hAnsi="宋体"/>
                <w:spacing w:val="-4"/>
                <w:szCs w:val="21"/>
              </w:rPr>
              <w:t>各部门要建立责任明确、管理规范、投入稳定的执法经费保障机制，保障行政执法机关依法履职所需的执法装备、经费和场所，严禁将收费、罚没收入同部门利益直接或者变相挂钩。</w:t>
            </w:r>
          </w:p>
        </w:tc>
        <w:tc>
          <w:tcPr>
            <w:tcW w:w="2835" w:type="dxa"/>
            <w:noWrap w:val="0"/>
            <w:vAlign w:val="center"/>
          </w:tcPr>
          <w:p>
            <w:pPr>
              <w:adjustRightInd w:val="0"/>
              <w:snapToGrid w:val="0"/>
              <w:jc w:val="center"/>
              <w:rPr>
                <w:szCs w:val="21"/>
              </w:rPr>
            </w:pPr>
            <w:r>
              <w:rPr>
                <w:rFonts w:hint="eastAsia" w:hAnsi="宋体"/>
                <w:szCs w:val="21"/>
                <w:lang w:val="en-US" w:eastAsia="zh-CN"/>
              </w:rPr>
              <w:t>财政局</w:t>
            </w:r>
            <w:r>
              <w:rPr>
                <w:rFonts w:hAnsi="宋体"/>
                <w:szCs w:val="21"/>
              </w:rPr>
              <w:t>、行政执法机关</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9" w:hRule="atLeast"/>
        </w:trPr>
        <w:tc>
          <w:tcPr>
            <w:tcW w:w="621" w:type="dxa"/>
            <w:noWrap w:val="0"/>
            <w:vAlign w:val="center"/>
          </w:tcPr>
          <w:p>
            <w:pPr>
              <w:adjustRightInd w:val="0"/>
              <w:snapToGrid w:val="0"/>
              <w:jc w:val="center"/>
              <w:rPr>
                <w:rFonts w:hint="eastAsia" w:eastAsia="宋体"/>
                <w:color w:val="000000"/>
                <w:szCs w:val="21"/>
                <w:lang w:val="en-US" w:eastAsia="zh-CN"/>
              </w:rPr>
            </w:pPr>
            <w:r>
              <w:rPr>
                <w:color w:val="000000"/>
                <w:szCs w:val="21"/>
              </w:rPr>
              <w:t>3</w:t>
            </w:r>
            <w:r>
              <w:rPr>
                <w:rFonts w:hint="eastAsia"/>
                <w:color w:val="000000"/>
                <w:szCs w:val="21"/>
                <w:lang w:val="en-US" w:eastAsia="zh-CN"/>
              </w:rPr>
              <w:t>0</w:t>
            </w:r>
          </w:p>
        </w:tc>
        <w:tc>
          <w:tcPr>
            <w:tcW w:w="984" w:type="dxa"/>
            <w:vMerge w:val="continue"/>
            <w:noWrap w:val="0"/>
            <w:vAlign w:val="center"/>
          </w:tcPr>
          <w:p>
            <w:pPr>
              <w:adjustRightInd w:val="0"/>
              <w:snapToGrid w:val="0"/>
              <w:rPr>
                <w:szCs w:val="21"/>
              </w:rPr>
            </w:pPr>
          </w:p>
        </w:tc>
        <w:tc>
          <w:tcPr>
            <w:tcW w:w="7241" w:type="dxa"/>
            <w:noWrap w:val="0"/>
            <w:vAlign w:val="center"/>
          </w:tcPr>
          <w:p>
            <w:pPr>
              <w:pStyle w:val="6"/>
              <w:snapToGrid w:val="0"/>
              <w:jc w:val="both"/>
              <w:rPr>
                <w:rFonts w:ascii="Times New Roman" w:cs="Times New Roman"/>
                <w:sz w:val="21"/>
                <w:szCs w:val="21"/>
              </w:rPr>
            </w:pPr>
            <w:r>
              <w:rPr>
                <w:rFonts w:ascii="Times New Roman" w:hAnsi="宋体" w:cs="Times New Roman"/>
                <w:sz w:val="21"/>
                <w:szCs w:val="21"/>
              </w:rPr>
              <w:t>各行政执法机关要结合执法实际，将执法装备和设施建设需求报</w:t>
            </w:r>
            <w:r>
              <w:rPr>
                <w:rFonts w:hint="eastAsia" w:ascii="Times New Roman" w:hAnsi="宋体" w:cs="Times New Roman"/>
                <w:sz w:val="21"/>
                <w:szCs w:val="21"/>
                <w:lang w:val="en-US" w:eastAsia="zh-CN"/>
              </w:rPr>
              <w:t>区</w:t>
            </w:r>
            <w:r>
              <w:rPr>
                <w:rFonts w:ascii="Times New Roman" w:hAnsi="宋体" w:cs="Times New Roman"/>
                <w:sz w:val="21"/>
                <w:szCs w:val="21"/>
              </w:rPr>
              <w:t>人民政府列入财政预算。</w:t>
            </w:r>
          </w:p>
        </w:tc>
        <w:tc>
          <w:tcPr>
            <w:tcW w:w="2835" w:type="dxa"/>
            <w:noWrap w:val="0"/>
            <w:vAlign w:val="center"/>
          </w:tcPr>
          <w:p>
            <w:pPr>
              <w:adjustRightInd w:val="0"/>
              <w:snapToGrid w:val="0"/>
              <w:jc w:val="center"/>
              <w:rPr>
                <w:rFonts w:hint="eastAsia" w:eastAsia="宋体"/>
                <w:szCs w:val="21"/>
                <w:lang w:eastAsia="zh-CN"/>
              </w:rPr>
            </w:pPr>
            <w:r>
              <w:rPr>
                <w:rFonts w:hAnsi="宋体"/>
                <w:szCs w:val="21"/>
              </w:rPr>
              <w:t>各行政执法机关、财政</w:t>
            </w:r>
            <w:r>
              <w:rPr>
                <w:rFonts w:hint="eastAsia" w:hAnsi="宋体"/>
                <w:szCs w:val="21"/>
                <w:lang w:val="en-US" w:eastAsia="zh-CN"/>
              </w:rPr>
              <w:t>局</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5" w:hRule="atLeast"/>
        </w:trPr>
        <w:tc>
          <w:tcPr>
            <w:tcW w:w="621" w:type="dxa"/>
            <w:noWrap w:val="0"/>
            <w:vAlign w:val="center"/>
          </w:tcPr>
          <w:p>
            <w:pPr>
              <w:adjustRightInd w:val="0"/>
              <w:snapToGrid w:val="0"/>
              <w:jc w:val="center"/>
              <w:rPr>
                <w:rFonts w:hint="eastAsia" w:eastAsia="宋体"/>
                <w:color w:val="000000"/>
                <w:szCs w:val="21"/>
                <w:lang w:val="en-US" w:eastAsia="zh-CN"/>
              </w:rPr>
            </w:pPr>
            <w:r>
              <w:rPr>
                <w:color w:val="000000"/>
                <w:szCs w:val="21"/>
              </w:rPr>
              <w:t>3</w:t>
            </w:r>
            <w:r>
              <w:rPr>
                <w:rFonts w:hint="eastAsia"/>
                <w:color w:val="000000"/>
                <w:szCs w:val="21"/>
                <w:lang w:val="en-US" w:eastAsia="zh-CN"/>
              </w:rPr>
              <w:t>1</w:t>
            </w:r>
          </w:p>
        </w:tc>
        <w:tc>
          <w:tcPr>
            <w:tcW w:w="984" w:type="dxa"/>
            <w:vMerge w:val="restart"/>
            <w:noWrap w:val="0"/>
            <w:vAlign w:val="center"/>
          </w:tcPr>
          <w:p>
            <w:pPr>
              <w:adjustRightInd w:val="0"/>
              <w:snapToGrid w:val="0"/>
              <w:jc w:val="center"/>
              <w:rPr>
                <w:szCs w:val="21"/>
              </w:rPr>
            </w:pPr>
            <w:r>
              <w:rPr>
                <w:rFonts w:hAnsi="宋体"/>
                <w:szCs w:val="21"/>
              </w:rPr>
              <w:t>加强队伍建设</w:t>
            </w:r>
          </w:p>
        </w:tc>
        <w:tc>
          <w:tcPr>
            <w:tcW w:w="7241" w:type="dxa"/>
            <w:noWrap w:val="0"/>
            <w:vAlign w:val="center"/>
          </w:tcPr>
          <w:p>
            <w:pPr>
              <w:adjustRightInd w:val="0"/>
              <w:snapToGrid w:val="0"/>
              <w:rPr>
                <w:spacing w:val="-4"/>
                <w:szCs w:val="21"/>
              </w:rPr>
            </w:pPr>
            <w:r>
              <w:rPr>
                <w:rFonts w:hAnsi="宋体"/>
                <w:spacing w:val="-4"/>
                <w:szCs w:val="21"/>
              </w:rPr>
              <w:t>加强执法人员的能力素质建设，加强思想道德和素质教育，着力提升执法人员业务能力和执法素养，打造政治坚定、作风优良、纪律严明、廉洁务实的执法队伍。</w:t>
            </w:r>
          </w:p>
        </w:tc>
        <w:tc>
          <w:tcPr>
            <w:tcW w:w="2835" w:type="dxa"/>
            <w:noWrap w:val="0"/>
            <w:vAlign w:val="center"/>
          </w:tcPr>
          <w:p>
            <w:pPr>
              <w:adjustRightInd w:val="0"/>
              <w:snapToGrid w:val="0"/>
              <w:jc w:val="center"/>
              <w:rPr>
                <w:szCs w:val="21"/>
              </w:rPr>
            </w:pPr>
            <w:r>
              <w:rPr>
                <w:rFonts w:hint="eastAsia" w:hAnsi="宋体"/>
                <w:szCs w:val="21"/>
                <w:lang w:val="en-US" w:eastAsia="zh-CN"/>
              </w:rPr>
              <w:t>司法局</w:t>
            </w:r>
            <w:r>
              <w:rPr>
                <w:rFonts w:hAnsi="宋体"/>
                <w:szCs w:val="21"/>
              </w:rPr>
              <w:t>、行政执法机关</w:t>
            </w:r>
          </w:p>
        </w:tc>
        <w:tc>
          <w:tcPr>
            <w:tcW w:w="2126" w:type="dxa"/>
            <w:noWrap w:val="0"/>
            <w:vAlign w:val="center"/>
          </w:tcPr>
          <w:p>
            <w:pPr>
              <w:adjustRightInd w:val="0"/>
              <w:snapToGrid w:val="0"/>
              <w:jc w:val="center"/>
              <w:rPr>
                <w:szCs w:val="21"/>
              </w:rPr>
            </w:pPr>
            <w:r>
              <w:rPr>
                <w:rFonts w:hAnsi="宋体"/>
                <w:szCs w:val="21"/>
              </w:rPr>
              <w:t>长期执行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trPr>
        <w:tc>
          <w:tcPr>
            <w:tcW w:w="621" w:type="dxa"/>
            <w:noWrap w:val="0"/>
            <w:vAlign w:val="center"/>
          </w:tcPr>
          <w:p>
            <w:pPr>
              <w:adjustRightInd w:val="0"/>
              <w:snapToGrid w:val="0"/>
              <w:jc w:val="center"/>
              <w:rPr>
                <w:rFonts w:hint="eastAsia" w:eastAsia="宋体"/>
                <w:color w:val="000000"/>
                <w:szCs w:val="21"/>
                <w:lang w:eastAsia="zh-CN"/>
              </w:rPr>
            </w:pPr>
            <w:r>
              <w:rPr>
                <w:color w:val="000000"/>
                <w:szCs w:val="21"/>
              </w:rPr>
              <w:t>3</w:t>
            </w:r>
            <w:r>
              <w:rPr>
                <w:rFonts w:hint="eastAsia"/>
                <w:color w:val="000000"/>
                <w:szCs w:val="21"/>
                <w:lang w:val="en-US" w:eastAsia="zh-CN"/>
              </w:rPr>
              <w:t>2</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加强行政执法人员和法制审核人员资格管理，核发全国统一样式的行政执法证件。建立和完善行政执法人员和法制审核人员数据库。鼓励和支持行政执法人员参加国家统一法律职业资格考试，对取得法律职业资格的人员可以简化或免于执法资格考试。</w:t>
            </w:r>
          </w:p>
        </w:tc>
        <w:tc>
          <w:tcPr>
            <w:tcW w:w="2835" w:type="dxa"/>
            <w:noWrap w:val="0"/>
            <w:vAlign w:val="center"/>
          </w:tcPr>
          <w:p>
            <w:pPr>
              <w:adjustRightInd w:val="0"/>
              <w:snapToGrid w:val="0"/>
              <w:jc w:val="center"/>
              <w:rPr>
                <w:rFonts w:hint="eastAsia" w:eastAsia="宋体"/>
                <w:szCs w:val="21"/>
                <w:lang w:eastAsia="zh-CN"/>
              </w:rPr>
            </w:pPr>
            <w:r>
              <w:rPr>
                <w:rFonts w:hint="eastAsia" w:hAnsi="宋体"/>
                <w:szCs w:val="21"/>
                <w:lang w:val="en-US" w:eastAsia="zh-CN"/>
              </w:rPr>
              <w:t>司法局</w:t>
            </w:r>
          </w:p>
        </w:tc>
        <w:tc>
          <w:tcPr>
            <w:tcW w:w="2126" w:type="dxa"/>
            <w:noWrap w:val="0"/>
            <w:vAlign w:val="center"/>
          </w:tcPr>
          <w:p>
            <w:pPr>
              <w:adjustRightInd w:val="0"/>
              <w:snapToGrid w:val="0"/>
              <w:jc w:val="center"/>
              <w:rPr>
                <w:szCs w:val="21"/>
              </w:rPr>
            </w:pPr>
            <w:r>
              <w:rPr>
                <w:szCs w:val="21"/>
              </w:rPr>
              <w:t>2019</w:t>
            </w:r>
            <w:r>
              <w:rPr>
                <w:rFonts w:hAnsi="宋体"/>
                <w:szCs w:val="21"/>
              </w:rPr>
              <w:t>年</w:t>
            </w:r>
            <w:r>
              <w:rPr>
                <w:szCs w:val="21"/>
              </w:rPr>
              <w:t>12</w:t>
            </w:r>
            <w:r>
              <w:rPr>
                <w:rFonts w:hAnsi="宋体"/>
                <w:szCs w:val="21"/>
              </w:rPr>
              <w:t>月</w:t>
            </w:r>
            <w:r>
              <w:rPr>
                <w:szCs w:val="21"/>
              </w:rPr>
              <w:t>20</w:t>
            </w:r>
            <w:r>
              <w:rPr>
                <w:rFonts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9" w:hRule="atLeast"/>
        </w:trPr>
        <w:tc>
          <w:tcPr>
            <w:tcW w:w="621" w:type="dxa"/>
            <w:noWrap w:val="0"/>
            <w:vAlign w:val="center"/>
          </w:tcPr>
          <w:p>
            <w:pPr>
              <w:adjustRightInd w:val="0"/>
              <w:snapToGrid w:val="0"/>
              <w:jc w:val="center"/>
              <w:rPr>
                <w:rFonts w:hint="eastAsia" w:eastAsia="宋体"/>
                <w:color w:val="000000"/>
                <w:szCs w:val="21"/>
                <w:lang w:eastAsia="zh-CN"/>
              </w:rPr>
            </w:pPr>
            <w:r>
              <w:rPr>
                <w:color w:val="000000"/>
                <w:szCs w:val="21"/>
              </w:rPr>
              <w:t>3</w:t>
            </w:r>
            <w:r>
              <w:rPr>
                <w:rFonts w:hint="eastAsia"/>
                <w:color w:val="000000"/>
                <w:szCs w:val="21"/>
                <w:lang w:val="en-US" w:eastAsia="zh-CN"/>
              </w:rPr>
              <w:t>3</w:t>
            </w:r>
          </w:p>
        </w:tc>
        <w:tc>
          <w:tcPr>
            <w:tcW w:w="984" w:type="dxa"/>
            <w:vMerge w:val="continue"/>
            <w:noWrap w:val="0"/>
            <w:vAlign w:val="center"/>
          </w:tcPr>
          <w:p>
            <w:pPr>
              <w:adjustRightInd w:val="0"/>
              <w:snapToGrid w:val="0"/>
              <w:rPr>
                <w:szCs w:val="21"/>
              </w:rPr>
            </w:pPr>
          </w:p>
        </w:tc>
        <w:tc>
          <w:tcPr>
            <w:tcW w:w="7241" w:type="dxa"/>
            <w:noWrap w:val="0"/>
            <w:vAlign w:val="center"/>
          </w:tcPr>
          <w:p>
            <w:pPr>
              <w:adjustRightInd w:val="0"/>
              <w:snapToGrid w:val="0"/>
              <w:rPr>
                <w:spacing w:val="-4"/>
                <w:szCs w:val="21"/>
              </w:rPr>
            </w:pPr>
            <w:r>
              <w:rPr>
                <w:rFonts w:hAnsi="宋体"/>
                <w:spacing w:val="-4"/>
                <w:szCs w:val="21"/>
              </w:rPr>
              <w:t>建立科学的考核评价体系和人员激励机制，保障执法人员待遇，完善基层执法人员工资政策，要严格执行《江苏省实施〈工伤保险条例〉办法》相关规定，将执法人员纳入工伤保险，落实国家抚恤政策，有条件的行政执法机关可以同时为基层一线执法人员购买人身意外伤害保险，提高执法人员履职积极性，增强执法队伍稳定性。</w:t>
            </w:r>
          </w:p>
        </w:tc>
        <w:tc>
          <w:tcPr>
            <w:tcW w:w="2835" w:type="dxa"/>
            <w:noWrap w:val="0"/>
            <w:vAlign w:val="center"/>
          </w:tcPr>
          <w:p>
            <w:pPr>
              <w:pStyle w:val="6"/>
              <w:snapToGrid w:val="0"/>
              <w:jc w:val="center"/>
              <w:rPr>
                <w:rFonts w:hint="eastAsia" w:ascii="Times New Roman" w:eastAsia="宋体" w:cs="Times New Roman"/>
                <w:sz w:val="21"/>
                <w:szCs w:val="21"/>
                <w:lang w:eastAsia="zh-CN"/>
              </w:rPr>
            </w:pPr>
            <w:r>
              <w:rPr>
                <w:rFonts w:ascii="Times New Roman" w:hAnsi="宋体" w:cs="Times New Roman"/>
                <w:sz w:val="21"/>
                <w:szCs w:val="21"/>
              </w:rPr>
              <w:t>各行政执法机关、</w:t>
            </w:r>
            <w:r>
              <w:rPr>
                <w:rFonts w:hint="eastAsia" w:ascii="Times New Roman" w:hAnsi="宋体" w:cs="Times New Roman"/>
                <w:sz w:val="21"/>
                <w:szCs w:val="21"/>
                <w:lang w:val="en-US" w:eastAsia="zh-CN"/>
              </w:rPr>
              <w:t>人社局</w:t>
            </w:r>
            <w:r>
              <w:rPr>
                <w:rFonts w:ascii="Times New Roman" w:hAnsi="宋体" w:cs="Times New Roman"/>
                <w:sz w:val="21"/>
                <w:szCs w:val="21"/>
              </w:rPr>
              <w:t>、财政</w:t>
            </w:r>
            <w:r>
              <w:rPr>
                <w:rFonts w:hint="eastAsia" w:ascii="Times New Roman" w:hAnsi="宋体" w:cs="Times New Roman"/>
                <w:sz w:val="21"/>
                <w:szCs w:val="21"/>
                <w:lang w:val="en-US" w:eastAsia="zh-CN"/>
              </w:rPr>
              <w:t>局</w:t>
            </w:r>
          </w:p>
        </w:tc>
        <w:tc>
          <w:tcPr>
            <w:tcW w:w="2126" w:type="dxa"/>
            <w:noWrap w:val="0"/>
            <w:vAlign w:val="center"/>
          </w:tcPr>
          <w:p>
            <w:pPr>
              <w:adjustRightInd w:val="0"/>
              <w:snapToGrid w:val="0"/>
              <w:jc w:val="center"/>
              <w:rPr>
                <w:szCs w:val="21"/>
              </w:rPr>
            </w:pPr>
            <w:r>
              <w:rPr>
                <w:rFonts w:hAnsi="宋体"/>
                <w:szCs w:val="21"/>
              </w:rPr>
              <w:t>长期执行</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B73E5"/>
    <w:rsid w:val="611B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2019-08-16T01:33:00Z</dcterms:created>
  <dc:creator>陈安琪</dc:creator>
  <cp:lastModifiedBy>陈安琪</cp:lastModifiedBy>
  <dcterms:modified xsi:type="dcterms:W3CDTF">2019-08-16T01:33:42Z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