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pacing w:line="580" w:lineRule="exact"/>
        <w:ind w:firstLine="0"/>
        <w:jc w:val="left"/>
        <w:rPr>
          <w:rFonts w:ascii="黑体" w:hAnsi="黑体" w:eastAsia="黑体" w:cs="黑体"/>
          <w:snapToGrid/>
          <w:kern w:val="2"/>
          <w:szCs w:val="32"/>
        </w:rPr>
      </w:pPr>
      <w:r>
        <w:rPr>
          <w:rFonts w:hint="eastAsia" w:ascii="黑体" w:hAnsi="黑体" w:eastAsia="黑体" w:cs="黑体"/>
          <w:snapToGrid/>
          <w:kern w:val="2"/>
          <w:szCs w:val="32"/>
          <w:lang w:eastAsia="zh-CN"/>
        </w:rPr>
        <w:t>附</w:t>
      </w:r>
      <w:r>
        <w:rPr>
          <w:rFonts w:hint="eastAsia" w:ascii="黑体" w:hAnsi="黑体" w:eastAsia="黑体" w:cs="黑体"/>
          <w:snapToGrid/>
          <w:kern w:val="2"/>
          <w:szCs w:val="32"/>
        </w:rPr>
        <w:t>件</w:t>
      </w:r>
    </w:p>
    <w:p>
      <w:pPr>
        <w:autoSpaceDE/>
        <w:autoSpaceDN/>
        <w:adjustRightInd w:val="0"/>
        <w:spacing w:line="580" w:lineRule="exact"/>
        <w:ind w:firstLine="0"/>
        <w:jc w:val="center"/>
        <w:rPr>
          <w:rFonts w:ascii="方正小标宋简体" w:hAnsi="Calibri" w:eastAsia="方正小标宋简体"/>
          <w:snapToGrid/>
          <w:kern w:val="2"/>
          <w:sz w:val="44"/>
          <w:szCs w:val="44"/>
        </w:rPr>
      </w:pPr>
      <w:r>
        <w:rPr>
          <w:rFonts w:hint="eastAsia" w:ascii="方正小标宋简体" w:hAnsi="Calibri" w:eastAsia="方正小标宋简体"/>
          <w:snapToGrid/>
          <w:kern w:val="2"/>
          <w:sz w:val="44"/>
          <w:szCs w:val="44"/>
        </w:rPr>
        <w:t>2019年《政府工作报告》重点任务责任分解表</w:t>
      </w:r>
    </w:p>
    <w:tbl>
      <w:tblPr>
        <w:tblStyle w:val="10"/>
        <w:tblW w:w="14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53"/>
        <w:gridCol w:w="7236"/>
        <w:gridCol w:w="1176"/>
        <w:gridCol w:w="1790"/>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40" w:type="dxa"/>
            <w:noWrap/>
            <w:vAlign w:val="center"/>
          </w:tcPr>
          <w:p>
            <w:pPr>
              <w:autoSpaceDE/>
              <w:autoSpaceDN/>
              <w:snapToGrid/>
              <w:spacing w:line="320" w:lineRule="exact"/>
              <w:ind w:firstLine="0"/>
              <w:jc w:val="center"/>
              <w:rPr>
                <w:rFonts w:eastAsia="黑体"/>
                <w:snapToGrid/>
                <w:kern w:val="2"/>
                <w:sz w:val="24"/>
                <w:szCs w:val="24"/>
              </w:rPr>
            </w:pPr>
            <w:r>
              <w:rPr>
                <w:rFonts w:eastAsia="黑体"/>
                <w:snapToGrid/>
                <w:kern w:val="2"/>
                <w:sz w:val="24"/>
                <w:szCs w:val="24"/>
              </w:rPr>
              <w:t>序号</w:t>
            </w:r>
          </w:p>
        </w:tc>
        <w:tc>
          <w:tcPr>
            <w:tcW w:w="2053" w:type="dxa"/>
            <w:noWrap/>
            <w:vAlign w:val="center"/>
          </w:tcPr>
          <w:p>
            <w:pPr>
              <w:autoSpaceDE/>
              <w:autoSpaceDN/>
              <w:snapToGrid/>
              <w:spacing w:line="320" w:lineRule="exact"/>
              <w:ind w:right="-57" w:firstLine="0"/>
              <w:jc w:val="center"/>
              <w:rPr>
                <w:rFonts w:eastAsia="黑体"/>
                <w:snapToGrid/>
                <w:kern w:val="2"/>
                <w:sz w:val="24"/>
                <w:szCs w:val="24"/>
              </w:rPr>
            </w:pPr>
            <w:r>
              <w:rPr>
                <w:rFonts w:eastAsia="黑体"/>
                <w:snapToGrid/>
                <w:kern w:val="2"/>
                <w:sz w:val="24"/>
                <w:szCs w:val="24"/>
              </w:rPr>
              <w:t>目标名称</w:t>
            </w:r>
          </w:p>
        </w:tc>
        <w:tc>
          <w:tcPr>
            <w:tcW w:w="7236" w:type="dxa"/>
            <w:noWrap/>
            <w:vAlign w:val="center"/>
          </w:tcPr>
          <w:p>
            <w:pPr>
              <w:autoSpaceDE/>
              <w:autoSpaceDN/>
              <w:snapToGrid/>
              <w:spacing w:line="320" w:lineRule="exact"/>
              <w:ind w:firstLine="0"/>
              <w:jc w:val="center"/>
              <w:rPr>
                <w:rFonts w:eastAsia="黑体"/>
                <w:snapToGrid/>
                <w:kern w:val="2"/>
                <w:sz w:val="24"/>
                <w:szCs w:val="24"/>
              </w:rPr>
            </w:pPr>
            <w:r>
              <w:rPr>
                <w:rFonts w:eastAsia="黑体"/>
                <w:snapToGrid/>
                <w:kern w:val="2"/>
                <w:sz w:val="24"/>
                <w:szCs w:val="24"/>
              </w:rPr>
              <w:t>工  作  标  准</w:t>
            </w:r>
          </w:p>
        </w:tc>
        <w:tc>
          <w:tcPr>
            <w:tcW w:w="1176" w:type="dxa"/>
            <w:noWrap/>
            <w:vAlign w:val="center"/>
          </w:tcPr>
          <w:p>
            <w:pPr>
              <w:autoSpaceDE/>
              <w:autoSpaceDN/>
              <w:snapToGrid/>
              <w:spacing w:line="320" w:lineRule="exact"/>
              <w:ind w:firstLine="0"/>
              <w:jc w:val="center"/>
              <w:rPr>
                <w:rFonts w:eastAsia="黑体"/>
                <w:snapToGrid/>
                <w:kern w:val="2"/>
                <w:sz w:val="24"/>
                <w:szCs w:val="24"/>
              </w:rPr>
            </w:pPr>
            <w:r>
              <w:rPr>
                <w:rFonts w:eastAsia="黑体"/>
                <w:snapToGrid/>
                <w:kern w:val="2"/>
                <w:sz w:val="24"/>
                <w:szCs w:val="24"/>
              </w:rPr>
              <w:t>区政府</w:t>
            </w:r>
          </w:p>
          <w:p>
            <w:pPr>
              <w:autoSpaceDE/>
              <w:autoSpaceDN/>
              <w:snapToGrid/>
              <w:spacing w:line="320" w:lineRule="exact"/>
              <w:ind w:firstLine="0"/>
              <w:jc w:val="center"/>
              <w:rPr>
                <w:rFonts w:eastAsia="黑体"/>
                <w:snapToGrid/>
                <w:kern w:val="2"/>
                <w:sz w:val="24"/>
                <w:szCs w:val="24"/>
              </w:rPr>
            </w:pPr>
            <w:r>
              <w:rPr>
                <w:rFonts w:eastAsia="黑体"/>
                <w:snapToGrid/>
                <w:kern w:val="2"/>
                <w:sz w:val="24"/>
                <w:szCs w:val="24"/>
              </w:rPr>
              <w:t>分管领导</w:t>
            </w:r>
          </w:p>
        </w:tc>
        <w:tc>
          <w:tcPr>
            <w:tcW w:w="1790" w:type="dxa"/>
            <w:noWrap/>
            <w:vAlign w:val="center"/>
          </w:tcPr>
          <w:p>
            <w:pPr>
              <w:autoSpaceDE/>
              <w:autoSpaceDN/>
              <w:snapToGrid/>
              <w:spacing w:line="320" w:lineRule="exact"/>
              <w:ind w:firstLine="0"/>
              <w:jc w:val="center"/>
              <w:rPr>
                <w:rFonts w:eastAsia="黑体"/>
                <w:snapToGrid/>
                <w:kern w:val="2"/>
                <w:sz w:val="24"/>
                <w:szCs w:val="24"/>
              </w:rPr>
            </w:pPr>
            <w:r>
              <w:rPr>
                <w:rFonts w:eastAsia="黑体"/>
                <w:snapToGrid/>
                <w:kern w:val="2"/>
                <w:sz w:val="24"/>
                <w:szCs w:val="24"/>
              </w:rPr>
              <w:t>牵头单位</w:t>
            </w:r>
          </w:p>
        </w:tc>
        <w:tc>
          <w:tcPr>
            <w:tcW w:w="1916" w:type="dxa"/>
            <w:noWrap/>
            <w:vAlign w:val="center"/>
          </w:tcPr>
          <w:p>
            <w:pPr>
              <w:autoSpaceDE/>
              <w:autoSpaceDN/>
              <w:snapToGrid/>
              <w:spacing w:line="320" w:lineRule="exact"/>
              <w:ind w:firstLine="0"/>
              <w:jc w:val="center"/>
              <w:rPr>
                <w:rFonts w:eastAsia="黑体"/>
                <w:snapToGrid/>
                <w:kern w:val="2"/>
                <w:sz w:val="24"/>
                <w:szCs w:val="24"/>
              </w:rPr>
            </w:pPr>
            <w:r>
              <w:rPr>
                <w:rFonts w:hint="eastAsia" w:eastAsia="黑体"/>
                <w:snapToGrid/>
                <w:kern w:val="2"/>
                <w:sz w:val="24"/>
                <w:szCs w:val="24"/>
              </w:rPr>
              <w:t>参与</w:t>
            </w:r>
            <w:r>
              <w:rPr>
                <w:rFonts w:eastAsia="黑体"/>
                <w:snapToGrid/>
                <w:kern w:val="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jc w:val="center"/>
        </w:trPr>
        <w:tc>
          <w:tcPr>
            <w:tcW w:w="740" w:type="dxa"/>
            <w:vMerge w:val="restart"/>
            <w:noWrap/>
            <w:vAlign w:val="center"/>
          </w:tcPr>
          <w:p>
            <w:pPr>
              <w:autoSpaceDE/>
              <w:autoSpaceDN/>
              <w:snapToGrid/>
              <w:spacing w:line="360" w:lineRule="exact"/>
              <w:ind w:firstLine="0"/>
              <w:jc w:val="center"/>
              <w:rPr>
                <w:rFonts w:eastAsia="仿宋_GB2312"/>
                <w:snapToGrid/>
                <w:kern w:val="2"/>
                <w:sz w:val="24"/>
                <w:szCs w:val="24"/>
              </w:rPr>
            </w:pPr>
            <w:r>
              <w:rPr>
                <w:rFonts w:eastAsia="仿宋_GB2312"/>
                <w:snapToGrid/>
                <w:kern w:val="2"/>
                <w:sz w:val="24"/>
                <w:szCs w:val="24"/>
              </w:rPr>
              <w:t>1</w:t>
            </w:r>
          </w:p>
        </w:tc>
        <w:tc>
          <w:tcPr>
            <w:tcW w:w="2053" w:type="dxa"/>
            <w:vMerge w:val="restart"/>
            <w:noWrap/>
            <w:vAlign w:val="center"/>
          </w:tcPr>
          <w:p>
            <w:pPr>
              <w:autoSpaceDE/>
              <w:autoSpaceDN/>
              <w:snapToGrid/>
              <w:spacing w:line="360" w:lineRule="exact"/>
              <w:ind w:right="-57" w:firstLine="0"/>
              <w:jc w:val="center"/>
              <w:rPr>
                <w:rFonts w:eastAsia="仿宋_GB2312"/>
                <w:snapToGrid/>
                <w:kern w:val="2"/>
                <w:sz w:val="24"/>
                <w:szCs w:val="24"/>
              </w:rPr>
            </w:pPr>
            <w:r>
              <w:rPr>
                <w:rFonts w:hint="eastAsia" w:eastAsia="仿宋_GB2312"/>
                <w:snapToGrid/>
                <w:kern w:val="2"/>
                <w:sz w:val="24"/>
                <w:szCs w:val="24"/>
              </w:rPr>
              <w:t>聚焦项目招引</w:t>
            </w:r>
          </w:p>
        </w:tc>
        <w:tc>
          <w:tcPr>
            <w:tcW w:w="7236" w:type="dxa"/>
            <w:noWrap/>
            <w:vAlign w:val="center"/>
          </w:tcPr>
          <w:p>
            <w:pPr>
              <w:autoSpaceDE/>
              <w:autoSpaceDN/>
              <w:snapToGrid/>
              <w:spacing w:line="360" w:lineRule="exact"/>
              <w:ind w:firstLine="0"/>
              <w:rPr>
                <w:rFonts w:eastAsia="仿宋_GB2312"/>
                <w:snapToGrid/>
                <w:spacing w:val="-6"/>
                <w:kern w:val="2"/>
                <w:sz w:val="24"/>
                <w:szCs w:val="24"/>
              </w:rPr>
            </w:pPr>
            <w:r>
              <w:rPr>
                <w:rFonts w:eastAsia="仿宋_GB2312"/>
                <w:snapToGrid/>
                <w:kern w:val="2"/>
                <w:sz w:val="24"/>
                <w:szCs w:val="24"/>
              </w:rPr>
              <w:t>（1）重点围绕</w:t>
            </w:r>
            <w:r>
              <w:rPr>
                <w:rFonts w:hint="eastAsia" w:ascii="仿宋_GB2312" w:hAnsi="仿宋_GB2312" w:eastAsia="仿宋_GB2312" w:cs="仿宋_GB2312"/>
                <w:snapToGrid/>
                <w:kern w:val="2"/>
                <w:sz w:val="24"/>
                <w:szCs w:val="24"/>
              </w:rPr>
              <w:t>“三新一特”</w:t>
            </w:r>
            <w:r>
              <w:rPr>
                <w:rFonts w:eastAsia="仿宋_GB2312"/>
                <w:snapToGrid/>
                <w:kern w:val="2"/>
                <w:sz w:val="24"/>
                <w:szCs w:val="24"/>
              </w:rPr>
              <w:t>产业，招引龙头项目和总部型、标杆型、领军型企业，带动上下游产业链，加快形成产业集群。坚持大项目与优质科技型中小项目并重，着力引进小巨人</w:t>
            </w:r>
            <w:r>
              <w:rPr>
                <w:rFonts w:hint="eastAsia" w:ascii="仿宋_GB2312" w:hAnsi="仿宋_GB2312" w:eastAsia="仿宋_GB2312" w:cs="仿宋_GB2312"/>
                <w:snapToGrid/>
                <w:kern w:val="2"/>
                <w:sz w:val="24"/>
                <w:szCs w:val="24"/>
              </w:rPr>
              <w:t>企业和行业“隐形冠军”</w:t>
            </w:r>
            <w:r>
              <w:rPr>
                <w:rFonts w:hint="eastAsia" w:ascii="仿宋" w:hAnsi="仿宋" w:eastAsia="仿宋" w:cs="仿宋"/>
                <w:snapToGrid/>
                <w:kern w:val="2"/>
                <w:sz w:val="24"/>
                <w:szCs w:val="24"/>
              </w:rPr>
              <w:t>。持</w:t>
            </w:r>
            <w:r>
              <w:rPr>
                <w:rFonts w:eastAsia="仿宋_GB2312"/>
                <w:snapToGrid/>
                <w:kern w:val="2"/>
                <w:sz w:val="24"/>
                <w:szCs w:val="24"/>
              </w:rPr>
              <w:t>续加大外资项目引进力度，主攻德国、日本、韩国等重点区域，力争在高品质外资项目引进上取得新突破。全年确保签约引进工业项目协议总投资500亿元，其中</w:t>
            </w:r>
            <w:r>
              <w:rPr>
                <w:rFonts w:hint="eastAsia" w:ascii="仿宋_GB2312" w:hAnsi="仿宋_GB2312" w:eastAsia="仿宋_GB2312" w:cs="仿宋_GB2312"/>
                <w:snapToGrid/>
                <w:kern w:val="2"/>
                <w:sz w:val="24"/>
                <w:szCs w:val="24"/>
              </w:rPr>
              <w:t>“三新一特”</w:t>
            </w:r>
            <w:r>
              <w:rPr>
                <w:rFonts w:eastAsia="仿宋_GB2312"/>
                <w:snapToGrid/>
                <w:kern w:val="2"/>
                <w:sz w:val="24"/>
                <w:szCs w:val="24"/>
              </w:rPr>
              <w:t>产业占比超60%，协议投资超30亿元或3亿美元工业项目不少于3个。</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eastAsia="仿宋_GB2312"/>
                <w:snapToGrid/>
                <w:kern w:val="2"/>
                <w:sz w:val="24"/>
                <w:szCs w:val="24"/>
              </w:rPr>
              <w:t>商务局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各单位、</w:t>
            </w:r>
            <w:r>
              <w:rPr>
                <w:rFonts w:eastAsia="仿宋_GB2312"/>
                <w:snapToGrid/>
                <w:kern w:val="2"/>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（2）突出科技含量、亩均产出、资源节约和贡献程度，严把项目引进质量关。以规划管控的严标准和土地利用的高效率，倒逼项目的高质量。</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工信局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科技局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商务局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3）千方百计盘活存量资源，探索无地招商、存量招商、嫁接招商等新路径。创新招商方式，拓展以商引商、以企引企等多种招商途径，打造立体化的招商体系。加强招商队伍建设，提升招商的专业化、国际化、市场化水平。</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商务局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各单位、</w:t>
            </w:r>
            <w:r>
              <w:rPr>
                <w:rFonts w:eastAsia="仿宋_GB2312"/>
                <w:snapToGrid/>
                <w:kern w:val="2"/>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jc w:val="center"/>
        </w:trPr>
        <w:tc>
          <w:tcPr>
            <w:tcW w:w="740" w:type="dxa"/>
            <w:vMerge w:val="restart"/>
            <w:noWrap/>
            <w:vAlign w:val="center"/>
          </w:tcPr>
          <w:p>
            <w:pPr>
              <w:autoSpaceDE/>
              <w:autoSpaceDN/>
              <w:snapToGrid/>
              <w:spacing w:line="360" w:lineRule="exact"/>
              <w:ind w:firstLine="0"/>
              <w:jc w:val="center"/>
              <w:rPr>
                <w:rFonts w:eastAsia="宋体"/>
                <w:snapToGrid/>
                <w:kern w:val="2"/>
                <w:sz w:val="24"/>
                <w:szCs w:val="24"/>
              </w:rPr>
            </w:pPr>
            <w:r>
              <w:rPr>
                <w:rFonts w:eastAsia="宋体"/>
                <w:snapToGrid/>
                <w:kern w:val="2"/>
                <w:sz w:val="24"/>
                <w:szCs w:val="24"/>
              </w:rPr>
              <w:t>2</w:t>
            </w:r>
          </w:p>
        </w:tc>
        <w:tc>
          <w:tcPr>
            <w:tcW w:w="2053" w:type="dxa"/>
            <w:vMerge w:val="restart"/>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聚焦项目建设</w:t>
            </w:r>
          </w:p>
        </w:tc>
        <w:tc>
          <w:tcPr>
            <w:tcW w:w="7236" w:type="dxa"/>
            <w:noWrap/>
            <w:vAlign w:val="center"/>
          </w:tcPr>
          <w:p>
            <w:pPr>
              <w:autoSpaceDE/>
              <w:autoSpaceDN/>
              <w:snapToGrid/>
              <w:spacing w:line="360" w:lineRule="exact"/>
              <w:ind w:firstLine="0"/>
              <w:rPr>
                <w:rFonts w:ascii="仿宋_GB2312" w:hAnsi="仿宋_GB2312" w:eastAsia="仿宋_GB2312" w:cs="仿宋_GB2312"/>
                <w:snapToGrid/>
                <w:spacing w:val="-6"/>
                <w:kern w:val="2"/>
                <w:sz w:val="24"/>
                <w:szCs w:val="24"/>
              </w:rPr>
            </w:pPr>
            <w:r>
              <w:rPr>
                <w:rFonts w:hint="eastAsia" w:ascii="仿宋_GB2312" w:hAnsi="仿宋_GB2312" w:eastAsia="仿宋_GB2312" w:cs="仿宋_GB2312"/>
                <w:snapToGrid/>
                <w:kern w:val="2"/>
                <w:sz w:val="24"/>
                <w:szCs w:val="24"/>
              </w:rPr>
              <w:t>（</w:t>
            </w:r>
            <w:r>
              <w:rPr>
                <w:rFonts w:eastAsia="仿宋_GB2312"/>
                <w:snapToGrid/>
                <w:kern w:val="2"/>
                <w:sz w:val="24"/>
                <w:szCs w:val="24"/>
              </w:rPr>
              <w:t>1</w:t>
            </w:r>
            <w:r>
              <w:rPr>
                <w:rFonts w:hint="eastAsia" w:ascii="仿宋_GB2312" w:hAnsi="仿宋_GB2312" w:eastAsia="仿宋_GB2312" w:cs="仿宋_GB2312"/>
                <w:snapToGrid/>
                <w:kern w:val="2"/>
                <w:sz w:val="24"/>
                <w:szCs w:val="24"/>
              </w:rPr>
              <w:t>）进一步完善项目推进协调机制，保障项目建设各环节有效衔接。着力推进韩</w:t>
            </w:r>
            <w:r>
              <w:rPr>
                <w:rFonts w:eastAsia="仿宋_GB2312"/>
                <w:snapToGrid/>
                <w:kern w:val="2"/>
                <w:sz w:val="24"/>
                <w:szCs w:val="24"/>
              </w:rPr>
              <w:t>国SK</w:t>
            </w:r>
            <w:r>
              <w:rPr>
                <w:rFonts w:hint="eastAsia" w:ascii="仿宋_GB2312" w:hAnsi="仿宋_GB2312" w:eastAsia="仿宋_GB2312" w:cs="仿宋_GB2312"/>
                <w:snapToGrid/>
                <w:kern w:val="2"/>
                <w:sz w:val="24"/>
                <w:szCs w:val="24"/>
              </w:rPr>
              <w:t>隔膜、当升科技、蜂巢新能源等省市重点项目建设。</w:t>
            </w:r>
          </w:p>
        </w:tc>
        <w:tc>
          <w:tcPr>
            <w:tcW w:w="117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陶  伟</w:t>
            </w:r>
          </w:p>
        </w:tc>
        <w:tc>
          <w:tcPr>
            <w:tcW w:w="1790" w:type="dxa"/>
            <w:noWrap/>
            <w:vAlign w:val="center"/>
          </w:tcPr>
          <w:p>
            <w:pPr>
              <w:autoSpaceDE/>
              <w:autoSpaceDN/>
              <w:snapToGrid/>
              <w:spacing w:line="34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发改局</w:t>
            </w:r>
          </w:p>
        </w:tc>
        <w:tc>
          <w:tcPr>
            <w:tcW w:w="191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各板块</w:t>
            </w:r>
          </w:p>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60" w:lineRule="exact"/>
              <w:ind w:firstLine="0"/>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w:t>
            </w:r>
            <w:r>
              <w:rPr>
                <w:rFonts w:eastAsia="仿宋_GB2312"/>
                <w:snapToGrid/>
                <w:kern w:val="2"/>
                <w:sz w:val="24"/>
                <w:szCs w:val="24"/>
              </w:rPr>
              <w:t>2</w:t>
            </w:r>
            <w:r>
              <w:rPr>
                <w:rFonts w:hint="eastAsia" w:ascii="仿宋_GB2312" w:hAnsi="仿宋_GB2312" w:eastAsia="仿宋_GB2312" w:cs="仿宋_GB2312"/>
                <w:snapToGrid/>
                <w:kern w:val="2"/>
                <w:sz w:val="24"/>
                <w:szCs w:val="24"/>
              </w:rPr>
              <w:t>）突出项目有效投入，设备投入占比不低于</w:t>
            </w:r>
            <w:r>
              <w:rPr>
                <w:rFonts w:eastAsia="仿宋_GB2312"/>
                <w:snapToGrid/>
                <w:kern w:val="2"/>
                <w:sz w:val="24"/>
                <w:szCs w:val="24"/>
              </w:rPr>
              <w:t>50</w:t>
            </w:r>
            <w:r>
              <w:rPr>
                <w:rFonts w:hint="eastAsia" w:ascii="仿宋_GB2312" w:hAnsi="仿宋_GB2312" w:eastAsia="仿宋_GB2312" w:cs="仿宋_GB2312"/>
                <w:snapToGrid/>
                <w:kern w:val="2"/>
                <w:sz w:val="24"/>
                <w:szCs w:val="24"/>
              </w:rPr>
              <w:t>%。</w:t>
            </w:r>
          </w:p>
        </w:tc>
        <w:tc>
          <w:tcPr>
            <w:tcW w:w="117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周新生</w:t>
            </w:r>
          </w:p>
        </w:tc>
        <w:tc>
          <w:tcPr>
            <w:tcW w:w="1790" w:type="dxa"/>
            <w:noWrap/>
            <w:vAlign w:val="center"/>
          </w:tcPr>
          <w:p>
            <w:pPr>
              <w:autoSpaceDE/>
              <w:autoSpaceDN/>
              <w:snapToGrid/>
              <w:spacing w:line="34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工信局</w:t>
            </w:r>
          </w:p>
        </w:tc>
        <w:tc>
          <w:tcPr>
            <w:tcW w:w="191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60" w:lineRule="exact"/>
              <w:ind w:firstLine="0"/>
              <w:rPr>
                <w:rFonts w:ascii="仿宋_GB2312" w:hAnsi="仿宋_GB2312" w:eastAsia="仿宋_GB2312" w:cs="仿宋_GB2312"/>
                <w:snapToGrid/>
                <w:spacing w:val="-6"/>
                <w:kern w:val="2"/>
                <w:sz w:val="24"/>
                <w:szCs w:val="24"/>
              </w:rPr>
            </w:pPr>
            <w:r>
              <w:rPr>
                <w:rFonts w:hint="eastAsia" w:ascii="仿宋_GB2312" w:hAnsi="仿宋_GB2312" w:eastAsia="仿宋_GB2312" w:cs="仿宋_GB2312"/>
                <w:snapToGrid/>
                <w:kern w:val="2"/>
                <w:sz w:val="24"/>
                <w:szCs w:val="24"/>
              </w:rPr>
              <w:t>（</w:t>
            </w:r>
            <w:r>
              <w:rPr>
                <w:rFonts w:eastAsia="仿宋_GB2312"/>
                <w:snapToGrid/>
                <w:kern w:val="2"/>
                <w:sz w:val="24"/>
                <w:szCs w:val="24"/>
              </w:rPr>
              <w:t>3</w:t>
            </w:r>
            <w:r>
              <w:rPr>
                <w:rFonts w:hint="eastAsia" w:ascii="仿宋_GB2312" w:hAnsi="仿宋_GB2312" w:eastAsia="仿宋_GB2312" w:cs="仿宋_GB2312"/>
                <w:snapToGrid/>
                <w:kern w:val="2"/>
                <w:sz w:val="24"/>
                <w:szCs w:val="24"/>
              </w:rPr>
              <w:t>）遵循资金有保障，土地有容量的原则，严格实行年度预算管理，坚持补短板项目优先、民生项目优先、重点项目优先，精准编制政府性投资项目清单，加快生活垃圾焚烧发电等项目建设。</w:t>
            </w:r>
          </w:p>
        </w:tc>
        <w:tc>
          <w:tcPr>
            <w:tcW w:w="117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陶  伟</w:t>
            </w:r>
          </w:p>
        </w:tc>
        <w:tc>
          <w:tcPr>
            <w:tcW w:w="1790" w:type="dxa"/>
            <w:noWrap/>
            <w:vAlign w:val="center"/>
          </w:tcPr>
          <w:p>
            <w:pPr>
              <w:autoSpaceDE/>
              <w:autoSpaceDN/>
              <w:snapToGrid/>
              <w:spacing w:line="34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发改局</w:t>
            </w:r>
          </w:p>
        </w:tc>
        <w:tc>
          <w:tcPr>
            <w:tcW w:w="191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各板块</w:t>
            </w:r>
          </w:p>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60" w:lineRule="exact"/>
              <w:ind w:firstLine="0"/>
              <w:rPr>
                <w:rFonts w:ascii="仿宋_GB2312" w:hAnsi="仿宋_GB2312" w:eastAsia="仿宋_GB2312" w:cs="仿宋_GB2312"/>
                <w:snapToGrid/>
                <w:spacing w:val="-6"/>
                <w:kern w:val="2"/>
                <w:sz w:val="24"/>
                <w:szCs w:val="24"/>
              </w:rPr>
            </w:pPr>
            <w:r>
              <w:rPr>
                <w:rFonts w:hint="eastAsia" w:ascii="仿宋_GB2312" w:hAnsi="仿宋_GB2312" w:eastAsia="仿宋_GB2312" w:cs="仿宋_GB2312"/>
                <w:snapToGrid/>
                <w:kern w:val="2"/>
                <w:sz w:val="24"/>
                <w:szCs w:val="24"/>
              </w:rPr>
              <w:t>（</w:t>
            </w:r>
            <w:r>
              <w:rPr>
                <w:rFonts w:eastAsia="仿宋_GB2312"/>
                <w:snapToGrid/>
                <w:kern w:val="2"/>
                <w:sz w:val="24"/>
                <w:szCs w:val="24"/>
              </w:rPr>
              <w:t>4</w:t>
            </w:r>
            <w:r>
              <w:rPr>
                <w:rFonts w:hint="eastAsia" w:ascii="仿宋_GB2312" w:hAnsi="仿宋_GB2312" w:eastAsia="仿宋_GB2312" w:cs="仿宋_GB2312"/>
                <w:snapToGrid/>
                <w:kern w:val="2"/>
                <w:sz w:val="24"/>
                <w:szCs w:val="24"/>
              </w:rPr>
              <w:t>）加强项目实施的全过程管理和服务，强化项目考评，围绕项目落地、投产达效抓考核，切实提高签约项目开工率、续建项目竣工率、竣工项目达产率。</w:t>
            </w:r>
          </w:p>
        </w:tc>
        <w:tc>
          <w:tcPr>
            <w:tcW w:w="117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陶  伟</w:t>
            </w:r>
          </w:p>
        </w:tc>
        <w:tc>
          <w:tcPr>
            <w:tcW w:w="1790" w:type="dxa"/>
            <w:noWrap/>
            <w:vAlign w:val="center"/>
          </w:tcPr>
          <w:p>
            <w:pPr>
              <w:autoSpaceDE/>
              <w:autoSpaceDN/>
              <w:snapToGrid/>
              <w:spacing w:line="34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发改局</w:t>
            </w:r>
          </w:p>
        </w:tc>
        <w:tc>
          <w:tcPr>
            <w:tcW w:w="1916" w:type="dxa"/>
            <w:noWrap/>
            <w:vAlign w:val="center"/>
          </w:tcPr>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各板块</w:t>
            </w:r>
          </w:p>
          <w:p>
            <w:pPr>
              <w:autoSpaceDE/>
              <w:autoSpaceDN/>
              <w:snapToGrid/>
              <w:spacing w:line="36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40" w:type="dxa"/>
            <w:vMerge w:val="restart"/>
            <w:noWrap/>
            <w:vAlign w:val="center"/>
          </w:tcPr>
          <w:p>
            <w:pPr>
              <w:autoSpaceDE/>
              <w:autoSpaceDN/>
              <w:snapToGrid/>
              <w:spacing w:line="360" w:lineRule="exact"/>
              <w:ind w:firstLine="0"/>
              <w:jc w:val="center"/>
              <w:rPr>
                <w:rFonts w:eastAsia="宋体"/>
                <w:snapToGrid/>
                <w:kern w:val="2"/>
                <w:sz w:val="24"/>
                <w:szCs w:val="24"/>
              </w:rPr>
            </w:pPr>
            <w:r>
              <w:rPr>
                <w:rFonts w:eastAsia="宋体"/>
                <w:snapToGrid/>
                <w:kern w:val="2"/>
                <w:sz w:val="24"/>
                <w:szCs w:val="24"/>
              </w:rPr>
              <w:t>3</w:t>
            </w:r>
          </w:p>
        </w:tc>
        <w:tc>
          <w:tcPr>
            <w:tcW w:w="2053" w:type="dxa"/>
            <w:vMerge w:val="restart"/>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优化要素配置</w:t>
            </w:r>
          </w:p>
        </w:tc>
        <w:tc>
          <w:tcPr>
            <w:tcW w:w="7236" w:type="dxa"/>
            <w:noWrap/>
            <w:vAlign w:val="center"/>
          </w:tcPr>
          <w:p>
            <w:pPr>
              <w:autoSpaceDE/>
              <w:autoSpaceDN/>
              <w:snapToGrid/>
              <w:spacing w:line="320" w:lineRule="exact"/>
              <w:ind w:firstLine="0"/>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（1）切实加强各行业专项规划研究，加快推进国土空间规划编制试点工作，科学划定“三区三线”，强化规划的战略性、约束性、指导性作用。</w:t>
            </w:r>
          </w:p>
        </w:tc>
        <w:tc>
          <w:tcPr>
            <w:tcW w:w="1176" w:type="dxa"/>
            <w:noWrap/>
            <w:vAlign w:val="center"/>
          </w:tcPr>
          <w:p>
            <w:pPr>
              <w:autoSpaceDE/>
              <w:autoSpaceDN/>
              <w:snapToGrid/>
              <w:spacing w:line="32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陶  伟</w:t>
            </w:r>
          </w:p>
        </w:tc>
        <w:tc>
          <w:tcPr>
            <w:tcW w:w="1790" w:type="dxa"/>
            <w:noWrap/>
            <w:vAlign w:val="center"/>
          </w:tcPr>
          <w:p>
            <w:pPr>
              <w:autoSpaceDE/>
              <w:autoSpaceDN/>
              <w:snapToGrid/>
              <w:spacing w:line="32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自然资源局</w:t>
            </w:r>
          </w:p>
        </w:tc>
        <w:tc>
          <w:tcPr>
            <w:tcW w:w="1916" w:type="dxa"/>
            <w:noWrap/>
            <w:vAlign w:val="center"/>
          </w:tcPr>
          <w:p>
            <w:pPr>
              <w:autoSpaceDE/>
              <w:autoSpaceDN/>
              <w:snapToGrid/>
              <w:spacing w:line="320" w:lineRule="exact"/>
              <w:ind w:firstLine="0"/>
              <w:jc w:val="center"/>
              <w:rPr>
                <w:rFonts w:ascii="仿宋_GB2312" w:hAnsi="仿宋_GB2312" w:eastAsia="仿宋_GB2312" w:cs="仿宋_GB2312"/>
                <w:snapToGrid/>
                <w:kern w:val="2"/>
                <w:sz w:val="24"/>
                <w:szCs w:val="24"/>
              </w:rPr>
            </w:pPr>
            <w:r>
              <w:rPr>
                <w:rFonts w:hint="eastAsia" w:ascii="仿宋_GB2312" w:hAnsi="仿宋_GB2312" w:eastAsia="仿宋_GB2312" w:cs="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eastAsia="仿宋_GB2312"/>
                <w:snapToGrid/>
                <w:kern w:val="2"/>
                <w:sz w:val="24"/>
                <w:szCs w:val="24"/>
              </w:rPr>
              <w:t>（2）有序开展土地综合整治，研究制定促进低效土地开发利用政策，力争全年盘活存量用地5000亩以上。</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eastAsia="仿宋_GB2312"/>
                <w:snapToGrid/>
                <w:kern w:val="2"/>
                <w:sz w:val="24"/>
                <w:szCs w:val="24"/>
              </w:rPr>
              <w:t>陶  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eastAsia="仿宋_GB2312"/>
                <w:snapToGrid/>
                <w:kern w:val="2"/>
                <w:sz w:val="24"/>
                <w:szCs w:val="24"/>
              </w:rPr>
              <w:t>（3）推进产业用地改造更新，破解低效用地难题。</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老城办</w:t>
            </w:r>
          </w:p>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开发区</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eastAsia="仿宋_GB2312"/>
                <w:snapToGrid/>
                <w:kern w:val="2"/>
                <w:sz w:val="24"/>
                <w:szCs w:val="24"/>
              </w:rPr>
              <w:t>（4）提高独立供地工业项目的建筑容积率，着力推进国土资源高效节约利用。</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eastAsia="仿宋_GB2312"/>
                <w:snapToGrid/>
                <w:kern w:val="2"/>
                <w:sz w:val="24"/>
                <w:szCs w:val="24"/>
              </w:rPr>
              <w:t>（5）推进盐穴资源综合利用，启动盐穴空间利用规划研究。</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直溪镇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hint="eastAsia" w:eastAsia="仿宋_GB2312"/>
                <w:snapToGrid/>
                <w:kern w:val="2"/>
                <w:sz w:val="24"/>
                <w:szCs w:val="24"/>
              </w:rPr>
              <w:t>（6）完善工业企业资源集约利用综合评价系统，强化评价结果运用，推动资源要素向优质项目和优质企业集聚。</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工信局</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hint="eastAsia" w:eastAsia="仿宋_GB2312"/>
                <w:snapToGrid/>
                <w:kern w:val="2"/>
                <w:sz w:val="24"/>
                <w:szCs w:val="24"/>
              </w:rPr>
              <w:t>（7）推动国有公司市场化运作，提升国有资本、资产、资源运营效率，提高营利水平和整体实力，实现可持续发展。</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财政局</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20" w:lineRule="exact"/>
              <w:ind w:firstLine="0"/>
              <w:jc w:val="center"/>
              <w:rPr>
                <w:rFonts w:eastAsia="仿宋_GB2312"/>
                <w:snapToGrid/>
                <w:kern w:val="2"/>
                <w:sz w:val="24"/>
                <w:szCs w:val="24"/>
              </w:rPr>
            </w:pPr>
            <w:r>
              <w:rPr>
                <w:rFonts w:hint="eastAsia" w:eastAsia="仿宋_GB2312"/>
                <w:snapToGrid/>
                <w:spacing w:val="-17"/>
                <w:kern w:val="2"/>
                <w:sz w:val="24"/>
                <w:szCs w:val="24"/>
              </w:rPr>
              <w:t>各区管国有公司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hint="eastAsia" w:eastAsia="仿宋_GB2312"/>
                <w:snapToGrid/>
                <w:kern w:val="2"/>
                <w:sz w:val="24"/>
                <w:szCs w:val="24"/>
              </w:rPr>
              <w:t>（8）进一步提高金融服务实体经济水平，大力推进银政企合作，引导金融机构扩大对优质企业、重大项目信贷投放规模，更大力度缓解中小企业融资难、融资贵问题。</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地方金融监督</w:t>
            </w:r>
          </w:p>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管理局</w:t>
            </w:r>
          </w:p>
        </w:tc>
        <w:tc>
          <w:tcPr>
            <w:tcW w:w="1916" w:type="dxa"/>
            <w:noWrap/>
            <w:vAlign w:val="center"/>
          </w:tcPr>
          <w:p>
            <w:pPr>
              <w:autoSpaceDE/>
              <w:autoSpaceDN/>
              <w:snapToGrid/>
              <w:spacing w:line="2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280" w:lineRule="exact"/>
              <w:ind w:firstLine="0"/>
              <w:jc w:val="center"/>
              <w:rPr>
                <w:rFonts w:eastAsia="仿宋_GB2312"/>
                <w:snapToGrid/>
                <w:kern w:val="2"/>
                <w:sz w:val="24"/>
                <w:szCs w:val="24"/>
              </w:rPr>
            </w:pPr>
            <w:r>
              <w:rPr>
                <w:rFonts w:hint="eastAsia" w:eastAsia="仿宋_GB2312"/>
                <w:snapToGrid/>
                <w:kern w:val="2"/>
                <w:sz w:val="24"/>
                <w:szCs w:val="24"/>
              </w:rPr>
              <w:t>人民银行</w:t>
            </w:r>
          </w:p>
          <w:p>
            <w:pPr>
              <w:autoSpaceDE/>
              <w:autoSpaceDN/>
              <w:snapToGrid/>
              <w:spacing w:line="280" w:lineRule="exact"/>
              <w:ind w:firstLine="0"/>
              <w:jc w:val="center"/>
              <w:rPr>
                <w:rFonts w:eastAsia="仿宋_GB2312"/>
                <w:snapToGrid/>
                <w:kern w:val="2"/>
                <w:sz w:val="24"/>
                <w:szCs w:val="24"/>
              </w:rPr>
            </w:pPr>
            <w:r>
              <w:rPr>
                <w:rFonts w:hint="eastAsia" w:eastAsia="仿宋_GB2312"/>
                <w:snapToGrid/>
                <w:kern w:val="2"/>
                <w:sz w:val="24"/>
                <w:szCs w:val="24"/>
              </w:rPr>
              <w:t>各金融机构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hint="eastAsia" w:eastAsia="仿宋_GB2312"/>
                <w:snapToGrid/>
                <w:kern w:val="2"/>
                <w:sz w:val="24"/>
                <w:szCs w:val="24"/>
              </w:rPr>
              <w:t>（9）加强与上级部门的沟通衔接，用足用好各类扶持政策。</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发改局</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hint="eastAsia" w:eastAsia="仿宋_GB2312"/>
                <w:snapToGrid/>
                <w:kern w:val="2"/>
                <w:sz w:val="24"/>
                <w:szCs w:val="24"/>
              </w:rPr>
              <w:t>（10）高起点规划建设5G通信网络。</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color w:val="000000"/>
                <w:kern w:val="2"/>
                <w:sz w:val="24"/>
                <w:szCs w:val="24"/>
              </w:rPr>
              <w:t>周新生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工信局</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电信公司</w:t>
            </w:r>
          </w:p>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移动公司</w:t>
            </w:r>
          </w:p>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联通公司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ascii="仿宋_GB2312" w:hAnsi="仿宋_GB2312" w:eastAsia="仿宋_GB2312" w:cs="仿宋_GB2312"/>
                <w:snapToGrid/>
                <w:kern w:val="2"/>
                <w:sz w:val="24"/>
                <w:szCs w:val="24"/>
              </w:rPr>
            </w:pPr>
          </w:p>
        </w:tc>
        <w:tc>
          <w:tcPr>
            <w:tcW w:w="7236" w:type="dxa"/>
            <w:noWrap/>
            <w:vAlign w:val="center"/>
          </w:tcPr>
          <w:p>
            <w:pPr>
              <w:autoSpaceDE/>
              <w:autoSpaceDN/>
              <w:snapToGrid/>
              <w:spacing w:line="320" w:lineRule="exact"/>
              <w:ind w:firstLine="0"/>
              <w:rPr>
                <w:rFonts w:eastAsia="仿宋_GB2312"/>
                <w:snapToGrid/>
                <w:kern w:val="2"/>
                <w:sz w:val="24"/>
                <w:szCs w:val="24"/>
              </w:rPr>
            </w:pPr>
            <w:r>
              <w:rPr>
                <w:rFonts w:hint="eastAsia" w:eastAsia="仿宋_GB2312"/>
                <w:snapToGrid/>
                <w:kern w:val="2"/>
                <w:sz w:val="24"/>
                <w:szCs w:val="24"/>
              </w:rPr>
              <w:t>（11）争取更多电网项目列入省级电网建设工程。</w:t>
            </w:r>
          </w:p>
        </w:tc>
        <w:tc>
          <w:tcPr>
            <w:tcW w:w="117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供电公司</w:t>
            </w:r>
          </w:p>
        </w:tc>
        <w:tc>
          <w:tcPr>
            <w:tcW w:w="1916" w:type="dxa"/>
            <w:noWrap/>
            <w:vAlign w:val="center"/>
          </w:tcPr>
          <w:p>
            <w:pPr>
              <w:autoSpaceDE/>
              <w:autoSpaceDN/>
              <w:snapToGrid/>
              <w:spacing w:line="32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740" w:type="dxa"/>
            <w:vMerge w:val="restart"/>
            <w:noWrap/>
            <w:vAlign w:val="center"/>
          </w:tcPr>
          <w:p>
            <w:pPr>
              <w:autoSpaceDE/>
              <w:autoSpaceDN/>
              <w:snapToGrid/>
              <w:spacing w:line="360" w:lineRule="exact"/>
              <w:ind w:firstLine="0"/>
              <w:jc w:val="center"/>
              <w:rPr>
                <w:rFonts w:eastAsia="宋体"/>
                <w:snapToGrid/>
                <w:kern w:val="2"/>
                <w:sz w:val="24"/>
                <w:szCs w:val="24"/>
              </w:rPr>
            </w:pPr>
            <w:r>
              <w:rPr>
                <w:rFonts w:eastAsia="宋体"/>
                <w:snapToGrid/>
                <w:kern w:val="2"/>
                <w:sz w:val="24"/>
                <w:szCs w:val="24"/>
              </w:rPr>
              <w:t>4</w:t>
            </w:r>
          </w:p>
        </w:tc>
        <w:tc>
          <w:tcPr>
            <w:tcW w:w="2053" w:type="dxa"/>
            <w:vMerge w:val="restart"/>
            <w:noWrap/>
            <w:vAlign w:val="center"/>
          </w:tcPr>
          <w:p>
            <w:pPr>
              <w:autoSpaceDE/>
              <w:autoSpaceDN/>
              <w:snapToGrid/>
              <w:spacing w:line="360" w:lineRule="exact"/>
              <w:ind w:right="-57" w:firstLine="0"/>
              <w:jc w:val="center"/>
              <w:rPr>
                <w:rFonts w:eastAsia="仿宋_GB2312"/>
                <w:snapToGrid/>
                <w:kern w:val="2"/>
                <w:sz w:val="24"/>
                <w:szCs w:val="24"/>
              </w:rPr>
            </w:pPr>
            <w:r>
              <w:rPr>
                <w:rFonts w:eastAsia="仿宋_GB2312"/>
                <w:snapToGrid/>
                <w:kern w:val="2"/>
                <w:sz w:val="24"/>
                <w:szCs w:val="24"/>
              </w:rPr>
              <w:t>持续优化营商环境</w:t>
            </w: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（1）加大实体经济帮扶力度，进一步释放减税降费政策红利，不断降低实体经济综合成本，提升市场竞争力。</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沈  东</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财政局</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税务局</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（2）继续深化</w:t>
            </w:r>
            <w:r>
              <w:rPr>
                <w:rFonts w:hint="eastAsia" w:ascii="仿宋_GB2312" w:hAnsi="仿宋_GB2312" w:eastAsia="仿宋_GB2312" w:cs="仿宋_GB2312"/>
                <w:snapToGrid/>
                <w:kern w:val="2"/>
                <w:sz w:val="24"/>
                <w:szCs w:val="24"/>
              </w:rPr>
              <w:t>“放管服”</w:t>
            </w:r>
            <w:r>
              <w:rPr>
                <w:rFonts w:eastAsia="仿宋_GB2312"/>
                <w:snapToGrid/>
                <w:kern w:val="2"/>
                <w:sz w:val="24"/>
                <w:szCs w:val="24"/>
              </w:rPr>
              <w:t>改革，以</w:t>
            </w:r>
            <w:r>
              <w:rPr>
                <w:rFonts w:hint="eastAsia" w:ascii="仿宋_GB2312" w:hAnsi="仿宋_GB2312" w:eastAsia="仿宋_GB2312" w:cs="仿宋_GB2312"/>
                <w:snapToGrid/>
                <w:kern w:val="2"/>
                <w:sz w:val="24"/>
                <w:szCs w:val="24"/>
              </w:rPr>
              <w:t>“</w:t>
            </w:r>
            <w:r>
              <w:rPr>
                <w:rFonts w:eastAsia="仿宋_GB2312"/>
                <w:snapToGrid/>
                <w:kern w:val="2"/>
                <w:sz w:val="24"/>
                <w:szCs w:val="24"/>
              </w:rPr>
              <w:t>3550</w:t>
            </w:r>
            <w:r>
              <w:rPr>
                <w:rFonts w:hint="eastAsia" w:ascii="仿宋_GB2312" w:hAnsi="仿宋_GB2312" w:eastAsia="仿宋_GB2312" w:cs="仿宋_GB2312"/>
                <w:snapToGrid/>
                <w:kern w:val="2"/>
                <w:sz w:val="24"/>
                <w:szCs w:val="24"/>
              </w:rPr>
              <w:t>”</w:t>
            </w:r>
            <w:r>
              <w:rPr>
                <w:rFonts w:eastAsia="仿宋_GB2312"/>
                <w:snapToGrid/>
                <w:kern w:val="2"/>
                <w:sz w:val="24"/>
                <w:szCs w:val="24"/>
              </w:rPr>
              <w:t>标准推进阳光高效审批，简化审批材料、压缩审批时限、优化审批流程，促进新动能加快发展壮大。推进政务服务标准化，健全政务服务</w:t>
            </w:r>
            <w:r>
              <w:rPr>
                <w:rFonts w:hint="eastAsia" w:ascii="仿宋_GB2312" w:hAnsi="仿宋_GB2312" w:eastAsia="仿宋_GB2312" w:cs="仿宋_GB2312"/>
                <w:snapToGrid/>
                <w:kern w:val="2"/>
                <w:sz w:val="24"/>
                <w:szCs w:val="24"/>
              </w:rPr>
              <w:t>“一张网”</w:t>
            </w:r>
            <w:r>
              <w:rPr>
                <w:rFonts w:eastAsia="仿宋_GB2312"/>
                <w:snapToGrid/>
                <w:kern w:val="2"/>
                <w:sz w:val="24"/>
                <w:szCs w:val="24"/>
              </w:rPr>
              <w:t>，并向镇（街道）、村（社区）延伸，实现网络服务全覆盖。</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行政审批局</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（3）加快推进企业股改上市步伐，年内新增新三板挂牌企业2家，股改企业12家。</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地方金融监督</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管理局</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40" w:type="dxa"/>
            <w:vMerge w:val="continue"/>
            <w:noWrap/>
            <w:vAlign w:val="center"/>
          </w:tcPr>
          <w:p>
            <w:pPr>
              <w:autoSpaceDE/>
              <w:autoSpaceDN/>
              <w:snapToGrid/>
              <w:spacing w:line="360" w:lineRule="exact"/>
              <w:ind w:firstLine="0"/>
              <w:jc w:val="center"/>
              <w:rPr>
                <w:rFonts w:eastAsia="宋体"/>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hint="eastAsia" w:eastAsia="仿宋_GB2312"/>
                <w:snapToGrid/>
                <w:kern w:val="2"/>
                <w:sz w:val="24"/>
                <w:szCs w:val="24"/>
              </w:rPr>
              <w:t>（4）更加注重劳动力供需对接，营造良好用工环境，着力化解企业用工结构性供需矛盾。</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人社局</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740" w:type="dxa"/>
            <w:vMerge w:val="continue"/>
            <w:noWrap/>
            <w:vAlign w:val="center"/>
          </w:tcPr>
          <w:p>
            <w:pPr>
              <w:autoSpaceDE/>
              <w:autoSpaceDN/>
              <w:snapToGrid/>
              <w:spacing w:line="360" w:lineRule="exact"/>
              <w:ind w:firstLine="0"/>
              <w:jc w:val="center"/>
              <w:rPr>
                <w:rFonts w:eastAsia="宋体"/>
                <w:snapToGrid/>
                <w:color w:val="FF0000"/>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hint="eastAsia" w:eastAsia="仿宋_GB2312"/>
                <w:snapToGrid/>
                <w:kern w:val="2"/>
                <w:sz w:val="24"/>
                <w:szCs w:val="24"/>
              </w:rPr>
              <w:t>（5）对外资项目和内资项目、国有公司和民营公司、本土企业和新引进企业一视同仁，公平公正对待每一个市场主体，让所有投资者都感受到政府服务诚恳的态度、情感的温度，让所有在金坛创新创业的企业都吃下定心丸、安心谋发展，让金坛成为名副其实的投资热土、发展高地，努力形成更宽领域、更多层次、更高境界的开放开发新格局。</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工信局</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40" w:type="dxa"/>
            <w:vMerge w:val="restart"/>
            <w:noWrap/>
            <w:vAlign w:val="center"/>
          </w:tcPr>
          <w:p>
            <w:pPr>
              <w:autoSpaceDE/>
              <w:autoSpaceDN/>
              <w:snapToGrid/>
              <w:spacing w:line="360" w:lineRule="exact"/>
              <w:ind w:firstLine="0"/>
              <w:jc w:val="center"/>
              <w:rPr>
                <w:rFonts w:eastAsia="仿宋_GB2312"/>
                <w:snapToGrid/>
                <w:kern w:val="2"/>
                <w:sz w:val="24"/>
                <w:szCs w:val="24"/>
              </w:rPr>
            </w:pPr>
            <w:r>
              <w:rPr>
                <w:rFonts w:eastAsia="仿宋_GB2312"/>
                <w:snapToGrid/>
                <w:kern w:val="2"/>
                <w:sz w:val="24"/>
                <w:szCs w:val="24"/>
              </w:rPr>
              <w:t>5</w:t>
            </w:r>
          </w:p>
        </w:tc>
        <w:tc>
          <w:tcPr>
            <w:tcW w:w="2053" w:type="dxa"/>
            <w:vMerge w:val="restart"/>
            <w:noWrap/>
            <w:vAlign w:val="center"/>
          </w:tcPr>
          <w:p>
            <w:pPr>
              <w:autoSpaceDE/>
              <w:autoSpaceDN/>
              <w:snapToGrid/>
              <w:spacing w:line="360" w:lineRule="exact"/>
              <w:ind w:right="-57" w:firstLine="0"/>
              <w:jc w:val="center"/>
              <w:rPr>
                <w:rFonts w:eastAsia="仿宋_GB2312"/>
                <w:snapToGrid/>
                <w:kern w:val="2"/>
                <w:sz w:val="24"/>
                <w:szCs w:val="24"/>
              </w:rPr>
            </w:pPr>
            <w:r>
              <w:rPr>
                <w:rFonts w:eastAsia="仿宋_GB2312"/>
                <w:snapToGrid/>
                <w:kern w:val="2"/>
                <w:sz w:val="24"/>
                <w:szCs w:val="24"/>
              </w:rPr>
              <w:t>强化载体平台建设</w:t>
            </w: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（1）抢抓国家推进</w:t>
            </w:r>
            <w:r>
              <w:rPr>
                <w:rFonts w:hint="eastAsia" w:ascii="仿宋_GB2312" w:hAnsi="仿宋_GB2312" w:eastAsia="仿宋_GB2312" w:cs="仿宋_GB2312"/>
                <w:snapToGrid/>
                <w:kern w:val="2"/>
                <w:sz w:val="24"/>
                <w:szCs w:val="24"/>
              </w:rPr>
              <w:t>“一带一路”</w:t>
            </w:r>
            <w:r>
              <w:rPr>
                <w:rFonts w:eastAsia="仿宋_GB2312"/>
                <w:snapToGrid/>
                <w:kern w:val="2"/>
                <w:sz w:val="24"/>
                <w:szCs w:val="24"/>
              </w:rPr>
              <w:t>、宁杭生态经济带、扬子江城市群建设等重大战略机遇，力争更多的平台载体、重要基础设施项目纳入国家、省级规划。</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发改局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（2）突出经济开发区的龙头地位，将更多的资源要素向开发区倾斜，着力将开发区打造成为全区高质量发展的引领区。</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沈  东</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开发区</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kern w:val="2"/>
                <w:sz w:val="24"/>
                <w:szCs w:val="24"/>
              </w:rPr>
              <w:t>（3）</w:t>
            </w:r>
            <w:r>
              <w:rPr>
                <w:rFonts w:eastAsia="仿宋_GB2312"/>
                <w:snapToGrid/>
                <w:kern w:val="2"/>
                <w:sz w:val="24"/>
                <w:szCs w:val="24"/>
              </w:rPr>
              <w:t>全面提高开发区经济的外向度，加快中德（金坛）创新产业园建设，扩大德国工业4.0制造基地影响力，吸引</w:t>
            </w:r>
            <w:r>
              <w:rPr>
                <w:rFonts w:hint="eastAsia" w:ascii="仿宋_GB2312" w:hAnsi="仿宋_GB2312" w:eastAsia="仿宋_GB2312" w:cs="仿宋_GB2312"/>
                <w:snapToGrid/>
                <w:kern w:val="2"/>
                <w:sz w:val="24"/>
                <w:szCs w:val="24"/>
              </w:rPr>
              <w:t>“专精特新”高</w:t>
            </w:r>
            <w:r>
              <w:rPr>
                <w:rFonts w:eastAsia="仿宋_GB2312"/>
                <w:snapToGrid/>
                <w:kern w:val="2"/>
                <w:sz w:val="24"/>
                <w:szCs w:val="24"/>
              </w:rPr>
              <w:t>质量外资项目落户。加快推进开发区创建省级循环化改造示范区，为争创国家级开发区打下坚实基础。</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沈  东</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开发区</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商务局</w:t>
            </w:r>
          </w:p>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金坛生态环境局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kern w:val="2"/>
                <w:sz w:val="24"/>
                <w:szCs w:val="24"/>
              </w:rPr>
              <w:t>（4）进一步提升华科园建设品质，使其成为创新驱动的示范区、高新企业的集聚地。</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凤启龙</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华科园</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科技局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kern w:val="2"/>
                <w:sz w:val="24"/>
                <w:szCs w:val="24"/>
              </w:rPr>
              <w:t>（5）加快完善金科园基础设施配套，充分发挥金城港的低成本运输优势，清晰定位产业功能，推动新材料科技产业园转型发展，着力吸引世界500强企业和有实力的上市公司落户，将金科园打造成转型升级创新发展的示范园区。</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金科园</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商务局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交通局</w:t>
            </w:r>
          </w:p>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kern w:val="2"/>
                <w:sz w:val="24"/>
                <w:szCs w:val="24"/>
              </w:rPr>
              <w:t>（6）进一步提升镇级园区建设水平，实施“科技园+产业园”发展模式，努力将五个镇打造成为各具特色的科技产业新镇。着力建设一批科创中心、科技企业孵化器和加速器，推动各类闲置房产和标准厂房提升为科技创新平台。</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王  斌</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科技局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40" w:type="dxa"/>
            <w:vMerge w:val="restart"/>
            <w:noWrap/>
            <w:vAlign w:val="center"/>
          </w:tcPr>
          <w:p>
            <w:pPr>
              <w:autoSpaceDE/>
              <w:autoSpaceDN/>
              <w:snapToGrid/>
              <w:spacing w:line="360" w:lineRule="exact"/>
              <w:ind w:firstLine="0"/>
              <w:jc w:val="center"/>
              <w:rPr>
                <w:rFonts w:eastAsia="仿宋_GB2312"/>
                <w:snapToGrid/>
                <w:kern w:val="2"/>
                <w:sz w:val="24"/>
                <w:szCs w:val="24"/>
              </w:rPr>
            </w:pPr>
            <w:r>
              <w:rPr>
                <w:rFonts w:eastAsia="仿宋_GB2312"/>
                <w:snapToGrid/>
                <w:kern w:val="2"/>
                <w:sz w:val="24"/>
                <w:szCs w:val="24"/>
              </w:rPr>
              <w:t>6</w:t>
            </w:r>
          </w:p>
        </w:tc>
        <w:tc>
          <w:tcPr>
            <w:tcW w:w="2053" w:type="dxa"/>
            <w:vMerge w:val="restart"/>
            <w:noWrap/>
            <w:vAlign w:val="center"/>
          </w:tcPr>
          <w:p>
            <w:pPr>
              <w:autoSpaceDE/>
              <w:autoSpaceDN/>
              <w:snapToGrid/>
              <w:spacing w:line="360" w:lineRule="exact"/>
              <w:ind w:right="-57" w:firstLine="0"/>
              <w:jc w:val="center"/>
              <w:rPr>
                <w:rFonts w:eastAsia="仿宋_GB2312"/>
                <w:snapToGrid/>
                <w:kern w:val="2"/>
                <w:sz w:val="24"/>
                <w:szCs w:val="24"/>
              </w:rPr>
            </w:pPr>
            <w:r>
              <w:rPr>
                <w:rFonts w:eastAsia="仿宋_GB2312"/>
                <w:snapToGrid/>
                <w:kern w:val="2"/>
                <w:sz w:val="24"/>
                <w:szCs w:val="24"/>
              </w:rPr>
              <w:t>着力增强创新能力</w:t>
            </w:r>
          </w:p>
        </w:tc>
        <w:tc>
          <w:tcPr>
            <w:tcW w:w="7236" w:type="dxa"/>
            <w:noWrap/>
            <w:vAlign w:val="center"/>
          </w:tcPr>
          <w:p>
            <w:pPr>
              <w:autoSpaceDE/>
              <w:autoSpaceDN/>
              <w:adjustRightInd w:val="0"/>
              <w:spacing w:line="400" w:lineRule="exact"/>
              <w:ind w:firstLine="0"/>
              <w:rPr>
                <w:rFonts w:eastAsia="仿宋_GB2312"/>
                <w:snapToGrid/>
                <w:kern w:val="2"/>
                <w:sz w:val="24"/>
                <w:szCs w:val="24"/>
              </w:rPr>
            </w:pPr>
            <w:r>
              <w:rPr>
                <w:rFonts w:eastAsia="仿宋_GB2312"/>
                <w:snapToGrid/>
                <w:kern w:val="2"/>
                <w:sz w:val="24"/>
                <w:szCs w:val="24"/>
              </w:rPr>
              <w:t>（1）加快资源要素向重点创新型企业集聚，引导企业提升科技创新能力，增强综合竞争力，全年新增高新技术企业20家，省级以上</w:t>
            </w:r>
            <w:r>
              <w:rPr>
                <w:rFonts w:hint="eastAsia" w:ascii="仿宋_GB2312" w:hAnsi="仿宋_GB2312" w:eastAsia="仿宋_GB2312" w:cs="仿宋_GB2312"/>
                <w:snapToGrid/>
                <w:kern w:val="2"/>
                <w:sz w:val="24"/>
                <w:szCs w:val="24"/>
              </w:rPr>
              <w:t>“三站三中心”</w:t>
            </w:r>
            <w:r>
              <w:rPr>
                <w:rFonts w:eastAsia="仿宋_GB2312"/>
                <w:snapToGrid/>
                <w:kern w:val="2"/>
                <w:sz w:val="24"/>
                <w:szCs w:val="24"/>
              </w:rPr>
              <w:t>3家。突出企业创新的主体地位，以龙头企业为核心，推动优质高新技术企业打造国家级、省级研发平台，加快中航锂电技术研究院建设。积极构建科技创新服务体系，着重引进一批创业投资机构和专利代理、检验检测等科技服务机构。大力支持院校与政府、企业开展产学研合作，推动中小企业对接高等院校科研院所，新增各类新型研发机构（中心）10家左右。</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王  斌</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科技局</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人社局</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adjustRightInd w:val="0"/>
              <w:spacing w:line="400" w:lineRule="exact"/>
              <w:ind w:firstLine="0"/>
              <w:rPr>
                <w:rFonts w:eastAsia="仿宋_GB2312"/>
                <w:snapToGrid/>
                <w:kern w:val="2"/>
                <w:sz w:val="24"/>
                <w:szCs w:val="24"/>
              </w:rPr>
            </w:pPr>
            <w:r>
              <w:rPr>
                <w:rFonts w:eastAsia="仿宋_GB2312"/>
                <w:snapToGrid/>
                <w:kern w:val="2"/>
                <w:sz w:val="24"/>
                <w:szCs w:val="24"/>
              </w:rPr>
              <w:t>（2）坚持创新驱动与招才引智并举，落实鼓励各类创新创业的优惠政策，吸引更多高层次人才落户金坛。</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人才办</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人社局</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科技局</w:t>
            </w:r>
          </w:p>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adjustRightInd w:val="0"/>
              <w:spacing w:line="400" w:lineRule="exact"/>
              <w:ind w:firstLine="0"/>
              <w:rPr>
                <w:rFonts w:eastAsia="仿宋_GB2312"/>
                <w:snapToGrid/>
                <w:kern w:val="2"/>
                <w:sz w:val="24"/>
                <w:szCs w:val="24"/>
              </w:rPr>
            </w:pPr>
            <w:r>
              <w:rPr>
                <w:rFonts w:hint="eastAsia" w:eastAsia="仿宋_GB2312"/>
                <w:snapToGrid/>
                <w:kern w:val="2"/>
                <w:sz w:val="24"/>
                <w:szCs w:val="24"/>
              </w:rPr>
              <w:t>（3）出台支持高质量科技型中小企业加快发展政策。</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工信局</w:t>
            </w:r>
          </w:p>
        </w:tc>
        <w:tc>
          <w:tcPr>
            <w:tcW w:w="1916" w:type="dxa"/>
            <w:noWrap/>
            <w:vAlign w:val="center"/>
          </w:tcPr>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科技局</w:t>
            </w:r>
          </w:p>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地方金融监督</w:t>
            </w:r>
          </w:p>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管理局</w:t>
            </w:r>
          </w:p>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adjustRightInd w:val="0"/>
              <w:spacing w:line="400" w:lineRule="exact"/>
              <w:ind w:firstLine="0"/>
              <w:rPr>
                <w:rFonts w:eastAsia="仿宋_GB2312"/>
                <w:snapToGrid/>
                <w:kern w:val="2"/>
                <w:sz w:val="24"/>
                <w:szCs w:val="24"/>
              </w:rPr>
            </w:pPr>
            <w:r>
              <w:rPr>
                <w:rFonts w:hint="eastAsia" w:eastAsia="仿宋_GB2312"/>
                <w:snapToGrid/>
                <w:kern w:val="2"/>
                <w:sz w:val="24"/>
                <w:szCs w:val="24"/>
              </w:rPr>
              <w:t>（4）强化知识产权创造、保护和运用，万人发明专利拥有量达到14.8件。继续强化标准、质量和品牌建设，培育中国驰名商标1件、省级标准化项目2个，力争获评省长质量奖和市长质量奖企业各1家。</w:t>
            </w:r>
          </w:p>
        </w:tc>
        <w:tc>
          <w:tcPr>
            <w:tcW w:w="117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市场监管局</w:t>
            </w:r>
          </w:p>
        </w:tc>
        <w:tc>
          <w:tcPr>
            <w:tcW w:w="1916" w:type="dxa"/>
            <w:noWrap/>
            <w:vAlign w:val="center"/>
          </w:tcPr>
          <w:p>
            <w:pPr>
              <w:autoSpaceDE/>
              <w:autoSpaceDN/>
              <w:snapToGrid/>
              <w:spacing w:line="40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40" w:type="dxa"/>
            <w:vMerge w:val="restart"/>
            <w:noWrap/>
            <w:vAlign w:val="center"/>
          </w:tcPr>
          <w:p>
            <w:pPr>
              <w:autoSpaceDE/>
              <w:autoSpaceDN/>
              <w:snapToGrid/>
              <w:spacing w:line="440" w:lineRule="exact"/>
              <w:ind w:firstLine="0"/>
              <w:jc w:val="center"/>
              <w:rPr>
                <w:rFonts w:eastAsia="仿宋_GB2312"/>
                <w:snapToGrid/>
                <w:kern w:val="2"/>
                <w:sz w:val="24"/>
                <w:szCs w:val="24"/>
              </w:rPr>
            </w:pPr>
            <w:r>
              <w:rPr>
                <w:rFonts w:eastAsia="仿宋_GB2312"/>
                <w:snapToGrid/>
                <w:kern w:val="2"/>
                <w:sz w:val="24"/>
                <w:szCs w:val="24"/>
              </w:rPr>
              <w:t>7</w:t>
            </w:r>
          </w:p>
        </w:tc>
        <w:tc>
          <w:tcPr>
            <w:tcW w:w="2053" w:type="dxa"/>
            <w:vMerge w:val="restart"/>
            <w:noWrap/>
            <w:vAlign w:val="center"/>
          </w:tcPr>
          <w:p>
            <w:pPr>
              <w:autoSpaceDE/>
              <w:autoSpaceDN/>
              <w:snapToGrid/>
              <w:spacing w:line="440" w:lineRule="exact"/>
              <w:ind w:right="-57" w:firstLine="0"/>
              <w:jc w:val="center"/>
              <w:rPr>
                <w:rFonts w:eastAsia="仿宋_GB2312"/>
                <w:snapToGrid/>
                <w:kern w:val="2"/>
                <w:sz w:val="24"/>
                <w:szCs w:val="24"/>
              </w:rPr>
            </w:pPr>
            <w:r>
              <w:rPr>
                <w:rFonts w:eastAsia="仿宋_GB2312"/>
                <w:snapToGrid/>
                <w:kern w:val="2"/>
                <w:sz w:val="24"/>
                <w:szCs w:val="24"/>
              </w:rPr>
              <w:t>加强基础设施建设</w:t>
            </w:r>
          </w:p>
        </w:tc>
        <w:tc>
          <w:tcPr>
            <w:tcW w:w="7236" w:type="dxa"/>
            <w:noWrap/>
            <w:vAlign w:val="center"/>
          </w:tcPr>
          <w:p>
            <w:pPr>
              <w:autoSpaceDE/>
              <w:autoSpaceDN/>
              <w:adjustRightInd w:val="0"/>
              <w:spacing w:line="480" w:lineRule="exact"/>
              <w:ind w:firstLine="0"/>
              <w:rPr>
                <w:rFonts w:eastAsia="仿宋_GB2312"/>
                <w:snapToGrid/>
                <w:kern w:val="2"/>
                <w:sz w:val="24"/>
                <w:szCs w:val="24"/>
              </w:rPr>
            </w:pPr>
            <w:r>
              <w:rPr>
                <w:rFonts w:eastAsia="仿宋_GB2312"/>
                <w:snapToGrid/>
                <w:kern w:val="2"/>
                <w:sz w:val="24"/>
                <w:szCs w:val="24"/>
              </w:rPr>
              <w:t>（1）围绕打造铁路、公路、航道无缝对接的综合交通运输体系，加快推进江苏南沿江城际铁路建设，年内确保茅山旅游大道、直别公路等项目竣工通车，加快东部物流通道和北部物流通道等重点交通工程建设。</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交通局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adjustRightInd w:val="0"/>
              <w:spacing w:line="480" w:lineRule="exact"/>
              <w:ind w:firstLine="0"/>
              <w:rPr>
                <w:rFonts w:eastAsia="仿宋_GB2312"/>
                <w:snapToGrid/>
                <w:kern w:val="2"/>
                <w:sz w:val="24"/>
                <w:szCs w:val="24"/>
              </w:rPr>
            </w:pPr>
            <w:r>
              <w:rPr>
                <w:rFonts w:eastAsia="仿宋_GB2312"/>
                <w:snapToGrid/>
                <w:kern w:val="2"/>
                <w:sz w:val="24"/>
                <w:szCs w:val="24"/>
              </w:rPr>
              <w:t>（2）继续推进新孟河金坛段、良常枢纽等重点水利项目建设，完成城市防洪应急抢险调度中心等项目工程，确保流域治理、防洪除涝、水环境治理工程早投运、早见效、早受益。畅通城市水系，全力推进下</w:t>
            </w:r>
            <w:r>
              <w:rPr>
                <w:rFonts w:hint="eastAsia" w:ascii="宋体" w:hAnsi="宋体" w:eastAsia="宋体" w:cs="宋体"/>
                <w:snapToGrid/>
                <w:kern w:val="2"/>
                <w:sz w:val="24"/>
                <w:szCs w:val="24"/>
              </w:rPr>
              <w:t>坵</w:t>
            </w:r>
            <w:r>
              <w:rPr>
                <w:rFonts w:hint="eastAsia" w:ascii="仿宋_GB2312" w:hAnsi="仿宋_GB2312" w:eastAsia="仿宋_GB2312" w:cs="仿宋_GB2312"/>
                <w:snapToGrid/>
                <w:kern w:val="2"/>
                <w:sz w:val="24"/>
                <w:szCs w:val="24"/>
              </w:rPr>
              <w:t>河、钱胜河等河道泵站建设，提高城区河道水动力，增强水体自净能力。</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水利局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（3）完善环卫设施建设，完成城区垃圾分类收集体系全覆盖，并延伸到集镇。</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城管局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740" w:type="dxa"/>
            <w:vMerge w:val="restart"/>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8</w:t>
            </w:r>
          </w:p>
        </w:tc>
        <w:tc>
          <w:tcPr>
            <w:tcW w:w="2053" w:type="dxa"/>
            <w:vMerge w:val="restart"/>
            <w:noWrap/>
            <w:vAlign w:val="center"/>
          </w:tcPr>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完善城市功能配套</w:t>
            </w: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（1）加大滨湖新城商业综合体、高端星级酒店等高品质项目引进力度，加快提升中心城区建设品位，充分展现新城形象和魅力。</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新城办</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（2）加快推进金山路及钱资湖大桥工程。</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新城办</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（3）继续完善钱资湖景观绿地及公厕、公共停车系统等配套设施。</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c>
          <w:tcPr>
            <w:tcW w:w="1916" w:type="dxa"/>
            <w:noWrap/>
            <w:vAlign w:val="center"/>
          </w:tcPr>
          <w:p>
            <w:pPr>
              <w:autoSpaceDE/>
              <w:autoSpaceDN/>
              <w:snapToGrid/>
              <w:spacing w:line="360" w:lineRule="atLeast"/>
              <w:ind w:firstLine="0"/>
              <w:jc w:val="center"/>
              <w:rPr>
                <w:rFonts w:eastAsia="仿宋_GB2312"/>
                <w:snapToGrid/>
                <w:kern w:val="2"/>
                <w:sz w:val="24"/>
                <w:szCs w:val="24"/>
              </w:rPr>
            </w:pPr>
            <w:r>
              <w:rPr>
                <w:rFonts w:hint="eastAsia" w:eastAsia="仿宋_GB2312"/>
                <w:snapToGrid/>
                <w:kern w:val="2"/>
                <w:sz w:val="24"/>
                <w:szCs w:val="24"/>
              </w:rPr>
              <w:t>城管局</w:t>
            </w:r>
          </w:p>
          <w:p>
            <w:pPr>
              <w:autoSpaceDE/>
              <w:autoSpaceDN/>
              <w:snapToGrid/>
              <w:spacing w:line="360" w:lineRule="atLeast"/>
              <w:ind w:firstLine="0"/>
              <w:jc w:val="center"/>
              <w:rPr>
                <w:rFonts w:eastAsia="仿宋_GB2312"/>
                <w:snapToGrid/>
                <w:kern w:val="2"/>
                <w:sz w:val="24"/>
                <w:szCs w:val="24"/>
              </w:rPr>
            </w:pPr>
            <w:r>
              <w:rPr>
                <w:rFonts w:hint="eastAsia" w:eastAsia="仿宋_GB2312"/>
                <w:snapToGrid/>
                <w:kern w:val="2"/>
                <w:sz w:val="24"/>
                <w:szCs w:val="24"/>
              </w:rPr>
              <w:t>新城办</w:t>
            </w:r>
          </w:p>
          <w:p>
            <w:pPr>
              <w:autoSpaceDE/>
              <w:autoSpaceDN/>
              <w:snapToGrid/>
              <w:spacing w:line="360" w:lineRule="atLeast"/>
              <w:ind w:firstLine="0"/>
              <w:jc w:val="center"/>
              <w:rPr>
                <w:rFonts w:eastAsia="仿宋_GB2312"/>
                <w:snapToGrid/>
                <w:kern w:val="2"/>
                <w:sz w:val="24"/>
                <w:szCs w:val="24"/>
              </w:rPr>
            </w:pPr>
            <w:r>
              <w:rPr>
                <w:rFonts w:hint="eastAsia" w:eastAsia="仿宋_GB2312"/>
                <w:snapToGrid/>
                <w:kern w:val="2"/>
                <w:sz w:val="24"/>
                <w:szCs w:val="24"/>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（4）推动汇贤、岸头佳园邻里中心建设。</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交通局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新城办</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建设产业集团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（5）完成新城东苑垃圾中转站建设。</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城管局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新城办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（6）推进老城区范围内慢行系统、静态交通等市政设施建设，完成司马坊等道路改造，打通老城区交通肠梗阻。有序实施老城区节点景观提升改造，让新城老城共放光彩。</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老城办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（7）深化能源系统规划、加油加气站及充电设施规划，逐步建立起与经济发展相适应，布局合理、功能完善的设施服务体系。</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发改局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0" w:type="dxa"/>
            <w:vMerge w:val="restart"/>
            <w:noWrap/>
            <w:vAlign w:val="center"/>
          </w:tcPr>
          <w:p>
            <w:pPr>
              <w:autoSpaceDE/>
              <w:autoSpaceDN/>
              <w:snapToGrid/>
              <w:spacing w:line="360" w:lineRule="exact"/>
              <w:ind w:firstLine="0"/>
              <w:jc w:val="center"/>
              <w:rPr>
                <w:rFonts w:eastAsia="仿宋_GB2312"/>
                <w:snapToGrid/>
                <w:kern w:val="2"/>
                <w:sz w:val="24"/>
                <w:szCs w:val="24"/>
              </w:rPr>
            </w:pPr>
            <w:r>
              <w:rPr>
                <w:rFonts w:eastAsia="仿宋_GB2312"/>
                <w:snapToGrid/>
                <w:kern w:val="2"/>
                <w:sz w:val="24"/>
                <w:szCs w:val="24"/>
              </w:rPr>
              <w:t>9</w:t>
            </w:r>
          </w:p>
        </w:tc>
        <w:tc>
          <w:tcPr>
            <w:tcW w:w="2053" w:type="dxa"/>
            <w:vMerge w:val="restart"/>
            <w:noWrap/>
            <w:vAlign w:val="center"/>
          </w:tcPr>
          <w:p>
            <w:pPr>
              <w:autoSpaceDE/>
              <w:autoSpaceDN/>
              <w:snapToGrid/>
              <w:spacing w:line="360" w:lineRule="exact"/>
              <w:ind w:right="-57" w:firstLine="0"/>
              <w:jc w:val="center"/>
              <w:rPr>
                <w:rFonts w:eastAsia="仿宋_GB2312"/>
                <w:snapToGrid/>
                <w:kern w:val="2"/>
                <w:sz w:val="24"/>
                <w:szCs w:val="24"/>
              </w:rPr>
            </w:pPr>
            <w:r>
              <w:rPr>
                <w:rFonts w:eastAsia="仿宋_GB2312"/>
                <w:snapToGrid/>
                <w:kern w:val="2"/>
                <w:sz w:val="24"/>
                <w:szCs w:val="24"/>
              </w:rPr>
              <w:t>提高精细管理水平</w:t>
            </w: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（1）巩固提升全国文明城市创建成果，持续推进城市长效综合管理和文明城市建设，力争在常州辖市（区）考核中位次前移。</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城管局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2）结合滨湖新城、金沙老城区块功能规划，因地制宜，加强小区物业管理，探索以八百市场、金城建材市场为试点的商业物管模式，实现物业行业管理全覆盖。分类分步推进城中村、住宅小区等薄弱环节的整治，不断提高城区环境质量。加大对餐厨废弃物收运处理、渣土运输、户外广告的执法力度，加快推进生活垃圾密闭直运工程。坚持铁腕治违，严控严查高层楼顶、涉拆地块等重点区域违法建设。</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城管局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spacing w:val="-17"/>
                <w:kern w:val="2"/>
                <w:sz w:val="24"/>
                <w:szCs w:val="24"/>
              </w:rPr>
              <w:t>金坛公安分局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740" w:type="dxa"/>
            <w:vMerge w:val="restart"/>
            <w:noWrap/>
            <w:vAlign w:val="center"/>
          </w:tcPr>
          <w:p>
            <w:pPr>
              <w:autoSpaceDE/>
              <w:autoSpaceDN/>
              <w:snapToGrid/>
              <w:spacing w:line="360" w:lineRule="exact"/>
              <w:ind w:firstLine="0"/>
              <w:jc w:val="center"/>
              <w:rPr>
                <w:rFonts w:eastAsia="仿宋_GB2312"/>
                <w:snapToGrid/>
                <w:kern w:val="2"/>
                <w:sz w:val="24"/>
                <w:szCs w:val="24"/>
              </w:rPr>
            </w:pPr>
            <w:r>
              <w:rPr>
                <w:rFonts w:eastAsia="仿宋_GB2312"/>
                <w:snapToGrid/>
                <w:kern w:val="2"/>
                <w:sz w:val="24"/>
                <w:szCs w:val="24"/>
              </w:rPr>
              <w:t>10</w:t>
            </w:r>
          </w:p>
        </w:tc>
        <w:tc>
          <w:tcPr>
            <w:tcW w:w="2053" w:type="dxa"/>
            <w:vMerge w:val="restart"/>
            <w:noWrap/>
            <w:vAlign w:val="center"/>
          </w:tcPr>
          <w:p>
            <w:pPr>
              <w:autoSpaceDE/>
              <w:autoSpaceDN/>
              <w:snapToGrid/>
              <w:spacing w:line="360" w:lineRule="exact"/>
              <w:ind w:right="-57" w:firstLine="0"/>
              <w:jc w:val="center"/>
              <w:rPr>
                <w:rFonts w:eastAsia="仿宋_GB2312"/>
                <w:snapToGrid/>
                <w:kern w:val="2"/>
                <w:sz w:val="24"/>
                <w:szCs w:val="24"/>
              </w:rPr>
            </w:pPr>
            <w:r>
              <w:rPr>
                <w:rFonts w:eastAsia="仿宋_GB2312"/>
                <w:snapToGrid/>
                <w:kern w:val="2"/>
                <w:sz w:val="24"/>
                <w:szCs w:val="24"/>
              </w:rPr>
              <w:t>加大生态产品</w:t>
            </w:r>
          </w:p>
          <w:p>
            <w:pPr>
              <w:autoSpaceDE/>
              <w:autoSpaceDN/>
              <w:snapToGrid/>
              <w:spacing w:line="360" w:lineRule="exact"/>
              <w:ind w:right="-57" w:firstLine="0"/>
              <w:jc w:val="center"/>
              <w:rPr>
                <w:rFonts w:eastAsia="仿宋_GB2312"/>
                <w:snapToGrid/>
                <w:kern w:val="2"/>
                <w:sz w:val="24"/>
                <w:szCs w:val="24"/>
              </w:rPr>
            </w:pPr>
            <w:r>
              <w:rPr>
                <w:rFonts w:eastAsia="仿宋_GB2312"/>
                <w:snapToGrid/>
                <w:kern w:val="2"/>
                <w:sz w:val="24"/>
                <w:szCs w:val="24"/>
              </w:rPr>
              <w:t>供给量</w:t>
            </w: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（1）开展省级</w:t>
            </w:r>
            <w:r>
              <w:rPr>
                <w:rFonts w:hint="eastAsia" w:ascii="仿宋_GB2312" w:hAnsi="仿宋_GB2312" w:eastAsia="仿宋_GB2312" w:cs="仿宋_GB2312"/>
                <w:snapToGrid/>
                <w:kern w:val="2"/>
                <w:sz w:val="24"/>
                <w:szCs w:val="24"/>
              </w:rPr>
              <w:t>“山水林田湖草”</w:t>
            </w:r>
            <w:r>
              <w:rPr>
                <w:rFonts w:eastAsia="仿宋_GB2312"/>
                <w:snapToGrid/>
                <w:kern w:val="2"/>
                <w:sz w:val="24"/>
                <w:szCs w:val="24"/>
              </w:rPr>
              <w:t>生态保护修复工程试点，强化自然岸线保护，恢复重点湿地生态系统，加快推进长荡湖沿湖慢行系统及景观工程。继续加强长荡湖出入湖河道整治，完成两闸两站建设，确保饮用水源地不受任何污染。</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长荡湖旅游度假区</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相关板块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spacing w:val="-2"/>
                <w:kern w:val="2"/>
                <w:sz w:val="24"/>
                <w:szCs w:val="24"/>
              </w:rPr>
            </w:pPr>
            <w:r>
              <w:rPr>
                <w:rFonts w:eastAsia="仿宋_GB2312"/>
                <w:snapToGrid/>
                <w:spacing w:val="-4"/>
                <w:kern w:val="2"/>
                <w:sz w:val="24"/>
                <w:szCs w:val="24"/>
              </w:rPr>
              <w:t>（2）加大茅山生态保护力度，完成仙姑村、山蓬村、茅麓茶场等区域土地整治复绿工程。</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茅山旅游度假区</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薛埠镇</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spacing w:val="-4"/>
                <w:kern w:val="2"/>
                <w:sz w:val="24"/>
                <w:szCs w:val="24"/>
              </w:rPr>
              <w:t>（3）启动茅山国家级旅游度假区创建，加快补齐旅游公共服务短板，建成茅山旅游度假区游客中心。</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0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茅山旅游度假区</w:t>
            </w:r>
          </w:p>
        </w:tc>
        <w:tc>
          <w:tcPr>
            <w:tcW w:w="1916" w:type="dxa"/>
            <w:noWrap/>
            <w:vAlign w:val="center"/>
          </w:tcPr>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薛埠镇</w:t>
            </w:r>
          </w:p>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文体广电和</w:t>
            </w:r>
          </w:p>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740" w:type="dxa"/>
            <w:vMerge w:val="continue"/>
            <w:noWrap/>
            <w:vAlign w:val="center"/>
          </w:tcPr>
          <w:p>
            <w:pPr>
              <w:autoSpaceDE/>
              <w:autoSpaceDN/>
              <w:snapToGrid/>
              <w:spacing w:line="36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36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spacing w:val="-4"/>
                <w:kern w:val="2"/>
                <w:sz w:val="24"/>
                <w:szCs w:val="24"/>
              </w:rPr>
            </w:pPr>
            <w:r>
              <w:rPr>
                <w:rFonts w:hint="eastAsia" w:eastAsia="仿宋_GB2312"/>
                <w:snapToGrid/>
                <w:spacing w:val="-4"/>
                <w:kern w:val="2"/>
                <w:sz w:val="24"/>
                <w:szCs w:val="24"/>
              </w:rPr>
              <w:t>（4）推动国家全域旅游示范区创建，精致建设一批生态环境好、资源品位高、品牌形象优、核心吸引力强的旅游龙头项目，东方盐湖城启动国家5A级景区创建，茅山宝盛园力争创成国家4A级景区。</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文体广电和旅游局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740" w:type="dxa"/>
            <w:vMerge w:val="restart"/>
            <w:noWrap/>
            <w:vAlign w:val="center"/>
          </w:tcPr>
          <w:p>
            <w:pPr>
              <w:autoSpaceDE/>
              <w:autoSpaceDN/>
              <w:snapToGrid/>
              <w:spacing w:line="380" w:lineRule="exact"/>
              <w:ind w:firstLine="0"/>
              <w:jc w:val="center"/>
              <w:rPr>
                <w:rFonts w:eastAsia="仿宋_GB2312"/>
                <w:snapToGrid/>
                <w:kern w:val="2"/>
                <w:sz w:val="24"/>
                <w:szCs w:val="24"/>
              </w:rPr>
            </w:pPr>
            <w:r>
              <w:rPr>
                <w:rFonts w:eastAsia="仿宋_GB2312"/>
                <w:snapToGrid/>
                <w:kern w:val="2"/>
                <w:sz w:val="24"/>
                <w:szCs w:val="24"/>
              </w:rPr>
              <w:t>11</w:t>
            </w:r>
          </w:p>
        </w:tc>
        <w:tc>
          <w:tcPr>
            <w:tcW w:w="2053" w:type="dxa"/>
            <w:vMerge w:val="restart"/>
            <w:noWrap/>
            <w:vAlign w:val="center"/>
          </w:tcPr>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打好污染防治</w:t>
            </w:r>
          </w:p>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攻坚战</w:t>
            </w:r>
          </w:p>
        </w:tc>
        <w:tc>
          <w:tcPr>
            <w:tcW w:w="7236" w:type="dxa"/>
            <w:noWrap/>
            <w:vAlign w:val="center"/>
          </w:tcPr>
          <w:p>
            <w:pPr>
              <w:autoSpaceDE/>
              <w:autoSpaceDN/>
              <w:snapToGrid/>
              <w:spacing w:line="480" w:lineRule="exact"/>
              <w:ind w:firstLine="0"/>
              <w:rPr>
                <w:rFonts w:eastAsia="仿宋_GB2312"/>
                <w:snapToGrid/>
                <w:spacing w:val="-4"/>
                <w:kern w:val="2"/>
                <w:sz w:val="24"/>
                <w:szCs w:val="24"/>
              </w:rPr>
            </w:pPr>
            <w:r>
              <w:rPr>
                <w:rFonts w:eastAsia="仿宋_GB2312"/>
                <w:snapToGrid/>
                <w:kern w:val="2"/>
                <w:sz w:val="24"/>
                <w:szCs w:val="24"/>
              </w:rPr>
              <w:t>（1）大力实施柴油货车污染治理、水源地保护、农业农村污染治理等七项攻坚行动，坚决打好蓝天、碧水、净土三大保卫战。</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攻坚办</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740" w:type="dxa"/>
            <w:vMerge w:val="continue"/>
            <w:noWrap/>
            <w:vAlign w:val="center"/>
          </w:tcPr>
          <w:p>
            <w:pPr>
              <w:autoSpaceDE/>
              <w:autoSpaceDN/>
              <w:snapToGrid/>
              <w:spacing w:line="3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（2）持续强化扬尘管控及工业企业达标排放，全面完成“散乱污”企业综合整治和化工企业整治提升。</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金坛生态环境局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740" w:type="dxa"/>
            <w:vMerge w:val="continue"/>
            <w:noWrap/>
            <w:vAlign w:val="center"/>
          </w:tcPr>
          <w:p>
            <w:pPr>
              <w:autoSpaceDE/>
              <w:autoSpaceDN/>
              <w:snapToGrid/>
              <w:spacing w:line="3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（3）加大城乡黑臭水体整治力度，城市建成区基本消除黑臭水体。</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740" w:type="dxa"/>
            <w:vMerge w:val="continue"/>
            <w:noWrap/>
            <w:vAlign w:val="center"/>
          </w:tcPr>
          <w:p>
            <w:pPr>
              <w:autoSpaceDE/>
              <w:autoSpaceDN/>
              <w:snapToGrid/>
              <w:spacing w:line="3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（4）加快推进一污厂及儒林、薛埠和直溪污水厂建设，全面实行城乡污水处理一体化运营管理。</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740" w:type="dxa"/>
            <w:vMerge w:val="continue"/>
            <w:noWrap/>
            <w:vAlign w:val="center"/>
          </w:tcPr>
          <w:p>
            <w:pPr>
              <w:autoSpaceDE/>
              <w:autoSpaceDN/>
              <w:snapToGrid/>
              <w:spacing w:line="3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（5）完成15个村污水处理设施建设，实现规划发展村生活污水处理全覆盖。</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740" w:type="dxa"/>
            <w:vMerge w:val="continue"/>
            <w:noWrap/>
            <w:vAlign w:val="center"/>
          </w:tcPr>
          <w:p>
            <w:pPr>
              <w:autoSpaceDE/>
              <w:autoSpaceDN/>
              <w:snapToGrid/>
              <w:spacing w:line="3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（6）强化矿山宕口综合整治，完成渚山采石场环境修复治理。</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薛埠镇</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0" w:type="dxa"/>
            <w:vMerge w:val="restart"/>
            <w:noWrap/>
            <w:vAlign w:val="center"/>
          </w:tcPr>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12</w:t>
            </w:r>
          </w:p>
        </w:tc>
        <w:tc>
          <w:tcPr>
            <w:tcW w:w="2053" w:type="dxa"/>
            <w:vMerge w:val="restart"/>
            <w:noWrap/>
            <w:vAlign w:val="center"/>
          </w:tcPr>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健全环境监管</w:t>
            </w:r>
          </w:p>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新机制</w:t>
            </w: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（1）强化源头管控，建立VOCs和重点监管企业名录，编制</w:t>
            </w:r>
            <w:r>
              <w:rPr>
                <w:rFonts w:hint="eastAsia" w:ascii="仿宋_GB2312" w:hAnsi="仿宋_GB2312" w:eastAsia="仿宋_GB2312" w:cs="仿宋_GB2312"/>
                <w:snapToGrid/>
                <w:kern w:val="2"/>
                <w:sz w:val="24"/>
                <w:szCs w:val="24"/>
              </w:rPr>
              <w:t>“一企一策”</w:t>
            </w:r>
            <w:r>
              <w:rPr>
                <w:rFonts w:eastAsia="仿宋_GB2312"/>
                <w:snapToGrid/>
                <w:kern w:val="2"/>
                <w:sz w:val="24"/>
                <w:szCs w:val="24"/>
              </w:rPr>
              <w:t>方案。</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周</w:t>
            </w:r>
            <w:r>
              <w:rPr>
                <w:rFonts w:hint="eastAsia" w:eastAsia="仿宋_GB2312"/>
                <w:snapToGrid/>
                <w:kern w:val="2"/>
                <w:sz w:val="24"/>
                <w:szCs w:val="24"/>
              </w:rPr>
              <w:t>文俊</w:t>
            </w:r>
          </w:p>
        </w:tc>
        <w:tc>
          <w:tcPr>
            <w:tcW w:w="1790" w:type="dxa"/>
            <w:noWrap/>
            <w:vAlign w:val="center"/>
          </w:tcPr>
          <w:p>
            <w:pPr>
              <w:autoSpaceDE/>
              <w:autoSpaceDN/>
              <w:snapToGrid/>
              <w:spacing w:line="48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金坛生态环境局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工信</w:t>
            </w:r>
            <w:r>
              <w:rPr>
                <w:rFonts w:eastAsia="仿宋_GB2312"/>
                <w:snapToGrid/>
                <w:kern w:val="2"/>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（2）建立完善重污染天气应急管控机制。</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金坛生态环境局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（3）</w:t>
            </w:r>
            <w:r>
              <w:rPr>
                <w:rFonts w:hint="eastAsia" w:eastAsia="仿宋_GB2312"/>
                <w:snapToGrid/>
                <w:kern w:val="2"/>
                <w:sz w:val="24"/>
                <w:szCs w:val="24"/>
              </w:rPr>
              <w:t>推进土壤污染防治，逐步建立污染地块清单和优先管控清单。</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金坛生态环境局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（4）加强水源管理，严禁任何形式的围垦河湖、违法占用河湖水域行为。推进协同共治，落实控源截污、畅流活水、河道保洁的长效治水机制。</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水利局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（5）开展生态保护红线勘界定标工作，强化</w:t>
            </w:r>
            <w:r>
              <w:rPr>
                <w:rFonts w:hint="eastAsia" w:ascii="仿宋_GB2312" w:hAnsi="仿宋_GB2312" w:eastAsia="仿宋_GB2312" w:cs="仿宋_GB2312"/>
                <w:snapToGrid/>
                <w:kern w:val="2"/>
                <w:sz w:val="24"/>
                <w:szCs w:val="24"/>
              </w:rPr>
              <w:t>“三区三线”</w:t>
            </w:r>
            <w:r>
              <w:rPr>
                <w:rFonts w:eastAsia="仿宋_GB2312"/>
                <w:snapToGrid/>
                <w:kern w:val="2"/>
                <w:sz w:val="24"/>
                <w:szCs w:val="24"/>
              </w:rPr>
              <w:t>硬约束，坚持用最严格的制度、最严密的手段保护生态环境。</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农业农村局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金坛生态环境局</w:t>
            </w:r>
          </w:p>
          <w:p>
            <w:pPr>
              <w:autoSpaceDE/>
              <w:autoSpaceDN/>
              <w:snapToGrid/>
              <w:spacing w:line="360" w:lineRule="exact"/>
              <w:ind w:firstLine="0"/>
              <w:jc w:val="center"/>
              <w:rPr>
                <w:rFonts w:eastAsia="仿宋_GB2312"/>
                <w:snapToGrid/>
                <w:spacing w:val="-24"/>
                <w:kern w:val="2"/>
                <w:sz w:val="24"/>
                <w:szCs w:val="24"/>
              </w:rPr>
            </w:pPr>
            <w:r>
              <w:rPr>
                <w:rFonts w:hint="eastAsia" w:eastAsia="仿宋_GB2312"/>
                <w:snapToGrid/>
                <w:kern w:val="2"/>
                <w:sz w:val="24"/>
                <w:szCs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（6）加强环境保护联动执法，健全重大案件联合查处机制。加强镇村两级环保队伍建设，提升基层环保监管效能。</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金坛生态环境局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740" w:type="dxa"/>
            <w:vMerge w:val="restart"/>
            <w:noWrap/>
            <w:vAlign w:val="center"/>
          </w:tcPr>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13</w:t>
            </w:r>
          </w:p>
        </w:tc>
        <w:tc>
          <w:tcPr>
            <w:tcW w:w="2053" w:type="dxa"/>
            <w:vMerge w:val="restart"/>
            <w:noWrap/>
            <w:vAlign w:val="center"/>
          </w:tcPr>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做亮农业特色产业</w:t>
            </w: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（1）以乡村振兴十项重点工程为抓手，探索建立涉农资金统筹整合长效机制，优化农业发展扶持方式，催生一批综合效益高、竞争力强的农业龙头企业。</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（2）以水产、水稻、茶叶为重点产业，全力推进数字化渔场、黄金软米生态大农场等重点项目，打造一批规模化、标准化生产基地，创成国家农业科技园区。</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科技局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bCs/>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（3）加大农业科技创新力度，加强与知名农业科研院所合作，引入有实力的社会资本和科研机构，力争在品质提升、品种选育等方面取得新突破。</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科技局</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bCs/>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（4）加大农产品品牌建设，制定标准、挖掘内涵，打造金坛农产品</w:t>
            </w:r>
            <w:r>
              <w:rPr>
                <w:rFonts w:hint="eastAsia" w:ascii="仿宋_GB2312" w:hAnsi="仿宋_GB2312" w:eastAsia="仿宋_GB2312" w:cs="仿宋_GB2312"/>
                <w:snapToGrid/>
                <w:kern w:val="2"/>
                <w:sz w:val="24"/>
                <w:szCs w:val="24"/>
              </w:rPr>
              <w:t>“地域名片”</w:t>
            </w:r>
            <w:r>
              <w:rPr>
                <w:rFonts w:eastAsia="仿宋_GB2312"/>
                <w:snapToGrid/>
                <w:kern w:val="2"/>
                <w:sz w:val="24"/>
                <w:szCs w:val="24"/>
              </w:rPr>
              <w:t>。</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eastAsia="仿宋_GB2312"/>
                <w:snapToGrid/>
                <w:kern w:val="2"/>
                <w:sz w:val="24"/>
                <w:szCs w:val="24"/>
              </w:rPr>
              <w:t>（5）大力发展富民产业，加快村级集体经济发展，全区村集体总收入年增长达8%，第五轮经济薄弱村稳定性收入全部达100万元以上。</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00" w:lineRule="exact"/>
              <w:ind w:firstLine="0"/>
              <w:rPr>
                <w:rFonts w:eastAsia="仿宋_GB2312"/>
                <w:snapToGrid/>
                <w:kern w:val="2"/>
                <w:sz w:val="24"/>
                <w:szCs w:val="24"/>
              </w:rPr>
            </w:pPr>
            <w:r>
              <w:rPr>
                <w:rFonts w:hint="eastAsia" w:eastAsia="仿宋_GB2312"/>
                <w:snapToGrid/>
                <w:kern w:val="2"/>
                <w:sz w:val="24"/>
                <w:szCs w:val="24"/>
              </w:rPr>
              <w:t>（6）</w:t>
            </w:r>
            <w:r>
              <w:rPr>
                <w:rFonts w:eastAsia="仿宋_GB2312"/>
                <w:snapToGrid/>
                <w:kern w:val="2"/>
                <w:sz w:val="24"/>
                <w:szCs w:val="24"/>
              </w:rPr>
              <w:t>深入开展</w:t>
            </w:r>
            <w:r>
              <w:rPr>
                <w:rFonts w:hint="eastAsia" w:ascii="仿宋_GB2312" w:hAnsi="仿宋_GB2312" w:eastAsia="仿宋_GB2312" w:cs="仿宋_GB2312"/>
                <w:snapToGrid/>
                <w:kern w:val="2"/>
                <w:sz w:val="24"/>
                <w:szCs w:val="24"/>
              </w:rPr>
              <w:t>“阳光扶贫”</w:t>
            </w:r>
            <w:r>
              <w:rPr>
                <w:rFonts w:eastAsia="仿宋_GB2312"/>
                <w:snapToGrid/>
                <w:kern w:val="2"/>
                <w:sz w:val="24"/>
                <w:szCs w:val="24"/>
              </w:rPr>
              <w:t>，建档立卡低收入农户人均年收入8500元以上。</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740" w:type="dxa"/>
            <w:vMerge w:val="restart"/>
            <w:noWrap/>
            <w:vAlign w:val="center"/>
          </w:tcPr>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14</w:t>
            </w:r>
          </w:p>
        </w:tc>
        <w:tc>
          <w:tcPr>
            <w:tcW w:w="2053" w:type="dxa"/>
            <w:vMerge w:val="restart"/>
            <w:noWrap/>
            <w:vAlign w:val="center"/>
          </w:tcPr>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打造乡村靓丽环境</w:t>
            </w: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spacing w:val="-4"/>
                <w:kern w:val="2"/>
                <w:sz w:val="24"/>
                <w:szCs w:val="24"/>
              </w:rPr>
              <w:t>（1）在完善村庄布局规划的基础上，编制好全域美丽乡村建设规划，确保既有田园特色风貌，又有农村特色产业。</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spacing w:val="-4"/>
                <w:kern w:val="2"/>
                <w:sz w:val="24"/>
                <w:szCs w:val="24"/>
              </w:rPr>
              <w:t>（2）加大茅山闲养小镇创建力度，推进省特色田园乡村、田园综合体及美丽乡村融合创建，实现乡村环境全面优化。</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文体广电和旅游局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spacing w:val="-4"/>
                <w:kern w:val="2"/>
                <w:sz w:val="24"/>
                <w:szCs w:val="24"/>
              </w:rPr>
            </w:pPr>
            <w:r>
              <w:rPr>
                <w:rFonts w:eastAsia="仿宋_GB2312"/>
                <w:snapToGrid/>
                <w:spacing w:val="-4"/>
                <w:kern w:val="2"/>
                <w:sz w:val="24"/>
                <w:szCs w:val="24"/>
              </w:rPr>
              <w:t>（3）积极发挥仙姑美丽乡村建设示范作用，有序推进上阮、谢桥示范区和柚山示范点建设。</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薛埠镇</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尧塘街道</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儒林镇</w:t>
            </w:r>
          </w:p>
        </w:tc>
        <w:tc>
          <w:tcPr>
            <w:tcW w:w="1916" w:type="dxa"/>
            <w:noWrap/>
            <w:vAlign w:val="center"/>
          </w:tcPr>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文体广电和</w:t>
            </w:r>
          </w:p>
          <w:p>
            <w:pPr>
              <w:autoSpaceDE/>
              <w:autoSpaceDN/>
              <w:snapToGrid/>
              <w:spacing w:line="300" w:lineRule="exact"/>
              <w:ind w:firstLine="0"/>
              <w:jc w:val="center"/>
              <w:rPr>
                <w:rFonts w:eastAsia="仿宋_GB2312"/>
                <w:snapToGrid/>
                <w:kern w:val="2"/>
                <w:sz w:val="24"/>
                <w:szCs w:val="24"/>
              </w:rPr>
            </w:pPr>
            <w:r>
              <w:rPr>
                <w:rFonts w:hint="eastAsia" w:eastAsia="仿宋_GB2312"/>
                <w:snapToGrid/>
                <w:kern w:val="2"/>
                <w:sz w:val="24"/>
                <w:szCs w:val="24"/>
              </w:rPr>
              <w:t>旅游局</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bCs/>
                <w:snapToGrid/>
                <w:kern w:val="2"/>
                <w:sz w:val="24"/>
                <w:szCs w:val="24"/>
              </w:rPr>
            </w:pPr>
          </w:p>
        </w:tc>
        <w:tc>
          <w:tcPr>
            <w:tcW w:w="7236" w:type="dxa"/>
            <w:noWrap/>
            <w:vAlign w:val="center"/>
          </w:tcPr>
          <w:p>
            <w:pPr>
              <w:autoSpaceDE/>
              <w:autoSpaceDN/>
              <w:snapToGrid/>
              <w:spacing w:line="480" w:lineRule="exact"/>
              <w:ind w:firstLine="0"/>
              <w:rPr>
                <w:rFonts w:eastAsia="仿宋_GB2312"/>
                <w:snapToGrid/>
                <w:spacing w:val="-4"/>
                <w:kern w:val="2"/>
                <w:sz w:val="24"/>
                <w:szCs w:val="24"/>
              </w:rPr>
            </w:pPr>
            <w:r>
              <w:rPr>
                <w:rFonts w:eastAsia="仿宋_GB2312"/>
                <w:snapToGrid/>
                <w:spacing w:val="-4"/>
                <w:kern w:val="2"/>
                <w:sz w:val="24"/>
                <w:szCs w:val="24"/>
              </w:rPr>
              <w:t>（4）推进农村人居环境整治工程，扎实开展集镇、城中村和城郊村等重点区域的环境专项整治，加快补齐农村道路、农村改厕、环卫保洁、污水处理等设施短板。</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bCs/>
                <w:snapToGrid/>
                <w:kern w:val="2"/>
                <w:sz w:val="24"/>
                <w:szCs w:val="24"/>
              </w:rPr>
            </w:pPr>
          </w:p>
        </w:tc>
        <w:tc>
          <w:tcPr>
            <w:tcW w:w="7236" w:type="dxa"/>
            <w:noWrap/>
            <w:vAlign w:val="center"/>
          </w:tcPr>
          <w:p>
            <w:pPr>
              <w:autoSpaceDE/>
              <w:autoSpaceDN/>
              <w:snapToGrid/>
              <w:spacing w:line="480" w:lineRule="exact"/>
              <w:ind w:firstLine="0"/>
              <w:rPr>
                <w:rFonts w:eastAsia="仿宋_GB2312"/>
                <w:snapToGrid/>
                <w:spacing w:val="-4"/>
                <w:kern w:val="2"/>
                <w:sz w:val="24"/>
                <w:szCs w:val="24"/>
              </w:rPr>
            </w:pPr>
            <w:r>
              <w:rPr>
                <w:rFonts w:hint="eastAsia" w:eastAsia="仿宋_GB2312"/>
                <w:snapToGrid/>
                <w:spacing w:val="-4"/>
                <w:kern w:val="2"/>
                <w:sz w:val="24"/>
                <w:szCs w:val="24"/>
              </w:rPr>
              <w:t>（5）</w:t>
            </w:r>
            <w:r>
              <w:rPr>
                <w:rFonts w:eastAsia="仿宋_GB2312"/>
                <w:snapToGrid/>
                <w:spacing w:val="-4"/>
                <w:kern w:val="2"/>
                <w:sz w:val="24"/>
                <w:szCs w:val="24"/>
              </w:rPr>
              <w:t>大力发展乡村旅游，鼓励发展特色乡村民宿。推进省星级乡村旅游区提档升级，茅山保朴山房力争创成省五星级乡村旅游区。</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文体广电和旅游局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740" w:type="dxa"/>
            <w:vMerge w:val="restart"/>
            <w:noWrap/>
            <w:vAlign w:val="center"/>
          </w:tcPr>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15</w:t>
            </w:r>
          </w:p>
        </w:tc>
        <w:tc>
          <w:tcPr>
            <w:tcW w:w="2053" w:type="dxa"/>
            <w:vMerge w:val="restart"/>
            <w:noWrap/>
            <w:vAlign w:val="center"/>
          </w:tcPr>
          <w:p>
            <w:pPr>
              <w:autoSpaceDE/>
              <w:autoSpaceDN/>
              <w:snapToGrid/>
              <w:spacing w:line="480" w:lineRule="exact"/>
              <w:ind w:right="-57" w:firstLine="0"/>
              <w:jc w:val="center"/>
              <w:rPr>
                <w:rFonts w:eastAsia="仿宋_GB2312"/>
                <w:bCs/>
                <w:snapToGrid/>
                <w:kern w:val="2"/>
                <w:sz w:val="24"/>
                <w:szCs w:val="24"/>
              </w:rPr>
            </w:pPr>
            <w:r>
              <w:rPr>
                <w:rFonts w:eastAsia="仿宋_GB2312"/>
                <w:snapToGrid/>
                <w:kern w:val="2"/>
                <w:sz w:val="24"/>
                <w:szCs w:val="24"/>
              </w:rPr>
              <w:t>深化农村各项改革</w:t>
            </w:r>
          </w:p>
        </w:tc>
        <w:tc>
          <w:tcPr>
            <w:tcW w:w="7236" w:type="dxa"/>
            <w:noWrap/>
            <w:vAlign w:val="center"/>
          </w:tcPr>
          <w:p>
            <w:pPr>
              <w:autoSpaceDE/>
              <w:autoSpaceDN/>
              <w:snapToGrid/>
              <w:spacing w:line="480" w:lineRule="exact"/>
              <w:ind w:firstLine="0"/>
              <w:rPr>
                <w:rFonts w:eastAsia="仿宋_GB2312"/>
                <w:snapToGrid/>
                <w:spacing w:val="-4"/>
                <w:kern w:val="2"/>
                <w:sz w:val="24"/>
                <w:szCs w:val="24"/>
              </w:rPr>
            </w:pPr>
            <w:r>
              <w:rPr>
                <w:rFonts w:eastAsia="仿宋_GB2312"/>
                <w:snapToGrid/>
                <w:spacing w:val="-4"/>
                <w:kern w:val="2"/>
                <w:sz w:val="24"/>
                <w:szCs w:val="24"/>
              </w:rPr>
              <w:t>（1）发展多种形式适度规模经营，重点培育一批示范性强、带动性强、经济和社会效益好的农民专业合作社和家庭农场。</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40" w:lineRule="exact"/>
              <w:ind w:firstLine="0"/>
              <w:jc w:val="center"/>
              <w:rPr>
                <w:rFonts w:eastAsia="仿宋_GB2312"/>
                <w:snapToGrid/>
                <w:kern w:val="2"/>
                <w:sz w:val="24"/>
                <w:szCs w:val="24"/>
              </w:rPr>
            </w:pPr>
            <w:r>
              <w:rPr>
                <w:rFonts w:hint="eastAsia" w:eastAsia="仿宋_GB2312"/>
                <w:snapToGrid/>
                <w:kern w:val="2"/>
                <w:sz w:val="24"/>
                <w:szCs w:val="24"/>
              </w:rPr>
              <w:t>地方金融监督</w:t>
            </w:r>
          </w:p>
          <w:p>
            <w:pPr>
              <w:autoSpaceDE/>
              <w:autoSpaceDN/>
              <w:snapToGrid/>
              <w:spacing w:line="340" w:lineRule="exact"/>
              <w:ind w:firstLine="0"/>
              <w:jc w:val="center"/>
              <w:rPr>
                <w:rFonts w:eastAsia="仿宋_GB2312"/>
                <w:snapToGrid/>
                <w:kern w:val="2"/>
                <w:sz w:val="24"/>
                <w:szCs w:val="24"/>
              </w:rPr>
            </w:pPr>
            <w:r>
              <w:rPr>
                <w:rFonts w:hint="eastAsia" w:eastAsia="仿宋_GB2312"/>
                <w:snapToGrid/>
                <w:kern w:val="2"/>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spacing w:val="-4"/>
                <w:kern w:val="2"/>
                <w:sz w:val="24"/>
                <w:szCs w:val="24"/>
              </w:rPr>
            </w:pPr>
            <w:r>
              <w:rPr>
                <w:rFonts w:eastAsia="仿宋_GB2312"/>
                <w:snapToGrid/>
                <w:kern w:val="2"/>
                <w:sz w:val="24"/>
                <w:szCs w:val="24"/>
              </w:rPr>
              <w:t>（2）探索宅基地制度改革、集体经营性用地入市改革和土地征收制度改革。</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（3）妥善做好被征地农民进保障工作，保护农民土地承包经营权权益。</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人社局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w:t>
            </w:r>
            <w:r>
              <w:rPr>
                <w:rFonts w:hint="eastAsia" w:eastAsia="仿宋_GB2312"/>
                <w:snapToGrid/>
                <w:kern w:val="2"/>
                <w:sz w:val="24"/>
                <w:szCs w:val="24"/>
              </w:rPr>
              <w:t>4</w:t>
            </w:r>
            <w:r>
              <w:rPr>
                <w:rFonts w:eastAsia="仿宋_GB2312"/>
                <w:snapToGrid/>
                <w:kern w:val="2"/>
                <w:sz w:val="24"/>
                <w:szCs w:val="24"/>
              </w:rPr>
              <w:t>）加快推进符合条件的行政村组建股份经济合作社，年内</w:t>
            </w:r>
            <w:r>
              <w:rPr>
                <w:rFonts w:eastAsia="仿宋_GB2312"/>
                <w:snapToGrid/>
                <w:kern w:val="2"/>
                <w:sz w:val="24"/>
                <w:szCs w:val="24"/>
                <w:lang w:val="zh-CN"/>
              </w:rPr>
              <w:t>新增5家以上。</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w:t>
            </w:r>
            <w:r>
              <w:rPr>
                <w:rFonts w:hint="eastAsia" w:eastAsia="仿宋_GB2312"/>
                <w:snapToGrid/>
                <w:kern w:val="2"/>
                <w:sz w:val="24"/>
                <w:szCs w:val="24"/>
              </w:rPr>
              <w:t>5</w:t>
            </w:r>
            <w:r>
              <w:rPr>
                <w:rFonts w:eastAsia="仿宋_GB2312"/>
                <w:snapToGrid/>
                <w:kern w:val="2"/>
                <w:sz w:val="24"/>
                <w:szCs w:val="24"/>
              </w:rPr>
              <w:t>）深化供销合作社综合改革，强化为农服务职能。</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供销总社</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w:t>
            </w:r>
            <w:r>
              <w:rPr>
                <w:rFonts w:hint="eastAsia" w:eastAsia="仿宋_GB2312"/>
                <w:snapToGrid/>
                <w:kern w:val="2"/>
                <w:sz w:val="24"/>
                <w:szCs w:val="24"/>
              </w:rPr>
              <w:t>6</w:t>
            </w:r>
            <w:r>
              <w:rPr>
                <w:rFonts w:eastAsia="仿宋_GB2312"/>
                <w:snapToGrid/>
                <w:kern w:val="2"/>
                <w:sz w:val="24"/>
                <w:szCs w:val="24"/>
              </w:rPr>
              <w:t>）加快推进农村精神文明示范点建设，不断提升农村社会文明程度。</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480" w:lineRule="exact"/>
              <w:ind w:right="-87"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right="-87" w:firstLine="0"/>
              <w:jc w:val="center"/>
              <w:rPr>
                <w:rFonts w:eastAsia="仿宋_GB2312"/>
                <w:snapToGrid/>
                <w:kern w:val="2"/>
                <w:sz w:val="24"/>
                <w:szCs w:val="24"/>
              </w:rPr>
            </w:pPr>
            <w:r>
              <w:rPr>
                <w:rFonts w:hint="eastAsia" w:eastAsia="仿宋_GB2312"/>
                <w:snapToGrid/>
                <w:kern w:val="2"/>
                <w:sz w:val="24"/>
                <w:szCs w:val="24"/>
              </w:rPr>
              <w:t>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40"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hint="eastAsia" w:eastAsia="仿宋_GB2312"/>
                <w:snapToGrid/>
                <w:kern w:val="2"/>
                <w:sz w:val="24"/>
                <w:szCs w:val="24"/>
              </w:rPr>
              <w:t>（7）</w:t>
            </w:r>
            <w:r>
              <w:rPr>
                <w:rFonts w:eastAsia="仿宋_GB2312"/>
                <w:snapToGrid/>
                <w:kern w:val="2"/>
                <w:sz w:val="24"/>
                <w:szCs w:val="24"/>
              </w:rPr>
              <w:t>鼓励大学生、优秀年轻干部到农村工作，培养造就一支懂农业、爱农村、爱农民</w:t>
            </w:r>
            <w:r>
              <w:rPr>
                <w:rFonts w:hint="eastAsia" w:ascii="仿宋_GB2312" w:hAnsi="仿宋_GB2312" w:eastAsia="仿宋_GB2312" w:cs="仿宋_GB2312"/>
                <w:snapToGrid/>
                <w:kern w:val="2"/>
                <w:sz w:val="24"/>
                <w:szCs w:val="24"/>
              </w:rPr>
              <w:t>的“三农”</w:t>
            </w:r>
            <w:r>
              <w:rPr>
                <w:rFonts w:eastAsia="仿宋_GB2312"/>
                <w:snapToGrid/>
                <w:kern w:val="2"/>
                <w:sz w:val="24"/>
                <w:szCs w:val="24"/>
              </w:rPr>
              <w:t>工作队伍。</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农业农村局</w:t>
            </w:r>
          </w:p>
        </w:tc>
        <w:tc>
          <w:tcPr>
            <w:tcW w:w="1916" w:type="dxa"/>
            <w:noWrap/>
            <w:vAlign w:val="center"/>
          </w:tcPr>
          <w:p>
            <w:pPr>
              <w:autoSpaceDE/>
              <w:autoSpaceDN/>
              <w:snapToGrid/>
              <w:spacing w:line="480" w:lineRule="exact"/>
              <w:ind w:right="-87"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80" w:lineRule="exact"/>
              <w:ind w:right="-87" w:firstLine="0"/>
              <w:jc w:val="center"/>
              <w:rPr>
                <w:rFonts w:eastAsia="仿宋_GB2312"/>
                <w:snapToGrid/>
                <w:kern w:val="2"/>
                <w:sz w:val="24"/>
                <w:szCs w:val="24"/>
              </w:rPr>
            </w:pPr>
            <w:r>
              <w:rPr>
                <w:rFonts w:hint="eastAsia" w:eastAsia="仿宋_GB2312"/>
                <w:snapToGrid/>
                <w:kern w:val="2"/>
                <w:sz w:val="24"/>
                <w:szCs w:val="24"/>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0" w:type="dxa"/>
            <w:vMerge w:val="restart"/>
            <w:noWrap/>
            <w:vAlign w:val="center"/>
          </w:tcPr>
          <w:p>
            <w:pPr>
              <w:autoSpaceDE/>
              <w:autoSpaceDN/>
              <w:snapToGrid/>
              <w:spacing w:line="440" w:lineRule="exact"/>
              <w:ind w:firstLine="0"/>
              <w:jc w:val="center"/>
              <w:rPr>
                <w:rFonts w:eastAsia="仿宋_GB2312"/>
                <w:snapToGrid/>
                <w:kern w:val="2"/>
                <w:sz w:val="24"/>
                <w:szCs w:val="24"/>
              </w:rPr>
            </w:pPr>
            <w:r>
              <w:rPr>
                <w:rFonts w:hint="eastAsia" w:eastAsia="仿宋_GB2312"/>
                <w:snapToGrid/>
                <w:kern w:val="2"/>
                <w:sz w:val="24"/>
                <w:szCs w:val="24"/>
              </w:rPr>
              <w:t>16</w:t>
            </w:r>
          </w:p>
        </w:tc>
        <w:tc>
          <w:tcPr>
            <w:tcW w:w="2053" w:type="dxa"/>
            <w:vMerge w:val="restart"/>
            <w:noWrap/>
            <w:vAlign w:val="center"/>
          </w:tcPr>
          <w:p>
            <w:pPr>
              <w:autoSpaceDE/>
              <w:autoSpaceDN/>
              <w:snapToGrid/>
              <w:spacing w:line="440" w:lineRule="exact"/>
              <w:ind w:right="-57" w:firstLine="0"/>
              <w:jc w:val="center"/>
              <w:rPr>
                <w:rFonts w:eastAsia="仿宋_GB2312"/>
                <w:snapToGrid/>
                <w:kern w:val="2"/>
                <w:sz w:val="24"/>
                <w:szCs w:val="24"/>
              </w:rPr>
            </w:pPr>
            <w:r>
              <w:rPr>
                <w:rFonts w:eastAsia="仿宋_GB2312"/>
                <w:snapToGrid/>
                <w:kern w:val="2"/>
                <w:sz w:val="24"/>
                <w:szCs w:val="24"/>
              </w:rPr>
              <w:t>着力补齐民生短板</w:t>
            </w:r>
          </w:p>
        </w:tc>
        <w:tc>
          <w:tcPr>
            <w:tcW w:w="7236" w:type="dxa"/>
            <w:noWrap/>
            <w:vAlign w:val="center"/>
          </w:tcPr>
          <w:p>
            <w:pPr>
              <w:autoSpaceDE/>
              <w:autoSpaceDN/>
              <w:snapToGrid/>
              <w:spacing w:line="420" w:lineRule="exact"/>
              <w:ind w:firstLine="0"/>
              <w:rPr>
                <w:rFonts w:eastAsia="仿宋_GB2312"/>
                <w:snapToGrid/>
                <w:kern w:val="2"/>
                <w:sz w:val="24"/>
                <w:szCs w:val="24"/>
              </w:rPr>
            </w:pPr>
            <w:r>
              <w:rPr>
                <w:rFonts w:hint="eastAsia" w:eastAsia="仿宋_GB2312"/>
                <w:snapToGrid/>
                <w:kern w:val="2"/>
                <w:sz w:val="24"/>
                <w:szCs w:val="24"/>
              </w:rPr>
              <w:t>（1）全面落实就业创业政策，城镇新增就业9000人。</w:t>
            </w:r>
          </w:p>
        </w:tc>
        <w:tc>
          <w:tcPr>
            <w:tcW w:w="1176"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人社局</w:t>
            </w:r>
          </w:p>
        </w:tc>
        <w:tc>
          <w:tcPr>
            <w:tcW w:w="1916" w:type="dxa"/>
            <w:noWrap/>
            <w:vAlign w:val="center"/>
          </w:tcPr>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20" w:lineRule="exact"/>
              <w:ind w:firstLine="0"/>
              <w:rPr>
                <w:rFonts w:eastAsia="仿宋_GB2312"/>
                <w:snapToGrid/>
                <w:kern w:val="2"/>
                <w:sz w:val="24"/>
                <w:szCs w:val="24"/>
              </w:rPr>
            </w:pPr>
            <w:r>
              <w:rPr>
                <w:rFonts w:hint="eastAsia" w:eastAsia="仿宋_GB2312"/>
                <w:snapToGrid/>
                <w:kern w:val="2"/>
                <w:sz w:val="24"/>
                <w:szCs w:val="24"/>
              </w:rPr>
              <w:t>（2）继续实施城乡居民基础养老金、医疗保险筹资标准和征地待遇提标工作，扩大医疗救助范围，将低保边缘困难家庭纳入保障范围，逐步建立覆盖全民、城乡统筹、权责清晰、保障适度的多层次社会保障体系。</w:t>
            </w:r>
          </w:p>
        </w:tc>
        <w:tc>
          <w:tcPr>
            <w:tcW w:w="1176"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人社局</w:t>
            </w:r>
          </w:p>
          <w:p>
            <w:pPr>
              <w:autoSpaceDE/>
              <w:autoSpaceDN/>
              <w:snapToGrid/>
              <w:spacing w:line="420" w:lineRule="exact"/>
              <w:ind w:firstLine="0"/>
              <w:jc w:val="center"/>
              <w:rPr>
                <w:rFonts w:eastAsia="仿宋_GB2312"/>
                <w:snapToGrid/>
                <w:kern w:val="2"/>
                <w:sz w:val="24"/>
                <w:szCs w:val="24"/>
              </w:rPr>
            </w:pPr>
            <w:r>
              <w:rPr>
                <w:rFonts w:hint="eastAsia" w:eastAsia="仿宋_GB2312"/>
                <w:snapToGrid/>
                <w:spacing w:val="-23"/>
                <w:kern w:val="2"/>
                <w:sz w:val="24"/>
                <w:szCs w:val="24"/>
              </w:rPr>
              <w:t>金</w:t>
            </w:r>
            <w:r>
              <w:rPr>
                <w:rFonts w:hint="eastAsia" w:eastAsia="仿宋_GB2312"/>
                <w:snapToGrid/>
                <w:spacing w:val="-10"/>
                <w:kern w:val="2"/>
                <w:sz w:val="24"/>
                <w:szCs w:val="24"/>
              </w:rPr>
              <w:t>坛医疗保障分局</w:t>
            </w:r>
          </w:p>
        </w:tc>
        <w:tc>
          <w:tcPr>
            <w:tcW w:w="1916" w:type="dxa"/>
            <w:noWrap/>
            <w:vAlign w:val="center"/>
          </w:tcPr>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民政局</w:t>
            </w:r>
          </w:p>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20" w:lineRule="exact"/>
              <w:ind w:firstLine="0"/>
              <w:rPr>
                <w:rFonts w:eastAsia="仿宋_GB2312"/>
                <w:snapToGrid/>
                <w:kern w:val="2"/>
                <w:sz w:val="24"/>
                <w:szCs w:val="24"/>
              </w:rPr>
            </w:pPr>
            <w:r>
              <w:rPr>
                <w:rFonts w:hint="eastAsia" w:eastAsia="仿宋_GB2312"/>
                <w:snapToGrid/>
                <w:kern w:val="2"/>
                <w:sz w:val="24"/>
                <w:szCs w:val="24"/>
              </w:rPr>
              <w:t>（3）取消常州市范围内定点医院转诊审批制度，方便参保群众就医。</w:t>
            </w:r>
          </w:p>
        </w:tc>
        <w:tc>
          <w:tcPr>
            <w:tcW w:w="1176"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2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金坛医疗保障分局</w:t>
            </w:r>
          </w:p>
        </w:tc>
        <w:tc>
          <w:tcPr>
            <w:tcW w:w="1916" w:type="dxa"/>
            <w:noWrap/>
            <w:vAlign w:val="center"/>
          </w:tcPr>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20" w:lineRule="exact"/>
              <w:ind w:firstLine="0"/>
              <w:rPr>
                <w:rFonts w:eastAsia="仿宋_GB2312"/>
                <w:snapToGrid/>
                <w:kern w:val="2"/>
                <w:sz w:val="24"/>
                <w:szCs w:val="24"/>
              </w:rPr>
            </w:pPr>
            <w:r>
              <w:rPr>
                <w:rFonts w:hint="eastAsia" w:eastAsia="仿宋_GB2312"/>
                <w:snapToGrid/>
                <w:kern w:val="2"/>
                <w:sz w:val="24"/>
                <w:szCs w:val="24"/>
              </w:rPr>
              <w:t>（4）继续加大教育资源供给，年内确保8所学校建成投用。深化教育领域综合改革，积极探索集团化办学模式，深化义务教育学校教师“区管校聘”制度改革，促进教育优质均衡发展。</w:t>
            </w:r>
          </w:p>
        </w:tc>
        <w:tc>
          <w:tcPr>
            <w:tcW w:w="1176"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教育局</w:t>
            </w:r>
          </w:p>
        </w:tc>
        <w:tc>
          <w:tcPr>
            <w:tcW w:w="1916" w:type="dxa"/>
            <w:noWrap/>
            <w:vAlign w:val="center"/>
          </w:tcPr>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金坛控股</w:t>
            </w:r>
          </w:p>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20" w:lineRule="exact"/>
              <w:ind w:firstLine="0"/>
              <w:rPr>
                <w:rFonts w:eastAsia="仿宋_GB2312"/>
                <w:snapToGrid/>
                <w:kern w:val="2"/>
                <w:sz w:val="24"/>
                <w:szCs w:val="24"/>
              </w:rPr>
            </w:pPr>
            <w:r>
              <w:rPr>
                <w:rFonts w:hint="eastAsia" w:eastAsia="仿宋_GB2312"/>
                <w:snapToGrid/>
                <w:kern w:val="2"/>
                <w:sz w:val="24"/>
                <w:szCs w:val="24"/>
              </w:rPr>
              <w:t>（5）推进医疗基础设施建设，继续实施村卫生室提档升级工程，加快第三人民医院建设进度，第一人民医院基本达到交付标准。全面推动分级诊疗和家庭医生服务，加快引进外部优质医疗资源，满足人民群众“当地看好病”的需求。</w:t>
            </w:r>
          </w:p>
        </w:tc>
        <w:tc>
          <w:tcPr>
            <w:tcW w:w="1176"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卫生健康局</w:t>
            </w:r>
          </w:p>
        </w:tc>
        <w:tc>
          <w:tcPr>
            <w:tcW w:w="1916" w:type="dxa"/>
            <w:noWrap/>
            <w:vAlign w:val="center"/>
          </w:tcPr>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金坛控股</w:t>
            </w:r>
          </w:p>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20" w:lineRule="exact"/>
              <w:ind w:firstLine="0"/>
              <w:rPr>
                <w:rFonts w:eastAsia="仿宋_GB2312"/>
                <w:snapToGrid/>
                <w:kern w:val="2"/>
                <w:sz w:val="24"/>
                <w:szCs w:val="24"/>
              </w:rPr>
            </w:pPr>
            <w:r>
              <w:rPr>
                <w:rFonts w:hint="eastAsia" w:eastAsia="仿宋_GB2312"/>
                <w:snapToGrid/>
                <w:kern w:val="2"/>
                <w:sz w:val="24"/>
                <w:szCs w:val="24"/>
              </w:rPr>
              <w:t>（6）深化养老服务建设，构建多形式、全方位的老年医疗护理服务体系。</w:t>
            </w:r>
          </w:p>
        </w:tc>
        <w:tc>
          <w:tcPr>
            <w:tcW w:w="1176"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朱  霞</w:t>
            </w:r>
          </w:p>
        </w:tc>
        <w:tc>
          <w:tcPr>
            <w:tcW w:w="1790"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民政局</w:t>
            </w:r>
          </w:p>
        </w:tc>
        <w:tc>
          <w:tcPr>
            <w:tcW w:w="1916" w:type="dxa"/>
            <w:noWrap/>
            <w:vAlign w:val="center"/>
          </w:tcPr>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40" w:type="dxa"/>
            <w:vMerge w:val="continue"/>
            <w:noWrap/>
            <w:vAlign w:val="center"/>
          </w:tcPr>
          <w:p>
            <w:pPr>
              <w:autoSpaceDE/>
              <w:autoSpaceDN/>
              <w:snapToGrid/>
              <w:spacing w:line="44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4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20" w:lineRule="exact"/>
              <w:ind w:firstLine="0"/>
              <w:rPr>
                <w:rFonts w:eastAsia="仿宋_GB2312"/>
                <w:snapToGrid/>
                <w:kern w:val="2"/>
                <w:sz w:val="24"/>
                <w:szCs w:val="24"/>
              </w:rPr>
            </w:pPr>
            <w:r>
              <w:rPr>
                <w:rFonts w:hint="eastAsia" w:eastAsia="仿宋_GB2312"/>
                <w:snapToGrid/>
                <w:kern w:val="2"/>
                <w:sz w:val="24"/>
                <w:szCs w:val="24"/>
              </w:rPr>
              <w:t xml:space="preserve">（7）完善住房保障体系，进一步扩大住房公积金覆盖面和受益面。 </w:t>
            </w:r>
          </w:p>
        </w:tc>
        <w:tc>
          <w:tcPr>
            <w:tcW w:w="1176"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周文俊</w:t>
            </w:r>
          </w:p>
        </w:tc>
        <w:tc>
          <w:tcPr>
            <w:tcW w:w="1790" w:type="dxa"/>
            <w:noWrap/>
            <w:vAlign w:val="center"/>
          </w:tcPr>
          <w:p>
            <w:pPr>
              <w:autoSpaceDE/>
              <w:autoSpaceDN/>
              <w:snapToGrid/>
              <w:spacing w:line="420" w:lineRule="exact"/>
              <w:ind w:firstLine="0"/>
              <w:jc w:val="center"/>
              <w:rPr>
                <w:rFonts w:eastAsia="仿宋_GB2312"/>
                <w:snapToGrid/>
                <w:kern w:val="2"/>
                <w:sz w:val="24"/>
                <w:szCs w:val="24"/>
              </w:rPr>
            </w:pPr>
            <w:r>
              <w:rPr>
                <w:rFonts w:hint="eastAsia" w:eastAsia="仿宋_GB2312"/>
                <w:snapToGrid/>
                <w:kern w:val="2"/>
                <w:sz w:val="24"/>
                <w:szCs w:val="24"/>
              </w:rPr>
              <w:t>公积金中心</w:t>
            </w:r>
          </w:p>
        </w:tc>
        <w:tc>
          <w:tcPr>
            <w:tcW w:w="1916" w:type="dxa"/>
            <w:noWrap/>
            <w:vAlign w:val="center"/>
          </w:tcPr>
          <w:p>
            <w:pPr>
              <w:autoSpaceDE/>
              <w:autoSpaceDN/>
              <w:snapToGrid/>
              <w:spacing w:line="420" w:lineRule="exact"/>
              <w:ind w:right="-87"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7" w:hRule="atLeast"/>
          <w:jc w:val="center"/>
        </w:trPr>
        <w:tc>
          <w:tcPr>
            <w:tcW w:w="740" w:type="dxa"/>
            <w:vMerge w:val="restart"/>
            <w:noWrap/>
            <w:vAlign w:val="center"/>
          </w:tcPr>
          <w:p>
            <w:pPr>
              <w:autoSpaceDE/>
              <w:autoSpaceDN/>
              <w:snapToGrid/>
              <w:spacing w:line="320" w:lineRule="exact"/>
              <w:ind w:firstLine="0"/>
              <w:jc w:val="center"/>
              <w:rPr>
                <w:rFonts w:eastAsia="仿宋_GB2312"/>
                <w:snapToGrid/>
                <w:kern w:val="2"/>
                <w:sz w:val="24"/>
                <w:szCs w:val="24"/>
              </w:rPr>
            </w:pPr>
            <w:r>
              <w:rPr>
                <w:rFonts w:eastAsia="仿宋_GB2312"/>
                <w:snapToGrid/>
                <w:kern w:val="2"/>
                <w:sz w:val="24"/>
                <w:szCs w:val="24"/>
              </w:rPr>
              <w:t>17</w:t>
            </w:r>
          </w:p>
        </w:tc>
        <w:tc>
          <w:tcPr>
            <w:tcW w:w="2053" w:type="dxa"/>
            <w:vMerge w:val="restart"/>
            <w:noWrap/>
            <w:vAlign w:val="center"/>
          </w:tcPr>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推进文化建设</w:t>
            </w:r>
          </w:p>
          <w:p>
            <w:pPr>
              <w:autoSpaceDE/>
              <w:autoSpaceDN/>
              <w:snapToGrid/>
              <w:spacing w:line="480" w:lineRule="exact"/>
              <w:ind w:right="-57" w:firstLine="0"/>
              <w:jc w:val="center"/>
              <w:rPr>
                <w:rFonts w:eastAsia="仿宋_GB2312"/>
                <w:snapToGrid/>
                <w:kern w:val="2"/>
                <w:sz w:val="24"/>
                <w:szCs w:val="24"/>
              </w:rPr>
            </w:pPr>
            <w:r>
              <w:rPr>
                <w:rFonts w:eastAsia="仿宋_GB2312"/>
                <w:snapToGrid/>
                <w:kern w:val="2"/>
                <w:sz w:val="24"/>
                <w:szCs w:val="24"/>
              </w:rPr>
              <w:t>高质量</w:t>
            </w: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1）用好用活金坛的历史文化资源，加大金坛刻纸、金坛抬阁、巨村舞龙、董永传说等非遗项目宣传力度，推动优秀传统文化传承发展。实施文化精品战略，积极推动文艺创新，创作更多有筋骨、有道德、有温度的作品。深入实施文化惠民工程，完善全民健身公共服务体系，基层综合性文化服务中心建设实现全覆盖。</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文体广电和旅游局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（2）加快常州未成年人社会实践基地升级改造，充分发挥城市形象馆、民防教育体验馆、博物馆、图书馆等公共文化设施功能。</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文体广电和旅游局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教育局</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自然资源局</w:t>
            </w:r>
          </w:p>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right="-57" w:firstLine="0"/>
              <w:jc w:val="center"/>
              <w:rPr>
                <w:rFonts w:eastAsia="仿宋_GB2312"/>
                <w:snapToGrid/>
                <w:kern w:val="2"/>
                <w:sz w:val="24"/>
                <w:szCs w:val="24"/>
              </w:rPr>
            </w:pPr>
          </w:p>
        </w:tc>
        <w:tc>
          <w:tcPr>
            <w:tcW w:w="7236" w:type="dxa"/>
            <w:noWrap/>
            <w:vAlign w:val="center"/>
          </w:tcPr>
          <w:p>
            <w:pPr>
              <w:autoSpaceDE/>
              <w:autoSpaceDN/>
              <w:snapToGrid/>
              <w:spacing w:line="480" w:lineRule="exact"/>
              <w:ind w:firstLine="0"/>
              <w:rPr>
                <w:rFonts w:eastAsia="仿宋_GB2312"/>
                <w:snapToGrid/>
                <w:kern w:val="2"/>
                <w:sz w:val="24"/>
                <w:szCs w:val="24"/>
              </w:rPr>
            </w:pPr>
            <w:r>
              <w:rPr>
                <w:rFonts w:eastAsia="仿宋_GB2312"/>
                <w:snapToGrid/>
                <w:kern w:val="2"/>
                <w:sz w:val="24"/>
                <w:szCs w:val="24"/>
              </w:rPr>
              <w:t>（3）深化文旅融合，加大旅游节庆活动宣传推介力度，举办好文化艺术节、全民运动会等文体赛事活动，丰富群众精神文化生活。</w:t>
            </w:r>
          </w:p>
        </w:tc>
        <w:tc>
          <w:tcPr>
            <w:tcW w:w="117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刘明江</w:t>
            </w:r>
          </w:p>
        </w:tc>
        <w:tc>
          <w:tcPr>
            <w:tcW w:w="1790" w:type="dxa"/>
            <w:noWrap/>
            <w:vAlign w:val="center"/>
          </w:tcPr>
          <w:p>
            <w:pPr>
              <w:autoSpaceDE/>
              <w:autoSpaceDN/>
              <w:snapToGrid/>
              <w:spacing w:line="360" w:lineRule="exact"/>
              <w:ind w:firstLine="0"/>
              <w:jc w:val="center"/>
              <w:rPr>
                <w:rFonts w:eastAsia="仿宋_GB2312"/>
                <w:snapToGrid/>
                <w:spacing w:val="-10"/>
                <w:kern w:val="2"/>
                <w:sz w:val="24"/>
                <w:szCs w:val="24"/>
              </w:rPr>
            </w:pPr>
            <w:r>
              <w:rPr>
                <w:rFonts w:hint="eastAsia" w:eastAsia="仿宋_GB2312"/>
                <w:snapToGrid/>
                <w:spacing w:val="-10"/>
                <w:kern w:val="2"/>
                <w:sz w:val="24"/>
                <w:szCs w:val="24"/>
              </w:rPr>
              <w:t>文体广电和旅游局</w:t>
            </w:r>
          </w:p>
        </w:tc>
        <w:tc>
          <w:tcPr>
            <w:tcW w:w="1916" w:type="dxa"/>
            <w:noWrap/>
            <w:vAlign w:val="center"/>
          </w:tcPr>
          <w:p>
            <w:pPr>
              <w:autoSpaceDE/>
              <w:autoSpaceDN/>
              <w:snapToGrid/>
              <w:spacing w:line="48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740" w:type="dxa"/>
            <w:vMerge w:val="restart"/>
            <w:noWrap/>
            <w:vAlign w:val="center"/>
          </w:tcPr>
          <w:p>
            <w:pPr>
              <w:autoSpaceDE/>
              <w:autoSpaceDN/>
              <w:snapToGrid/>
              <w:spacing w:line="320" w:lineRule="exact"/>
              <w:ind w:firstLine="0"/>
              <w:jc w:val="center"/>
              <w:rPr>
                <w:rFonts w:eastAsia="仿宋_GB2312"/>
                <w:snapToGrid/>
                <w:kern w:val="2"/>
                <w:sz w:val="24"/>
                <w:szCs w:val="24"/>
              </w:rPr>
            </w:pPr>
            <w:r>
              <w:rPr>
                <w:rFonts w:eastAsia="仿宋_GB2312"/>
                <w:snapToGrid/>
                <w:kern w:val="2"/>
                <w:sz w:val="24"/>
                <w:szCs w:val="24"/>
              </w:rPr>
              <w:t>18</w:t>
            </w:r>
          </w:p>
        </w:tc>
        <w:tc>
          <w:tcPr>
            <w:tcW w:w="2053" w:type="dxa"/>
            <w:vMerge w:val="restart"/>
            <w:noWrap/>
            <w:vAlign w:val="center"/>
          </w:tcPr>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持续创新社会</w:t>
            </w:r>
          </w:p>
          <w:p>
            <w:pPr>
              <w:autoSpaceDE/>
              <w:autoSpaceDN/>
              <w:snapToGrid/>
              <w:spacing w:line="480" w:lineRule="exact"/>
              <w:ind w:firstLine="0"/>
              <w:jc w:val="center"/>
              <w:rPr>
                <w:rFonts w:eastAsia="仿宋_GB2312"/>
                <w:snapToGrid/>
                <w:kern w:val="2"/>
                <w:sz w:val="24"/>
                <w:szCs w:val="24"/>
              </w:rPr>
            </w:pPr>
            <w:r>
              <w:rPr>
                <w:rFonts w:eastAsia="仿宋_GB2312"/>
                <w:snapToGrid/>
                <w:kern w:val="2"/>
                <w:sz w:val="24"/>
                <w:szCs w:val="24"/>
              </w:rPr>
              <w:t>治理</w:t>
            </w: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spacing w:val="-4"/>
                <w:kern w:val="2"/>
                <w:sz w:val="24"/>
                <w:szCs w:val="24"/>
              </w:rPr>
              <w:t>（1）不断深化</w:t>
            </w:r>
            <w:r>
              <w:rPr>
                <w:rFonts w:hint="eastAsia" w:ascii="仿宋_GB2312" w:hAnsi="仿宋_GB2312" w:eastAsia="仿宋_GB2312" w:cs="仿宋_GB2312"/>
                <w:snapToGrid/>
                <w:spacing w:val="-4"/>
                <w:kern w:val="2"/>
                <w:sz w:val="24"/>
                <w:szCs w:val="24"/>
              </w:rPr>
              <w:t>“平安金坛”“法治金坛”</w:t>
            </w:r>
            <w:r>
              <w:rPr>
                <w:rFonts w:eastAsia="仿宋_GB2312"/>
                <w:snapToGrid/>
                <w:spacing w:val="-4"/>
                <w:kern w:val="2"/>
                <w:sz w:val="24"/>
                <w:szCs w:val="24"/>
              </w:rPr>
              <w:t>建设，切实提高基层治理现代化水平。强化源头治理，扎实推进全区网格化社会治理机制，引导镇区、部门合理整合、高效配置网格管理资源，推动社会治理重心向基层下移。</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王晓航</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金坛公安分局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政法委</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（2）深入开展</w:t>
            </w:r>
            <w:r>
              <w:rPr>
                <w:rFonts w:hint="eastAsia" w:ascii="仿宋_GB2312" w:hAnsi="仿宋_GB2312" w:eastAsia="仿宋_GB2312" w:cs="仿宋_GB2312"/>
                <w:snapToGrid/>
                <w:kern w:val="2"/>
                <w:sz w:val="24"/>
                <w:szCs w:val="24"/>
              </w:rPr>
              <w:t>“七五”</w:t>
            </w:r>
            <w:r>
              <w:rPr>
                <w:rFonts w:eastAsia="仿宋_GB2312"/>
                <w:snapToGrid/>
                <w:kern w:val="2"/>
                <w:sz w:val="24"/>
                <w:szCs w:val="24"/>
              </w:rPr>
              <w:t>普法，提高全民法治意识和法治素养。</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王晓航</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司法局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eastAsia="仿宋_GB2312"/>
                <w:snapToGrid/>
                <w:kern w:val="2"/>
                <w:sz w:val="24"/>
                <w:szCs w:val="24"/>
              </w:rPr>
              <w:t>（3）积极预防化解社会矛盾，加大非法集资清理打击力度，确保社会大局和谐稳定。加强社会治安防控体系建设，继续深入开展扫黑除恶专项斗争。</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王晓航</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金坛公安分局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信访局</w:t>
            </w:r>
          </w:p>
          <w:p>
            <w:pPr>
              <w:autoSpaceDE/>
              <w:autoSpaceDN/>
              <w:snapToGrid/>
              <w:spacing w:line="360" w:lineRule="exact"/>
              <w:ind w:firstLine="0"/>
              <w:jc w:val="center"/>
              <w:rPr>
                <w:rFonts w:eastAsia="仿宋_GB2312"/>
                <w:snapToGrid/>
                <w:spacing w:val="-14"/>
                <w:kern w:val="2"/>
                <w:sz w:val="24"/>
                <w:szCs w:val="24"/>
              </w:rPr>
            </w:pPr>
            <w:r>
              <w:rPr>
                <w:rFonts w:hint="eastAsia" w:eastAsia="仿宋_GB2312"/>
                <w:snapToGrid/>
                <w:spacing w:val="-14"/>
                <w:kern w:val="2"/>
                <w:sz w:val="24"/>
                <w:szCs w:val="24"/>
              </w:rPr>
              <w:t>地方金融监督管理局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kern w:val="2"/>
                <w:sz w:val="24"/>
                <w:szCs w:val="24"/>
              </w:rPr>
              <w:t>（4）健全安全生产综合监管体系，建设应急管理信息中心，创新提升信息化条件下安全生产及应急指挥能力，推进重点行业领域专项整治和隐患排查治理，以最严格的要求压实安全生产责任，有效防范、坚决杜绝重特大事故发生。</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王晓航</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应急管理局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kern w:val="2"/>
                <w:sz w:val="24"/>
                <w:szCs w:val="24"/>
              </w:rPr>
              <w:t>（5）加快推进省级食品安全示范区创建，大力实施阳光餐饮工程，不断提升食品安全水平。</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周新生</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市场监管局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480" w:lineRule="exact"/>
              <w:ind w:firstLine="0"/>
              <w:jc w:val="center"/>
              <w:rPr>
                <w:rFonts w:eastAsia="仿宋_GB2312"/>
                <w:snapToGrid/>
                <w:kern w:val="2"/>
                <w:sz w:val="24"/>
                <w:szCs w:val="24"/>
              </w:rPr>
            </w:pPr>
          </w:p>
        </w:tc>
        <w:tc>
          <w:tcPr>
            <w:tcW w:w="7236" w:type="dxa"/>
            <w:noWrap/>
            <w:vAlign w:val="center"/>
          </w:tcPr>
          <w:p>
            <w:pPr>
              <w:autoSpaceDE/>
              <w:autoSpaceDN/>
              <w:snapToGrid/>
              <w:spacing w:line="360" w:lineRule="exact"/>
              <w:ind w:firstLine="0"/>
              <w:rPr>
                <w:rFonts w:eastAsia="仿宋_GB2312"/>
                <w:snapToGrid/>
                <w:kern w:val="2"/>
                <w:sz w:val="24"/>
                <w:szCs w:val="24"/>
              </w:rPr>
            </w:pPr>
            <w:r>
              <w:rPr>
                <w:rFonts w:hint="eastAsia" w:eastAsia="仿宋_GB2312"/>
                <w:snapToGrid/>
                <w:kern w:val="2"/>
                <w:sz w:val="24"/>
                <w:szCs w:val="24"/>
              </w:rPr>
              <w:t>（6）积极有效管控政府隐性债务，守住不发生系统性、区域性金融风险的底线。</w:t>
            </w:r>
          </w:p>
        </w:tc>
        <w:tc>
          <w:tcPr>
            <w:tcW w:w="117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沈  东</w:t>
            </w:r>
          </w:p>
        </w:tc>
        <w:tc>
          <w:tcPr>
            <w:tcW w:w="1790"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财政局</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360" w:lineRule="exact"/>
              <w:ind w:firstLine="0"/>
              <w:jc w:val="center"/>
              <w:rPr>
                <w:rFonts w:eastAsia="仿宋_GB2312"/>
                <w:snapToGrid/>
                <w:kern w:val="2"/>
                <w:sz w:val="24"/>
                <w:szCs w:val="24"/>
              </w:rPr>
            </w:pPr>
            <w:r>
              <w:rPr>
                <w:rFonts w:hint="eastAsia" w:eastAsia="仿宋_GB2312"/>
                <w:snapToGrid/>
                <w:kern w:val="2"/>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740" w:type="dxa"/>
            <w:vMerge w:val="restart"/>
            <w:noWrap/>
            <w:vAlign w:val="center"/>
          </w:tcPr>
          <w:p>
            <w:pPr>
              <w:autoSpaceDE/>
              <w:autoSpaceDN/>
              <w:snapToGrid/>
              <w:spacing w:line="320" w:lineRule="exact"/>
              <w:ind w:firstLine="0"/>
              <w:jc w:val="center"/>
              <w:rPr>
                <w:rFonts w:eastAsia="仿宋_GB2312"/>
                <w:snapToGrid/>
                <w:kern w:val="2"/>
                <w:sz w:val="24"/>
                <w:szCs w:val="24"/>
              </w:rPr>
            </w:pPr>
            <w:r>
              <w:rPr>
                <w:rFonts w:eastAsia="仿宋_GB2312"/>
                <w:snapToGrid/>
                <w:kern w:val="2"/>
                <w:sz w:val="24"/>
                <w:szCs w:val="24"/>
              </w:rPr>
              <w:t>19</w:t>
            </w:r>
          </w:p>
        </w:tc>
        <w:tc>
          <w:tcPr>
            <w:tcW w:w="2053" w:type="dxa"/>
            <w:vMerge w:val="restart"/>
            <w:noWrap/>
            <w:vAlign w:val="center"/>
          </w:tcPr>
          <w:p>
            <w:pPr>
              <w:autoSpaceDE/>
              <w:autoSpaceDN/>
              <w:snapToGrid/>
              <w:spacing w:line="260" w:lineRule="exact"/>
              <w:ind w:firstLine="0"/>
              <w:jc w:val="center"/>
              <w:rPr>
                <w:rFonts w:eastAsia="仿宋_GB2312"/>
                <w:snapToGrid/>
                <w:kern w:val="2"/>
                <w:sz w:val="24"/>
                <w:szCs w:val="24"/>
              </w:rPr>
            </w:pPr>
            <w:r>
              <w:rPr>
                <w:rFonts w:eastAsia="仿宋_GB2312"/>
                <w:snapToGrid/>
                <w:kern w:val="2"/>
                <w:sz w:val="24"/>
                <w:szCs w:val="24"/>
              </w:rPr>
              <w:t>塑造阳光法治的政府形象</w:t>
            </w:r>
          </w:p>
        </w:tc>
        <w:tc>
          <w:tcPr>
            <w:tcW w:w="7236" w:type="dxa"/>
            <w:noWrap/>
            <w:vAlign w:val="center"/>
          </w:tcPr>
          <w:p>
            <w:pPr>
              <w:autoSpaceDE/>
              <w:autoSpaceDN/>
              <w:snapToGrid/>
              <w:spacing w:line="250" w:lineRule="exact"/>
              <w:ind w:firstLine="0"/>
              <w:rPr>
                <w:rFonts w:eastAsia="仿宋_GB2312"/>
                <w:snapToGrid/>
                <w:kern w:val="2"/>
                <w:sz w:val="24"/>
                <w:szCs w:val="24"/>
              </w:rPr>
            </w:pPr>
            <w:r>
              <w:rPr>
                <w:rFonts w:eastAsia="仿宋_GB2312"/>
                <w:snapToGrid/>
                <w:kern w:val="2"/>
                <w:sz w:val="24"/>
                <w:szCs w:val="24"/>
              </w:rPr>
              <w:t>（</w:t>
            </w:r>
            <w:r>
              <w:rPr>
                <w:rFonts w:hint="eastAsia" w:eastAsia="仿宋_GB2312"/>
                <w:snapToGrid/>
                <w:kern w:val="2"/>
                <w:sz w:val="24"/>
                <w:szCs w:val="24"/>
              </w:rPr>
              <w:t>1</w:t>
            </w:r>
            <w:r>
              <w:rPr>
                <w:rFonts w:eastAsia="仿宋_GB2312"/>
                <w:snapToGrid/>
                <w:kern w:val="2"/>
                <w:sz w:val="24"/>
                <w:szCs w:val="24"/>
              </w:rPr>
              <w:t>）全面推行法律顾问制度，完善行政决策合法性审查、风险评估和责任追究机制。严格执行重大行政决策法定程序，加强权责清单运行和监督管理，加大行政问责力度，不断提高运用法治思维、法治方式推动工作的能力。</w:t>
            </w:r>
          </w:p>
        </w:tc>
        <w:tc>
          <w:tcPr>
            <w:tcW w:w="117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王晓航</w:t>
            </w:r>
          </w:p>
        </w:tc>
        <w:tc>
          <w:tcPr>
            <w:tcW w:w="1790"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司法局</w:t>
            </w:r>
          </w:p>
        </w:tc>
        <w:tc>
          <w:tcPr>
            <w:tcW w:w="191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各板块</w:t>
            </w:r>
          </w:p>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260" w:lineRule="exact"/>
              <w:ind w:firstLine="0"/>
              <w:jc w:val="center"/>
              <w:rPr>
                <w:rFonts w:eastAsia="仿宋_GB2312"/>
                <w:snapToGrid/>
                <w:kern w:val="2"/>
                <w:sz w:val="24"/>
                <w:szCs w:val="24"/>
              </w:rPr>
            </w:pPr>
          </w:p>
        </w:tc>
        <w:tc>
          <w:tcPr>
            <w:tcW w:w="7236" w:type="dxa"/>
            <w:noWrap/>
            <w:vAlign w:val="center"/>
          </w:tcPr>
          <w:p>
            <w:pPr>
              <w:autoSpaceDE/>
              <w:autoSpaceDN/>
              <w:snapToGrid/>
              <w:spacing w:line="250" w:lineRule="exact"/>
              <w:ind w:firstLine="0"/>
              <w:rPr>
                <w:rFonts w:eastAsia="仿宋_GB2312"/>
                <w:snapToGrid/>
                <w:kern w:val="2"/>
                <w:sz w:val="24"/>
                <w:szCs w:val="24"/>
              </w:rPr>
            </w:pPr>
            <w:r>
              <w:rPr>
                <w:rFonts w:eastAsia="仿宋_GB2312"/>
                <w:snapToGrid/>
                <w:kern w:val="2"/>
                <w:sz w:val="24"/>
                <w:szCs w:val="24"/>
              </w:rPr>
              <w:t>（</w:t>
            </w:r>
            <w:r>
              <w:rPr>
                <w:rFonts w:hint="eastAsia" w:eastAsia="仿宋_GB2312"/>
                <w:snapToGrid/>
                <w:kern w:val="2"/>
                <w:sz w:val="24"/>
                <w:szCs w:val="24"/>
              </w:rPr>
              <w:t>2</w:t>
            </w:r>
            <w:r>
              <w:rPr>
                <w:rFonts w:eastAsia="仿宋_GB2312"/>
                <w:snapToGrid/>
                <w:kern w:val="2"/>
                <w:sz w:val="24"/>
                <w:szCs w:val="24"/>
              </w:rPr>
              <w:t>）优化提升政府门户网站功能，持续深化政府信息公开，让群众更好地监督政府工作。自觉接受区人大及其常委会的法律监督、政协的民主监督、社会公众的舆论监督。加强与人大代表、政协委员沟通联系，不断提高建议和提案办理质量。</w:t>
            </w:r>
          </w:p>
        </w:tc>
        <w:tc>
          <w:tcPr>
            <w:tcW w:w="117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政府办</w:t>
            </w:r>
          </w:p>
        </w:tc>
        <w:tc>
          <w:tcPr>
            <w:tcW w:w="191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740" w:type="dxa"/>
            <w:vMerge w:val="restart"/>
            <w:noWrap/>
            <w:vAlign w:val="center"/>
          </w:tcPr>
          <w:p>
            <w:pPr>
              <w:autoSpaceDE/>
              <w:autoSpaceDN/>
              <w:snapToGrid/>
              <w:spacing w:line="320" w:lineRule="exact"/>
              <w:ind w:firstLine="0"/>
              <w:jc w:val="center"/>
              <w:rPr>
                <w:rFonts w:eastAsia="仿宋_GB2312"/>
                <w:snapToGrid/>
                <w:kern w:val="2"/>
                <w:sz w:val="24"/>
                <w:szCs w:val="24"/>
              </w:rPr>
            </w:pPr>
            <w:r>
              <w:rPr>
                <w:rFonts w:eastAsia="仿宋_GB2312"/>
                <w:snapToGrid/>
                <w:kern w:val="2"/>
                <w:sz w:val="24"/>
                <w:szCs w:val="24"/>
              </w:rPr>
              <w:t>20</w:t>
            </w:r>
          </w:p>
        </w:tc>
        <w:tc>
          <w:tcPr>
            <w:tcW w:w="2053" w:type="dxa"/>
            <w:vMerge w:val="restart"/>
            <w:noWrap/>
            <w:vAlign w:val="center"/>
          </w:tcPr>
          <w:p>
            <w:pPr>
              <w:autoSpaceDE/>
              <w:autoSpaceDN/>
              <w:snapToGrid/>
              <w:spacing w:line="260" w:lineRule="exact"/>
              <w:ind w:firstLine="0"/>
              <w:jc w:val="center"/>
              <w:rPr>
                <w:rFonts w:eastAsia="仿宋_GB2312"/>
                <w:snapToGrid/>
                <w:kern w:val="2"/>
                <w:sz w:val="24"/>
                <w:szCs w:val="24"/>
              </w:rPr>
            </w:pPr>
            <w:r>
              <w:rPr>
                <w:rFonts w:eastAsia="仿宋_GB2312"/>
                <w:snapToGrid/>
                <w:kern w:val="2"/>
                <w:sz w:val="24"/>
                <w:szCs w:val="24"/>
              </w:rPr>
              <w:t>打造务实高效的工作作风</w:t>
            </w:r>
          </w:p>
        </w:tc>
        <w:tc>
          <w:tcPr>
            <w:tcW w:w="7236" w:type="dxa"/>
            <w:noWrap/>
            <w:vAlign w:val="center"/>
          </w:tcPr>
          <w:p>
            <w:pPr>
              <w:autoSpaceDE/>
              <w:autoSpaceDN/>
              <w:snapToGrid/>
              <w:spacing w:line="250" w:lineRule="exact"/>
              <w:ind w:firstLine="0"/>
              <w:rPr>
                <w:rFonts w:eastAsia="仿宋_GB2312"/>
                <w:snapToGrid/>
                <w:kern w:val="2"/>
                <w:sz w:val="24"/>
                <w:szCs w:val="24"/>
              </w:rPr>
            </w:pPr>
            <w:r>
              <w:rPr>
                <w:rFonts w:eastAsia="仿宋_GB2312"/>
                <w:snapToGrid/>
                <w:kern w:val="2"/>
                <w:sz w:val="24"/>
                <w:szCs w:val="24"/>
              </w:rPr>
              <w:t>（1）坚持正向激励和负向惩戒并重，落实鼓励激励、容错纠错、能上能下</w:t>
            </w:r>
            <w:r>
              <w:rPr>
                <w:rFonts w:hint="eastAsia" w:ascii="仿宋_GB2312" w:hAnsi="仿宋_GB2312" w:eastAsia="仿宋_GB2312" w:cs="仿宋_GB2312"/>
                <w:snapToGrid/>
                <w:kern w:val="2"/>
                <w:sz w:val="24"/>
                <w:szCs w:val="24"/>
              </w:rPr>
              <w:t>“三项机制”</w:t>
            </w:r>
            <w:r>
              <w:rPr>
                <w:rFonts w:eastAsia="仿宋_GB2312"/>
                <w:snapToGrid/>
                <w:kern w:val="2"/>
                <w:sz w:val="24"/>
                <w:szCs w:val="24"/>
              </w:rPr>
              <w:t>，提振高质量发展的精气神。加大</w:t>
            </w:r>
            <w:r>
              <w:rPr>
                <w:rFonts w:hint="eastAsia" w:ascii="仿宋_GB2312" w:hAnsi="仿宋_GB2312" w:eastAsia="仿宋_GB2312" w:cs="仿宋_GB2312"/>
                <w:snapToGrid/>
                <w:kern w:val="2"/>
                <w:sz w:val="24"/>
                <w:szCs w:val="24"/>
              </w:rPr>
              <w:t>对“庸懒散”</w:t>
            </w:r>
            <w:r>
              <w:rPr>
                <w:rFonts w:eastAsia="仿宋_GB2312"/>
                <w:snapToGrid/>
                <w:kern w:val="2"/>
                <w:sz w:val="24"/>
                <w:szCs w:val="24"/>
              </w:rPr>
              <w:t>现象的惩治力度，重点整治不作为、慢作为、乱作为、假作为等形式主义、官僚主义问题，营造勇于担当、开拓实干的创业氛围，打造一支敢担事、会做事、能干事的干部队伍。以踏石留印、抓铁有痕的精神抓好工作落实，做到有令必行、有禁必止，不断提高政府公信力和执行力。</w:t>
            </w:r>
          </w:p>
        </w:tc>
        <w:tc>
          <w:tcPr>
            <w:tcW w:w="117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沈  东</w:t>
            </w:r>
          </w:p>
        </w:tc>
        <w:tc>
          <w:tcPr>
            <w:tcW w:w="1790"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各单位、部门</w:t>
            </w:r>
          </w:p>
        </w:tc>
        <w:tc>
          <w:tcPr>
            <w:tcW w:w="1916" w:type="dxa"/>
            <w:noWrap/>
            <w:vAlign w:val="center"/>
          </w:tcPr>
          <w:p>
            <w:pPr>
              <w:autoSpaceDE/>
              <w:autoSpaceDN/>
              <w:snapToGrid/>
              <w:spacing w:line="260" w:lineRule="exac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260" w:lineRule="exact"/>
              <w:ind w:firstLine="0"/>
              <w:jc w:val="center"/>
              <w:rPr>
                <w:rFonts w:eastAsia="仿宋_GB2312"/>
                <w:snapToGrid/>
                <w:kern w:val="2"/>
                <w:sz w:val="24"/>
                <w:szCs w:val="24"/>
              </w:rPr>
            </w:pPr>
          </w:p>
        </w:tc>
        <w:tc>
          <w:tcPr>
            <w:tcW w:w="7236" w:type="dxa"/>
            <w:noWrap/>
            <w:vAlign w:val="center"/>
          </w:tcPr>
          <w:p>
            <w:pPr>
              <w:autoSpaceDE/>
              <w:autoSpaceDN/>
              <w:snapToGrid/>
              <w:spacing w:line="250" w:lineRule="exact"/>
              <w:ind w:firstLine="0"/>
              <w:rPr>
                <w:rFonts w:eastAsia="仿宋_GB2312"/>
                <w:snapToGrid/>
                <w:kern w:val="2"/>
                <w:sz w:val="24"/>
                <w:szCs w:val="24"/>
              </w:rPr>
            </w:pPr>
            <w:r>
              <w:rPr>
                <w:rFonts w:eastAsia="仿宋_GB2312"/>
                <w:snapToGrid/>
                <w:spacing w:val="-6"/>
                <w:kern w:val="2"/>
                <w:sz w:val="24"/>
                <w:szCs w:val="24"/>
              </w:rPr>
              <w:t>（2）实施政务服务标准化，推进首问负责制、首办负责制，落实服务责任，确保为民服务事项件件有着落、事事有结果。</w:t>
            </w:r>
          </w:p>
        </w:tc>
        <w:tc>
          <w:tcPr>
            <w:tcW w:w="117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陶  伟</w:t>
            </w:r>
          </w:p>
        </w:tc>
        <w:tc>
          <w:tcPr>
            <w:tcW w:w="1790"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行政审批局</w:t>
            </w:r>
          </w:p>
        </w:tc>
        <w:tc>
          <w:tcPr>
            <w:tcW w:w="191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40" w:type="dxa"/>
            <w:vMerge w:val="continue"/>
            <w:noWrap/>
            <w:vAlign w:val="center"/>
          </w:tcPr>
          <w:p>
            <w:pPr>
              <w:autoSpaceDE/>
              <w:autoSpaceDN/>
              <w:snapToGrid/>
              <w:spacing w:line="320" w:lineRule="exact"/>
              <w:ind w:firstLine="0"/>
              <w:jc w:val="center"/>
              <w:rPr>
                <w:rFonts w:eastAsia="仿宋_GB2312"/>
                <w:snapToGrid/>
                <w:kern w:val="2"/>
                <w:sz w:val="24"/>
                <w:szCs w:val="24"/>
              </w:rPr>
            </w:pPr>
          </w:p>
        </w:tc>
        <w:tc>
          <w:tcPr>
            <w:tcW w:w="2053" w:type="dxa"/>
            <w:vMerge w:val="continue"/>
            <w:noWrap/>
            <w:vAlign w:val="center"/>
          </w:tcPr>
          <w:p>
            <w:pPr>
              <w:autoSpaceDE/>
              <w:autoSpaceDN/>
              <w:snapToGrid/>
              <w:spacing w:line="260" w:lineRule="exact"/>
              <w:ind w:firstLine="0"/>
              <w:jc w:val="center"/>
              <w:rPr>
                <w:rFonts w:eastAsia="仿宋_GB2312"/>
                <w:snapToGrid/>
                <w:kern w:val="2"/>
                <w:sz w:val="24"/>
                <w:szCs w:val="24"/>
              </w:rPr>
            </w:pPr>
          </w:p>
        </w:tc>
        <w:tc>
          <w:tcPr>
            <w:tcW w:w="7236" w:type="dxa"/>
            <w:noWrap/>
            <w:vAlign w:val="center"/>
          </w:tcPr>
          <w:p>
            <w:pPr>
              <w:autoSpaceDE/>
              <w:autoSpaceDN/>
              <w:snapToGrid/>
              <w:spacing w:line="250" w:lineRule="exact"/>
              <w:ind w:firstLine="0"/>
              <w:rPr>
                <w:rFonts w:eastAsia="仿宋_GB2312"/>
                <w:snapToGrid/>
                <w:spacing w:val="-6"/>
                <w:kern w:val="2"/>
                <w:sz w:val="24"/>
                <w:szCs w:val="24"/>
              </w:rPr>
            </w:pPr>
            <w:r>
              <w:rPr>
                <w:rFonts w:eastAsia="仿宋_GB2312"/>
                <w:snapToGrid/>
                <w:kern w:val="2"/>
                <w:sz w:val="24"/>
                <w:szCs w:val="24"/>
              </w:rPr>
              <w:t>（3）更加注重系统谋划，提升规划统筹、政策统筹、要素统筹的能力和水平，保障各项工作衔接有序、相互促进、相得益彰。</w:t>
            </w:r>
          </w:p>
        </w:tc>
        <w:tc>
          <w:tcPr>
            <w:tcW w:w="1176"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各区长</w:t>
            </w:r>
          </w:p>
        </w:tc>
        <w:tc>
          <w:tcPr>
            <w:tcW w:w="1790" w:type="dxa"/>
            <w:noWrap/>
            <w:vAlign w:val="center"/>
          </w:tcPr>
          <w:p>
            <w:pPr>
              <w:autoSpaceDE/>
              <w:autoSpaceDN/>
              <w:snapToGrid/>
              <w:spacing w:line="260" w:lineRule="exact"/>
              <w:ind w:firstLine="0"/>
              <w:jc w:val="center"/>
              <w:rPr>
                <w:rFonts w:eastAsia="仿宋_GB2312"/>
                <w:snapToGrid/>
                <w:kern w:val="2"/>
                <w:sz w:val="24"/>
                <w:szCs w:val="24"/>
              </w:rPr>
            </w:pPr>
            <w:r>
              <w:rPr>
                <w:rFonts w:hint="eastAsia" w:eastAsia="仿宋_GB2312"/>
                <w:snapToGrid/>
                <w:kern w:val="2"/>
                <w:sz w:val="24"/>
                <w:szCs w:val="24"/>
              </w:rPr>
              <w:t>各单位、部门</w:t>
            </w:r>
          </w:p>
        </w:tc>
        <w:tc>
          <w:tcPr>
            <w:tcW w:w="1916" w:type="dxa"/>
            <w:noWrap/>
            <w:vAlign w:val="center"/>
          </w:tcPr>
          <w:p>
            <w:pPr>
              <w:autoSpaceDE/>
              <w:autoSpaceDN/>
              <w:snapToGrid/>
              <w:spacing w:line="260" w:lineRule="exac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740" w:type="dxa"/>
            <w:noWrap/>
            <w:vAlign w:val="center"/>
          </w:tcPr>
          <w:p>
            <w:pPr>
              <w:autoSpaceDE/>
              <w:autoSpaceDN/>
              <w:snapToGrid/>
              <w:spacing w:line="320" w:lineRule="exact"/>
              <w:ind w:firstLine="0"/>
              <w:jc w:val="center"/>
              <w:rPr>
                <w:rFonts w:eastAsia="仿宋_GB2312"/>
                <w:snapToGrid/>
                <w:kern w:val="2"/>
                <w:sz w:val="24"/>
                <w:szCs w:val="24"/>
              </w:rPr>
            </w:pPr>
            <w:r>
              <w:rPr>
                <w:rFonts w:eastAsia="仿宋_GB2312"/>
                <w:snapToGrid/>
                <w:kern w:val="2"/>
                <w:sz w:val="24"/>
                <w:szCs w:val="24"/>
              </w:rPr>
              <w:t>21</w:t>
            </w:r>
          </w:p>
        </w:tc>
        <w:tc>
          <w:tcPr>
            <w:tcW w:w="2053" w:type="dxa"/>
            <w:noWrap/>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营造风清气正的政治生态</w:t>
            </w:r>
          </w:p>
        </w:tc>
        <w:tc>
          <w:tcPr>
            <w:tcW w:w="7236" w:type="dxa"/>
            <w:noWrap/>
            <w:vAlign w:val="center"/>
          </w:tcPr>
          <w:p>
            <w:pPr>
              <w:autoSpaceDE/>
              <w:autoSpaceDN/>
              <w:snapToGrid/>
              <w:spacing w:line="250" w:lineRule="exact"/>
              <w:ind w:firstLine="0"/>
              <w:rPr>
                <w:rFonts w:eastAsia="仿宋_GB2312"/>
                <w:snapToGrid/>
                <w:kern w:val="2"/>
                <w:sz w:val="24"/>
                <w:szCs w:val="24"/>
              </w:rPr>
            </w:pPr>
            <w:r>
              <w:rPr>
                <w:rFonts w:eastAsia="仿宋_GB2312"/>
                <w:snapToGrid/>
                <w:kern w:val="2"/>
                <w:sz w:val="24"/>
                <w:szCs w:val="24"/>
              </w:rPr>
              <w:t>（1）坚持把服务群众作为根本准则，把纪律规矩作为底线红线，认真落实党风廉政建</w:t>
            </w:r>
            <w:r>
              <w:rPr>
                <w:rFonts w:hint="eastAsia" w:ascii="仿宋_GB2312" w:hAnsi="仿宋_GB2312" w:eastAsia="仿宋_GB2312" w:cs="仿宋_GB2312"/>
                <w:snapToGrid/>
                <w:kern w:val="2"/>
                <w:sz w:val="24"/>
                <w:szCs w:val="24"/>
              </w:rPr>
              <w:t>设“一岗双责”</w:t>
            </w:r>
            <w:r>
              <w:rPr>
                <w:rFonts w:eastAsia="仿宋_GB2312"/>
                <w:snapToGrid/>
                <w:kern w:val="2"/>
                <w:sz w:val="24"/>
                <w:szCs w:val="24"/>
              </w:rPr>
              <w:t>，严格遵守中央八项规定和省委十项规定，从严执行廉洁自律准则和廉政谈话制度。加强公职人员队伍建设，树立为民务实的良好形象。厉行节约，反对浪费</w:t>
            </w:r>
            <w:r>
              <w:rPr>
                <w:rFonts w:hint="eastAsia" w:ascii="仿宋_GB2312" w:hAnsi="仿宋_GB2312" w:eastAsia="仿宋_GB2312" w:cs="仿宋_GB2312"/>
                <w:snapToGrid/>
                <w:kern w:val="2"/>
                <w:sz w:val="24"/>
                <w:szCs w:val="24"/>
              </w:rPr>
              <w:t>，严控“三公”经费支出，集中财力改善民生。保持惩治腐败高压态势，对违纪违法问题实行“零容忍”，严查群众身边的不正之风，着力构建不敢腐、不能腐、不想腐的有效机制，努力实现干部清正、政府清廉、政治清明。</w:t>
            </w:r>
          </w:p>
        </w:tc>
        <w:tc>
          <w:tcPr>
            <w:tcW w:w="1176" w:type="dxa"/>
            <w:noWrap/>
            <w:vAlign w:val="center"/>
          </w:tcPr>
          <w:p>
            <w:pPr>
              <w:autoSpaceDE/>
              <w:autoSpaceDN/>
              <w:snapToGrid/>
              <w:spacing w:line="240" w:lineRule="auto"/>
              <w:ind w:firstLine="0"/>
              <w:jc w:val="center"/>
              <w:rPr>
                <w:rFonts w:eastAsia="仿宋_GB2312"/>
                <w:snapToGrid/>
                <w:kern w:val="2"/>
                <w:sz w:val="24"/>
                <w:szCs w:val="24"/>
              </w:rPr>
            </w:pPr>
            <w:r>
              <w:rPr>
                <w:rFonts w:hint="eastAsia" w:eastAsia="仿宋_GB2312"/>
                <w:snapToGrid/>
                <w:kern w:val="2"/>
                <w:sz w:val="24"/>
                <w:szCs w:val="24"/>
              </w:rPr>
              <w:t>各区长</w:t>
            </w:r>
          </w:p>
        </w:tc>
        <w:tc>
          <w:tcPr>
            <w:tcW w:w="1790" w:type="dxa"/>
            <w:noWrap/>
            <w:vAlign w:val="center"/>
          </w:tcPr>
          <w:p>
            <w:pPr>
              <w:autoSpaceDE/>
              <w:autoSpaceDN/>
              <w:snapToGrid/>
              <w:spacing w:line="240" w:lineRule="auto"/>
              <w:ind w:firstLine="0"/>
              <w:jc w:val="center"/>
              <w:rPr>
                <w:rFonts w:eastAsia="仿宋_GB2312"/>
                <w:snapToGrid/>
                <w:kern w:val="2"/>
                <w:sz w:val="24"/>
                <w:szCs w:val="24"/>
              </w:rPr>
            </w:pPr>
            <w:r>
              <w:rPr>
                <w:rFonts w:hint="eastAsia" w:eastAsia="仿宋_GB2312"/>
                <w:snapToGrid/>
                <w:kern w:val="2"/>
                <w:sz w:val="24"/>
                <w:szCs w:val="24"/>
              </w:rPr>
              <w:t>各单位、部门</w:t>
            </w:r>
          </w:p>
        </w:tc>
        <w:tc>
          <w:tcPr>
            <w:tcW w:w="1916" w:type="dxa"/>
            <w:noWrap/>
            <w:vAlign w:val="center"/>
          </w:tcPr>
          <w:p>
            <w:pPr>
              <w:autoSpaceDE/>
              <w:autoSpaceDN/>
              <w:snapToGrid/>
              <w:spacing w:line="360" w:lineRule="exact"/>
              <w:ind w:firstLine="0"/>
              <w:jc w:val="center"/>
              <w:rPr>
                <w:rFonts w:eastAsia="仿宋_GB2312"/>
                <w:snapToGrid/>
                <w:kern w:val="2"/>
                <w:sz w:val="24"/>
                <w:szCs w:val="24"/>
              </w:rPr>
            </w:pPr>
          </w:p>
        </w:tc>
      </w:tr>
    </w:tbl>
    <w:p>
      <w:pPr>
        <w:autoSpaceDE/>
        <w:autoSpaceDN/>
        <w:snapToGrid/>
        <w:spacing w:line="560" w:lineRule="exact"/>
        <w:ind w:firstLine="0"/>
        <w:rPr>
          <w:rFonts w:eastAsia="仿宋_GB2312"/>
          <w:snapToGrid/>
          <w:kern w:val="2"/>
          <w:szCs w:val="32"/>
        </w:rPr>
      </w:pPr>
    </w:p>
    <w:p>
      <w:pPr>
        <w:overflowPunct w:val="0"/>
        <w:spacing w:line="200" w:lineRule="exact"/>
        <w:rPr>
          <w:rFonts w:eastAsia="仿宋_GB2312"/>
          <w:szCs w:val="32"/>
        </w:rPr>
      </w:pPr>
    </w:p>
    <w:p>
      <w:pPr>
        <w:overflowPunct w:val="0"/>
        <w:spacing w:line="200" w:lineRule="exact"/>
        <w:rPr>
          <w:rFonts w:eastAsia="仿宋_GB2312"/>
          <w:szCs w:val="32"/>
        </w:rPr>
        <w:sectPr>
          <w:headerReference r:id="rId3" w:type="default"/>
          <w:footerReference r:id="rId5" w:type="default"/>
          <w:headerReference r:id="rId4" w:type="even"/>
          <w:footerReference r:id="rId6" w:type="even"/>
          <w:pgSz w:w="16838" w:h="11906" w:orient="landscape"/>
          <w:pgMar w:top="1531" w:right="1531" w:bottom="1531" w:left="1531" w:header="709" w:footer="1361" w:gutter="0"/>
          <w:cols w:space="720" w:num="1"/>
          <w:docGrid w:type="linesAndChars" w:linePitch="590" w:charSpace="-5161"/>
        </w:sectPr>
      </w:pPr>
    </w:p>
    <w:p>
      <w:pPr>
        <w:overflowPunct w:val="0"/>
        <w:spacing w:line="200" w:lineRule="exact"/>
        <w:rPr>
          <w:rFonts w:eastAsia="仿宋_GB2312"/>
          <w:szCs w:val="32"/>
        </w:rPr>
      </w:pPr>
      <w:bookmarkStart w:id="0" w:name="_GoBack"/>
      <w:bookmarkEnd w:id="0"/>
    </w:p>
    <w:sectPr>
      <w:pgSz w:w="11906" w:h="16838"/>
      <w:pgMar w:top="1985" w:right="1531" w:bottom="1985" w:left="1531" w:header="709" w:footer="1361" w:gutter="0"/>
      <w:cols w:space="720" w:num="1"/>
      <w:docGrid w:type="lines" w:linePitch="590"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1"/>
      </w:numPr>
      <w:wordWrap w:val="0"/>
      <w:ind w:right="140"/>
      <w:jc w:val="right"/>
    </w:pPr>
    <w:sdt>
      <w:sdtPr>
        <w:id w:val="24907214"/>
        <w:docPartObj>
          <w:docPartGallery w:val="AutoText"/>
        </w:docPartObj>
      </w:sdtPr>
      <w:sdtContent>
        <w:r>
          <w:rPr>
            <w:rFonts w:hint="eastAsia"/>
          </w:rPr>
          <w:t xml:space="preserve"> </w:t>
        </w:r>
        <w:r>
          <w:fldChar w:fldCharType="begin"/>
        </w:r>
        <w:r>
          <w:instrText xml:space="preserve"> PAGE   \* MERGEFORMAT </w:instrText>
        </w:r>
        <w:r>
          <w:fldChar w:fldCharType="separate"/>
        </w:r>
        <w:r>
          <w:rPr>
            <w:lang w:val="zh-CN"/>
          </w:rPr>
          <w:t>19</w:t>
        </w:r>
        <w:r>
          <w:rPr>
            <w:lang w:val="zh-CN"/>
          </w:rPr>
          <w:fldChar w:fldCharType="end"/>
        </w:r>
        <w:r>
          <w:rPr>
            <w:rFonts w:hint="eastAsia"/>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20</w:t>
    </w:r>
    <w:r>
      <w:rPr>
        <w:lang w:val="zh-CN"/>
      </w:rP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2D7"/>
    <w:multiLevelType w:val="multilevel"/>
    <w:tmpl w:val="2B8952D7"/>
    <w:lvl w:ilvl="0" w:tentative="0">
      <w:start w:val="2012"/>
      <w:numFmt w:val="bullet"/>
      <w:lvlText w:val="—"/>
      <w:lvlJc w:val="left"/>
      <w:pPr>
        <w:ind w:left="720" w:hanging="360"/>
      </w:pPr>
      <w:rPr>
        <w:rFonts w:hint="eastAsia" w:ascii="方正仿宋_GBK" w:hAnsi="Times New Roman" w:eastAsia="方正仿宋_GBK"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nforcement="0"/>
  <w:defaultTabStop w:val="0"/>
  <w:evenAndOddHeaders w:val="1"/>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4478"/>
    <w:rsid w:val="00015680"/>
    <w:rsid w:val="00016467"/>
    <w:rsid w:val="00017AFC"/>
    <w:rsid w:val="000203A2"/>
    <w:rsid w:val="00024830"/>
    <w:rsid w:val="00025072"/>
    <w:rsid w:val="00026393"/>
    <w:rsid w:val="00031746"/>
    <w:rsid w:val="0003180C"/>
    <w:rsid w:val="00033016"/>
    <w:rsid w:val="00034819"/>
    <w:rsid w:val="00040D95"/>
    <w:rsid w:val="00041FDE"/>
    <w:rsid w:val="0004407A"/>
    <w:rsid w:val="00044113"/>
    <w:rsid w:val="0004543C"/>
    <w:rsid w:val="00046237"/>
    <w:rsid w:val="000474AC"/>
    <w:rsid w:val="000503AD"/>
    <w:rsid w:val="00056E89"/>
    <w:rsid w:val="0006028E"/>
    <w:rsid w:val="000606E3"/>
    <w:rsid w:val="00061EB9"/>
    <w:rsid w:val="00083799"/>
    <w:rsid w:val="00084F3A"/>
    <w:rsid w:val="00085FCA"/>
    <w:rsid w:val="000900CB"/>
    <w:rsid w:val="0009440A"/>
    <w:rsid w:val="000A0102"/>
    <w:rsid w:val="000A1C27"/>
    <w:rsid w:val="000A46D0"/>
    <w:rsid w:val="000A482B"/>
    <w:rsid w:val="000A57E6"/>
    <w:rsid w:val="000A65F3"/>
    <w:rsid w:val="000B0BDF"/>
    <w:rsid w:val="000C14D4"/>
    <w:rsid w:val="000D6EC5"/>
    <w:rsid w:val="000D7C0B"/>
    <w:rsid w:val="000E08A3"/>
    <w:rsid w:val="000E174B"/>
    <w:rsid w:val="00100AC6"/>
    <w:rsid w:val="001105F1"/>
    <w:rsid w:val="001179B6"/>
    <w:rsid w:val="00120B31"/>
    <w:rsid w:val="00120DA9"/>
    <w:rsid w:val="00121674"/>
    <w:rsid w:val="00123429"/>
    <w:rsid w:val="00123A7A"/>
    <w:rsid w:val="0014010C"/>
    <w:rsid w:val="0014202F"/>
    <w:rsid w:val="0015299F"/>
    <w:rsid w:val="0015392C"/>
    <w:rsid w:val="001565D8"/>
    <w:rsid w:val="001572D7"/>
    <w:rsid w:val="00160D0F"/>
    <w:rsid w:val="00161AAB"/>
    <w:rsid w:val="00176B36"/>
    <w:rsid w:val="001816A0"/>
    <w:rsid w:val="00182632"/>
    <w:rsid w:val="00184026"/>
    <w:rsid w:val="0018436A"/>
    <w:rsid w:val="00192977"/>
    <w:rsid w:val="00194DC0"/>
    <w:rsid w:val="001A261A"/>
    <w:rsid w:val="001A453C"/>
    <w:rsid w:val="001A4573"/>
    <w:rsid w:val="001A4ACC"/>
    <w:rsid w:val="001B0088"/>
    <w:rsid w:val="001B0FAB"/>
    <w:rsid w:val="001B141F"/>
    <w:rsid w:val="001B1857"/>
    <w:rsid w:val="001B3E93"/>
    <w:rsid w:val="001C6E41"/>
    <w:rsid w:val="001D2B5F"/>
    <w:rsid w:val="001D3249"/>
    <w:rsid w:val="001D778B"/>
    <w:rsid w:val="001E096A"/>
    <w:rsid w:val="001E3A6C"/>
    <w:rsid w:val="001E3F05"/>
    <w:rsid w:val="001E55A3"/>
    <w:rsid w:val="00201613"/>
    <w:rsid w:val="00201C00"/>
    <w:rsid w:val="0020560E"/>
    <w:rsid w:val="00215C96"/>
    <w:rsid w:val="00216E44"/>
    <w:rsid w:val="00220EF5"/>
    <w:rsid w:val="00221FAE"/>
    <w:rsid w:val="00223A0A"/>
    <w:rsid w:val="002304B1"/>
    <w:rsid w:val="00232BD0"/>
    <w:rsid w:val="00240D8E"/>
    <w:rsid w:val="00241F58"/>
    <w:rsid w:val="00242C20"/>
    <w:rsid w:val="00247059"/>
    <w:rsid w:val="002511CA"/>
    <w:rsid w:val="0026064A"/>
    <w:rsid w:val="002620A1"/>
    <w:rsid w:val="00265A39"/>
    <w:rsid w:val="00266709"/>
    <w:rsid w:val="00276CE5"/>
    <w:rsid w:val="002805F3"/>
    <w:rsid w:val="00280F25"/>
    <w:rsid w:val="00284AAB"/>
    <w:rsid w:val="00296D2A"/>
    <w:rsid w:val="002A3923"/>
    <w:rsid w:val="002B270B"/>
    <w:rsid w:val="002C3E08"/>
    <w:rsid w:val="002C4EA7"/>
    <w:rsid w:val="002E1744"/>
    <w:rsid w:val="002E1FB3"/>
    <w:rsid w:val="002E646B"/>
    <w:rsid w:val="00303C1B"/>
    <w:rsid w:val="00305833"/>
    <w:rsid w:val="003141CD"/>
    <w:rsid w:val="0031518A"/>
    <w:rsid w:val="00315522"/>
    <w:rsid w:val="00324FD9"/>
    <w:rsid w:val="0032702B"/>
    <w:rsid w:val="00331D37"/>
    <w:rsid w:val="003377C7"/>
    <w:rsid w:val="00337D4F"/>
    <w:rsid w:val="00347DA6"/>
    <w:rsid w:val="00354F95"/>
    <w:rsid w:val="00356CBB"/>
    <w:rsid w:val="00366A4D"/>
    <w:rsid w:val="00374358"/>
    <w:rsid w:val="00375C4E"/>
    <w:rsid w:val="00391699"/>
    <w:rsid w:val="00391FDE"/>
    <w:rsid w:val="003A26CB"/>
    <w:rsid w:val="003A52E3"/>
    <w:rsid w:val="003B0B64"/>
    <w:rsid w:val="003B1280"/>
    <w:rsid w:val="003B514F"/>
    <w:rsid w:val="003C6D1B"/>
    <w:rsid w:val="003C73E1"/>
    <w:rsid w:val="003D633A"/>
    <w:rsid w:val="003D6618"/>
    <w:rsid w:val="003E0B8B"/>
    <w:rsid w:val="003E2A0E"/>
    <w:rsid w:val="003E6893"/>
    <w:rsid w:val="003E731D"/>
    <w:rsid w:val="003F2F03"/>
    <w:rsid w:val="003F4AB9"/>
    <w:rsid w:val="003F7735"/>
    <w:rsid w:val="00407096"/>
    <w:rsid w:val="00411A4D"/>
    <w:rsid w:val="00422B28"/>
    <w:rsid w:val="00423BF2"/>
    <w:rsid w:val="00440801"/>
    <w:rsid w:val="004419A7"/>
    <w:rsid w:val="0044347A"/>
    <w:rsid w:val="0044390B"/>
    <w:rsid w:val="00445859"/>
    <w:rsid w:val="00447D55"/>
    <w:rsid w:val="004569EF"/>
    <w:rsid w:val="004627C5"/>
    <w:rsid w:val="00466DDE"/>
    <w:rsid w:val="00472794"/>
    <w:rsid w:val="0047349C"/>
    <w:rsid w:val="00473CBC"/>
    <w:rsid w:val="00477989"/>
    <w:rsid w:val="00477D34"/>
    <w:rsid w:val="00482C22"/>
    <w:rsid w:val="00486776"/>
    <w:rsid w:val="00486D1C"/>
    <w:rsid w:val="00496910"/>
    <w:rsid w:val="00497012"/>
    <w:rsid w:val="00497CB4"/>
    <w:rsid w:val="004A5BBF"/>
    <w:rsid w:val="004B28AF"/>
    <w:rsid w:val="004B6473"/>
    <w:rsid w:val="004C7097"/>
    <w:rsid w:val="004D2B1B"/>
    <w:rsid w:val="004F14E0"/>
    <w:rsid w:val="004F1B87"/>
    <w:rsid w:val="00514513"/>
    <w:rsid w:val="0052050C"/>
    <w:rsid w:val="00521EFA"/>
    <w:rsid w:val="00521FF7"/>
    <w:rsid w:val="00526775"/>
    <w:rsid w:val="00532BAF"/>
    <w:rsid w:val="005332CA"/>
    <w:rsid w:val="0053625B"/>
    <w:rsid w:val="00537614"/>
    <w:rsid w:val="0054198D"/>
    <w:rsid w:val="00543498"/>
    <w:rsid w:val="0054446E"/>
    <w:rsid w:val="00547FF4"/>
    <w:rsid w:val="00551DC6"/>
    <w:rsid w:val="00551EAF"/>
    <w:rsid w:val="00553EA8"/>
    <w:rsid w:val="00562844"/>
    <w:rsid w:val="005637AF"/>
    <w:rsid w:val="005639D9"/>
    <w:rsid w:val="00564B05"/>
    <w:rsid w:val="0057250A"/>
    <w:rsid w:val="005906BA"/>
    <w:rsid w:val="00590720"/>
    <w:rsid w:val="005B2C63"/>
    <w:rsid w:val="005C3315"/>
    <w:rsid w:val="005D24BB"/>
    <w:rsid w:val="005D4F48"/>
    <w:rsid w:val="005F1DCC"/>
    <w:rsid w:val="005F5E61"/>
    <w:rsid w:val="005F6BC3"/>
    <w:rsid w:val="006003DB"/>
    <w:rsid w:val="00600CE5"/>
    <w:rsid w:val="00600EC2"/>
    <w:rsid w:val="00601B0C"/>
    <w:rsid w:val="006116B4"/>
    <w:rsid w:val="00626A02"/>
    <w:rsid w:val="006271DF"/>
    <w:rsid w:val="00633F16"/>
    <w:rsid w:val="00634C87"/>
    <w:rsid w:val="00637541"/>
    <w:rsid w:val="00637728"/>
    <w:rsid w:val="0065046D"/>
    <w:rsid w:val="006504C8"/>
    <w:rsid w:val="00651436"/>
    <w:rsid w:val="006526CE"/>
    <w:rsid w:val="00652B37"/>
    <w:rsid w:val="0065554B"/>
    <w:rsid w:val="006660F0"/>
    <w:rsid w:val="00670D20"/>
    <w:rsid w:val="00676673"/>
    <w:rsid w:val="006810A0"/>
    <w:rsid w:val="00687A3F"/>
    <w:rsid w:val="0069542E"/>
    <w:rsid w:val="006A4582"/>
    <w:rsid w:val="006A49FD"/>
    <w:rsid w:val="006B1F44"/>
    <w:rsid w:val="006B2695"/>
    <w:rsid w:val="006C4393"/>
    <w:rsid w:val="006C4D1A"/>
    <w:rsid w:val="006D0659"/>
    <w:rsid w:val="006D3150"/>
    <w:rsid w:val="006E3331"/>
    <w:rsid w:val="006F3AD4"/>
    <w:rsid w:val="007057B2"/>
    <w:rsid w:val="0070640C"/>
    <w:rsid w:val="00710A28"/>
    <w:rsid w:val="00716685"/>
    <w:rsid w:val="007270C6"/>
    <w:rsid w:val="007340E3"/>
    <w:rsid w:val="0073558A"/>
    <w:rsid w:val="0074109E"/>
    <w:rsid w:val="00750B35"/>
    <w:rsid w:val="00760A35"/>
    <w:rsid w:val="00760BAD"/>
    <w:rsid w:val="00762030"/>
    <w:rsid w:val="007655E9"/>
    <w:rsid w:val="00765C45"/>
    <w:rsid w:val="00766654"/>
    <w:rsid w:val="007746A1"/>
    <w:rsid w:val="00787BD2"/>
    <w:rsid w:val="007A370D"/>
    <w:rsid w:val="007A4D3C"/>
    <w:rsid w:val="007A7A55"/>
    <w:rsid w:val="007B1A75"/>
    <w:rsid w:val="007B1BB1"/>
    <w:rsid w:val="007B75A0"/>
    <w:rsid w:val="007C0657"/>
    <w:rsid w:val="007C2DD6"/>
    <w:rsid w:val="007C3055"/>
    <w:rsid w:val="007C5DAB"/>
    <w:rsid w:val="007D2606"/>
    <w:rsid w:val="007D35DB"/>
    <w:rsid w:val="007D3871"/>
    <w:rsid w:val="007D49E3"/>
    <w:rsid w:val="007D5364"/>
    <w:rsid w:val="007D7ABB"/>
    <w:rsid w:val="007E07AB"/>
    <w:rsid w:val="007E27D6"/>
    <w:rsid w:val="007E2A4E"/>
    <w:rsid w:val="007E6436"/>
    <w:rsid w:val="007F2BA7"/>
    <w:rsid w:val="007F4515"/>
    <w:rsid w:val="00801DF8"/>
    <w:rsid w:val="00806D5C"/>
    <w:rsid w:val="00806E88"/>
    <w:rsid w:val="0082061F"/>
    <w:rsid w:val="00823490"/>
    <w:rsid w:val="008326A0"/>
    <w:rsid w:val="00833B1E"/>
    <w:rsid w:val="008346D3"/>
    <w:rsid w:val="008407CF"/>
    <w:rsid w:val="00846784"/>
    <w:rsid w:val="0085204D"/>
    <w:rsid w:val="00860F21"/>
    <w:rsid w:val="008625C4"/>
    <w:rsid w:val="00864E70"/>
    <w:rsid w:val="00871050"/>
    <w:rsid w:val="008740FD"/>
    <w:rsid w:val="00876ED6"/>
    <w:rsid w:val="00882936"/>
    <w:rsid w:val="00883A54"/>
    <w:rsid w:val="00887CCC"/>
    <w:rsid w:val="00892D00"/>
    <w:rsid w:val="00894B0C"/>
    <w:rsid w:val="00894C40"/>
    <w:rsid w:val="00896EB6"/>
    <w:rsid w:val="008A4B20"/>
    <w:rsid w:val="008A7F9D"/>
    <w:rsid w:val="008B162F"/>
    <w:rsid w:val="008C3EEE"/>
    <w:rsid w:val="008D01A5"/>
    <w:rsid w:val="008D241A"/>
    <w:rsid w:val="008D2A4B"/>
    <w:rsid w:val="008D61C7"/>
    <w:rsid w:val="008E0A7C"/>
    <w:rsid w:val="008E59AC"/>
    <w:rsid w:val="008F3CE0"/>
    <w:rsid w:val="008F62A4"/>
    <w:rsid w:val="00902210"/>
    <w:rsid w:val="00920D86"/>
    <w:rsid w:val="009232A0"/>
    <w:rsid w:val="00923A78"/>
    <w:rsid w:val="0092482A"/>
    <w:rsid w:val="00925CB1"/>
    <w:rsid w:val="00926B85"/>
    <w:rsid w:val="00931AD9"/>
    <w:rsid w:val="00931D5B"/>
    <w:rsid w:val="009356CD"/>
    <w:rsid w:val="00936546"/>
    <w:rsid w:val="00944F88"/>
    <w:rsid w:val="00945023"/>
    <w:rsid w:val="009455EC"/>
    <w:rsid w:val="00945963"/>
    <w:rsid w:val="00961661"/>
    <w:rsid w:val="00965E83"/>
    <w:rsid w:val="009725E6"/>
    <w:rsid w:val="00973595"/>
    <w:rsid w:val="009747F0"/>
    <w:rsid w:val="00980879"/>
    <w:rsid w:val="009866B4"/>
    <w:rsid w:val="0098762B"/>
    <w:rsid w:val="009A2901"/>
    <w:rsid w:val="009B49FC"/>
    <w:rsid w:val="009C5996"/>
    <w:rsid w:val="009C6181"/>
    <w:rsid w:val="009C7029"/>
    <w:rsid w:val="009D0A74"/>
    <w:rsid w:val="009D3210"/>
    <w:rsid w:val="009D50A8"/>
    <w:rsid w:val="009D632C"/>
    <w:rsid w:val="009E28E8"/>
    <w:rsid w:val="009F17E5"/>
    <w:rsid w:val="009F360D"/>
    <w:rsid w:val="00A01230"/>
    <w:rsid w:val="00A013F1"/>
    <w:rsid w:val="00A02438"/>
    <w:rsid w:val="00A02FFC"/>
    <w:rsid w:val="00A074D4"/>
    <w:rsid w:val="00A10820"/>
    <w:rsid w:val="00A170F1"/>
    <w:rsid w:val="00A1792A"/>
    <w:rsid w:val="00A30368"/>
    <w:rsid w:val="00A307B8"/>
    <w:rsid w:val="00A41838"/>
    <w:rsid w:val="00A42F7E"/>
    <w:rsid w:val="00A54247"/>
    <w:rsid w:val="00A60012"/>
    <w:rsid w:val="00A6208E"/>
    <w:rsid w:val="00A67AFE"/>
    <w:rsid w:val="00A71F3B"/>
    <w:rsid w:val="00A72306"/>
    <w:rsid w:val="00A772A9"/>
    <w:rsid w:val="00A849FF"/>
    <w:rsid w:val="00A877F5"/>
    <w:rsid w:val="00A939FB"/>
    <w:rsid w:val="00A96092"/>
    <w:rsid w:val="00A97007"/>
    <w:rsid w:val="00AA0A30"/>
    <w:rsid w:val="00AA1DD7"/>
    <w:rsid w:val="00AA1E6B"/>
    <w:rsid w:val="00AC410F"/>
    <w:rsid w:val="00AD3E9E"/>
    <w:rsid w:val="00AE2925"/>
    <w:rsid w:val="00AE5640"/>
    <w:rsid w:val="00AE6953"/>
    <w:rsid w:val="00AF0240"/>
    <w:rsid w:val="00AF482C"/>
    <w:rsid w:val="00AF60B9"/>
    <w:rsid w:val="00B04153"/>
    <w:rsid w:val="00B064DC"/>
    <w:rsid w:val="00B07030"/>
    <w:rsid w:val="00B072B4"/>
    <w:rsid w:val="00B14522"/>
    <w:rsid w:val="00B17162"/>
    <w:rsid w:val="00B21775"/>
    <w:rsid w:val="00B22839"/>
    <w:rsid w:val="00B27B06"/>
    <w:rsid w:val="00B33129"/>
    <w:rsid w:val="00B4202F"/>
    <w:rsid w:val="00B43F21"/>
    <w:rsid w:val="00B579CA"/>
    <w:rsid w:val="00B6186E"/>
    <w:rsid w:val="00B628A2"/>
    <w:rsid w:val="00B74404"/>
    <w:rsid w:val="00B7573E"/>
    <w:rsid w:val="00B76BD5"/>
    <w:rsid w:val="00B87381"/>
    <w:rsid w:val="00B87D5A"/>
    <w:rsid w:val="00BA5427"/>
    <w:rsid w:val="00BA603E"/>
    <w:rsid w:val="00BA6ACD"/>
    <w:rsid w:val="00BB1816"/>
    <w:rsid w:val="00BB25E6"/>
    <w:rsid w:val="00BB380F"/>
    <w:rsid w:val="00BB3E9F"/>
    <w:rsid w:val="00BD0526"/>
    <w:rsid w:val="00BD17A8"/>
    <w:rsid w:val="00BD4441"/>
    <w:rsid w:val="00BD6323"/>
    <w:rsid w:val="00BE4FDA"/>
    <w:rsid w:val="00BE53F3"/>
    <w:rsid w:val="00BE711D"/>
    <w:rsid w:val="00BF2F92"/>
    <w:rsid w:val="00C021E7"/>
    <w:rsid w:val="00C04DC6"/>
    <w:rsid w:val="00C06BB3"/>
    <w:rsid w:val="00C07711"/>
    <w:rsid w:val="00C14DDA"/>
    <w:rsid w:val="00C15192"/>
    <w:rsid w:val="00C152F3"/>
    <w:rsid w:val="00C16C76"/>
    <w:rsid w:val="00C17E96"/>
    <w:rsid w:val="00C2514A"/>
    <w:rsid w:val="00C26A16"/>
    <w:rsid w:val="00C26F69"/>
    <w:rsid w:val="00C32334"/>
    <w:rsid w:val="00C44614"/>
    <w:rsid w:val="00C529EB"/>
    <w:rsid w:val="00C57FC5"/>
    <w:rsid w:val="00C617A6"/>
    <w:rsid w:val="00C6540E"/>
    <w:rsid w:val="00C67C32"/>
    <w:rsid w:val="00C745D5"/>
    <w:rsid w:val="00C814B3"/>
    <w:rsid w:val="00C94847"/>
    <w:rsid w:val="00C977A4"/>
    <w:rsid w:val="00CA5F13"/>
    <w:rsid w:val="00CA6223"/>
    <w:rsid w:val="00CA7719"/>
    <w:rsid w:val="00CB751E"/>
    <w:rsid w:val="00CC3BAA"/>
    <w:rsid w:val="00CE5E10"/>
    <w:rsid w:val="00CF46FF"/>
    <w:rsid w:val="00CF7FEB"/>
    <w:rsid w:val="00D02037"/>
    <w:rsid w:val="00D02298"/>
    <w:rsid w:val="00D0303E"/>
    <w:rsid w:val="00D05578"/>
    <w:rsid w:val="00D11A12"/>
    <w:rsid w:val="00D15385"/>
    <w:rsid w:val="00D32BAD"/>
    <w:rsid w:val="00D3603C"/>
    <w:rsid w:val="00D36C9C"/>
    <w:rsid w:val="00D411E9"/>
    <w:rsid w:val="00D43051"/>
    <w:rsid w:val="00D472C7"/>
    <w:rsid w:val="00D511B0"/>
    <w:rsid w:val="00D52648"/>
    <w:rsid w:val="00D6313F"/>
    <w:rsid w:val="00D6365D"/>
    <w:rsid w:val="00D707EF"/>
    <w:rsid w:val="00D71B25"/>
    <w:rsid w:val="00D72351"/>
    <w:rsid w:val="00D75700"/>
    <w:rsid w:val="00D76BA4"/>
    <w:rsid w:val="00D93361"/>
    <w:rsid w:val="00D96AF7"/>
    <w:rsid w:val="00DA23C6"/>
    <w:rsid w:val="00DA29CA"/>
    <w:rsid w:val="00DA3C59"/>
    <w:rsid w:val="00DA4882"/>
    <w:rsid w:val="00DA70B6"/>
    <w:rsid w:val="00DA746E"/>
    <w:rsid w:val="00DB0FB3"/>
    <w:rsid w:val="00DB1A4A"/>
    <w:rsid w:val="00DB5133"/>
    <w:rsid w:val="00DB6D48"/>
    <w:rsid w:val="00DD126A"/>
    <w:rsid w:val="00DD17E0"/>
    <w:rsid w:val="00DD1CBA"/>
    <w:rsid w:val="00DE0F2E"/>
    <w:rsid w:val="00DE7D4B"/>
    <w:rsid w:val="00DF0427"/>
    <w:rsid w:val="00DF0AEF"/>
    <w:rsid w:val="00DF339E"/>
    <w:rsid w:val="00DF5A2A"/>
    <w:rsid w:val="00E07ED7"/>
    <w:rsid w:val="00E15FC0"/>
    <w:rsid w:val="00E31ED7"/>
    <w:rsid w:val="00E35A1E"/>
    <w:rsid w:val="00E3641E"/>
    <w:rsid w:val="00E40BA4"/>
    <w:rsid w:val="00E4334F"/>
    <w:rsid w:val="00E509A8"/>
    <w:rsid w:val="00E55993"/>
    <w:rsid w:val="00E72AA1"/>
    <w:rsid w:val="00E72F95"/>
    <w:rsid w:val="00E7432E"/>
    <w:rsid w:val="00E748F2"/>
    <w:rsid w:val="00E776EF"/>
    <w:rsid w:val="00E84E30"/>
    <w:rsid w:val="00E86E72"/>
    <w:rsid w:val="00E91767"/>
    <w:rsid w:val="00E963AA"/>
    <w:rsid w:val="00EB2D35"/>
    <w:rsid w:val="00EC292F"/>
    <w:rsid w:val="00EC558D"/>
    <w:rsid w:val="00ED0FDA"/>
    <w:rsid w:val="00ED1ED4"/>
    <w:rsid w:val="00ED3A4B"/>
    <w:rsid w:val="00EE1153"/>
    <w:rsid w:val="00EE3631"/>
    <w:rsid w:val="00EF5E00"/>
    <w:rsid w:val="00EF7E15"/>
    <w:rsid w:val="00F01162"/>
    <w:rsid w:val="00F10C4C"/>
    <w:rsid w:val="00F12208"/>
    <w:rsid w:val="00F1504D"/>
    <w:rsid w:val="00F16780"/>
    <w:rsid w:val="00F23CE3"/>
    <w:rsid w:val="00F24350"/>
    <w:rsid w:val="00F258A5"/>
    <w:rsid w:val="00F3733E"/>
    <w:rsid w:val="00F40C57"/>
    <w:rsid w:val="00F50D3D"/>
    <w:rsid w:val="00F51842"/>
    <w:rsid w:val="00F52D23"/>
    <w:rsid w:val="00F5632E"/>
    <w:rsid w:val="00F64D9C"/>
    <w:rsid w:val="00F664EB"/>
    <w:rsid w:val="00F67EDC"/>
    <w:rsid w:val="00F87B54"/>
    <w:rsid w:val="00F91CAE"/>
    <w:rsid w:val="00F923D5"/>
    <w:rsid w:val="00F940DF"/>
    <w:rsid w:val="00F947DA"/>
    <w:rsid w:val="00FA52B9"/>
    <w:rsid w:val="00FB0BDA"/>
    <w:rsid w:val="00FB339B"/>
    <w:rsid w:val="00FB661C"/>
    <w:rsid w:val="00FC116D"/>
    <w:rsid w:val="00FE1FB5"/>
    <w:rsid w:val="00FF586C"/>
    <w:rsid w:val="2DD2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link w:val="37"/>
    <w:uiPriority w:val="0"/>
    <w:pPr>
      <w:adjustRightInd w:val="0"/>
      <w:snapToGrid/>
      <w:ind w:firstLine="0"/>
      <w:jc w:val="left"/>
    </w:pPr>
    <w:rPr>
      <w:spacing w:val="-25"/>
    </w:rPr>
  </w:style>
  <w:style w:type="paragraph" w:styleId="4">
    <w:name w:val="Plain Text"/>
    <w:basedOn w:val="1"/>
    <w:link w:val="39"/>
    <w:uiPriority w:val="99"/>
    <w:pPr>
      <w:autoSpaceDE/>
      <w:autoSpaceDN/>
      <w:snapToGrid/>
      <w:spacing w:line="240" w:lineRule="auto"/>
      <w:ind w:firstLine="0"/>
    </w:pPr>
    <w:rPr>
      <w:rFonts w:ascii="宋体" w:hAnsi="宋体" w:eastAsia="仿宋_GB2312" w:cs="宋体"/>
      <w:snapToGrid/>
      <w:kern w:val="2"/>
      <w:szCs w:val="32"/>
    </w:rPr>
  </w:style>
  <w:style w:type="paragraph" w:styleId="5">
    <w:name w:val="Date"/>
    <w:basedOn w:val="1"/>
    <w:next w:val="1"/>
    <w:qFormat/>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36"/>
    <w:qFormat/>
    <w:uiPriority w:val="99"/>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uiPriority w:val="0"/>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table" w:styleId="11">
    <w:name w:val="Table Grid"/>
    <w:basedOn w:val="10"/>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uiPriority w:val="0"/>
  </w:style>
  <w:style w:type="character" w:styleId="14">
    <w:name w:val="Emphasis"/>
    <w:basedOn w:val="12"/>
    <w:qFormat/>
    <w:uiPriority w:val="0"/>
    <w:rPr>
      <w:i/>
      <w:iCs/>
    </w:rPr>
  </w:style>
  <w:style w:type="paragraph" w:customStyle="1" w:styleId="15">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16">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7">
    <w:name w:val="标题2"/>
    <w:basedOn w:val="1"/>
    <w:next w:val="1"/>
    <w:link w:val="30"/>
    <w:uiPriority w:val="0"/>
    <w:pPr>
      <w:ind w:firstLine="0"/>
      <w:jc w:val="center"/>
    </w:pPr>
    <w:rPr>
      <w:rFonts w:eastAsia="方正楷体_GBK"/>
    </w:rPr>
  </w:style>
  <w:style w:type="paragraph" w:customStyle="1" w:styleId="18">
    <w:name w:val="标题3"/>
    <w:basedOn w:val="1"/>
    <w:next w:val="1"/>
    <w:uiPriority w:val="0"/>
    <w:rPr>
      <w:rFonts w:eastAsia="方正黑体_GBK"/>
    </w:rPr>
  </w:style>
  <w:style w:type="paragraph" w:customStyle="1" w:styleId="19">
    <w:name w:val="密级"/>
    <w:basedOn w:val="1"/>
    <w:uiPriority w:val="0"/>
    <w:pPr>
      <w:adjustRightInd w:val="0"/>
      <w:spacing w:line="440" w:lineRule="atLeast"/>
      <w:ind w:firstLine="0"/>
      <w:jc w:val="right"/>
    </w:pPr>
    <w:rPr>
      <w:rFonts w:ascii="黑体" w:eastAsia="黑体"/>
      <w:sz w:val="30"/>
    </w:rPr>
  </w:style>
  <w:style w:type="paragraph" w:customStyle="1" w:styleId="20">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21">
    <w:name w:val="抄送栏"/>
    <w:basedOn w:val="1"/>
    <w:uiPriority w:val="0"/>
    <w:pPr>
      <w:adjustRightInd w:val="0"/>
      <w:snapToGrid/>
      <w:spacing w:line="454" w:lineRule="atLeast"/>
      <w:ind w:left="1310" w:right="357" w:hanging="953"/>
    </w:pPr>
  </w:style>
  <w:style w:type="paragraph" w:customStyle="1" w:styleId="22">
    <w:name w:val="线型"/>
    <w:basedOn w:val="21"/>
    <w:uiPriority w:val="0"/>
    <w:pPr>
      <w:spacing w:line="240" w:lineRule="auto"/>
      <w:ind w:left="0" w:firstLine="0"/>
      <w:jc w:val="center"/>
    </w:pPr>
    <w:rPr>
      <w:sz w:val="21"/>
    </w:rPr>
  </w:style>
  <w:style w:type="paragraph" w:customStyle="1" w:styleId="23">
    <w:name w:val="印发栏"/>
    <w:basedOn w:val="3"/>
    <w:uiPriority w:val="0"/>
    <w:pPr>
      <w:tabs>
        <w:tab w:val="right" w:pos="8465"/>
      </w:tabs>
      <w:spacing w:line="454" w:lineRule="atLeast"/>
      <w:ind w:left="357" w:right="357"/>
    </w:pPr>
    <w:rPr>
      <w:spacing w:val="0"/>
    </w:rPr>
  </w:style>
  <w:style w:type="paragraph" w:customStyle="1" w:styleId="24">
    <w:name w:val="印数"/>
    <w:basedOn w:val="23"/>
    <w:uiPriority w:val="0"/>
    <w:pPr>
      <w:spacing w:line="400" w:lineRule="atLeast"/>
      <w:jc w:val="right"/>
    </w:pPr>
  </w:style>
  <w:style w:type="paragraph" w:customStyle="1" w:styleId="25">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6">
    <w:name w:val="附件栏"/>
    <w:basedOn w:val="1"/>
    <w:qFormat/>
    <w:uiPriority w:val="0"/>
  </w:style>
  <w:style w:type="paragraph" w:customStyle="1" w:styleId="27">
    <w:name w:val="紧急程度"/>
    <w:basedOn w:val="19"/>
    <w:uiPriority w:val="0"/>
    <w:pPr>
      <w:overflowPunct w:val="0"/>
    </w:pPr>
    <w:rPr>
      <w:sz w:val="32"/>
    </w:rPr>
  </w:style>
  <w:style w:type="paragraph" w:customStyle="1" w:styleId="28">
    <w:name w:val="样式1"/>
    <w:basedOn w:val="1"/>
    <w:qFormat/>
    <w:uiPriority w:val="0"/>
  </w:style>
  <w:style w:type="paragraph" w:customStyle="1" w:styleId="29">
    <w:name w:val="样式 主题词 + 段后: 8.85 磅 行距: 固定值 26 磅"/>
    <w:basedOn w:val="1"/>
    <w:uiPriority w:val="0"/>
    <w:pPr>
      <w:adjustRightInd w:val="0"/>
      <w:snapToGrid/>
      <w:spacing w:after="177" w:line="520" w:lineRule="exact"/>
      <w:ind w:firstLine="0"/>
      <w:jc w:val="left"/>
    </w:pPr>
    <w:rPr>
      <w:rFonts w:ascii="方正黑体_GBK" w:eastAsia="方正黑体_GBK" w:cs="宋体"/>
      <w:bCs/>
    </w:rPr>
  </w:style>
  <w:style w:type="character" w:customStyle="1" w:styleId="30">
    <w:name w:val="标题2 Char"/>
    <w:basedOn w:val="12"/>
    <w:link w:val="17"/>
    <w:uiPriority w:val="0"/>
    <w:rPr>
      <w:rFonts w:eastAsia="方正楷体_GBK"/>
      <w:snapToGrid w:val="0"/>
      <w:sz w:val="32"/>
      <w:lang w:val="en-US" w:eastAsia="zh-CN" w:bidi="ar-SA"/>
    </w:rPr>
  </w:style>
  <w:style w:type="character" w:customStyle="1" w:styleId="31">
    <w:name w:val="headline-content2"/>
    <w:basedOn w:val="12"/>
    <w:uiPriority w:val="0"/>
  </w:style>
  <w:style w:type="paragraph" w:customStyle="1" w:styleId="32">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3">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34">
    <w:name w:val="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5">
    <w:name w:val="公文正文"/>
    <w:basedOn w:val="1"/>
    <w:uiPriority w:val="0"/>
    <w:pPr>
      <w:autoSpaceDE/>
      <w:autoSpaceDN/>
      <w:snapToGrid/>
      <w:spacing w:line="240" w:lineRule="auto"/>
      <w:ind w:firstLine="640" w:firstLineChars="200"/>
    </w:pPr>
    <w:rPr>
      <w:rFonts w:eastAsia="仿宋_GB2312"/>
      <w:snapToGrid/>
      <w:kern w:val="2"/>
    </w:rPr>
  </w:style>
  <w:style w:type="character" w:customStyle="1" w:styleId="36">
    <w:name w:val="页脚 Char"/>
    <w:basedOn w:val="12"/>
    <w:link w:val="7"/>
    <w:uiPriority w:val="99"/>
    <w:rPr>
      <w:rFonts w:eastAsia="方正仿宋_GBK"/>
      <w:snapToGrid w:val="0"/>
      <w:sz w:val="28"/>
    </w:rPr>
  </w:style>
  <w:style w:type="character" w:customStyle="1" w:styleId="37">
    <w:name w:val="正文缩进 Char"/>
    <w:link w:val="3"/>
    <w:uiPriority w:val="0"/>
    <w:rPr>
      <w:rFonts w:eastAsia="方正仿宋_GBK"/>
      <w:snapToGrid w:val="0"/>
      <w:spacing w:val="-25"/>
      <w:sz w:val="32"/>
    </w:rPr>
  </w:style>
  <w:style w:type="paragraph" w:styleId="38">
    <w:name w:val="List Paragraph"/>
    <w:basedOn w:val="1"/>
    <w:qFormat/>
    <w:uiPriority w:val="34"/>
    <w:pPr>
      <w:ind w:firstLine="420" w:firstLineChars="200"/>
    </w:pPr>
  </w:style>
  <w:style w:type="character" w:customStyle="1" w:styleId="39">
    <w:name w:val="纯文本 Char"/>
    <w:basedOn w:val="12"/>
    <w:link w:val="4"/>
    <w:uiPriority w:val="99"/>
    <w:rPr>
      <w:rFonts w:ascii="宋体" w:hAnsi="宋体" w:eastAsia="仿宋_GB2312" w:cs="宋体"/>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21</Pages>
  <Words>8588</Words>
  <Characters>1185</Characters>
  <Lines>9</Lines>
  <Paragraphs>19</Paragraphs>
  <TotalTime>780</TotalTime>
  <ScaleCrop>false</ScaleCrop>
  <LinksUpToDate>false</LinksUpToDate>
  <CharactersWithSpaces>9754</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黄进</dc:creator>
  <cp:lastModifiedBy>木子</cp:lastModifiedBy>
  <cp:lastPrinted>2019-03-15T01:45:00Z</cp:lastPrinted>
  <dcterms:modified xsi:type="dcterms:W3CDTF">2019-03-22T06:16:02Z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