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b w:val="0"/>
          <w:bCs/>
          <w:w w:val="90"/>
          <w:sz w:val="44"/>
          <w:szCs w:val="44"/>
        </w:rPr>
      </w:pPr>
      <w:bookmarkStart w:id="0" w:name="_GoBack"/>
      <w:bookmarkEnd w:id="0"/>
      <w:r>
        <w:rPr>
          <w:rFonts w:hint="eastAsia" w:ascii="方正小标宋_GBK" w:hAnsi="方正小标宋_GBK" w:eastAsia="方正小标宋_GBK" w:cs="方正小标宋_GBK"/>
          <w:b w:val="0"/>
          <w:bCs/>
          <w:w w:val="90"/>
          <w:sz w:val="44"/>
          <w:szCs w:val="44"/>
        </w:rPr>
        <w:t>金城镇2019年度安全生产监督检查工作方案</w:t>
      </w:r>
    </w:p>
    <w:p>
      <w:pPr>
        <w:spacing w:line="520" w:lineRule="exact"/>
        <w:ind w:firstLine="560" w:firstLineChars="200"/>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安全生产法》、《安全生产监管监察职责和行政执法责任追究的规定》（国家安监总局第24号令，以下简称《规定》）和《安全生产监管年度执法工作计划编制办法的通知》（安监总政法[2010]183号）的有关规定要求，我镇依照安全生产法律、法规、规章和监管职责，结合本镇监管权限、执法人员数量、技术装备、经费保障、生产经营单位状况和我镇安全生产工作实际，制定2019年度安全生产监督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全镇安全生产监管执法工作要以习近平新时代中国特色社会主义思想和党的十九大精神为指导，全面贯彻落实习近平新时代中国特色社会主义思想和党的十九大，十八届四中、五中、六中全会以及国务院、省、市、区关于加强安全生产监管的工作要求，进一步规范安全生产监督检查行为，严格落实行政执法责任制，提高依法行政水平，严厉打击安全生产领域的非法违法行为，及时消除事故隐患，促进全镇安全生产形势进一步稳定好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通过安全生产监督检查计划的实施，促进生产经营单位安全生产主体责任的进一步落实，依法查处和纠正生产经营单位存在的安全生产非法、违法行为，确保高危领域和重点监管行业日常监管达到“全覆盖”，确保安全生产非法违法行为查处率和重大事故隐患排查整改率100％，努力减少一般生产安全事故，遏制较大生产安全事故，杜绝重特大生产安全事故，切实防止和减少职业病危害事故发生，确保各类生产安全事故指标控制在金坛区安委会下达的考核指标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（一）监督检查</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sz w:val="32"/>
          <w:szCs w:val="32"/>
        </w:rPr>
        <w:t>根据专项检查工作日确定全年计划检查生产经营单位120家。详细名单见附件。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（二）行政许可</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cs="Times New Roman"/>
          <w:sz w:val="32"/>
          <w:szCs w:val="32"/>
        </w:rPr>
        <w:t>各类行政许可事项依据申请，通过常州市安全生产监督管理暨重大危险源预警信息系统进行办理。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（三）安全生产宣传教育及各类专项整治、“打非治违”行动等另行制定相关规定</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按要求有序开展。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（一）加强领导，明确执法检查职责。</w:t>
      </w:r>
      <w:r>
        <w:rPr>
          <w:rFonts w:hint="eastAsia" w:ascii="Times New Roman" w:hAnsi="Times New Roman" w:eastAsia="方正仿宋_GBK" w:cs="Times New Roman"/>
          <w:sz w:val="32"/>
          <w:szCs w:val="32"/>
        </w:rPr>
        <w:t>监督检查纳入全镇依法行政工作，由镇安全生产委员会统一领导，实行镇长全面负责，分管副镇长对分管范围内的监督检查工作负责，并根据实际情况参加监督检查。各部门业务科室负责人负责具体监督检查工作，要明确本部门监督检查的主办和协办人员。全镇监督检查工</w:t>
      </w:r>
      <w:r>
        <w:rPr>
          <w:rFonts w:hint="eastAsia" w:ascii="Times New Roman" w:hAnsi="Times New Roman" w:eastAsia="方正仿宋_GBK" w:cs="Times New Roman"/>
          <w:spacing w:val="0"/>
          <w:sz w:val="32"/>
          <w:szCs w:val="32"/>
        </w:rPr>
        <w:t>作人员要认真学习</w:t>
      </w:r>
      <w:r>
        <w:rPr>
          <w:rFonts w:hint="eastAsia" w:ascii="Times New Roman" w:hAnsi="Times New Roman" w:eastAsia="方正仿宋_GBK" w:cs="Times New Roman"/>
          <w:spacing w:val="-6"/>
          <w:sz w:val="32"/>
          <w:szCs w:val="32"/>
        </w:rPr>
        <w:t>《安全生产法》、《江苏省安</w:t>
      </w:r>
      <w:r>
        <w:rPr>
          <w:rFonts w:hint="eastAsia" w:ascii="Times New Roman" w:hAnsi="Times New Roman" w:eastAsia="方正仿宋_GBK" w:cs="Times New Roman"/>
          <w:sz w:val="32"/>
          <w:szCs w:val="32"/>
        </w:rPr>
        <w:t>全生产条例》以及《规定》的具体要求，对生产经营单位是否符合安全生产条件和《规定》第八条明确规定的19项内容认真实施检查，落实具体工作措施，并制定现场检查工作方案。方案应当详细具有可操作性，检查的区域、内容、人员等应当在方案中详细表述，检查后的情况应进行完整记录，并由检查人员、被检查单位负责人签字确认。整改指令应当与检查记录情况对应，复查记录应对整改指令的执行情况进行详细说明，并据此作出相关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（二）精心组织，及时高效完成监督检查任务。</w:t>
      </w:r>
      <w:r>
        <w:rPr>
          <w:rFonts w:hint="eastAsia" w:ascii="Times New Roman" w:hAnsi="Times New Roman" w:eastAsia="方正仿宋_GBK" w:cs="Times New Roman"/>
          <w:sz w:val="32"/>
          <w:szCs w:val="32"/>
        </w:rPr>
        <w:t>各部门业务科室要严格按照月度计划细化分解监督检查任务，根据月度计划制定每周计划。检查人员在实施生产经营单位生产现场安全监督检查前，应当明确检查的项目、内容、方法和标准，准备检查测试工具、仪器及法律文书等执法检查所需的材料和资料，必要时，可会同有关部门联合组织生产经营单位生产现场安全监督检查。涉及专业性内容的，可以邀请相关专家参与监督检查，并听取专家的意见和建议。检查中，应当作出书面现场检查记录，由检查人员和被检查单位负责人分别签字，存档备查，并及时将执法检查记录录入常州市局安全生产监督管理暨重大危险源预警信息系统。要统筹兼顾，上下沟通，要优先安排每月到期必须进行复查的生产经营单位，严格落实执法检查闭环管理工作。确需对计划作重大调整的，应当按照有关规定审批和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（三）严格执法，健全执法检查考核制度。</w:t>
      </w:r>
      <w:r>
        <w:rPr>
          <w:rFonts w:hint="eastAsia" w:ascii="Times New Roman" w:hAnsi="Times New Roman" w:eastAsia="方正仿宋_GBK" w:cs="Times New Roman"/>
          <w:sz w:val="32"/>
          <w:szCs w:val="32"/>
        </w:rPr>
        <w:t>要依法严肃查处安全生产领域的非法违法行为，督促生产经营单位全面落实安全生产主体责任。在监督检查中发现事故隐患应当及时督促生产经营单位整改，发现违章行为及时纠正，涉及其他部门职权范围的案件，应主动及时移交。各部门业务科室要定期对年度监督检查工作计划进展情况进行自查自评，并将安全监督检查的结果依法以适当方式予以通报。镇安委会每季度组织对计划完成进度和检查质量进行督查，计划的执行结果和检查效果作为各部门和检查人员年终考评依据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附件：《金城镇2019年度安全生产监管检查工作计划任务分解表》</w:t>
      </w:r>
    </w:p>
    <w:p>
      <w:pPr>
        <w:rPr>
          <w:rFonts w:hint="eastAsia" w:ascii="方正仿宋_GBK" w:hAnsi="方正仿宋_GBK" w:eastAsia="方正仿宋_GBK" w:cs="方正仿宋_GBK"/>
          <w:sz w:val="32"/>
          <w:szCs w:val="32"/>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bl>
      <w:tblPr>
        <w:tblStyle w:val="4"/>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56"/>
        <w:gridCol w:w="1080"/>
        <w:gridCol w:w="6179"/>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456" w:type="dxa"/>
            <w:noWrap w:val="0"/>
            <w:vAlign w:val="bottom"/>
          </w:tcPr>
          <w:p>
            <w:pPr>
              <w:keepNext w:val="0"/>
              <w:keepLines w:val="0"/>
              <w:widowControl/>
              <w:suppressLineNumbers w:val="0"/>
              <w:jc w:val="left"/>
              <w:textAlignment w:val="bottom"/>
              <w:rPr>
                <w:rFonts w:ascii="仿宋_GB2312" w:hAnsi="宋体" w:eastAsia="仿宋_GB2312" w:cs="仿宋_GB2312"/>
                <w:i w:val="0"/>
                <w:color w:val="000000"/>
                <w:sz w:val="24"/>
                <w:szCs w:val="24"/>
                <w:u w:val="none"/>
              </w:rPr>
            </w:pPr>
            <w:r>
              <w:rPr>
                <w:rFonts w:hint="eastAsia" w:ascii="黑体" w:hAnsi="黑体" w:eastAsia="黑体" w:cs="黑体"/>
                <w:i w:val="0"/>
                <w:color w:val="000000"/>
                <w:kern w:val="0"/>
                <w:sz w:val="32"/>
                <w:szCs w:val="32"/>
                <w:u w:val="none"/>
                <w:lang w:val="en-US" w:eastAsia="zh-CN" w:bidi="ar"/>
              </w:rPr>
              <w:t>附件</w:t>
            </w:r>
          </w:p>
        </w:tc>
        <w:tc>
          <w:tcPr>
            <w:tcW w:w="1080" w:type="dxa"/>
            <w:noWrap w:val="0"/>
            <w:vAlign w:val="bottom"/>
          </w:tcPr>
          <w:p>
            <w:pPr>
              <w:rPr>
                <w:rFonts w:hint="eastAsia" w:ascii="仿宋_GB2312" w:hAnsi="宋体" w:eastAsia="仿宋_GB2312" w:cs="仿宋_GB2312"/>
                <w:i w:val="0"/>
                <w:color w:val="000000"/>
                <w:sz w:val="24"/>
                <w:szCs w:val="24"/>
                <w:u w:val="none"/>
              </w:rPr>
            </w:pPr>
          </w:p>
        </w:tc>
        <w:tc>
          <w:tcPr>
            <w:tcW w:w="6179" w:type="dxa"/>
            <w:noWrap w:val="0"/>
            <w:vAlign w:val="bottom"/>
          </w:tcPr>
          <w:p>
            <w:pPr>
              <w:rPr>
                <w:rFonts w:hint="eastAsia" w:ascii="仿宋_GB2312" w:hAnsi="宋体" w:eastAsia="仿宋_GB2312" w:cs="仿宋_GB2312"/>
                <w:i w:val="0"/>
                <w:color w:val="000000"/>
                <w:sz w:val="24"/>
                <w:szCs w:val="24"/>
                <w:u w:val="none"/>
              </w:rPr>
            </w:pPr>
          </w:p>
        </w:tc>
        <w:tc>
          <w:tcPr>
            <w:tcW w:w="240" w:type="dxa"/>
            <w:noWrap w:val="0"/>
            <w:vAlign w:val="bottom"/>
          </w:tcPr>
          <w:p>
            <w:pPr>
              <w:jc w:val="cente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8715" w:type="dxa"/>
            <w:gridSpan w:val="3"/>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b/>
                <w:i w:val="0"/>
                <w:color w:val="000000"/>
                <w:sz w:val="28"/>
                <w:szCs w:val="28"/>
                <w:u w:val="none"/>
              </w:rPr>
            </w:pPr>
            <w:r>
              <w:rPr>
                <w:rFonts w:hint="eastAsia" w:ascii="方正小标宋_GBK" w:hAnsi="方正小标宋_GBK" w:eastAsia="方正小标宋_GBK" w:cs="方正小标宋_GBK"/>
                <w:b w:val="0"/>
                <w:bCs/>
                <w:i w:val="0"/>
                <w:color w:val="000000"/>
                <w:kern w:val="0"/>
                <w:sz w:val="28"/>
                <w:szCs w:val="28"/>
                <w:u w:val="none"/>
                <w:lang w:val="en-US" w:eastAsia="zh-CN" w:bidi="ar"/>
              </w:rPr>
              <w:t>金城镇2019年度安全生产监管检查工作计划任务分解表</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7" w:hRule="atLeast"/>
        </w:trPr>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月份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被检查单位</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金坛新明服装加工厂</w:t>
            </w:r>
          </w:p>
        </w:tc>
        <w:tc>
          <w:tcPr>
            <w:tcW w:w="240" w:type="dxa"/>
            <w:noWrap w:val="0"/>
            <w:vAlign w:val="bottom"/>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常州集大钢结构有限公司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常州金坛华泰电器有限公司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常州金坛绿能保温材料有限公司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常州市虹亚服饰有限公司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常州凯格努服饰有限公司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常州金坛豪源服饰有限公司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常州市金坛区丹尼世家服饰有限公司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常州市金坛区九禾制衣有限公司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常州市金坛兰陵印务有限公司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常州金坛金源电子有限公司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江苏铁龙环保设备有限公司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常州市金坛康乐医疗器械有限公司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江苏力迪汽车科技有限公司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常州中腾轨道交通装备有限公司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常州市金坛区晨鸿服装水洗有限公司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常州晟裕药品包装有限公司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常州市金坛金塔电力器材厂</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江苏浦瑞金属材料科技有限公司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常州市金坛华业机械厂</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常州金坛宝华不锈钢制品有限公司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协成（江苏）安全护栏有限公司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常州市金坛区志昇制衣有限公司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常州爱涛针织服装有限公司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常州市金坛展进服饰有限公司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江苏拓威机械有限公司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常州高瑞机械有限公司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常州金坛华联服装辅料有限公司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常州金坛佳怡服饰有限公司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常州金坛铭烨服饰有限公司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7" w:hRule="atLeast"/>
        </w:trPr>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月份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序号</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被检查单位</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常州市粤新包装材料有限公司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江苏金湟纸业有限公司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常州市金坛润帛毛纺有限公司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常州市金坛南芳医疗器械有限公司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江苏汇和制衣有限公司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常州闲兴服饰有限公司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江苏久力机械有限公司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常州盛业汽车零部件有限公司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江苏大力士云石护理材料有限公司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常州市虞锦纺织品有限公司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江苏宏源中孚防水材料有限公司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江苏中远消防设备有限公司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江苏金旺包装机械科技有限公司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晨风（江苏）针织饰品有限公司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1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常州市金坛经编装饰品厂</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常州市金坛鸿羽织造厂</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江苏晨阳机械有限公司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常州市金坛香雪制粉有限公司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江苏云康药用包装有限公司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江苏科凯新材料科技有限公司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江苏易成电力器材有限公司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常州天成箱包有限公司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江苏五香居食品有限公司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江苏伊思灵双第弹簧有限公司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常州华诚电子有限公司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江苏正基仪器有限公司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常州市金坛区二月电子有限公司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浦发成型焊片（常州）有限公司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江苏创客新材料科技有限公司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常州金陵电力器材有限公司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月份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序号</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被检查单位</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456"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lang w:val="en-US" w:eastAsia="zh-CN"/>
              </w:rPr>
            </w:pPr>
            <w:r>
              <w:rPr>
                <w:rFonts w:hint="eastAsia" w:ascii="仿宋_GB2312" w:hAnsi="宋体" w:eastAsia="仿宋_GB2312" w:cs="仿宋_GB2312"/>
                <w:i w:val="0"/>
                <w:color w:val="000000"/>
                <w:sz w:val="24"/>
                <w:szCs w:val="24"/>
                <w:u w:val="none"/>
                <w:lang w:val="en-US" w:eastAsia="zh-CN"/>
              </w:rPr>
              <w:t>七月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常州立渝弹簧有限公司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145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江苏奥轩光电科技有限公司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常州丝诚针织有限公司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45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常州福瑞斯橡塑制品有限公司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江苏金榆科技集团有限公司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常州金坛泷豪服饰有限公司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2" w:hRule="atLeast"/>
        </w:trPr>
        <w:tc>
          <w:tcPr>
            <w:tcW w:w="145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常州茂业服饰有限公司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145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常州广裕橡塑科技有限公司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江苏伯龙宇航新材料科技有限公司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145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70</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江苏绿盛工程材料有限公司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常州市金坛区鸿瑞家具有限公司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72</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常州金坛万杰电器有限公司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常州源通电子科技有限公司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常州佳恒服饰有限公司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75</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常州市金坛荣华制粉厂</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76</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常州市阿碗精密机械有限公司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77</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常州市金坛华盛服饰有限公司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78</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常州万邦服装有限公司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79</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江苏贺盛实业有限公司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常州市瑞誉毛纺有限公司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金为环保科技（常州）有限公司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82</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江苏致远印务有限公司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常州金坛鑫龙服装有限公司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常州金坛鑫隆防水塑胶制品有限公司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85</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常州贝特灯具制造有限公司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86</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江苏成松防水材料有限公司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87</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常州金坛旭东机械配件有限公司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常州市金坛成龙橡塑制品有限公司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89</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常州市铨禾服饰有限公司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90</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40" w:firstLineChars="100"/>
              <w:jc w:val="both"/>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江苏普雷特塑料包装有限公司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7" w:hRule="atLeast"/>
        </w:trPr>
        <w:tc>
          <w:tcPr>
            <w:tcW w:w="14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月份</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序号</w:t>
            </w:r>
          </w:p>
        </w:tc>
        <w:tc>
          <w:tcPr>
            <w:tcW w:w="6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被检查单位</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91</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常州市万丰饲料有限公司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92</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常州市金坛庄城制衣厂</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93</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常州勤业家纺有限公司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94</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常州市欣悦玻璃仪器有限公司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95</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常州市金坛皇冠欧阳电子有限公司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96</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常州澜瑞服饰有限公司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97</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常州市金坛区金宝新型建材有限公司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98</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江苏肯创催化剂再生技术有限公司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99</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江苏尚唯汽车饰件有限公司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常州市南岗鞋业有限公司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十一月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101</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金坛苏琦服装有限公司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102</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江苏常州市利源鞋业有限公司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常州亿隆新材料科技有限公司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104</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常州市金坛区天鹏精密铸造厂</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105</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常州永坛时装有限公司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106</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江苏德林汽车零部件有限公司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107</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江苏鑫田柴油机有限公司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108</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重庆长江造型材料常州有限公司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109</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常州市金坛建阳机械有限公司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110</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常州市金坛微特电机有限公司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十二月</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111</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常州金坛五星热处理厂</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112</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江苏索特动力工程有限公司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113</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常州金鼎新型建材制品有限公司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114</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常州市金坛鸿威电器有限公司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115</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常州市金坛区东方彩印有限公司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116</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常州天马光伏电子有限公司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117</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常州高瑞时装有限公司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118</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江苏艾贝时尚服饰有限公司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2"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119</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常州金坛赛亚机械有限公司</w:t>
            </w:r>
          </w:p>
        </w:tc>
        <w:tc>
          <w:tcPr>
            <w:tcW w:w="240" w:type="dxa"/>
            <w:noWrap w:val="0"/>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14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w:t>
            </w:r>
          </w:p>
        </w:tc>
        <w:tc>
          <w:tcPr>
            <w:tcW w:w="617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ind w:firstLine="240" w:firstLineChars="100"/>
              <w:jc w:val="left"/>
              <w:textAlignment w:val="bottom"/>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江苏德道汽车科技有限公司</w:t>
            </w:r>
          </w:p>
        </w:tc>
        <w:tc>
          <w:tcPr>
            <w:tcW w:w="240" w:type="dxa"/>
            <w:noWrap w:val="0"/>
            <w:vAlign w:val="bottom"/>
          </w:tcPr>
          <w:p>
            <w:pP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sz w:val="28"/>
          <w:szCs w:val="28"/>
        </w:rPr>
      </w:pPr>
    </w:p>
    <w:p/>
    <w:sectPr>
      <w:footerReference r:id="rId3" w:type="default"/>
      <w:pgSz w:w="11906" w:h="16838"/>
      <w:pgMar w:top="2007" w:right="1519" w:bottom="1780" w:left="1633" w:header="709" w:footer="133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val="en-US" w:eastAsia="zh-CN"/>
                            </w:rPr>
                          </w:pPr>
                          <w:r>
                            <w:rPr>
                              <w:rFonts w:hint="eastAsia"/>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eastAsia="宋体"/>
                        <w:lang w:val="en-US" w:eastAsia="zh-CN"/>
                      </w:rPr>
                    </w:pPr>
                    <w:r>
                      <w:rPr>
                        <w:rFonts w:hint="eastAsia"/>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116BA"/>
    <w:rsid w:val="230116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2019-01-21T07:51:00Z</dcterms:created>
  <dc:creator>小雨</dc:creator>
  <cp:lastModifiedBy>小雨</cp:lastModifiedBy>
  <dcterms:modified xsi:type="dcterms:W3CDTF">2019-01-21T07:51:16Z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