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bCs/>
          <w:color w:val="000000"/>
          <w:sz w:val="32"/>
          <w:szCs w:val="32"/>
        </w:rPr>
      </w:pPr>
      <w:r>
        <w:rPr>
          <w:rFonts w:hint="eastAsia" w:ascii="宋体" w:hAnsi="宋体"/>
          <w:bCs/>
          <w:color w:val="000000"/>
          <w:sz w:val="32"/>
          <w:szCs w:val="32"/>
        </w:rPr>
        <w:t>附件1：</w:t>
      </w:r>
    </w:p>
    <w:p>
      <w:pPr>
        <w:snapToGrid w:val="0"/>
        <w:spacing w:before="312" w:beforeLines="100"/>
        <w:jc w:val="center"/>
        <w:rPr>
          <w:rFonts w:hint="eastAsia" w:ascii="宋体" w:hAnsi="宋体"/>
          <w:color w:val="000000"/>
          <w:sz w:val="48"/>
          <w:szCs w:val="48"/>
        </w:rPr>
      </w:pPr>
      <w:r>
        <w:rPr>
          <w:rFonts w:hint="eastAsia" w:ascii="宋体" w:hAnsi="宋体"/>
          <w:b/>
          <w:bCs/>
          <w:color w:val="000000"/>
          <w:sz w:val="48"/>
          <w:szCs w:val="48"/>
        </w:rPr>
        <w:t>常州市建</w:t>
      </w:r>
      <w:r>
        <w:rPr>
          <w:rFonts w:hint="eastAsia" w:ascii="宋体" w:hAnsi="宋体" w:cs="宋体"/>
          <w:b/>
          <w:bCs/>
          <w:color w:val="000000"/>
          <w:sz w:val="48"/>
          <w:szCs w:val="48"/>
        </w:rPr>
        <w:t>设</w:t>
      </w:r>
      <w:r>
        <w:rPr>
          <w:rFonts w:hint="eastAsia" w:ascii="宋体" w:hAnsi="宋体" w:cs="Batang"/>
          <w:b/>
          <w:bCs/>
          <w:color w:val="000000"/>
          <w:sz w:val="48"/>
          <w:szCs w:val="48"/>
        </w:rPr>
        <w:t>工程投</w:t>
      </w:r>
      <w:r>
        <w:rPr>
          <w:rFonts w:hint="eastAsia" w:ascii="宋体" w:hAnsi="宋体" w:cs="宋体"/>
          <w:b/>
          <w:bCs/>
          <w:color w:val="000000"/>
          <w:sz w:val="48"/>
          <w:szCs w:val="48"/>
        </w:rPr>
        <w:t>标报</w:t>
      </w:r>
      <w:r>
        <w:rPr>
          <w:rFonts w:hint="eastAsia" w:ascii="宋体" w:hAnsi="宋体" w:cs="Batang"/>
          <w:b/>
          <w:bCs/>
          <w:color w:val="000000"/>
          <w:sz w:val="48"/>
          <w:szCs w:val="48"/>
        </w:rPr>
        <w:t>名申</w:t>
      </w:r>
      <w:r>
        <w:rPr>
          <w:rFonts w:hint="eastAsia" w:ascii="宋体" w:hAnsi="宋体" w:cs="宋体"/>
          <w:b/>
          <w:bCs/>
          <w:color w:val="000000"/>
          <w:sz w:val="48"/>
          <w:szCs w:val="48"/>
        </w:rPr>
        <w:t>请书</w:t>
      </w:r>
    </w:p>
    <w:p>
      <w:pPr>
        <w:adjustRightInd w:val="0"/>
        <w:snapToGrid w:val="0"/>
        <w:spacing w:line="300" w:lineRule="auto"/>
        <w:ind w:left="86" w:leftChars="41" w:firstLine="280" w:firstLineChars="100"/>
        <w:rPr>
          <w:rFonts w:hint="eastAsia" w:ascii="宋体" w:hAnsi="宋体"/>
          <w:color w:val="000000"/>
          <w:sz w:val="28"/>
          <w:szCs w:val="28"/>
          <w:u w:val="single"/>
        </w:rPr>
      </w:pPr>
    </w:p>
    <w:p>
      <w:pPr>
        <w:adjustRightInd w:val="0"/>
        <w:snapToGrid w:val="0"/>
        <w:spacing w:line="300" w:lineRule="auto"/>
        <w:ind w:left="86" w:leftChars="41" w:firstLine="280" w:firstLineChars="10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（招标人）：</w:t>
      </w:r>
    </w:p>
    <w:p>
      <w:pPr>
        <w:adjustRightInd w:val="0"/>
        <w:snapToGrid w:val="0"/>
        <w:spacing w:line="300" w:lineRule="auto"/>
        <w:ind w:left="86" w:leftChars="41" w:firstLine="280" w:firstLineChars="100"/>
        <w:rPr>
          <w:rFonts w:hint="eastAsia" w:ascii="宋体" w:hAnsi="宋体"/>
          <w:color w:val="000000"/>
          <w:sz w:val="28"/>
          <w:szCs w:val="28"/>
          <w:u w:val="single"/>
        </w:rPr>
      </w:pPr>
      <w:r>
        <w:rPr>
          <w:rFonts w:hint="eastAsia" w:ascii="宋体" w:hAnsi="宋体"/>
          <w:color w:val="000000"/>
          <w:sz w:val="28"/>
          <w:szCs w:val="28"/>
        </w:rPr>
        <w:t xml:space="preserve">   根据贵单位</w:t>
      </w:r>
      <w:r>
        <w:rPr>
          <w:rFonts w:hint="eastAsia" w:ascii="宋体" w:hAnsi="宋体"/>
          <w:color w:val="000000"/>
          <w:sz w:val="28"/>
          <w:szCs w:val="28"/>
          <w:u w:val="single"/>
        </w:rPr>
        <w:t xml:space="preserve">                    </w:t>
      </w:r>
      <w:r>
        <w:rPr>
          <w:rFonts w:hint="eastAsia" w:ascii="宋体" w:hAnsi="宋体"/>
          <w:color w:val="000000"/>
          <w:sz w:val="28"/>
          <w:szCs w:val="28"/>
        </w:rPr>
        <w:t>招标公告，我单位拟参与该工程的投标报名，且拟派</w:t>
      </w:r>
      <w:r>
        <w:rPr>
          <w:rFonts w:hint="eastAsia" w:ascii="宋体" w:hAnsi="宋体"/>
          <w:color w:val="000000"/>
          <w:sz w:val="28"/>
          <w:szCs w:val="28"/>
          <w:u w:val="single"/>
        </w:rPr>
        <w:t xml:space="preserve">        </w:t>
      </w:r>
      <w:r>
        <w:rPr>
          <w:rFonts w:hint="eastAsia" w:ascii="宋体" w:hAnsi="宋体"/>
          <w:color w:val="000000"/>
          <w:sz w:val="28"/>
          <w:szCs w:val="28"/>
        </w:rPr>
        <w:t>为本工程的建造师，特此申请。</w:t>
      </w:r>
    </w:p>
    <w:p>
      <w:pPr>
        <w:snapToGrid w:val="0"/>
        <w:spacing w:line="360" w:lineRule="auto"/>
        <w:ind w:firstLine="645"/>
        <w:rPr>
          <w:rFonts w:hint="eastAsia" w:ascii="宋体" w:hAnsi="宋体"/>
          <w:color w:val="000000"/>
          <w:sz w:val="28"/>
          <w:szCs w:val="28"/>
        </w:rPr>
      </w:pPr>
      <w:r>
        <w:rPr>
          <w:rFonts w:hint="eastAsia" w:ascii="宋体" w:hAnsi="宋体"/>
          <w:color w:val="000000"/>
          <w:sz w:val="28"/>
          <w:szCs w:val="28"/>
        </w:rPr>
        <w:t>我单位基本情况：</w:t>
      </w:r>
    </w:p>
    <w:p>
      <w:pPr>
        <w:snapToGrid w:val="0"/>
        <w:rPr>
          <w:rFonts w:hint="eastAsia" w:ascii="宋体" w:hAnsi="宋体"/>
          <w:color w:val="000000"/>
          <w:sz w:val="28"/>
          <w:szCs w:val="28"/>
        </w:rPr>
      </w:pPr>
      <w:r>
        <w:rPr>
          <w:rFonts w:hint="eastAsia" w:ascii="宋体" w:hAnsi="宋体"/>
          <w:color w:val="000000"/>
          <w:sz w:val="28"/>
          <w:szCs w:val="28"/>
        </w:rPr>
        <w:t>1、资质类别和等级：</w:t>
      </w:r>
    </w:p>
    <w:p>
      <w:pPr>
        <w:snapToGrid w:val="0"/>
        <w:rPr>
          <w:rFonts w:hint="eastAsia" w:ascii="宋体" w:hAnsi="宋体"/>
          <w:color w:val="000000"/>
          <w:sz w:val="28"/>
          <w:szCs w:val="28"/>
        </w:rPr>
      </w:pPr>
    </w:p>
    <w:p>
      <w:pPr>
        <w:snapToGrid w:val="0"/>
        <w:rPr>
          <w:rFonts w:hint="eastAsia" w:ascii="宋体" w:hAnsi="宋体"/>
          <w:color w:val="000000"/>
          <w:sz w:val="28"/>
          <w:szCs w:val="28"/>
        </w:rPr>
      </w:pPr>
      <w:r>
        <w:rPr>
          <w:rFonts w:hint="eastAsia" w:ascii="宋体" w:hAnsi="宋体"/>
          <w:color w:val="000000"/>
          <w:sz w:val="28"/>
          <w:szCs w:val="28"/>
        </w:rPr>
        <w:t>2、企业业绩、信誉：</w:t>
      </w:r>
    </w:p>
    <w:p>
      <w:pPr>
        <w:snapToGrid w:val="0"/>
        <w:rPr>
          <w:rFonts w:hint="eastAsia" w:ascii="宋体" w:hAnsi="宋体"/>
          <w:color w:val="000000"/>
          <w:sz w:val="28"/>
          <w:szCs w:val="28"/>
        </w:rPr>
      </w:pPr>
    </w:p>
    <w:p>
      <w:pPr>
        <w:snapToGrid w:val="0"/>
        <w:spacing w:line="500" w:lineRule="exact"/>
        <w:rPr>
          <w:rFonts w:hint="eastAsia" w:ascii="宋体" w:hAnsi="宋体"/>
          <w:color w:val="000000"/>
          <w:sz w:val="28"/>
          <w:szCs w:val="28"/>
        </w:rPr>
      </w:pPr>
      <w:r>
        <w:rPr>
          <w:rFonts w:hint="eastAsia" w:ascii="宋体" w:hAnsi="宋体"/>
          <w:color w:val="000000"/>
          <w:sz w:val="28"/>
          <w:szCs w:val="28"/>
        </w:rPr>
        <w:t>3、其他说明：</w:t>
      </w:r>
    </w:p>
    <w:p>
      <w:pPr>
        <w:snapToGrid w:val="0"/>
        <w:spacing w:line="500" w:lineRule="exact"/>
        <w:ind w:firstLine="420" w:firstLineChars="150"/>
        <w:rPr>
          <w:rFonts w:hint="eastAsia" w:ascii="宋体" w:hAnsi="宋体"/>
          <w:color w:val="000000"/>
          <w:sz w:val="28"/>
          <w:szCs w:val="28"/>
        </w:rPr>
      </w:pPr>
      <w:r>
        <w:rPr>
          <w:rFonts w:hint="eastAsia" w:ascii="宋体" w:hAnsi="宋体"/>
          <w:color w:val="000000"/>
          <w:sz w:val="28"/>
          <w:szCs w:val="28"/>
        </w:rPr>
        <w:t>（1）我单位本次报名的建造师无在建工程，本企业和建造师均无因违约或重大质量、安全事故而被有关部门暂停投标资格；</w:t>
      </w:r>
    </w:p>
    <w:p>
      <w:pPr>
        <w:snapToGrid w:val="0"/>
        <w:spacing w:line="500" w:lineRule="exact"/>
        <w:ind w:firstLine="420" w:firstLineChars="150"/>
        <w:rPr>
          <w:rFonts w:hint="eastAsia" w:ascii="宋体" w:hAnsi="宋体"/>
          <w:color w:val="000000"/>
          <w:sz w:val="28"/>
          <w:szCs w:val="28"/>
        </w:rPr>
      </w:pPr>
      <w:r>
        <w:rPr>
          <w:rFonts w:hint="eastAsia" w:ascii="宋体" w:hAnsi="宋体"/>
          <w:color w:val="000000"/>
          <w:sz w:val="28"/>
          <w:szCs w:val="28"/>
        </w:rPr>
        <w:t>（2）我单位将对本次投标中所有材料的真实性负全部责任，如有不实将承担由此造成的一切后果（本地企业停止一年的投标，外地企业三年内不得参与投标并通告当地建设行政主管部门）；</w:t>
      </w:r>
    </w:p>
    <w:p>
      <w:pPr>
        <w:snapToGrid w:val="0"/>
        <w:spacing w:line="500" w:lineRule="exact"/>
        <w:ind w:firstLine="420" w:firstLineChars="150"/>
        <w:rPr>
          <w:rFonts w:hint="eastAsia" w:ascii="宋体" w:hAnsi="宋体"/>
          <w:color w:val="000000"/>
          <w:sz w:val="28"/>
          <w:szCs w:val="28"/>
        </w:rPr>
      </w:pPr>
      <w:r>
        <w:rPr>
          <w:rFonts w:hint="eastAsia" w:ascii="宋体" w:hAnsi="宋体"/>
          <w:color w:val="000000"/>
          <w:sz w:val="28"/>
          <w:szCs w:val="28"/>
        </w:rPr>
        <w:t>（3）如果我单位中标，将按有关规定和招标人的要求在规定的时间内办理好工程开工的相关手续。</w:t>
      </w:r>
    </w:p>
    <w:p>
      <w:pPr>
        <w:snapToGrid w:val="0"/>
        <w:spacing w:line="500" w:lineRule="exact"/>
        <w:rPr>
          <w:rFonts w:hint="eastAsia" w:ascii="宋体" w:hAnsi="宋体"/>
          <w:color w:val="000000"/>
          <w:sz w:val="28"/>
          <w:szCs w:val="28"/>
        </w:rPr>
      </w:pPr>
    </w:p>
    <w:p>
      <w:pPr>
        <w:ind w:firstLine="560" w:firstLineChars="200"/>
        <w:rPr>
          <w:rFonts w:hint="eastAsia" w:ascii="宋体" w:hAnsi="宋体"/>
          <w:color w:val="000000"/>
          <w:sz w:val="28"/>
          <w:szCs w:val="28"/>
        </w:rPr>
      </w:pPr>
      <w:r>
        <w:rPr>
          <w:rFonts w:hint="eastAsia" w:ascii="宋体" w:hAnsi="宋体"/>
          <w:color w:val="000000"/>
          <w:sz w:val="28"/>
          <w:szCs w:val="28"/>
        </w:rPr>
        <w:t xml:space="preserve"> 地址：                   邮编：</w:t>
      </w:r>
    </w:p>
    <w:p>
      <w:pPr>
        <w:ind w:firstLine="700" w:firstLineChars="250"/>
        <w:rPr>
          <w:rFonts w:hint="eastAsia" w:ascii="宋体" w:hAnsi="宋体"/>
          <w:color w:val="000000"/>
          <w:sz w:val="28"/>
          <w:szCs w:val="28"/>
        </w:rPr>
      </w:pPr>
      <w:r>
        <w:rPr>
          <w:rFonts w:hint="eastAsia" w:ascii="宋体" w:hAnsi="宋体"/>
          <w:color w:val="000000"/>
          <w:sz w:val="28"/>
          <w:szCs w:val="28"/>
        </w:rPr>
        <w:t>联系人：                 电话：</w:t>
      </w:r>
    </w:p>
    <w:p>
      <w:pPr>
        <w:ind w:firstLine="700" w:firstLineChars="250"/>
        <w:rPr>
          <w:rFonts w:hint="eastAsia" w:ascii="宋体" w:hAnsi="宋体"/>
          <w:color w:val="000000"/>
          <w:sz w:val="28"/>
          <w:szCs w:val="28"/>
        </w:rPr>
      </w:pPr>
      <w:r>
        <w:rPr>
          <w:rFonts w:hint="eastAsia" w:ascii="宋体" w:hAnsi="宋体"/>
          <w:color w:val="000000"/>
          <w:sz w:val="28"/>
          <w:szCs w:val="28"/>
        </w:rPr>
        <w:t>E-</w:t>
      </w:r>
      <w:r>
        <w:rPr>
          <w:rFonts w:ascii="宋体" w:hAnsi="宋体"/>
          <w:color w:val="000000"/>
          <w:sz w:val="28"/>
          <w:szCs w:val="28"/>
        </w:rPr>
        <w:t>mail:</w:t>
      </w:r>
    </w:p>
    <w:p>
      <w:pPr>
        <w:snapToGrid w:val="0"/>
        <w:rPr>
          <w:rFonts w:hint="eastAsia" w:ascii="宋体" w:hAnsi="宋体"/>
          <w:color w:val="000000"/>
          <w:sz w:val="28"/>
          <w:szCs w:val="28"/>
        </w:rPr>
      </w:pPr>
    </w:p>
    <w:p>
      <w:pPr>
        <w:snapToGrid w:val="0"/>
        <w:ind w:firstLine="4138" w:firstLineChars="1478"/>
        <w:rPr>
          <w:rFonts w:hint="eastAsia" w:ascii="宋体" w:hAnsi="宋体"/>
          <w:color w:val="000000"/>
          <w:sz w:val="28"/>
          <w:szCs w:val="28"/>
        </w:rPr>
      </w:pPr>
      <w:r>
        <w:rPr>
          <w:rFonts w:hint="eastAsia" w:ascii="宋体" w:hAnsi="宋体"/>
          <w:color w:val="000000"/>
          <w:sz w:val="28"/>
          <w:szCs w:val="28"/>
        </w:rPr>
        <w:t>申请单位名称（公章）</w:t>
      </w:r>
    </w:p>
    <w:p>
      <w:pPr>
        <w:snapToGrid w:val="0"/>
        <w:ind w:firstLine="4138" w:firstLineChars="1478"/>
        <w:rPr>
          <w:rFonts w:hint="eastAsia" w:ascii="宋体" w:hAnsi="宋体"/>
          <w:color w:val="000000"/>
          <w:sz w:val="28"/>
          <w:szCs w:val="28"/>
        </w:rPr>
      </w:pPr>
    </w:p>
    <w:p>
      <w:pPr>
        <w:snapToGrid w:val="0"/>
        <w:ind w:firstLine="4138" w:firstLineChars="1478"/>
        <w:rPr>
          <w:rFonts w:hint="eastAsia" w:ascii="宋体" w:hAnsi="宋体"/>
          <w:color w:val="000000"/>
          <w:sz w:val="28"/>
          <w:szCs w:val="28"/>
        </w:rPr>
      </w:pPr>
      <w:r>
        <w:rPr>
          <w:rFonts w:hint="eastAsia" w:ascii="宋体" w:hAnsi="宋体"/>
          <w:color w:val="000000"/>
          <w:sz w:val="28"/>
          <w:szCs w:val="28"/>
        </w:rPr>
        <w:t>企业法定代表人（签章）</w:t>
      </w:r>
    </w:p>
    <w:p>
      <w:pPr>
        <w:snapToGrid w:val="0"/>
        <w:ind w:firstLine="4138" w:firstLineChars="1478"/>
        <w:rPr>
          <w:rFonts w:hint="eastAsia" w:ascii="宋体" w:hAnsi="宋体"/>
          <w:color w:val="000000"/>
          <w:sz w:val="28"/>
          <w:szCs w:val="28"/>
        </w:rPr>
      </w:pPr>
    </w:p>
    <w:p>
      <w:pPr>
        <w:snapToGrid w:val="0"/>
        <w:spacing w:line="360" w:lineRule="auto"/>
        <w:ind w:firstLine="5255" w:firstLineChars="1877"/>
        <w:rPr>
          <w:rFonts w:hint="eastAsia" w:ascii="宋体" w:hAnsi="宋体"/>
          <w:color w:val="000000"/>
          <w:sz w:val="28"/>
          <w:szCs w:val="28"/>
        </w:rPr>
      </w:pPr>
      <w:r>
        <w:rPr>
          <w:rFonts w:hint="eastAsia" w:ascii="宋体" w:hAnsi="宋体"/>
          <w:color w:val="000000"/>
          <w:sz w:val="28"/>
          <w:szCs w:val="28"/>
        </w:rPr>
        <w:t>年   月   日</w:t>
      </w:r>
    </w:p>
    <w:p>
      <w:pPr>
        <w:snapToGrid w:val="0"/>
        <w:spacing w:line="360" w:lineRule="auto"/>
        <w:rPr>
          <w:rFonts w:hint="eastAsia" w:ascii="宋体" w:hAnsi="宋体"/>
          <w:color w:val="000000"/>
          <w:sz w:val="28"/>
          <w:szCs w:val="28"/>
        </w:rPr>
      </w:pPr>
    </w:p>
    <w:p>
      <w:pPr>
        <w:snapToGrid w:val="0"/>
        <w:spacing w:line="360" w:lineRule="auto"/>
        <w:rPr>
          <w:rFonts w:hint="eastAsia" w:ascii="宋体" w:hAnsi="宋体"/>
          <w:color w:val="000000"/>
          <w:sz w:val="28"/>
          <w:szCs w:val="28"/>
        </w:rPr>
      </w:pPr>
      <w:r>
        <w:rPr>
          <w:rFonts w:hint="eastAsia" w:ascii="宋体" w:hAnsi="宋体"/>
          <w:color w:val="000000"/>
          <w:sz w:val="28"/>
          <w:szCs w:val="28"/>
        </w:rPr>
        <w:t>附件2：</w:t>
      </w:r>
    </w:p>
    <w:p>
      <w:pPr>
        <w:snapToGrid w:val="0"/>
        <w:spacing w:line="360" w:lineRule="auto"/>
        <w:rPr>
          <w:rFonts w:hint="eastAsia" w:ascii="宋体" w:hAnsi="宋体"/>
          <w:color w:val="000000"/>
          <w:sz w:val="28"/>
          <w:szCs w:val="28"/>
        </w:rPr>
      </w:pPr>
      <w:r>
        <w:rPr>
          <w:rFonts w:hint="eastAsia" w:ascii="宋体" w:hAnsi="宋体"/>
          <w:color w:val="000000"/>
          <w:sz w:val="28"/>
          <w:szCs w:val="28"/>
        </w:rPr>
        <w:t xml:space="preserve">                         评标办法</w:t>
      </w:r>
    </w:p>
    <w:p>
      <w:pPr>
        <w:tabs>
          <w:tab w:val="left" w:pos="284"/>
          <w:tab w:val="left" w:pos="1080"/>
          <w:tab w:val="left" w:pos="1134"/>
        </w:tabs>
        <w:adjustRightInd w:val="0"/>
        <w:snapToGrid w:val="0"/>
        <w:spacing w:line="360" w:lineRule="auto"/>
        <w:rPr>
          <w:rFonts w:ascii="宋体" w:hAnsi="宋体" w:cs="宋体"/>
          <w:color w:val="000000"/>
          <w:sz w:val="24"/>
        </w:rPr>
      </w:pPr>
      <w:r>
        <w:rPr>
          <w:rFonts w:hint="eastAsia" w:ascii="宋体" w:hAnsi="宋体" w:cs="宋体"/>
          <w:color w:val="000000"/>
          <w:sz w:val="24"/>
        </w:rPr>
        <w:t>单因素评标法一：</w:t>
      </w:r>
    </w:p>
    <w:p>
      <w:pPr>
        <w:tabs>
          <w:tab w:val="left" w:pos="284"/>
          <w:tab w:val="left" w:pos="1080"/>
          <w:tab w:val="left" w:pos="1134"/>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以有效投标文件（有效投标文件是指初步评审合格的投标文件）的评标价（评标价是指经澄清、补正和修正算术计算错误的投标报价）算术平均值为A。当有效投标文件</w:t>
      </w:r>
      <w:r>
        <w:rPr>
          <w:rFonts w:hint="eastAsia" w:ascii="宋体" w:hAnsi="宋体" w:cs="宋体"/>
          <w:b/>
          <w:color w:val="000000"/>
          <w:sz w:val="24"/>
        </w:rPr>
        <w:t>〉</w:t>
      </w:r>
      <w:r>
        <w:rPr>
          <w:rFonts w:hint="eastAsia" w:ascii="宋体" w:hAnsi="宋体" w:cs="宋体"/>
          <w:color w:val="000000"/>
          <w:sz w:val="24"/>
        </w:rPr>
        <w:t>7家时，去掉最高和最低各2家（四舍五入取整，末位投标报价相同的均保留）后进行平均；当有效投标文件</w:t>
      </w:r>
      <w:r>
        <w:rPr>
          <w:rFonts w:hint="eastAsia" w:ascii="宋体" w:hAnsi="宋体" w:cs="宋体"/>
          <w:b/>
          <w:color w:val="000000"/>
          <w:sz w:val="24"/>
        </w:rPr>
        <w:t>=</w:t>
      </w:r>
      <w:r>
        <w:rPr>
          <w:rFonts w:hint="eastAsia" w:ascii="宋体" w:hAnsi="宋体" w:cs="宋体"/>
          <w:color w:val="000000"/>
          <w:sz w:val="24"/>
        </w:rPr>
        <w:t>7家时，去掉最高和最低各1家（四舍五入取整，末位投标报价相同的均保留）后进行平均；当有效投标文件4—6 家时，剔除最高报价（最高报价相同的均剔除）后进行算术平均；当有效投标文件</w:t>
      </w:r>
      <w:r>
        <w:rPr>
          <w:rFonts w:hint="eastAsia" w:ascii="宋体" w:hAnsi="宋体" w:cs="宋体"/>
          <w:b/>
          <w:color w:val="000000"/>
          <w:sz w:val="24"/>
        </w:rPr>
        <w:t>＜</w:t>
      </w:r>
      <w:r>
        <w:rPr>
          <w:rFonts w:hint="eastAsia" w:ascii="宋体" w:hAnsi="宋体" w:cs="宋体"/>
          <w:color w:val="000000"/>
          <w:sz w:val="24"/>
        </w:rPr>
        <w:t>4 家时，则次低报价作为投标平均价A）。评标基准价=A×K，K 值在清标后由投标人推选的代表随机抽取确定，范围为95%、96%、97%、98%。等于评标基准价得最高分（100 分），并以此为基准确定其他投标人的价格得分：投标价格高于该基准价的，每高1%扣0.9 分；投标价格低于该基准价的，每低1%扣0.6 分。[中间用插入法，计算过程及结果保留至小数点后第二位（小数点后第三位四舍五入）]。</w:t>
      </w:r>
    </w:p>
    <w:p>
      <w:bookmarkStart w:id="0" w:name="_GoBack"/>
      <w:bookmarkEnd w:id="0"/>
    </w:p>
    <w:sectPr>
      <w:pgSz w:w="11906" w:h="16838"/>
      <w:pgMar w:top="1304" w:right="1797" w:bottom="96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A2873"/>
    <w:rsid w:val="424F5108"/>
    <w:rsid w:val="44FA2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2019-01-11T08:13:00Z</dcterms:created>
  <dc:creator>卡加拉</dc:creator>
  <cp:lastModifiedBy>卡加拉</cp:lastModifiedBy>
  <dcterms:modified xsi:type="dcterms:W3CDTF">2019-01-11T08:13:42Z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