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pacing w:line="560" w:lineRule="exact"/>
        <w:ind w:right="641" w:firstLine="0"/>
        <w:outlineLvl w:val="1"/>
        <w:rPr>
          <w:rFonts w:eastAsia="黑体"/>
          <w:snapToGrid/>
          <w:kern w:val="2"/>
          <w:szCs w:val="24"/>
        </w:rPr>
      </w:pPr>
      <w:r>
        <w:rPr>
          <w:rFonts w:eastAsia="黑体"/>
          <w:snapToGrid/>
          <w:kern w:val="2"/>
          <w:szCs w:val="24"/>
        </w:rPr>
        <w:t>附</w:t>
      </w:r>
      <w:r>
        <w:rPr>
          <w:rFonts w:hint="eastAsia" w:eastAsia="黑体"/>
          <w:snapToGrid/>
          <w:kern w:val="2"/>
          <w:szCs w:val="24"/>
        </w:rPr>
        <w:t>件</w:t>
      </w:r>
      <w:r>
        <w:rPr>
          <w:rFonts w:eastAsia="黑体"/>
          <w:snapToGrid/>
          <w:kern w:val="2"/>
          <w:szCs w:val="24"/>
        </w:rPr>
        <w:t>1</w:t>
      </w:r>
    </w:p>
    <w:p>
      <w:pPr>
        <w:autoSpaceDE/>
        <w:autoSpaceDN/>
        <w:adjustRightInd w:val="0"/>
        <w:spacing w:line="700" w:lineRule="exact"/>
        <w:ind w:right="641" w:firstLine="0"/>
        <w:jc w:val="center"/>
        <w:outlineLvl w:val="1"/>
        <w:rPr>
          <w:rFonts w:eastAsia="方正小标宋_GBK"/>
          <w:snapToGrid/>
          <w:kern w:val="2"/>
          <w:szCs w:val="24"/>
        </w:rPr>
      </w:pPr>
      <w:r>
        <w:rPr>
          <w:rFonts w:eastAsia="方正小标宋_GBK"/>
          <w:snapToGrid/>
          <w:kern w:val="2"/>
          <w:sz w:val="44"/>
          <w:szCs w:val="44"/>
        </w:rPr>
        <w:t>金坛区2017年“两减六治三提升”专项行动目标任务分解表</w:t>
      </w:r>
    </w:p>
    <w:tbl>
      <w:tblPr>
        <w:tblStyle w:val="13"/>
        <w:tblW w:w="141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3"/>
        <w:gridCol w:w="727"/>
        <w:gridCol w:w="1188"/>
        <w:gridCol w:w="4559"/>
        <w:gridCol w:w="4597"/>
        <w:gridCol w:w="972"/>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Header/>
          <w:jc w:val="center"/>
        </w:trPr>
        <w:tc>
          <w:tcPr>
            <w:tcW w:w="513" w:type="dxa"/>
            <w:vAlign w:val="center"/>
          </w:tcPr>
          <w:p>
            <w:pPr>
              <w:widowControl/>
              <w:autoSpaceDE/>
              <w:autoSpaceDN/>
              <w:spacing w:line="240" w:lineRule="auto"/>
              <w:ind w:firstLine="0"/>
              <w:jc w:val="center"/>
              <w:textAlignment w:val="center"/>
              <w:rPr>
                <w:rFonts w:eastAsia="仿宋_GB2312" w:cs="仿宋_GB2312"/>
                <w:b/>
                <w:bCs/>
                <w:color w:val="000000"/>
                <w:sz w:val="21"/>
                <w:szCs w:val="21"/>
              </w:rPr>
            </w:pPr>
            <w:r>
              <w:rPr>
                <w:rFonts w:hint="eastAsia" w:eastAsia="仿宋_GB2312" w:cs="仿宋_GB2312"/>
                <w:b/>
                <w:bCs/>
                <w:color w:val="000000"/>
                <w:sz w:val="21"/>
                <w:szCs w:val="21"/>
              </w:rPr>
              <w:t>序号</w:t>
            </w:r>
          </w:p>
        </w:tc>
        <w:tc>
          <w:tcPr>
            <w:tcW w:w="727" w:type="dxa"/>
            <w:vAlign w:val="center"/>
          </w:tcPr>
          <w:p>
            <w:pPr>
              <w:widowControl/>
              <w:autoSpaceDE/>
              <w:autoSpaceDN/>
              <w:spacing w:line="240" w:lineRule="auto"/>
              <w:ind w:firstLine="0"/>
              <w:jc w:val="center"/>
              <w:textAlignment w:val="center"/>
              <w:rPr>
                <w:rFonts w:eastAsia="仿宋_GB2312" w:cs="仿宋_GB2312"/>
                <w:b/>
                <w:bCs/>
                <w:color w:val="000000"/>
                <w:sz w:val="21"/>
                <w:szCs w:val="21"/>
              </w:rPr>
            </w:pPr>
            <w:r>
              <w:rPr>
                <w:rFonts w:hint="eastAsia" w:eastAsia="仿宋_GB2312" w:cs="仿宋_GB2312"/>
                <w:b/>
                <w:bCs/>
                <w:color w:val="000000"/>
                <w:sz w:val="21"/>
                <w:szCs w:val="21"/>
              </w:rPr>
              <w:t>专项</w:t>
            </w:r>
          </w:p>
        </w:tc>
        <w:tc>
          <w:tcPr>
            <w:tcW w:w="1188" w:type="dxa"/>
            <w:vAlign w:val="center"/>
          </w:tcPr>
          <w:p>
            <w:pPr>
              <w:widowControl/>
              <w:autoSpaceDE/>
              <w:autoSpaceDN/>
              <w:spacing w:line="240" w:lineRule="auto"/>
              <w:ind w:firstLine="0"/>
              <w:jc w:val="center"/>
              <w:textAlignment w:val="center"/>
              <w:rPr>
                <w:rFonts w:eastAsia="仿宋_GB2312" w:cs="仿宋_GB2312"/>
                <w:b/>
                <w:bCs/>
                <w:color w:val="000000"/>
                <w:sz w:val="21"/>
                <w:szCs w:val="21"/>
              </w:rPr>
            </w:pPr>
            <w:r>
              <w:rPr>
                <w:rFonts w:hint="eastAsia" w:eastAsia="仿宋_GB2312" w:cs="仿宋_GB2312"/>
                <w:b/>
                <w:bCs/>
                <w:color w:val="000000"/>
                <w:sz w:val="21"/>
                <w:szCs w:val="21"/>
              </w:rPr>
              <w:t>项目名称</w:t>
            </w:r>
          </w:p>
        </w:tc>
        <w:tc>
          <w:tcPr>
            <w:tcW w:w="4559" w:type="dxa"/>
            <w:vAlign w:val="center"/>
          </w:tcPr>
          <w:p>
            <w:pPr>
              <w:widowControl/>
              <w:autoSpaceDE/>
              <w:autoSpaceDN/>
              <w:spacing w:line="240" w:lineRule="auto"/>
              <w:ind w:firstLine="422"/>
              <w:jc w:val="center"/>
              <w:textAlignment w:val="center"/>
              <w:rPr>
                <w:rFonts w:eastAsia="仿宋_GB2312" w:cs="仿宋_GB2312"/>
                <w:b/>
                <w:bCs/>
                <w:color w:val="000000"/>
                <w:sz w:val="21"/>
                <w:szCs w:val="21"/>
              </w:rPr>
            </w:pPr>
            <w:r>
              <w:rPr>
                <w:rFonts w:hint="eastAsia" w:eastAsia="仿宋_GB2312" w:cs="仿宋_GB2312"/>
                <w:b/>
                <w:bCs/>
                <w:color w:val="000000"/>
                <w:sz w:val="21"/>
                <w:szCs w:val="21"/>
              </w:rPr>
              <w:t>建设内容及规模</w:t>
            </w:r>
          </w:p>
        </w:tc>
        <w:tc>
          <w:tcPr>
            <w:tcW w:w="4597" w:type="dxa"/>
            <w:vAlign w:val="center"/>
          </w:tcPr>
          <w:p>
            <w:pPr>
              <w:widowControl/>
              <w:autoSpaceDE/>
              <w:autoSpaceDN/>
              <w:spacing w:line="240" w:lineRule="auto"/>
              <w:ind w:firstLine="0"/>
              <w:jc w:val="center"/>
              <w:textAlignment w:val="center"/>
              <w:rPr>
                <w:rFonts w:eastAsia="仿宋_GB2312" w:cs="仿宋_GB2312"/>
                <w:b/>
                <w:bCs/>
                <w:color w:val="000000"/>
                <w:sz w:val="21"/>
                <w:szCs w:val="21"/>
              </w:rPr>
            </w:pPr>
            <w:r>
              <w:rPr>
                <w:rFonts w:hint="eastAsia" w:eastAsia="仿宋_GB2312" w:cs="仿宋_GB2312"/>
                <w:b/>
                <w:bCs/>
                <w:color w:val="000000"/>
                <w:sz w:val="21"/>
                <w:szCs w:val="21"/>
              </w:rPr>
              <w:t>2017年进度要求</w:t>
            </w:r>
          </w:p>
        </w:tc>
        <w:tc>
          <w:tcPr>
            <w:tcW w:w="972" w:type="dxa"/>
            <w:vAlign w:val="center"/>
          </w:tcPr>
          <w:p>
            <w:pPr>
              <w:widowControl/>
              <w:autoSpaceDE/>
              <w:autoSpaceDN/>
              <w:spacing w:line="240" w:lineRule="auto"/>
              <w:ind w:firstLine="0"/>
              <w:jc w:val="center"/>
              <w:textAlignment w:val="center"/>
              <w:rPr>
                <w:rFonts w:eastAsia="仿宋_GB2312" w:cs="仿宋_GB2312"/>
                <w:b/>
                <w:bCs/>
                <w:color w:val="000000"/>
                <w:sz w:val="21"/>
                <w:szCs w:val="21"/>
              </w:rPr>
            </w:pPr>
            <w:r>
              <w:rPr>
                <w:rFonts w:hint="eastAsia" w:eastAsia="仿宋_GB2312" w:cs="仿宋_GB2312"/>
                <w:b/>
                <w:bCs/>
                <w:color w:val="000000"/>
                <w:sz w:val="21"/>
                <w:szCs w:val="21"/>
              </w:rPr>
              <w:t>牵头部门</w:t>
            </w:r>
          </w:p>
        </w:tc>
        <w:tc>
          <w:tcPr>
            <w:tcW w:w="1590" w:type="dxa"/>
            <w:vAlign w:val="center"/>
          </w:tcPr>
          <w:p>
            <w:pPr>
              <w:widowControl/>
              <w:autoSpaceDE/>
              <w:autoSpaceDN/>
              <w:spacing w:line="240" w:lineRule="auto"/>
              <w:ind w:firstLine="0"/>
              <w:jc w:val="center"/>
              <w:textAlignment w:val="center"/>
              <w:rPr>
                <w:rFonts w:eastAsia="仿宋_GB2312" w:cs="仿宋_GB2312"/>
                <w:b/>
                <w:bCs/>
                <w:color w:val="000000"/>
                <w:sz w:val="21"/>
                <w:szCs w:val="21"/>
              </w:rPr>
            </w:pPr>
            <w:r>
              <w:rPr>
                <w:rFonts w:hint="eastAsia" w:eastAsia="仿宋_GB2312" w:cs="仿宋_GB2312"/>
                <w:b/>
                <w:bCs/>
                <w:color w:val="000000"/>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削减煤炭消费总量</w:t>
            </w: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实施热电联产</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2018年底前，大唐国际金坛燃机热电联产项目投产运行。</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年底前初步拟定加怡和大唐热网整合方案，大唐项目完成工程总量的70%（主厂房封闭、厂用电系统受电、汽机台板就位、发电机就位）。</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区发改委</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开发区，区发改委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燃煤锅炉整治</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2018年底前，35蒸吨/小时及以下的燃煤锅炉全部淘汰或实施清洁能源替代。</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年内完成江苏华越毛纺有限公司等11台燃煤锅炉（窑炉）淘汰或清洁能源替代。</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指前镇、直溪镇、金城镇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9"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压减非电行业生产用煤</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削减钢铁、水泥产能，完成上级下达的过剩产能压减计划，在纺织、印染、电镀、机械等传统行业退出一批低端低效产能。</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完成上级下达的过剩产能压减计划。</w:t>
            </w:r>
          </w:p>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年内整体关停江苏柚山建材有限公司。</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color w:val="FF0000"/>
                <w:sz w:val="21"/>
                <w:szCs w:val="21"/>
              </w:rPr>
            </w:pPr>
            <w:r>
              <w:rPr>
                <w:rFonts w:hint="eastAsia" w:eastAsia="仿宋_GB2312" w:cs="仿宋_GB2312"/>
                <w:sz w:val="21"/>
                <w:szCs w:val="21"/>
              </w:rPr>
              <w:t>长荡湖旅游度假区，区经信局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深化节煤改造</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贯彻落实《常州市煤电节能减排升级与改造行动计划（2014-2020年），实施燃煤锅炉节能环保综合提升、工业窑炉煤炭清洁高效利用改造工程。</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年底前完成常宝普莱森钢管有限公司煤气发生炉的技术改造。</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3"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加强散煤管理</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2018年底前，完成扩大高污染燃料禁燃区内的燃烧设施清洁能源替代或淘汰工作。</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3月底前排定工作任务，年底前完成扩大禁燃区内60%高污染燃烧设施清洁能源替代或淘汰工作。</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开发区、金城镇、西城街道，区环保局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1" w:hRule="atLeast"/>
          <w:jc w:val="center"/>
        </w:trPr>
        <w:tc>
          <w:tcPr>
            <w:tcW w:w="513"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发展清洁能源</w:t>
            </w:r>
          </w:p>
        </w:tc>
        <w:tc>
          <w:tcPr>
            <w:tcW w:w="4559" w:type="dxa"/>
            <w:vMerge w:val="restart"/>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2017年完成亿晶20兆瓦渔光互补光伏电站项目。推动50兆瓦压缩空气智能电网储能系统项目的建设规划；低风速发电项目。</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6月底前亿晶20兆瓦渔光互补电站建成并网投运。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直溪镇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2" w:hRule="atLeast"/>
          <w:jc w:val="center"/>
        </w:trPr>
        <w:tc>
          <w:tcPr>
            <w:tcW w:w="513"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Merge w:val="continue"/>
            <w:vAlign w:val="center"/>
          </w:tcPr>
          <w:p>
            <w:pPr>
              <w:widowControl/>
              <w:autoSpaceDE/>
              <w:autoSpaceDN/>
              <w:spacing w:line="240" w:lineRule="auto"/>
              <w:ind w:firstLine="0"/>
              <w:jc w:val="left"/>
              <w:textAlignment w:val="center"/>
              <w:rPr>
                <w:rFonts w:eastAsia="仿宋_GB2312" w:cs="仿宋_GB2312"/>
                <w:sz w:val="21"/>
                <w:szCs w:val="21"/>
              </w:rPr>
            </w:pP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压气蓄能电站年底前争取拿到项目前期工作函；风力发电项目，在相关条件具备的情况下，争取列入国家发改委风力开发计划。</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7</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减少落后化工产能</w:t>
            </w: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化工企业关停搬迁工程</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实施“一企一策”，全面开展化工生产企业“关停一批、转移一批、升级一批和重组一批”专项工程。</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2月底前完成企业基本情况排查，3月底前制定分年度实施计划，2017年完成化工生产企业关停任务的50%。</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区经信局</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相关镇（区、街道），区安监局、环保局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0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8</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危险化学品安全综合治理</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贯彻落实《江苏省危险化学品安全综合治理方案》，强化危险化学品在生产、经营、储存、运输中的安全风险管控。</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启动开展危险化学品安全综合治理，全面排查危化品经营、仓储企业，港口危化品码头及仓储企业，重点排查重大危险源，年底前建立危险化学品安全风险分布档案、危险化学品重大危险源数据库，年内安全综合治理取得阶段性成果。</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相关镇（区、街道），区安监局、交通运输局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9</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化工园区规范化建设</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开展园区规范化建设，落实园区安全环保措施，落实安全卫生防护距离，强化园区基础设施建设。</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6月底前各园区制定环境保护体系规范化建设方案，并按时序进度推进。</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开发区、金城镇，区环保局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10</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治理太湖水环境</w:t>
            </w: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氮磷排放控制</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按流域控制单元总量削减的考核要求制定年度总量控制计划，分解落实任务，排定工程项目。</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3月底前制定年度总量控制计划，年底前完成计划的工程项目。</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8" w:hRule="atLeast"/>
          <w:jc w:val="center"/>
        </w:trPr>
        <w:tc>
          <w:tcPr>
            <w:tcW w:w="513"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11</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降低工业污染负荷</w:t>
            </w:r>
          </w:p>
        </w:tc>
        <w:tc>
          <w:tcPr>
            <w:tcW w:w="4559" w:type="dxa"/>
            <w:vMerge w:val="restart"/>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全面开展化工、电镀、印染等重点行业专项整治。</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5月底前完成排查并制定专项整治方案，年底前完成年度任务。</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区环保局、经信局，相关镇（区、街道）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4" w:hRule="atLeast"/>
          <w:jc w:val="center"/>
        </w:trPr>
        <w:tc>
          <w:tcPr>
            <w:tcW w:w="513"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Merge w:val="continue"/>
            <w:vAlign w:val="center"/>
          </w:tcPr>
          <w:p>
            <w:pPr>
              <w:widowControl/>
              <w:autoSpaceDE/>
              <w:autoSpaceDN/>
              <w:spacing w:line="240" w:lineRule="auto"/>
              <w:ind w:firstLine="0"/>
              <w:jc w:val="left"/>
              <w:textAlignment w:val="center"/>
              <w:rPr>
                <w:rFonts w:eastAsia="仿宋_GB2312" w:cs="仿宋_GB2312"/>
                <w:sz w:val="21"/>
                <w:szCs w:val="21"/>
              </w:rPr>
            </w:pP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收储关闭长荡湖畔及中干河出湖口处江苏柚山建材有限公司、常州市金坛华泰精密铸造有限公司等6家企业。</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长荡湖旅游度假区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0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12</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现有废水直排工业企业须通过接入污水处理厂或升级改造现有污水处理设施等措施。推行工业集聚区企业废水和水污染物纳管总量双控制度。加强污水排放口管理，一个园区（企业）原则上只能设置一个排污口。</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年底前完成现状调查及总任务量的30%。</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13</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船舶污染控制</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完成内河港口及船舶污染物接受转运及处置。</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年底前，完成400吨以上船舶生活污水防治设施改造，完成内河港口和船舶污染物接收转运及处置设施建设方案中建设内容30%以上。</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14</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河流水环境综合整治</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组织实施河流综合整治及重点断面达标行动。</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3月底前制定具体计划，年底前完成年度任务。</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0"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15</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开展重点考核断面上下游2公里范围内的小环境综合整治。</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5月底完成排查并制定整治方案，10月底前完成整治任务。</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59"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16</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2018年底前，完成长荡湖湖区及出入湖河道、迎丰河、湿地区内废旧船舶整治。</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年底前完成协议签订，启动清理处置工作。</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长荡湖旅游度假区，相关镇、街道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17</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2018年底前，完成长荡湖入湖河道综合整治工程，大浦港1085m，白石港1463m，仁河港1006m，庄阳港1316m。</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年底前启动四个港口的整治工作，并完成总任务量30%。</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18</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实现两个“确保”</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长荡湖清淤一期工程。</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3月底前制定具体计划，年底前清淤9.93平方公里，土方173.7万方。</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9"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19</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治理生活垃圾</w:t>
            </w: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生活垃圾分类收集</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到2020年，建成区生活垃圾分类设施覆盖率达到70%,完成建成区分类居住小区79个，单位60个，村庄14个垃圾分类工作。</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3月底前制定具体计划，年底前完成13个居住小区、30个单位、4个村庄的垃圾分类设施建设，完成5个垃圾分类示范小区的建设任务。</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区城管局</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6"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20</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生活垃圾无害化处理</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2020年建成金坛区大件垃圾分拣中心。</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年内启动大件垃圾分拣中心项目建设。</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21</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2020年，建设生活垃圾焚烧发电一期项目占地约180亩，建筑面积约3000平方米，处理规模1000吨/日。选址建设飞灰库项目，占地约20亩，处理规模45吨/日。</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年内完成设计、环评等相关准备工作。</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textAlignment w:val="center"/>
              <w:rPr>
                <w:rFonts w:eastAsia="仿宋_GB2312" w:cs="仿宋_GB2312"/>
                <w:sz w:val="21"/>
                <w:szCs w:val="21"/>
              </w:rPr>
            </w:pPr>
            <w:r>
              <w:rPr>
                <w:rFonts w:hint="eastAsia" w:eastAsia="仿宋_GB2312" w:cs="仿宋_GB2312"/>
                <w:sz w:val="21"/>
                <w:szCs w:val="21"/>
              </w:rPr>
              <w:t>相关镇（区、街道），区城管局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36"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22</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2018年前，完成沈渎生活垃圾卫生填埋场积存的约6万吨渗滤液，转移至有资质处理单位达标处置；作业库区用大于1.5mm HDPE膜整体加盖；建设渗滤液应急调节池。</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3月底前制定具体计划，年内完成填埋场作业库区整体加盖，并建成渗滤液应急调节池。加快渗滤液转移至有资质处理单位达标处置进度。</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金城镇，区城管局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7"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23</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建筑垃圾资源化利用</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2019年，新建200吨/日的建筑垃圾处置场所并正式运行。</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年内完成处置场的项目立项、选址和前期手续。</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区城管局，相关镇（区、街道）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9" w:hRule="atLeast"/>
          <w:jc w:val="center"/>
        </w:trPr>
        <w:tc>
          <w:tcPr>
            <w:tcW w:w="513"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24</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治理黑臭水体</w:t>
            </w: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城镇雨污分流管网建设</w:t>
            </w:r>
          </w:p>
        </w:tc>
        <w:tc>
          <w:tcPr>
            <w:tcW w:w="4559" w:type="dxa"/>
            <w:vMerge w:val="restart"/>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推进城镇雨污分流管网建设，实施合流制排水系统雨污分流改造，加强企事业污水接管及监管；加强控源截污，开展河道排水口专项整治；加快现状排水管网缺陷排查和老旧污水管网改造。</w:t>
            </w:r>
          </w:p>
        </w:tc>
        <w:tc>
          <w:tcPr>
            <w:tcW w:w="4597" w:type="dxa"/>
          </w:tcPr>
          <w:p>
            <w:pPr>
              <w:widowControl/>
              <w:autoSpaceDE/>
              <w:autoSpaceDN/>
              <w:spacing w:line="240" w:lineRule="auto"/>
              <w:ind w:firstLine="0"/>
              <w:textAlignment w:val="center"/>
              <w:rPr>
                <w:rFonts w:eastAsia="仿宋_GB2312" w:cs="仿宋_GB2312"/>
                <w:sz w:val="21"/>
                <w:szCs w:val="21"/>
              </w:rPr>
            </w:pPr>
            <w:r>
              <w:rPr>
                <w:rFonts w:hint="eastAsia" w:eastAsia="仿宋_GB2312" w:cs="仿宋_GB2312"/>
                <w:sz w:val="21"/>
                <w:szCs w:val="21"/>
              </w:rPr>
              <w:t>9月底前完成城市建成区雨污分流改造行动方案编制，并抓紧推进实施。</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513" w:type="dxa"/>
            <w:vMerge w:val="continue"/>
            <w:vAlign w:val="center"/>
          </w:tcPr>
          <w:p>
            <w:pPr>
              <w:widowControl/>
              <w:autoSpaceDE/>
              <w:autoSpaceDN/>
              <w:spacing w:line="240" w:lineRule="auto"/>
              <w:ind w:firstLine="0"/>
              <w:jc w:val="left"/>
              <w:textAlignment w:val="center"/>
            </w:pPr>
          </w:p>
        </w:tc>
        <w:tc>
          <w:tcPr>
            <w:tcW w:w="727" w:type="dxa"/>
            <w:vMerge w:val="continue"/>
            <w:vAlign w:val="center"/>
          </w:tcPr>
          <w:p>
            <w:pPr>
              <w:widowControl/>
              <w:autoSpaceDE/>
              <w:autoSpaceDN/>
              <w:spacing w:line="240" w:lineRule="auto"/>
              <w:ind w:firstLine="0"/>
              <w:jc w:val="left"/>
              <w:textAlignment w:val="center"/>
            </w:pPr>
          </w:p>
        </w:tc>
        <w:tc>
          <w:tcPr>
            <w:tcW w:w="1188" w:type="dxa"/>
            <w:vMerge w:val="continue"/>
            <w:vAlign w:val="center"/>
          </w:tcPr>
          <w:p>
            <w:pPr>
              <w:widowControl/>
              <w:autoSpaceDE/>
              <w:autoSpaceDN/>
              <w:spacing w:line="240" w:lineRule="auto"/>
              <w:ind w:firstLine="0"/>
              <w:jc w:val="left"/>
              <w:textAlignment w:val="center"/>
            </w:pPr>
          </w:p>
        </w:tc>
        <w:tc>
          <w:tcPr>
            <w:tcW w:w="4559" w:type="dxa"/>
            <w:vMerge w:val="continue"/>
            <w:vAlign w:val="center"/>
          </w:tcPr>
          <w:p>
            <w:pPr>
              <w:widowControl/>
              <w:autoSpaceDE/>
              <w:autoSpaceDN/>
              <w:spacing w:line="240" w:lineRule="auto"/>
              <w:ind w:firstLine="0"/>
              <w:jc w:val="left"/>
              <w:textAlignment w:val="center"/>
            </w:pPr>
          </w:p>
        </w:tc>
        <w:tc>
          <w:tcPr>
            <w:tcW w:w="4597" w:type="dxa"/>
          </w:tcPr>
          <w:p>
            <w:pPr>
              <w:widowControl/>
              <w:autoSpaceDE/>
              <w:autoSpaceDN/>
              <w:spacing w:line="240" w:lineRule="auto"/>
              <w:ind w:firstLine="0"/>
              <w:textAlignment w:val="center"/>
              <w:rPr>
                <w:rFonts w:eastAsia="仿宋_GB2312" w:cs="仿宋_GB2312"/>
                <w:sz w:val="21"/>
                <w:szCs w:val="21"/>
              </w:rPr>
            </w:pPr>
            <w:r>
              <w:rPr>
                <w:rFonts w:hint="eastAsia" w:eastAsia="仿宋_GB2312" w:cs="仿宋_GB2312"/>
                <w:sz w:val="21"/>
                <w:szCs w:val="21"/>
              </w:rPr>
              <w:t>9月底前完成开发区和各乡镇雨污分流改造行动方案编制，并抓紧推进实施。</w:t>
            </w:r>
          </w:p>
        </w:tc>
        <w:tc>
          <w:tcPr>
            <w:tcW w:w="972" w:type="dxa"/>
            <w:vMerge w:val="continue"/>
            <w:vAlign w:val="center"/>
          </w:tcPr>
          <w:p>
            <w:pPr>
              <w:widowControl/>
              <w:autoSpaceDE/>
              <w:autoSpaceDN/>
              <w:spacing w:line="240" w:lineRule="auto"/>
              <w:ind w:firstLine="0"/>
              <w:jc w:val="left"/>
              <w:textAlignment w:val="center"/>
              <w:rPr>
                <w:rFonts w:eastAsia="仿宋_GB2312" w:cs="仿宋_GB2312"/>
                <w:color w:val="FF0000"/>
                <w:sz w:val="21"/>
                <w:szCs w:val="21"/>
              </w:rPr>
            </w:pPr>
          </w:p>
        </w:tc>
        <w:tc>
          <w:tcPr>
            <w:tcW w:w="1590" w:type="dxa"/>
            <w:vAlign w:val="center"/>
          </w:tcPr>
          <w:p>
            <w:pPr>
              <w:widowControl/>
              <w:autoSpaceDE/>
              <w:autoSpaceDN/>
              <w:spacing w:line="240" w:lineRule="auto"/>
              <w:ind w:firstLine="0"/>
              <w:jc w:val="left"/>
              <w:textAlignment w:val="center"/>
              <w:rPr>
                <w:rFonts w:eastAsia="仿宋_GB2312" w:cs="仿宋_GB2312"/>
                <w:color w:val="FF0000"/>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4" w:hRule="atLeast"/>
          <w:jc w:val="center"/>
        </w:trPr>
        <w:tc>
          <w:tcPr>
            <w:tcW w:w="513"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25</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Merge w:val="restart"/>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2020年前，新建城镇污水收集管网84公里，完成10个建成区小区内部雨污分流管网改造（长度约30公里）。</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年内新建城区污水收集管网5公里以上，完成3个小区雨污分流改造（长度约6公里）。</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2" w:hRule="atLeast"/>
          <w:jc w:val="center"/>
        </w:trPr>
        <w:tc>
          <w:tcPr>
            <w:tcW w:w="513" w:type="dxa"/>
            <w:vMerge w:val="continue"/>
            <w:vAlign w:val="center"/>
          </w:tcPr>
          <w:p>
            <w:pPr>
              <w:widowControl/>
              <w:autoSpaceDE/>
              <w:autoSpaceDN/>
              <w:spacing w:line="240" w:lineRule="auto"/>
              <w:ind w:firstLine="0"/>
              <w:jc w:val="left"/>
              <w:textAlignment w:val="center"/>
            </w:pPr>
          </w:p>
        </w:tc>
        <w:tc>
          <w:tcPr>
            <w:tcW w:w="727" w:type="dxa"/>
            <w:vMerge w:val="continue"/>
            <w:vAlign w:val="center"/>
          </w:tcPr>
          <w:p>
            <w:pPr>
              <w:widowControl/>
              <w:autoSpaceDE/>
              <w:autoSpaceDN/>
              <w:spacing w:line="240" w:lineRule="auto"/>
              <w:ind w:firstLine="0"/>
              <w:jc w:val="left"/>
              <w:textAlignment w:val="center"/>
            </w:pPr>
          </w:p>
        </w:tc>
        <w:tc>
          <w:tcPr>
            <w:tcW w:w="1188" w:type="dxa"/>
            <w:vMerge w:val="continue"/>
            <w:vAlign w:val="center"/>
          </w:tcPr>
          <w:p>
            <w:pPr>
              <w:widowControl/>
              <w:autoSpaceDE/>
              <w:autoSpaceDN/>
              <w:spacing w:line="240" w:lineRule="auto"/>
              <w:ind w:firstLine="0"/>
              <w:jc w:val="left"/>
              <w:textAlignment w:val="center"/>
            </w:pPr>
          </w:p>
        </w:tc>
        <w:tc>
          <w:tcPr>
            <w:tcW w:w="4559" w:type="dxa"/>
            <w:vMerge w:val="continue"/>
            <w:vAlign w:val="center"/>
          </w:tcPr>
          <w:p>
            <w:pPr>
              <w:widowControl/>
              <w:autoSpaceDE/>
              <w:autoSpaceDN/>
              <w:spacing w:line="240" w:lineRule="auto"/>
              <w:ind w:firstLine="0"/>
              <w:jc w:val="left"/>
              <w:textAlignment w:val="center"/>
            </w:pP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年内新建城镇污水收集管网20公里以上。</w:t>
            </w:r>
          </w:p>
        </w:tc>
        <w:tc>
          <w:tcPr>
            <w:tcW w:w="972" w:type="dxa"/>
            <w:vMerge w:val="continue"/>
            <w:vAlign w:val="center"/>
          </w:tcPr>
          <w:p>
            <w:pPr>
              <w:widowControl/>
              <w:autoSpaceDE/>
              <w:autoSpaceDN/>
              <w:spacing w:line="240" w:lineRule="auto"/>
              <w:ind w:firstLine="0"/>
              <w:jc w:val="left"/>
              <w:textAlignment w:val="center"/>
              <w:rPr>
                <w:rFonts w:eastAsia="仿宋_GB2312" w:cs="仿宋_GB2312"/>
                <w:color w:val="FF0000"/>
                <w:sz w:val="21"/>
                <w:szCs w:val="21"/>
              </w:rPr>
            </w:pPr>
          </w:p>
        </w:tc>
        <w:tc>
          <w:tcPr>
            <w:tcW w:w="1590" w:type="dxa"/>
            <w:vAlign w:val="center"/>
          </w:tcPr>
          <w:p>
            <w:pPr>
              <w:widowControl/>
              <w:autoSpaceDE/>
              <w:autoSpaceDN/>
              <w:spacing w:line="240" w:lineRule="auto"/>
              <w:ind w:firstLine="0"/>
              <w:jc w:val="left"/>
              <w:textAlignment w:val="center"/>
              <w:rPr>
                <w:rFonts w:eastAsia="仿宋_GB2312" w:cs="仿宋_GB2312"/>
                <w:color w:val="FF0000"/>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26</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城镇污水处理设施建设</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第一污水处理有限公司移址新建工程，日处理能力新建4.5万吨/天。</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年内完成前期工作。</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金城镇，区住建委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27</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指前镇污水处理厂建设工程，日处理能力新建0.5万吨/天。</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区住建委，指前镇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5"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28</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农村生活污水治理工程</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到2020年实现规划发展村庄生活污水处理设施覆盖率达90%以上，基本完成撤并乡镇集镇区所在地村庄生活污水治理全覆盖，同步建立村庄生活污水处理设施运行保障机制，已建村庄生活污水处理设施运行率达90%以上。</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年底前，实现规划发展村庄生活污水处理设施覆盖率达50%以上，基本完成撤并乡镇集镇区生活污水处理全覆盖。全区已建村庄生活污水处理设施运行率达80%以上。</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相关镇（区、街道），区住建委、规划局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9" w:hRule="atLeast"/>
          <w:jc w:val="center"/>
        </w:trPr>
        <w:tc>
          <w:tcPr>
            <w:tcW w:w="513" w:type="dxa"/>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29</w:t>
            </w:r>
          </w:p>
        </w:tc>
        <w:tc>
          <w:tcPr>
            <w:tcW w:w="727" w:type="dxa"/>
            <w:vMerge w:val="continue"/>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黑臭水体整治</w:t>
            </w:r>
          </w:p>
        </w:tc>
        <w:tc>
          <w:tcPr>
            <w:tcW w:w="4559" w:type="dxa"/>
            <w:shd w:val="clear" w:color="auto" w:fill="auto"/>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全面排查城乡黑臭水体，建立城乡黑臭水体档案，完成金坛城区3条黑臭河道整治，黑臭水体得到基本消除。</w:t>
            </w:r>
          </w:p>
        </w:tc>
        <w:tc>
          <w:tcPr>
            <w:tcW w:w="4597" w:type="dxa"/>
            <w:shd w:val="clear" w:color="auto" w:fill="auto"/>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6月底前完成所有乡镇黑臭水体整治方案编制，年底前启动城区2条黑臭河道整治工作，完成2条河道清淤、截污工程，完成黑臭水体治理任务的30%。</w:t>
            </w:r>
          </w:p>
        </w:tc>
        <w:tc>
          <w:tcPr>
            <w:tcW w:w="972" w:type="dxa"/>
            <w:vMerge w:val="continue"/>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shd w:val="clear" w:color="auto" w:fill="FFFFFF"/>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30</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水系沟通工程</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水系沟通和清淤工程：到2020年完成24条河道清淤和水系沟通。</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3月底前制定具体计划，年内完成9条河道清淤和沟通。</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5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31</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新孟河延伸拓浚工程（金坛段）：拓浚河道12.68公里；新建、重建、加固跨河桥梁11座；以及水系调整等。</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年底前金坛段先导段完工，金武路大桥完工，河道二标基本完工。</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尧塘街道，区水利局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33"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32</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建立完善长效管护机制</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全面推行“河长制”，切实加强各项管护制度建设，明确“河长制”相关单位职责、养护经费来源，开展绩效评估。</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上半年基本建立“河长制”制度体系，年底全面建立责任明确、协调有序、监管严格、保护有力的“河长制”运行机制。</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43"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33</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治理畜禽污染</w:t>
            </w: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禁养区畜禽养殖场关闭搬迁</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按照2016年出台的整治文件，对已列入禁养区应关闭清单内的畜禽养殖场，以及在新一轮调查中排出的禁养区内确需关闭搬迁的养殖场，加快关闭进度，提高关闭整治质量。</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年内关停取缔列入任务清单的238家畜禽养殖场（户）。关闭在新一轮调查中排出的确需关闭搬迁的养殖场。</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区农林局</w:t>
            </w:r>
          </w:p>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7" w:hRule="atLeast"/>
          <w:jc w:val="center"/>
        </w:trPr>
        <w:tc>
          <w:tcPr>
            <w:tcW w:w="513" w:type="dxa"/>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34</w:t>
            </w:r>
          </w:p>
        </w:tc>
        <w:tc>
          <w:tcPr>
            <w:tcW w:w="727" w:type="dxa"/>
            <w:vMerge w:val="continue"/>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畜禽养殖场治理改造</w:t>
            </w:r>
          </w:p>
        </w:tc>
        <w:tc>
          <w:tcPr>
            <w:tcW w:w="4559" w:type="dxa"/>
            <w:shd w:val="clear" w:color="auto" w:fill="auto"/>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对全区现有养殖场实行拉网式提升改造，到2017年底实现规模养殖场提升全覆盖。到2020年规模化畜禽养殖场治理率达到90%。</w:t>
            </w:r>
          </w:p>
        </w:tc>
        <w:tc>
          <w:tcPr>
            <w:tcW w:w="4597" w:type="dxa"/>
            <w:shd w:val="clear" w:color="auto" w:fill="auto"/>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3月底前制定年度治理方案和实施计划，年底前规模化畜禽养殖场治理率达60%以上。</w:t>
            </w:r>
          </w:p>
        </w:tc>
        <w:tc>
          <w:tcPr>
            <w:tcW w:w="972" w:type="dxa"/>
            <w:vMerge w:val="continue"/>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shd w:val="clear" w:color="auto" w:fill="FFFFFF"/>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35</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规范畜禽养殖行为</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建成病死动物无害化处理中心。</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区农林局，开发区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35"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36</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病死动物无害化处理收集体系病死动物无害化处理收集、贮放、运输体系建立。</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14" w:hRule="atLeast"/>
          <w:jc w:val="center"/>
        </w:trPr>
        <w:tc>
          <w:tcPr>
            <w:tcW w:w="513" w:type="dxa"/>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37</w:t>
            </w:r>
          </w:p>
        </w:tc>
        <w:tc>
          <w:tcPr>
            <w:tcW w:w="727" w:type="dxa"/>
            <w:vMerge w:val="continue"/>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种植业清洁生产</w:t>
            </w:r>
          </w:p>
        </w:tc>
        <w:tc>
          <w:tcPr>
            <w:tcW w:w="4559" w:type="dxa"/>
            <w:shd w:val="clear" w:color="auto" w:fill="auto"/>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推广测土配方施肥、种植绿肥、增施有机肥、绿色防控、统防统治等，2017年实现化肥使用量较2015年下降2%。</w:t>
            </w:r>
          </w:p>
        </w:tc>
        <w:tc>
          <w:tcPr>
            <w:tcW w:w="4597" w:type="dxa"/>
            <w:shd w:val="clear" w:color="auto" w:fill="auto"/>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shd w:val="clear" w:color="auto" w:fill="auto"/>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shd w:val="clear" w:color="auto" w:fill="FFFFFF"/>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5"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38</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开展湖泊网围养殖整治</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开展湖泊网围养殖综合整治，完成长荡湖拆除网围面积1.7万亩。</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年底前完成网围拆除和其他相关工作。</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长荡湖旅游度假区，相关镇（街道）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66"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39</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农业废弃物资源利用及生态循环农业工程</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以提高畜禽规模养殖粪便综合利用率、秸秆回收利用率、农膜等废弃物回收率为主要内容，建设生态循环农业示范点，构建农业废弃物资源化利用服务体系。</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38"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40</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治理挥发性有机物污染</w:t>
            </w: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强制清洁原料替代</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印刷包装、交通工具、机械设备、人造板、家具、船舶制造等行业，全面使用低VOCs含量的涂料、胶黏剂、清洗剂替代原有的有机溶剂。</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相关镇（区、街道），区经信局、环保局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41</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化工园区VOCs集中整治</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2017年，完成培丰化工集中区、盐化工集中区企业集中整治。</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金城镇、开发区，区经信局、环保局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66"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42</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2017年，培丰化工集中区、盐化工集中区建成符合园区排放特征的VOCs监测监控体系，纳入园区监控预警应急系统，并与区环保局联网。</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金城镇、开发区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43</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重点企业VOCs整治</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2017年，完成36家重点化工（医药）企业、5家纺织印染企业VOCs综合整治。</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44</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2017年，完成24家重点化工企业、8家医药企业设备和管阀件LDAR工作，建立企业LDAR信息综合管理平台。</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45</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2018年，全面完成化工行业VOCs综合整治。</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3月底前制定具体计划，年底前完成工作量的50%。</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46</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2019年，完成电子信息、纺织等行业VOCs综合治理。</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3月底前制定具体计划，年底前完成年度任务。</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5"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47</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面源污染防治</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2018年底前，完成全区加油站、储油库、油气运输车辆油气回收升级改造。</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3月底前制定具体计划，年底前完成50%加油站、储油库、油气运输车辆油气回收升级改造工作。</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相关镇（区、街道），区环保局、区发改委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48</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开展餐饮油烟整治。重复投诉的餐饮经营单位必须安装油烟净化在线监控设施，2018年底前与区环保部门联网。</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年底前完成全区重点治理单位餐饮油烟整治工作，以及餐饮经营单位油烟净化在线监控设施等工作任务的50%。</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金城镇、西城街道、开发区，区环保局、城管局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5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49</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开展汽车维修业VOCs治理。</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6月底前制定全区汽车维修业VOCs治理方案，公布重点治理单位名单，年底前完成全区50%汽修行业重点治理单位VOCs整治。</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50</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开展建筑涂料替代。</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制定建成区内建筑内外墙装饰使用低（无）VOCs含量的涂料推广计划，政府投资建设的公用建筑全面使用低（无）VOCs含量的涂料。</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51</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提升VOCs综合管控能力</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2018年，化工、印刷包装、工业涂装等重点管控企业完成VOCs在线监测设施安装与验收。</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年底前完成50%企业的安装与验收。</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7"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52</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环境执法人员配备便携式VOCs检测仪。</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6月底前完成。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9"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53</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治理环境隐患</w:t>
            </w:r>
          </w:p>
        </w:tc>
        <w:tc>
          <w:tcPr>
            <w:tcW w:w="1188" w:type="dxa"/>
            <w:vAlign w:val="center"/>
          </w:tcPr>
          <w:p>
            <w:pPr>
              <w:widowControl/>
              <w:autoSpaceDE/>
              <w:autoSpaceDN/>
              <w:spacing w:line="240" w:lineRule="auto"/>
              <w:ind w:firstLine="0"/>
              <w:jc w:val="center"/>
              <w:textAlignment w:val="center"/>
              <w:rPr>
                <w:rFonts w:eastAsia="仿宋_GB2312" w:cs="仿宋_GB2312"/>
                <w:spacing w:val="14"/>
                <w:sz w:val="21"/>
                <w:szCs w:val="21"/>
              </w:rPr>
            </w:pPr>
            <w:r>
              <w:rPr>
                <w:rFonts w:hint="eastAsia" w:eastAsia="仿宋_GB2312" w:cs="仿宋_GB2312"/>
                <w:spacing w:val="14"/>
                <w:sz w:val="21"/>
                <w:szCs w:val="21"/>
              </w:rPr>
              <w:t>重点环境风险企业环境安全达标建设</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开展环境风险企业环境安全达标建设，重点环境风险企业全入库，较大及以上等级环境风险企业“八查八改”全覆盖。</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年底前重点环境风险企业入库率达50%，较大及以上等级环境风险企业“八查八改”覆盖率达50%。</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2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54</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危险化学品安全标准化达标创建</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推进危险化学品安全标准化达标创建，开展安全隐患排查，提高应急处置救援能力。</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年底前完成危化品企业“红、橙、黄、蓝”安全风险等级划分，完成突发环境事件应急处置物资储备库设置。</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相关镇（区、街道），区安监局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4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55</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集中式饮用水水源地保护</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编制实施水源地达标建设方案，完成保护区划分。保障各水源地保护机构和人员到位，警示标牌、界牌和隔离措施到位，水质在线监测和共享机制建立到位。2017年建成长荡湖水厂深度处理工程。</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0"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56</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提升危险废物处置能力</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对关停化工企业残留的废水、危险废物进行规范化处置。</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57</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2018年前，在全区范围内新建2家危险废物处置单位。</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年底前完成常州润克环保危险废物焚烧处置项目，新增危废处置1.4万吨/年。</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58</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污染土地治理和修复工程</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以重点行业企业用地和农用地为重点，开展土壤污染状况详查。</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按照市统一部署，完成年度土壤污染详查任务。</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0"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59</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重金属污染防控</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完成朱林宏达、唐王五金、白塔电镀3家电镀企业污水处理设施改造。</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6月底前完成。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金城镇、朱林镇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47"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60</w:t>
            </w:r>
          </w:p>
        </w:tc>
        <w:tc>
          <w:tcPr>
            <w:tcW w:w="727"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提升生态保护水平</w:t>
            </w: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提升茅山生态质量</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按照《常州市国家森林城市建设三年行动计划（2017-2019）》，组织实施太湖流域生态公益林建设，2017年实施丘陵岗地等地区森林植被恢复、低产林改造不小于100公顷。确保全区林木覆盖率不低于26.8%。</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区环保局</w:t>
            </w: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相关镇（区、街道），区农林局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61</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开展茅东林场癞痢山宕口地质环境恢复治理工程。编制渚山建筑石料用灰岩矿地质环境恢复治理方案。</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区国土分局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62</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开展石家山森林公园内12户居住户整体搬迁工程，以及秧滩塘水库、白鹭湖环境整治工程。</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茅山旅游度假区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7"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63</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打造生态长荡湖</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开展湖泊岸线调查，编制沿湖港口、码头、排污口及临湖建设项目整治规划。开展护坡地违规使用情况调查工作，建立长效管理制度。</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长荡湖旅游度假区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64</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到2020年完成展长荡湖防洪大堤及环湖道路建设。</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3月底前制定具体计划，年底前完成指前段路堤分离独立防洪大堤建设，长荡湖西路水稳以下工作，以及长荡湖北路便道启动土方、桥涵施工。</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长荡湖旅游度假区，相关镇、街道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8"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65</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在退圩（田）还湖规划实施范围内，开展歇耕约2.6万亩鱼蟹塘和耕地，做好土地补偿及劳力安置工作，启动指前段约500万方土方地形重塑工程。</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长荡湖旅游度假区，相关镇、街道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6"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66</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编制江苏金坛长荡湖国家湿地公园控制性详规。</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pacing w:val="-10"/>
                <w:sz w:val="21"/>
                <w:szCs w:val="21"/>
              </w:rPr>
            </w:pPr>
            <w:r>
              <w:rPr>
                <w:rFonts w:hint="eastAsia" w:eastAsia="仿宋_GB2312" w:cs="仿宋_GB2312"/>
                <w:spacing w:val="-10"/>
                <w:sz w:val="21"/>
                <w:szCs w:val="21"/>
              </w:rPr>
              <w:t>长荡湖旅游度假区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2"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67</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建设长荡湖饮用水水源地物理隔离保护工程，规范制作并树立保护标牌。</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3月底前制定具体计划，年底前完成。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88"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68</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restart"/>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生态绿城建设</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坚持保护为主，实施山水林田湖整体保护，推动生态资产保值增值，按照“生态绿城”2017年目标任务书要求，完成增核、扩绿、连网工程目标任务。</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年内实现增核0.84万亩以上、扩绿150亩以上、连网4公里以上。</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1"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69</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重点打造以钱资湖为核心的滨湖新城生态人居环境，完成钱资湖风光带（一期）及下塘河郊野公园（五期）建设。</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00" w:hRule="atLeast"/>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70</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按照《常州市金坛区“生态绿城”建设2017年目标任务书》要求，完成年度建设任务。</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相关镇（区、街道）和部门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71</w:t>
            </w:r>
          </w:p>
        </w:tc>
        <w:tc>
          <w:tcPr>
            <w:tcW w:w="727"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开展国家生态工业示范园区创建</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编制金坛经济开发区建设国家生态工业示范园区规划。</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left"/>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 xml:space="preserve">    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513"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72</w:t>
            </w:r>
          </w:p>
        </w:tc>
        <w:tc>
          <w:tcPr>
            <w:tcW w:w="727" w:type="dxa"/>
            <w:vAlign w:val="center"/>
          </w:tcPr>
          <w:p>
            <w:pPr>
              <w:widowControl/>
              <w:autoSpaceDE/>
              <w:autoSpaceDN/>
              <w:spacing w:line="240" w:lineRule="auto"/>
              <w:ind w:firstLine="0"/>
              <w:jc w:val="center"/>
              <w:textAlignment w:val="center"/>
              <w:rPr>
                <w:rFonts w:eastAsia="仿宋_GB2312" w:cs="仿宋_GB2312"/>
                <w:sz w:val="21"/>
                <w:szCs w:val="21"/>
              </w:rPr>
            </w:pPr>
          </w:p>
        </w:tc>
        <w:tc>
          <w:tcPr>
            <w:tcW w:w="1188"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严守生态红线和自然湿地保护</w:t>
            </w:r>
          </w:p>
        </w:tc>
        <w:tc>
          <w:tcPr>
            <w:tcW w:w="4559"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完成茅山地区向阳水库水源涵养区、茅东山地水源涵养区、四棚洼生态公益林、方山（金坛）森林公园生态红线保护区内污染源调查与评估工作。</w:t>
            </w:r>
          </w:p>
        </w:tc>
        <w:tc>
          <w:tcPr>
            <w:tcW w:w="4597" w:type="dxa"/>
            <w:vAlign w:val="center"/>
          </w:tcPr>
          <w:p>
            <w:pPr>
              <w:widowControl/>
              <w:autoSpaceDE/>
              <w:autoSpaceDN/>
              <w:spacing w:line="240" w:lineRule="auto"/>
              <w:ind w:firstLine="0"/>
              <w:jc w:val="left"/>
              <w:textAlignment w:val="center"/>
              <w:rPr>
                <w:rFonts w:eastAsia="仿宋_GB2312" w:cs="仿宋_GB2312"/>
                <w:sz w:val="21"/>
                <w:szCs w:val="21"/>
              </w:rPr>
            </w:pPr>
            <w:r>
              <w:rPr>
                <w:rFonts w:hint="eastAsia" w:eastAsia="仿宋_GB2312" w:cs="仿宋_GB2312"/>
                <w:sz w:val="21"/>
                <w:szCs w:val="21"/>
              </w:rPr>
              <w:t>年底前完成。</w:t>
            </w:r>
          </w:p>
        </w:tc>
        <w:tc>
          <w:tcPr>
            <w:tcW w:w="972" w:type="dxa"/>
            <w:vMerge w:val="continue"/>
            <w:vAlign w:val="center"/>
          </w:tcPr>
          <w:p>
            <w:pPr>
              <w:widowControl/>
              <w:autoSpaceDE/>
              <w:autoSpaceDN/>
              <w:spacing w:line="240" w:lineRule="auto"/>
              <w:ind w:firstLine="0"/>
              <w:jc w:val="center"/>
              <w:textAlignment w:val="center"/>
              <w:rPr>
                <w:rFonts w:eastAsia="仿宋_GB2312" w:cs="仿宋_GB2312"/>
                <w:sz w:val="21"/>
                <w:szCs w:val="21"/>
              </w:rPr>
            </w:pPr>
          </w:p>
        </w:tc>
        <w:tc>
          <w:tcPr>
            <w:tcW w:w="1590" w:type="dxa"/>
            <w:vAlign w:val="center"/>
          </w:tcPr>
          <w:p>
            <w:pPr>
              <w:widowControl/>
              <w:autoSpaceDE/>
              <w:autoSpaceDN/>
              <w:spacing w:line="240" w:lineRule="auto"/>
              <w:ind w:firstLine="0"/>
              <w:jc w:val="center"/>
              <w:textAlignment w:val="center"/>
              <w:rPr>
                <w:rFonts w:eastAsia="仿宋_GB2312" w:cs="仿宋_GB2312"/>
                <w:sz w:val="21"/>
                <w:szCs w:val="21"/>
              </w:rPr>
            </w:pPr>
            <w:r>
              <w:rPr>
                <w:rFonts w:hint="eastAsia" w:eastAsia="仿宋_GB2312" w:cs="仿宋_GB2312"/>
                <w:sz w:val="21"/>
                <w:szCs w:val="21"/>
              </w:rPr>
              <w:t>茅山旅游度假区</w:t>
            </w:r>
          </w:p>
        </w:tc>
      </w:tr>
    </w:tbl>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p>
    <w:p>
      <w:pPr>
        <w:autoSpaceDE/>
        <w:autoSpaceDN/>
        <w:adjustRightInd w:val="0"/>
        <w:spacing w:line="240" w:lineRule="auto"/>
        <w:ind w:firstLine="0"/>
        <w:jc w:val="left"/>
        <w:rPr>
          <w:rFonts w:eastAsia="黑体"/>
          <w:bCs/>
          <w:snapToGrid/>
          <w:kern w:val="2"/>
          <w:szCs w:val="32"/>
        </w:rPr>
      </w:pPr>
      <w:r>
        <w:rPr>
          <w:rFonts w:eastAsia="黑体"/>
          <w:bCs/>
          <w:snapToGrid/>
          <w:kern w:val="2"/>
          <w:szCs w:val="32"/>
        </w:rPr>
        <w:t>附</w:t>
      </w:r>
      <w:r>
        <w:rPr>
          <w:rFonts w:hint="eastAsia" w:eastAsia="黑体"/>
          <w:bCs/>
          <w:snapToGrid/>
          <w:kern w:val="2"/>
          <w:szCs w:val="32"/>
        </w:rPr>
        <w:t>件</w:t>
      </w:r>
      <w:r>
        <w:rPr>
          <w:rFonts w:eastAsia="黑体"/>
          <w:bCs/>
          <w:snapToGrid/>
          <w:kern w:val="2"/>
          <w:szCs w:val="32"/>
        </w:rPr>
        <w:t>2</w:t>
      </w:r>
    </w:p>
    <w:p>
      <w:pPr>
        <w:autoSpaceDE/>
        <w:autoSpaceDN/>
        <w:adjustRightInd w:val="0"/>
        <w:spacing w:line="700" w:lineRule="exact"/>
        <w:ind w:firstLine="0"/>
        <w:jc w:val="center"/>
        <w:rPr>
          <w:rFonts w:eastAsia="方正小标宋_GBK"/>
          <w:snapToGrid/>
          <w:kern w:val="2"/>
          <w:sz w:val="44"/>
          <w:szCs w:val="44"/>
        </w:rPr>
      </w:pPr>
      <w:r>
        <w:rPr>
          <w:rFonts w:eastAsia="方正小标宋_GBK"/>
          <w:bCs/>
          <w:snapToGrid/>
          <w:kern w:val="2"/>
          <w:sz w:val="44"/>
          <w:szCs w:val="44"/>
        </w:rPr>
        <w:t>金坛区2017年燃煤锅炉（工业窑炉）整治项目表</w:t>
      </w:r>
    </w:p>
    <w:tbl>
      <w:tblPr>
        <w:tblStyle w:val="13"/>
        <w:tblpPr w:leftFromText="180" w:rightFromText="180" w:vertAnchor="text" w:horzAnchor="page" w:tblpXSpec="center" w:tblpY="274"/>
        <w:tblOverlap w:val="never"/>
        <w:tblW w:w="12440" w:type="dxa"/>
        <w:tblInd w:w="0" w:type="dxa"/>
        <w:tblLayout w:type="fixed"/>
        <w:tblCellMar>
          <w:top w:w="0" w:type="dxa"/>
          <w:left w:w="108" w:type="dxa"/>
          <w:bottom w:w="0" w:type="dxa"/>
          <w:right w:w="108" w:type="dxa"/>
        </w:tblCellMar>
      </w:tblPr>
      <w:tblGrid>
        <w:gridCol w:w="1051"/>
        <w:gridCol w:w="5075"/>
        <w:gridCol w:w="3157"/>
        <w:gridCol w:w="1613"/>
        <w:gridCol w:w="1544"/>
      </w:tblGrid>
      <w:tr>
        <w:tblPrEx>
          <w:tblLayout w:type="fixed"/>
          <w:tblCellMar>
            <w:top w:w="0" w:type="dxa"/>
            <w:left w:w="108" w:type="dxa"/>
            <w:bottom w:w="0" w:type="dxa"/>
            <w:right w:w="108" w:type="dxa"/>
          </w:tblCellMar>
        </w:tblPrEx>
        <w:trPr>
          <w:trHeight w:val="90" w:hRule="atLeast"/>
        </w:trPr>
        <w:tc>
          <w:tcPr>
            <w:tcW w:w="1051"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b/>
                <w:bCs/>
                <w:snapToGrid/>
                <w:kern w:val="2"/>
                <w:szCs w:val="32"/>
              </w:rPr>
            </w:pPr>
            <w:r>
              <w:rPr>
                <w:rFonts w:hAnsi="仿宋_GB2312" w:eastAsia="仿宋_GB2312"/>
                <w:b/>
                <w:bCs/>
                <w:snapToGrid/>
                <w:kern w:val="2"/>
                <w:szCs w:val="32"/>
              </w:rPr>
              <w:t>序号</w:t>
            </w:r>
          </w:p>
        </w:tc>
        <w:tc>
          <w:tcPr>
            <w:tcW w:w="5075" w:type="dxa"/>
            <w:tcBorders>
              <w:top w:val="single" w:color="auto" w:sz="4" w:space="0"/>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b/>
                <w:bCs/>
                <w:snapToGrid/>
                <w:kern w:val="2"/>
                <w:szCs w:val="32"/>
              </w:rPr>
            </w:pPr>
            <w:r>
              <w:rPr>
                <w:rFonts w:hAnsi="仿宋_GB2312" w:eastAsia="仿宋_GB2312"/>
                <w:b/>
                <w:bCs/>
                <w:snapToGrid/>
                <w:kern w:val="2"/>
                <w:szCs w:val="32"/>
              </w:rPr>
              <w:t>单位</w:t>
            </w:r>
          </w:p>
        </w:tc>
        <w:tc>
          <w:tcPr>
            <w:tcW w:w="3157" w:type="dxa"/>
            <w:tcBorders>
              <w:top w:val="single" w:color="auto" w:sz="4" w:space="0"/>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b/>
                <w:bCs/>
                <w:snapToGrid/>
                <w:kern w:val="2"/>
                <w:szCs w:val="32"/>
              </w:rPr>
            </w:pPr>
            <w:r>
              <w:rPr>
                <w:rFonts w:hAnsi="仿宋_GB2312" w:eastAsia="仿宋_GB2312"/>
                <w:b/>
                <w:bCs/>
                <w:snapToGrid/>
                <w:kern w:val="2"/>
                <w:szCs w:val="32"/>
              </w:rPr>
              <w:t>蒸吨数</w:t>
            </w:r>
          </w:p>
        </w:tc>
        <w:tc>
          <w:tcPr>
            <w:tcW w:w="3157" w:type="dxa"/>
            <w:gridSpan w:val="2"/>
            <w:tcBorders>
              <w:top w:val="single" w:color="auto" w:sz="4" w:space="0"/>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b/>
                <w:bCs/>
                <w:snapToGrid/>
                <w:kern w:val="2"/>
                <w:szCs w:val="32"/>
              </w:rPr>
            </w:pPr>
            <w:r>
              <w:rPr>
                <w:rFonts w:eastAsia="仿宋_GB2312"/>
                <w:b/>
                <w:bCs/>
                <w:snapToGrid/>
                <w:kern w:val="2"/>
                <w:szCs w:val="32"/>
              </w:rPr>
              <w:t>2016</w:t>
            </w:r>
            <w:r>
              <w:rPr>
                <w:rFonts w:hAnsi="仿宋_GB2312" w:eastAsia="仿宋_GB2312"/>
                <w:b/>
                <w:bCs/>
                <w:snapToGrid/>
                <w:kern w:val="2"/>
                <w:szCs w:val="32"/>
              </w:rPr>
              <w:t>年原煤消费量（吨）</w:t>
            </w:r>
          </w:p>
        </w:tc>
      </w:tr>
      <w:tr>
        <w:tblPrEx>
          <w:tblLayout w:type="fixed"/>
          <w:tblCellMar>
            <w:top w:w="0" w:type="dxa"/>
            <w:left w:w="108" w:type="dxa"/>
            <w:bottom w:w="0" w:type="dxa"/>
            <w:right w:w="108" w:type="dxa"/>
          </w:tblCellMar>
        </w:tblPrEx>
        <w:trPr>
          <w:trHeight w:val="113" w:hRule="atLeast"/>
        </w:trPr>
        <w:tc>
          <w:tcPr>
            <w:tcW w:w="1051"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1</w:t>
            </w:r>
          </w:p>
        </w:tc>
        <w:tc>
          <w:tcPr>
            <w:tcW w:w="5075" w:type="dxa"/>
            <w:tcBorders>
              <w:top w:val="single" w:color="auto" w:sz="4" w:space="0"/>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江苏健尔康医用敷料有限公司</w:t>
            </w:r>
          </w:p>
        </w:tc>
        <w:tc>
          <w:tcPr>
            <w:tcW w:w="3157" w:type="dxa"/>
            <w:tcBorders>
              <w:top w:val="single" w:color="auto" w:sz="4" w:space="0"/>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6</w:t>
            </w:r>
          </w:p>
        </w:tc>
        <w:tc>
          <w:tcPr>
            <w:tcW w:w="1613" w:type="dxa"/>
            <w:vMerge w:val="restart"/>
            <w:tcBorders>
              <w:top w:val="single" w:color="auto" w:sz="4" w:space="0"/>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11535</w:t>
            </w:r>
          </w:p>
        </w:tc>
        <w:tc>
          <w:tcPr>
            <w:tcW w:w="1544" w:type="dxa"/>
            <w:vMerge w:val="restart"/>
            <w:tcBorders>
              <w:top w:val="single" w:color="auto" w:sz="4" w:space="0"/>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32117</w:t>
            </w:r>
          </w:p>
        </w:tc>
      </w:tr>
      <w:tr>
        <w:tblPrEx>
          <w:tblLayout w:type="fixed"/>
          <w:tblCellMar>
            <w:top w:w="0" w:type="dxa"/>
            <w:left w:w="108" w:type="dxa"/>
            <w:bottom w:w="0" w:type="dxa"/>
            <w:right w:w="108" w:type="dxa"/>
          </w:tblCellMar>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2</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江苏省健尔康医用敷料有限公司</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10</w:t>
            </w:r>
          </w:p>
        </w:tc>
        <w:tc>
          <w:tcPr>
            <w:tcW w:w="1613" w:type="dxa"/>
            <w:vMerge w:val="continue"/>
            <w:tcBorders>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Layout w:type="fixed"/>
          <w:tblCellMar>
            <w:top w:w="0" w:type="dxa"/>
            <w:left w:w="108" w:type="dxa"/>
            <w:bottom w:w="0" w:type="dxa"/>
            <w:right w:w="108" w:type="dxa"/>
          </w:tblCellMar>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3</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金坛区健尔康卫生材料有限公司</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4</w:t>
            </w:r>
          </w:p>
        </w:tc>
        <w:tc>
          <w:tcPr>
            <w:tcW w:w="1613" w:type="dxa"/>
            <w:vMerge w:val="continue"/>
            <w:tcBorders>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Layout w:type="fixed"/>
          <w:tblCellMar>
            <w:top w:w="0" w:type="dxa"/>
            <w:left w:w="108" w:type="dxa"/>
            <w:bottom w:w="0" w:type="dxa"/>
            <w:right w:w="108" w:type="dxa"/>
          </w:tblCellMar>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4</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江苏华越毛纺有限公司</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10</w:t>
            </w:r>
          </w:p>
        </w:tc>
        <w:tc>
          <w:tcPr>
            <w:tcW w:w="1613" w:type="dxa"/>
            <w:vMerge w:val="restart"/>
            <w:tcBorders>
              <w:top w:val="single" w:color="auto" w:sz="4" w:space="0"/>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19965</w:t>
            </w: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Layout w:type="fixed"/>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5</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江苏金标毛纺有限公司</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6</w:t>
            </w:r>
          </w:p>
        </w:tc>
        <w:tc>
          <w:tcPr>
            <w:tcW w:w="1613" w:type="dxa"/>
            <w:vMerge w:val="continue"/>
            <w:tcBorders>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Layout w:type="fixed"/>
          <w:tblCellMar>
            <w:top w:w="0" w:type="dxa"/>
            <w:left w:w="108" w:type="dxa"/>
            <w:bottom w:w="0" w:type="dxa"/>
            <w:right w:w="108" w:type="dxa"/>
          </w:tblCellMar>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6</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江苏苏标纺织有限公司</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3.4</w:t>
            </w:r>
          </w:p>
        </w:tc>
        <w:tc>
          <w:tcPr>
            <w:tcW w:w="1613" w:type="dxa"/>
            <w:vMerge w:val="continue"/>
            <w:tcBorders>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Layout w:type="fixed"/>
          <w:tblCellMar>
            <w:top w:w="0" w:type="dxa"/>
            <w:left w:w="108" w:type="dxa"/>
            <w:bottom w:w="0" w:type="dxa"/>
            <w:right w:w="108" w:type="dxa"/>
          </w:tblCellMar>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7</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金坛恒利精纺有限公司</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2</w:t>
            </w:r>
          </w:p>
        </w:tc>
        <w:tc>
          <w:tcPr>
            <w:tcW w:w="1613" w:type="dxa"/>
            <w:vMerge w:val="continue"/>
            <w:tcBorders>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Layout w:type="fixed"/>
          <w:tblCellMar>
            <w:top w:w="0" w:type="dxa"/>
            <w:left w:w="108" w:type="dxa"/>
            <w:bottom w:w="0" w:type="dxa"/>
            <w:right w:w="108" w:type="dxa"/>
          </w:tblCellMar>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8</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金坛卿卿针织厂</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4</w:t>
            </w:r>
          </w:p>
        </w:tc>
        <w:tc>
          <w:tcPr>
            <w:tcW w:w="1613" w:type="dxa"/>
            <w:vMerge w:val="continue"/>
            <w:tcBorders>
              <w:left w:val="nil"/>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Layout w:type="fixed"/>
          <w:tblCellMar>
            <w:top w:w="0" w:type="dxa"/>
            <w:left w:w="108" w:type="dxa"/>
            <w:bottom w:w="0" w:type="dxa"/>
            <w:right w:w="108" w:type="dxa"/>
          </w:tblCellMar>
        </w:tblPrEx>
        <w:trPr>
          <w:trHeight w:val="113" w:hRule="atLeast"/>
        </w:trPr>
        <w:tc>
          <w:tcPr>
            <w:tcW w:w="1051" w:type="dxa"/>
            <w:tcBorders>
              <w:top w:val="nil"/>
              <w:left w:val="single" w:color="auto" w:sz="4" w:space="0"/>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9</w:t>
            </w:r>
          </w:p>
        </w:tc>
        <w:tc>
          <w:tcPr>
            <w:tcW w:w="5075"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rPr>
                <w:rFonts w:eastAsia="仿宋_GB2312"/>
                <w:snapToGrid/>
                <w:kern w:val="2"/>
                <w:szCs w:val="32"/>
              </w:rPr>
            </w:pPr>
            <w:r>
              <w:rPr>
                <w:rFonts w:hAnsi="仿宋_GB2312" w:eastAsia="仿宋_GB2312"/>
                <w:snapToGrid/>
                <w:kern w:val="2"/>
                <w:szCs w:val="32"/>
              </w:rPr>
              <w:t>金坛卿卿针织厂</w:t>
            </w:r>
          </w:p>
        </w:tc>
        <w:tc>
          <w:tcPr>
            <w:tcW w:w="3157" w:type="dxa"/>
            <w:tcBorders>
              <w:top w:val="nil"/>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r>
              <w:rPr>
                <w:rFonts w:eastAsia="仿宋_GB2312"/>
                <w:snapToGrid/>
                <w:kern w:val="2"/>
                <w:szCs w:val="32"/>
              </w:rPr>
              <w:t>10</w:t>
            </w:r>
          </w:p>
        </w:tc>
        <w:tc>
          <w:tcPr>
            <w:tcW w:w="1613" w:type="dxa"/>
            <w:vMerge w:val="continue"/>
            <w:tcBorders>
              <w:left w:val="nil"/>
              <w:bottom w:val="single" w:color="auto" w:sz="4" w:space="0"/>
              <w:right w:val="single" w:color="auto" w:sz="4" w:space="0"/>
            </w:tcBorders>
            <w:vAlign w:val="center"/>
          </w:tcPr>
          <w:p>
            <w:pPr>
              <w:widowControl/>
              <w:autoSpaceDE/>
              <w:autoSpaceDN/>
              <w:adjustRightInd w:val="0"/>
              <w:snapToGrid/>
              <w:spacing w:line="240" w:lineRule="auto"/>
              <w:ind w:firstLine="0"/>
              <w:jc w:val="center"/>
              <w:rPr>
                <w:rFonts w:eastAsia="仿宋_GB2312"/>
                <w:snapToGrid/>
                <w:kern w:val="2"/>
                <w:szCs w:val="32"/>
              </w:rPr>
            </w:pPr>
          </w:p>
        </w:tc>
        <w:tc>
          <w:tcPr>
            <w:tcW w:w="1544" w:type="dxa"/>
            <w:vMerge w:val="continue"/>
            <w:tcBorders>
              <w:left w:val="nil"/>
              <w:right w:val="single" w:color="auto" w:sz="4" w:space="0"/>
            </w:tcBorders>
            <w:vAlign w:val="center"/>
          </w:tcPr>
          <w:p>
            <w:pPr>
              <w:widowControl/>
              <w:autoSpaceDE/>
              <w:autoSpaceDN/>
              <w:adjustRightInd w:val="0"/>
              <w:snapToGrid/>
              <w:spacing w:line="240" w:lineRule="auto"/>
              <w:ind w:firstLine="0"/>
              <w:rPr>
                <w:rFonts w:eastAsia="黑体"/>
                <w:snapToGrid/>
                <w:kern w:val="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51" w:type="dxa"/>
            <w:vAlign w:val="center"/>
          </w:tcPr>
          <w:p>
            <w:pPr>
              <w:autoSpaceDE/>
              <w:autoSpaceDN/>
              <w:adjustRightInd w:val="0"/>
              <w:spacing w:line="240" w:lineRule="auto"/>
              <w:ind w:firstLine="0"/>
              <w:jc w:val="center"/>
              <w:rPr>
                <w:rFonts w:eastAsia="仿宋_GB2312"/>
                <w:snapToGrid/>
                <w:kern w:val="2"/>
                <w:szCs w:val="32"/>
              </w:rPr>
            </w:pPr>
            <w:r>
              <w:rPr>
                <w:rFonts w:eastAsia="仿宋_GB2312"/>
                <w:snapToGrid/>
                <w:kern w:val="2"/>
                <w:szCs w:val="32"/>
              </w:rPr>
              <w:t>10</w:t>
            </w:r>
          </w:p>
        </w:tc>
        <w:tc>
          <w:tcPr>
            <w:tcW w:w="5075" w:type="dxa"/>
            <w:vAlign w:val="center"/>
          </w:tcPr>
          <w:p>
            <w:pPr>
              <w:autoSpaceDE/>
              <w:autoSpaceDN/>
              <w:adjustRightInd w:val="0"/>
              <w:spacing w:line="240" w:lineRule="auto"/>
              <w:ind w:firstLine="0"/>
              <w:rPr>
                <w:rFonts w:eastAsia="仿宋_GB2312"/>
                <w:snapToGrid/>
                <w:kern w:val="2"/>
                <w:szCs w:val="32"/>
              </w:rPr>
            </w:pPr>
            <w:r>
              <w:rPr>
                <w:rFonts w:hAnsi="仿宋_GB2312" w:eastAsia="仿宋_GB2312"/>
                <w:snapToGrid/>
                <w:kern w:val="2"/>
                <w:szCs w:val="32"/>
              </w:rPr>
              <w:t>金坛区金城国良五金加工厂</w:t>
            </w:r>
          </w:p>
        </w:tc>
        <w:tc>
          <w:tcPr>
            <w:tcW w:w="3157" w:type="dxa"/>
            <w:vAlign w:val="center"/>
          </w:tcPr>
          <w:p>
            <w:pPr>
              <w:autoSpaceDE/>
              <w:autoSpaceDN/>
              <w:adjustRightInd w:val="0"/>
              <w:spacing w:line="240" w:lineRule="auto"/>
              <w:ind w:firstLine="0"/>
              <w:jc w:val="center"/>
              <w:rPr>
                <w:rFonts w:eastAsia="仿宋_GB2312"/>
                <w:snapToGrid/>
                <w:color w:val="000000"/>
                <w:kern w:val="2"/>
                <w:szCs w:val="32"/>
              </w:rPr>
            </w:pPr>
            <w:r>
              <w:rPr>
                <w:rFonts w:hAnsi="仿宋_GB2312" w:eastAsia="仿宋_GB2312"/>
                <w:snapToGrid/>
                <w:color w:val="000000"/>
                <w:kern w:val="2"/>
                <w:szCs w:val="32"/>
              </w:rPr>
              <w:t>非标杆炉</w:t>
            </w:r>
          </w:p>
          <w:p>
            <w:pPr>
              <w:autoSpaceDE/>
              <w:autoSpaceDN/>
              <w:adjustRightInd w:val="0"/>
              <w:spacing w:line="240" w:lineRule="auto"/>
              <w:ind w:firstLine="0"/>
              <w:jc w:val="center"/>
              <w:rPr>
                <w:rFonts w:eastAsia="仿宋_GB2312"/>
                <w:snapToGrid/>
                <w:color w:val="000000"/>
                <w:kern w:val="2"/>
                <w:szCs w:val="32"/>
              </w:rPr>
            </w:pPr>
            <w:r>
              <w:rPr>
                <w:rFonts w:hAnsi="仿宋_GB2312" w:eastAsia="仿宋_GB2312"/>
                <w:snapToGrid/>
                <w:color w:val="000000"/>
                <w:kern w:val="2"/>
                <w:szCs w:val="32"/>
              </w:rPr>
              <w:t>（</w:t>
            </w:r>
            <w:r>
              <w:rPr>
                <w:rFonts w:eastAsia="仿宋_GB2312"/>
                <w:snapToGrid/>
                <w:color w:val="000000"/>
                <w:kern w:val="2"/>
                <w:szCs w:val="32"/>
              </w:rPr>
              <w:t>180</w:t>
            </w:r>
            <w:r>
              <w:rPr>
                <w:rFonts w:hAnsi="仿宋_GB2312" w:eastAsia="仿宋_GB2312"/>
                <w:snapToGrid/>
                <w:color w:val="000000"/>
                <w:kern w:val="2"/>
                <w:szCs w:val="32"/>
              </w:rPr>
              <w:t>万大卡</w:t>
            </w:r>
            <w:r>
              <w:rPr>
                <w:rFonts w:eastAsia="仿宋_GB2312"/>
                <w:snapToGrid/>
                <w:color w:val="000000"/>
                <w:kern w:val="2"/>
                <w:szCs w:val="32"/>
              </w:rPr>
              <w:t>/</w:t>
            </w:r>
            <w:r>
              <w:rPr>
                <w:rFonts w:hAnsi="仿宋_GB2312" w:eastAsia="仿宋_GB2312"/>
                <w:snapToGrid/>
                <w:color w:val="000000"/>
                <w:kern w:val="2"/>
                <w:szCs w:val="32"/>
              </w:rPr>
              <w:t>小时）</w:t>
            </w:r>
          </w:p>
        </w:tc>
        <w:tc>
          <w:tcPr>
            <w:tcW w:w="1613" w:type="dxa"/>
            <w:vMerge w:val="restart"/>
            <w:vAlign w:val="center"/>
          </w:tcPr>
          <w:p>
            <w:pPr>
              <w:autoSpaceDE/>
              <w:autoSpaceDN/>
              <w:adjustRightInd w:val="0"/>
              <w:spacing w:line="240" w:lineRule="auto"/>
              <w:ind w:firstLine="0"/>
              <w:jc w:val="center"/>
              <w:rPr>
                <w:rFonts w:eastAsia="仿宋_GB2312"/>
                <w:snapToGrid/>
                <w:kern w:val="2"/>
                <w:szCs w:val="32"/>
              </w:rPr>
            </w:pPr>
            <w:r>
              <w:rPr>
                <w:rFonts w:eastAsia="仿宋_GB2312"/>
                <w:snapToGrid/>
                <w:kern w:val="2"/>
                <w:szCs w:val="32"/>
              </w:rPr>
              <w:t>677</w:t>
            </w:r>
          </w:p>
        </w:tc>
        <w:tc>
          <w:tcPr>
            <w:tcW w:w="1544" w:type="dxa"/>
            <w:vMerge w:val="continue"/>
            <w:tcBorders>
              <w:right w:val="single" w:color="auto" w:sz="4" w:space="0"/>
            </w:tcBorders>
            <w:vAlign w:val="center"/>
          </w:tcPr>
          <w:p>
            <w:pPr>
              <w:autoSpaceDE/>
              <w:autoSpaceDN/>
              <w:adjustRightInd w:val="0"/>
              <w:ind w:firstLine="0"/>
              <w:rPr>
                <w:rFonts w:eastAsia="黑体"/>
                <w:snapToGrid/>
                <w:kern w:val="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051"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11</w:t>
            </w:r>
          </w:p>
        </w:tc>
        <w:tc>
          <w:tcPr>
            <w:tcW w:w="5075" w:type="dxa"/>
            <w:vAlign w:val="center"/>
          </w:tcPr>
          <w:p>
            <w:pPr>
              <w:autoSpaceDE/>
              <w:autoSpaceDN/>
              <w:adjustRightInd w:val="0"/>
              <w:ind w:firstLine="0"/>
              <w:rPr>
                <w:rFonts w:eastAsia="仿宋_GB2312"/>
                <w:snapToGrid/>
                <w:kern w:val="2"/>
                <w:szCs w:val="32"/>
              </w:rPr>
            </w:pPr>
            <w:r>
              <w:rPr>
                <w:rFonts w:hAnsi="仿宋_GB2312" w:eastAsia="仿宋_GB2312"/>
                <w:snapToGrid/>
                <w:color w:val="000000"/>
                <w:kern w:val="2"/>
                <w:szCs w:val="32"/>
              </w:rPr>
              <w:t>金坛区金指机械制造有限公司</w:t>
            </w:r>
          </w:p>
        </w:tc>
        <w:tc>
          <w:tcPr>
            <w:tcW w:w="3157" w:type="dxa"/>
            <w:vAlign w:val="center"/>
          </w:tcPr>
          <w:p>
            <w:pPr>
              <w:autoSpaceDE/>
              <w:autoSpaceDN/>
              <w:adjustRightInd w:val="0"/>
              <w:ind w:firstLine="0"/>
              <w:jc w:val="center"/>
              <w:rPr>
                <w:rFonts w:eastAsia="仿宋_GB2312"/>
                <w:snapToGrid/>
                <w:kern w:val="2"/>
                <w:szCs w:val="32"/>
              </w:rPr>
            </w:pPr>
            <w:r>
              <w:rPr>
                <w:rFonts w:eastAsia="仿宋_GB2312"/>
                <w:snapToGrid/>
                <w:color w:val="000000"/>
                <w:kern w:val="2"/>
                <w:szCs w:val="32"/>
              </w:rPr>
              <w:t>5t/h</w:t>
            </w:r>
            <w:r>
              <w:rPr>
                <w:rFonts w:hAnsi="仿宋_GB2312" w:eastAsia="仿宋_GB2312"/>
                <w:snapToGrid/>
                <w:color w:val="000000"/>
                <w:kern w:val="2"/>
                <w:szCs w:val="32"/>
              </w:rPr>
              <w:t>冲天炉</w:t>
            </w:r>
          </w:p>
        </w:tc>
        <w:tc>
          <w:tcPr>
            <w:tcW w:w="1613" w:type="dxa"/>
            <w:vMerge w:val="continue"/>
            <w:vAlign w:val="center"/>
          </w:tcPr>
          <w:p>
            <w:pPr>
              <w:autoSpaceDE/>
              <w:autoSpaceDN/>
              <w:adjustRightInd w:val="0"/>
              <w:ind w:firstLine="0"/>
              <w:rPr>
                <w:rFonts w:eastAsia="黑体"/>
                <w:snapToGrid/>
                <w:kern w:val="2"/>
                <w:szCs w:val="32"/>
              </w:rPr>
            </w:pPr>
          </w:p>
        </w:tc>
        <w:tc>
          <w:tcPr>
            <w:tcW w:w="1544" w:type="dxa"/>
            <w:vMerge w:val="continue"/>
            <w:tcBorders>
              <w:bottom w:val="single" w:color="auto" w:sz="4" w:space="0"/>
              <w:right w:val="single" w:color="auto" w:sz="4" w:space="0"/>
            </w:tcBorders>
            <w:vAlign w:val="center"/>
          </w:tcPr>
          <w:p>
            <w:pPr>
              <w:autoSpaceDE/>
              <w:autoSpaceDN/>
              <w:adjustRightInd w:val="0"/>
              <w:ind w:firstLine="0"/>
              <w:rPr>
                <w:rFonts w:eastAsia="黑体"/>
                <w:snapToGrid/>
                <w:kern w:val="2"/>
                <w:szCs w:val="32"/>
              </w:rPr>
            </w:pPr>
          </w:p>
        </w:tc>
      </w:tr>
    </w:tbl>
    <w:p>
      <w:pPr>
        <w:autoSpaceDE/>
        <w:autoSpaceDN/>
        <w:adjustRightInd w:val="0"/>
        <w:spacing w:line="240" w:lineRule="auto"/>
        <w:ind w:firstLine="0"/>
        <w:jc w:val="left"/>
        <w:rPr>
          <w:rFonts w:eastAsia="仿宋_GB2312" w:cs="仿宋_GB2312"/>
          <w:snapToGrid/>
          <w:kern w:val="2"/>
          <w:sz w:val="28"/>
          <w:szCs w:val="28"/>
        </w:rPr>
      </w:pPr>
      <w:r>
        <w:rPr>
          <w:rFonts w:hint="eastAsia" w:eastAsia="仿宋_GB2312" w:cs="仿宋_GB2312"/>
          <w:snapToGrid/>
          <w:kern w:val="2"/>
          <w:sz w:val="28"/>
          <w:szCs w:val="28"/>
        </w:rPr>
        <w:t xml:space="preserve">       </w:t>
      </w:r>
    </w:p>
    <w:p>
      <w:pPr>
        <w:autoSpaceDE/>
        <w:autoSpaceDN/>
        <w:adjustRightInd w:val="0"/>
        <w:ind w:firstLine="0"/>
        <w:rPr>
          <w:snapToGrid/>
          <w:kern w:val="2"/>
          <w:sz w:val="28"/>
          <w:szCs w:val="28"/>
        </w:rPr>
      </w:pPr>
    </w:p>
    <w:p>
      <w:pPr>
        <w:autoSpaceDE/>
        <w:autoSpaceDN/>
        <w:adjustRightInd w:val="0"/>
        <w:spacing w:line="240" w:lineRule="auto"/>
        <w:ind w:firstLine="0"/>
        <w:jc w:val="left"/>
        <w:rPr>
          <w:rFonts w:eastAsia="仿宋_GB2312" w:cs="仿宋_GB2312"/>
          <w:snapToGrid/>
          <w:kern w:val="2"/>
          <w:sz w:val="28"/>
          <w:szCs w:val="28"/>
        </w:rPr>
      </w:pPr>
    </w:p>
    <w:p>
      <w:pPr>
        <w:autoSpaceDE/>
        <w:autoSpaceDN/>
        <w:adjustRightInd w:val="0"/>
        <w:spacing w:line="240" w:lineRule="auto"/>
        <w:ind w:firstLine="0"/>
        <w:jc w:val="left"/>
        <w:rPr>
          <w:rFonts w:eastAsia="仿宋_GB2312" w:cs="仿宋_GB2312"/>
          <w:snapToGrid/>
          <w:kern w:val="2"/>
          <w:sz w:val="28"/>
          <w:szCs w:val="28"/>
        </w:rPr>
      </w:pPr>
    </w:p>
    <w:p>
      <w:pPr>
        <w:autoSpaceDE/>
        <w:autoSpaceDN/>
        <w:adjustRightInd w:val="0"/>
        <w:spacing w:line="240" w:lineRule="auto"/>
        <w:ind w:firstLine="0"/>
        <w:jc w:val="left"/>
        <w:rPr>
          <w:rFonts w:eastAsia="仿宋_GB2312" w:cs="仿宋_GB2312"/>
          <w:snapToGrid/>
          <w:kern w:val="2"/>
          <w:sz w:val="28"/>
          <w:szCs w:val="28"/>
        </w:rPr>
      </w:pPr>
    </w:p>
    <w:p>
      <w:pPr>
        <w:autoSpaceDE/>
        <w:autoSpaceDN/>
        <w:adjustRightInd w:val="0"/>
        <w:ind w:firstLine="0"/>
        <w:rPr>
          <w:rFonts w:eastAsia="仿宋_GB2312" w:cs="仿宋_GB2312"/>
          <w:snapToGrid/>
          <w:kern w:val="2"/>
          <w:sz w:val="28"/>
          <w:szCs w:val="28"/>
        </w:rPr>
      </w:pPr>
    </w:p>
    <w:p>
      <w:pPr>
        <w:autoSpaceDE/>
        <w:autoSpaceDN/>
        <w:adjustRightInd w:val="0"/>
        <w:ind w:firstLine="0"/>
        <w:rPr>
          <w:rFonts w:eastAsia="仿宋_GB2312" w:cs="仿宋_GB2312"/>
          <w:snapToGrid/>
          <w:kern w:val="2"/>
          <w:sz w:val="28"/>
          <w:szCs w:val="28"/>
        </w:rPr>
      </w:pPr>
    </w:p>
    <w:p>
      <w:pPr>
        <w:autoSpaceDE/>
        <w:autoSpaceDN/>
        <w:adjustRightInd w:val="0"/>
        <w:ind w:firstLine="0"/>
        <w:rPr>
          <w:rFonts w:eastAsia="仿宋_GB2312" w:cs="仿宋_GB2312"/>
          <w:snapToGrid/>
          <w:kern w:val="2"/>
          <w:sz w:val="28"/>
          <w:szCs w:val="28"/>
        </w:rPr>
      </w:pPr>
    </w:p>
    <w:p>
      <w:pPr>
        <w:autoSpaceDE/>
        <w:autoSpaceDN/>
        <w:adjustRightInd w:val="0"/>
        <w:ind w:firstLine="0"/>
        <w:rPr>
          <w:rFonts w:eastAsia="仿宋_GB2312" w:cs="仿宋_GB2312"/>
          <w:snapToGrid/>
          <w:kern w:val="2"/>
          <w:sz w:val="28"/>
          <w:szCs w:val="28"/>
        </w:rPr>
      </w:pPr>
    </w:p>
    <w:p>
      <w:pPr>
        <w:autoSpaceDE/>
        <w:autoSpaceDN/>
        <w:adjustRightInd w:val="0"/>
        <w:ind w:firstLine="0"/>
        <w:rPr>
          <w:rFonts w:eastAsia="仿宋_GB2312" w:cs="仿宋_GB2312"/>
          <w:snapToGrid/>
          <w:kern w:val="2"/>
          <w:sz w:val="28"/>
          <w:szCs w:val="28"/>
        </w:rPr>
      </w:pPr>
    </w:p>
    <w:p>
      <w:pPr>
        <w:autoSpaceDE/>
        <w:autoSpaceDN/>
        <w:adjustRightInd w:val="0"/>
        <w:ind w:firstLine="0"/>
        <w:rPr>
          <w:rFonts w:eastAsia="仿宋_GB2312" w:cs="仿宋_GB2312"/>
          <w:snapToGrid/>
          <w:kern w:val="2"/>
          <w:sz w:val="28"/>
          <w:szCs w:val="28"/>
        </w:rPr>
      </w:pPr>
    </w:p>
    <w:p>
      <w:pPr>
        <w:autoSpaceDE/>
        <w:autoSpaceDN/>
        <w:adjustRightInd w:val="0"/>
        <w:ind w:firstLine="0"/>
        <w:rPr>
          <w:rFonts w:eastAsia="仿宋_GB2312" w:cs="仿宋_GB2312"/>
          <w:snapToGrid/>
          <w:kern w:val="2"/>
          <w:sz w:val="28"/>
          <w:szCs w:val="28"/>
        </w:rPr>
      </w:pPr>
    </w:p>
    <w:p>
      <w:pPr>
        <w:autoSpaceDE/>
        <w:autoSpaceDN/>
        <w:adjustRightInd w:val="0"/>
        <w:ind w:firstLine="0"/>
        <w:jc w:val="left"/>
        <w:rPr>
          <w:rFonts w:eastAsia="仿宋_GB2312" w:cs="仿宋_GB2312"/>
          <w:snapToGrid/>
          <w:kern w:val="2"/>
          <w:sz w:val="28"/>
          <w:szCs w:val="28"/>
        </w:rPr>
      </w:pPr>
    </w:p>
    <w:p>
      <w:pPr>
        <w:autoSpaceDE/>
        <w:autoSpaceDN/>
        <w:adjustRightInd w:val="0"/>
        <w:ind w:firstLine="0"/>
        <w:jc w:val="left"/>
        <w:rPr>
          <w:rFonts w:eastAsia="仿宋_GB2312" w:cs="仿宋_GB2312"/>
          <w:snapToGrid/>
          <w:kern w:val="2"/>
          <w:sz w:val="28"/>
          <w:szCs w:val="28"/>
        </w:rPr>
        <w:sectPr>
          <w:headerReference r:id="rId3" w:type="default"/>
          <w:footerReference r:id="rId5" w:type="default"/>
          <w:headerReference r:id="rId4" w:type="even"/>
          <w:footerReference r:id="rId6" w:type="even"/>
          <w:pgSz w:w="16838" w:h="11906" w:orient="landscape"/>
          <w:pgMar w:top="1418" w:right="1531" w:bottom="1418" w:left="1531" w:header="851" w:footer="992" w:gutter="0"/>
          <w:cols w:space="720" w:num="1"/>
          <w:docGrid w:type="linesAndChars" w:linePitch="435" w:charSpace="0"/>
        </w:sectPr>
      </w:pPr>
    </w:p>
    <w:p>
      <w:pPr>
        <w:autoSpaceDE/>
        <w:autoSpaceDN/>
        <w:adjustRightInd w:val="0"/>
        <w:ind w:firstLine="0"/>
        <w:jc w:val="left"/>
        <w:rPr>
          <w:rFonts w:eastAsia="黑体"/>
          <w:bCs/>
          <w:snapToGrid/>
          <w:kern w:val="2"/>
          <w:szCs w:val="32"/>
        </w:rPr>
      </w:pPr>
      <w:r>
        <w:rPr>
          <w:rFonts w:eastAsia="黑体"/>
          <w:bCs/>
          <w:snapToGrid/>
          <w:kern w:val="2"/>
          <w:szCs w:val="32"/>
        </w:rPr>
        <w:t>附</w:t>
      </w:r>
      <w:r>
        <w:rPr>
          <w:rFonts w:hint="eastAsia" w:eastAsia="黑体"/>
          <w:bCs/>
          <w:snapToGrid/>
          <w:kern w:val="2"/>
          <w:szCs w:val="32"/>
        </w:rPr>
        <w:t>件</w:t>
      </w:r>
      <w:r>
        <w:rPr>
          <w:rFonts w:eastAsia="黑体"/>
          <w:bCs/>
          <w:snapToGrid/>
          <w:kern w:val="2"/>
          <w:szCs w:val="32"/>
        </w:rPr>
        <w:t>3</w:t>
      </w:r>
    </w:p>
    <w:p>
      <w:pPr>
        <w:autoSpaceDE/>
        <w:autoSpaceDN/>
        <w:adjustRightInd w:val="0"/>
        <w:spacing w:before="100" w:beforeAutospacing="1" w:after="100" w:afterAutospacing="1" w:line="700" w:lineRule="exact"/>
        <w:ind w:firstLine="0"/>
        <w:jc w:val="center"/>
        <w:rPr>
          <w:rFonts w:ascii="方正小标宋_GBK" w:hAnsi="仿宋_GB2312" w:eastAsia="方正小标宋_GBK" w:cs="仿宋_GB2312"/>
          <w:bCs/>
          <w:snapToGrid/>
          <w:kern w:val="2"/>
          <w:sz w:val="44"/>
          <w:szCs w:val="44"/>
        </w:rPr>
      </w:pPr>
      <w:r>
        <w:rPr>
          <w:rFonts w:hint="eastAsia" w:ascii="方正小标宋_GBK" w:hAnsi="仿宋_GB2312" w:eastAsia="方正小标宋_GBK" w:cs="仿宋_GB2312"/>
          <w:bCs/>
          <w:snapToGrid/>
          <w:kern w:val="2"/>
          <w:sz w:val="44"/>
          <w:szCs w:val="44"/>
        </w:rPr>
        <w:t>金坛区</w:t>
      </w:r>
      <w:r>
        <w:rPr>
          <w:rFonts w:eastAsia="方正小标宋_GBK"/>
          <w:bCs/>
          <w:snapToGrid/>
          <w:kern w:val="2"/>
          <w:sz w:val="44"/>
          <w:szCs w:val="44"/>
        </w:rPr>
        <w:t>2017</w:t>
      </w:r>
      <w:r>
        <w:rPr>
          <w:rFonts w:hint="eastAsia" w:ascii="方正小标宋_GBK" w:hAnsi="仿宋_GB2312" w:eastAsia="方正小标宋_GBK" w:cs="仿宋_GB2312"/>
          <w:bCs/>
          <w:snapToGrid/>
          <w:kern w:val="2"/>
          <w:sz w:val="44"/>
          <w:szCs w:val="44"/>
        </w:rPr>
        <w:t>年化工企业关停任务分解表</w:t>
      </w:r>
    </w:p>
    <w:tbl>
      <w:tblPr>
        <w:tblStyle w:val="13"/>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645"/>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1474" w:type="dxa"/>
            <w:vAlign w:val="center"/>
          </w:tcPr>
          <w:p>
            <w:pPr>
              <w:autoSpaceDE/>
              <w:autoSpaceDN/>
              <w:adjustRightInd w:val="0"/>
              <w:ind w:firstLine="0"/>
              <w:jc w:val="center"/>
              <w:rPr>
                <w:rFonts w:eastAsia="仿宋_GB2312"/>
                <w:b/>
                <w:bCs/>
                <w:snapToGrid/>
                <w:kern w:val="2"/>
                <w:szCs w:val="32"/>
              </w:rPr>
            </w:pPr>
            <w:r>
              <w:rPr>
                <w:rFonts w:hAnsi="仿宋_GB2312" w:eastAsia="仿宋_GB2312"/>
                <w:b/>
                <w:bCs/>
                <w:snapToGrid/>
                <w:kern w:val="2"/>
                <w:szCs w:val="32"/>
              </w:rPr>
              <w:t>序号</w:t>
            </w:r>
          </w:p>
        </w:tc>
        <w:tc>
          <w:tcPr>
            <w:tcW w:w="3645" w:type="dxa"/>
            <w:vAlign w:val="center"/>
          </w:tcPr>
          <w:p>
            <w:pPr>
              <w:autoSpaceDE/>
              <w:autoSpaceDN/>
              <w:adjustRightInd w:val="0"/>
              <w:ind w:firstLine="0"/>
              <w:jc w:val="center"/>
              <w:rPr>
                <w:rFonts w:eastAsia="仿宋_GB2312"/>
                <w:b/>
                <w:bCs/>
                <w:snapToGrid/>
                <w:kern w:val="2"/>
                <w:szCs w:val="32"/>
              </w:rPr>
            </w:pPr>
            <w:r>
              <w:rPr>
                <w:rFonts w:hAnsi="仿宋_GB2312" w:eastAsia="仿宋_GB2312"/>
                <w:b/>
                <w:bCs/>
                <w:snapToGrid/>
                <w:kern w:val="2"/>
                <w:szCs w:val="32"/>
              </w:rPr>
              <w:t>镇（区、街道）</w:t>
            </w:r>
          </w:p>
        </w:tc>
        <w:tc>
          <w:tcPr>
            <w:tcW w:w="3041" w:type="dxa"/>
            <w:vAlign w:val="center"/>
          </w:tcPr>
          <w:p>
            <w:pPr>
              <w:autoSpaceDE/>
              <w:autoSpaceDN/>
              <w:adjustRightInd w:val="0"/>
              <w:ind w:firstLine="0"/>
              <w:jc w:val="center"/>
              <w:rPr>
                <w:rFonts w:eastAsia="仿宋_GB2312"/>
                <w:b/>
                <w:bCs/>
                <w:snapToGrid/>
                <w:kern w:val="2"/>
                <w:szCs w:val="32"/>
              </w:rPr>
            </w:pPr>
            <w:r>
              <w:rPr>
                <w:rFonts w:hAnsi="仿宋_GB2312" w:eastAsia="仿宋_GB2312"/>
                <w:b/>
                <w:bCs/>
                <w:snapToGrid/>
                <w:kern w:val="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1474"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1</w:t>
            </w:r>
          </w:p>
        </w:tc>
        <w:tc>
          <w:tcPr>
            <w:tcW w:w="3645" w:type="dxa"/>
            <w:vAlign w:val="center"/>
          </w:tcPr>
          <w:p>
            <w:pPr>
              <w:autoSpaceDE/>
              <w:autoSpaceDN/>
              <w:adjustRightInd w:val="0"/>
              <w:ind w:firstLine="0"/>
              <w:jc w:val="center"/>
              <w:rPr>
                <w:rFonts w:eastAsia="仿宋_GB2312"/>
                <w:snapToGrid/>
                <w:kern w:val="2"/>
                <w:szCs w:val="32"/>
              </w:rPr>
            </w:pPr>
            <w:r>
              <w:rPr>
                <w:rFonts w:hAnsi="仿宋_GB2312" w:eastAsia="仿宋_GB2312"/>
                <w:snapToGrid/>
                <w:kern w:val="2"/>
                <w:szCs w:val="32"/>
              </w:rPr>
              <w:t>开发区</w:t>
            </w:r>
          </w:p>
        </w:tc>
        <w:tc>
          <w:tcPr>
            <w:tcW w:w="3041"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3</w:t>
            </w:r>
            <w:r>
              <w:rPr>
                <w:rFonts w:hAnsi="仿宋_GB2312" w:eastAsia="仿宋_GB2312"/>
                <w:snapToGrid/>
                <w:kern w:val="2"/>
                <w:szCs w:val="32"/>
              </w:rPr>
              <w:t>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1474"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2</w:t>
            </w:r>
          </w:p>
        </w:tc>
        <w:tc>
          <w:tcPr>
            <w:tcW w:w="3645" w:type="dxa"/>
            <w:vAlign w:val="center"/>
          </w:tcPr>
          <w:p>
            <w:pPr>
              <w:autoSpaceDE/>
              <w:autoSpaceDN/>
              <w:adjustRightInd w:val="0"/>
              <w:ind w:firstLine="0"/>
              <w:jc w:val="center"/>
              <w:rPr>
                <w:rFonts w:eastAsia="仿宋_GB2312"/>
                <w:snapToGrid/>
                <w:kern w:val="2"/>
                <w:szCs w:val="32"/>
              </w:rPr>
            </w:pPr>
            <w:r>
              <w:rPr>
                <w:rFonts w:hAnsi="仿宋_GB2312" w:eastAsia="仿宋_GB2312"/>
                <w:snapToGrid/>
                <w:kern w:val="2"/>
                <w:szCs w:val="32"/>
              </w:rPr>
              <w:t>金城镇</w:t>
            </w:r>
          </w:p>
        </w:tc>
        <w:tc>
          <w:tcPr>
            <w:tcW w:w="3041"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3</w:t>
            </w:r>
            <w:r>
              <w:rPr>
                <w:rFonts w:hAnsi="仿宋_GB2312" w:eastAsia="仿宋_GB2312"/>
                <w:snapToGrid/>
                <w:kern w:val="2"/>
                <w:szCs w:val="32"/>
              </w:rPr>
              <w:t>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1474"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3</w:t>
            </w:r>
          </w:p>
        </w:tc>
        <w:tc>
          <w:tcPr>
            <w:tcW w:w="3645" w:type="dxa"/>
            <w:vAlign w:val="center"/>
          </w:tcPr>
          <w:p>
            <w:pPr>
              <w:autoSpaceDE/>
              <w:autoSpaceDN/>
              <w:adjustRightInd w:val="0"/>
              <w:ind w:firstLine="0"/>
              <w:jc w:val="center"/>
              <w:rPr>
                <w:rFonts w:eastAsia="仿宋_GB2312"/>
                <w:snapToGrid/>
                <w:kern w:val="2"/>
                <w:szCs w:val="32"/>
              </w:rPr>
            </w:pPr>
            <w:r>
              <w:rPr>
                <w:rFonts w:hAnsi="仿宋_GB2312" w:eastAsia="仿宋_GB2312"/>
                <w:snapToGrid/>
                <w:kern w:val="2"/>
                <w:szCs w:val="32"/>
              </w:rPr>
              <w:t>直溪镇</w:t>
            </w:r>
          </w:p>
        </w:tc>
        <w:tc>
          <w:tcPr>
            <w:tcW w:w="3041"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2</w:t>
            </w:r>
            <w:r>
              <w:rPr>
                <w:rFonts w:hAnsi="仿宋_GB2312" w:eastAsia="仿宋_GB2312"/>
                <w:snapToGrid/>
                <w:kern w:val="2"/>
                <w:szCs w:val="32"/>
              </w:rPr>
              <w:t>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1474"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5</w:t>
            </w:r>
          </w:p>
        </w:tc>
        <w:tc>
          <w:tcPr>
            <w:tcW w:w="3645" w:type="dxa"/>
            <w:vAlign w:val="center"/>
          </w:tcPr>
          <w:p>
            <w:pPr>
              <w:autoSpaceDE/>
              <w:autoSpaceDN/>
              <w:adjustRightInd w:val="0"/>
              <w:ind w:firstLine="0"/>
              <w:jc w:val="center"/>
              <w:rPr>
                <w:rFonts w:eastAsia="仿宋_GB2312"/>
                <w:snapToGrid/>
                <w:kern w:val="2"/>
                <w:szCs w:val="32"/>
              </w:rPr>
            </w:pPr>
            <w:r>
              <w:rPr>
                <w:rFonts w:hAnsi="仿宋_GB2312" w:eastAsia="仿宋_GB2312"/>
                <w:snapToGrid/>
                <w:kern w:val="2"/>
                <w:szCs w:val="32"/>
              </w:rPr>
              <w:t>西城街道</w:t>
            </w:r>
          </w:p>
        </w:tc>
        <w:tc>
          <w:tcPr>
            <w:tcW w:w="3041"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1</w:t>
            </w:r>
            <w:r>
              <w:rPr>
                <w:rFonts w:hAnsi="仿宋_GB2312" w:eastAsia="仿宋_GB2312"/>
                <w:snapToGrid/>
                <w:kern w:val="2"/>
                <w:szCs w:val="32"/>
              </w:rPr>
              <w:t>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70" w:hRule="atLeast"/>
          <w:jc w:val="center"/>
        </w:trPr>
        <w:tc>
          <w:tcPr>
            <w:tcW w:w="1474"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6</w:t>
            </w:r>
          </w:p>
        </w:tc>
        <w:tc>
          <w:tcPr>
            <w:tcW w:w="3645" w:type="dxa"/>
            <w:vAlign w:val="center"/>
          </w:tcPr>
          <w:p>
            <w:pPr>
              <w:autoSpaceDE/>
              <w:autoSpaceDN/>
              <w:adjustRightInd w:val="0"/>
              <w:ind w:firstLine="0"/>
              <w:jc w:val="center"/>
              <w:rPr>
                <w:rFonts w:eastAsia="仿宋_GB2312"/>
                <w:snapToGrid/>
                <w:kern w:val="2"/>
                <w:szCs w:val="32"/>
              </w:rPr>
            </w:pPr>
            <w:r>
              <w:rPr>
                <w:rFonts w:hAnsi="仿宋_GB2312" w:eastAsia="仿宋_GB2312"/>
                <w:snapToGrid/>
                <w:kern w:val="2"/>
                <w:szCs w:val="32"/>
              </w:rPr>
              <w:t>儒林</w:t>
            </w:r>
            <w:r>
              <w:rPr>
                <w:rFonts w:hint="eastAsia" w:hAnsi="仿宋_GB2312" w:eastAsia="仿宋_GB2312"/>
                <w:snapToGrid/>
                <w:kern w:val="2"/>
                <w:szCs w:val="32"/>
              </w:rPr>
              <w:t>镇</w:t>
            </w:r>
          </w:p>
        </w:tc>
        <w:tc>
          <w:tcPr>
            <w:tcW w:w="3041" w:type="dxa"/>
            <w:vAlign w:val="center"/>
          </w:tcPr>
          <w:p>
            <w:pPr>
              <w:autoSpaceDE/>
              <w:autoSpaceDN/>
              <w:adjustRightInd w:val="0"/>
              <w:ind w:firstLine="0"/>
              <w:jc w:val="center"/>
              <w:rPr>
                <w:rFonts w:eastAsia="仿宋_GB2312"/>
                <w:snapToGrid/>
                <w:kern w:val="2"/>
                <w:szCs w:val="32"/>
              </w:rPr>
            </w:pPr>
            <w:r>
              <w:rPr>
                <w:rFonts w:eastAsia="仿宋_GB2312"/>
                <w:snapToGrid/>
                <w:kern w:val="2"/>
                <w:szCs w:val="32"/>
              </w:rPr>
              <w:t>1</w:t>
            </w:r>
            <w:r>
              <w:rPr>
                <w:rFonts w:hAnsi="仿宋_GB2312" w:eastAsia="仿宋_GB2312"/>
                <w:snapToGrid/>
                <w:kern w:val="2"/>
                <w:szCs w:val="32"/>
              </w:rPr>
              <w:t>家以上</w:t>
            </w:r>
          </w:p>
        </w:tc>
      </w:tr>
    </w:tbl>
    <w:p>
      <w:pPr>
        <w:autoSpaceDE/>
        <w:autoSpaceDN/>
        <w:adjustRightInd w:val="0"/>
        <w:ind w:firstLine="0"/>
        <w:jc w:val="left"/>
        <w:rPr>
          <w:rFonts w:eastAsia="仿宋_GB2312" w:cs="仿宋_GB2312"/>
          <w:snapToGrid/>
          <w:kern w:val="2"/>
          <w:sz w:val="28"/>
          <w:szCs w:val="28"/>
        </w:rPr>
      </w:pPr>
      <w:r>
        <w:rPr>
          <w:rFonts w:hint="eastAsia" w:eastAsia="仿宋_GB2312" w:cs="仿宋_GB2312"/>
          <w:snapToGrid/>
          <w:kern w:val="2"/>
          <w:sz w:val="28"/>
          <w:szCs w:val="28"/>
        </w:rPr>
        <w:t xml:space="preserve"> </w:t>
      </w:r>
    </w:p>
    <w:p>
      <w:pPr>
        <w:autoSpaceDE/>
        <w:autoSpaceDN/>
        <w:adjustRightInd w:val="0"/>
        <w:ind w:firstLine="0"/>
        <w:jc w:val="left"/>
        <w:rPr>
          <w:rFonts w:eastAsia="仿宋_GB2312" w:cs="仿宋_GB2312"/>
          <w:snapToGrid/>
          <w:kern w:val="2"/>
          <w:sz w:val="28"/>
          <w:szCs w:val="28"/>
        </w:rPr>
      </w:pPr>
    </w:p>
    <w:p>
      <w:pPr>
        <w:autoSpaceDE/>
        <w:autoSpaceDN/>
        <w:adjustRightInd w:val="0"/>
        <w:ind w:firstLine="0"/>
        <w:jc w:val="left"/>
        <w:rPr>
          <w:rFonts w:eastAsia="仿宋_GB2312" w:cs="仿宋_GB2312"/>
          <w:snapToGrid/>
          <w:kern w:val="2"/>
          <w:sz w:val="28"/>
          <w:szCs w:val="28"/>
        </w:rPr>
      </w:pPr>
    </w:p>
    <w:p>
      <w:pPr>
        <w:autoSpaceDE/>
        <w:autoSpaceDN/>
        <w:adjustRightInd w:val="0"/>
        <w:spacing w:line="560" w:lineRule="atLeast"/>
        <w:ind w:firstLine="0"/>
        <w:jc w:val="left"/>
        <w:rPr>
          <w:rFonts w:eastAsia="黑体"/>
          <w:bCs/>
          <w:snapToGrid/>
          <w:kern w:val="2"/>
          <w:szCs w:val="32"/>
        </w:rPr>
      </w:pPr>
      <w:r>
        <w:rPr>
          <w:rFonts w:eastAsia="黑体"/>
          <w:bCs/>
          <w:snapToGrid/>
          <w:kern w:val="2"/>
          <w:szCs w:val="32"/>
        </w:rPr>
        <w:t>附</w:t>
      </w:r>
      <w:r>
        <w:rPr>
          <w:rFonts w:hint="eastAsia" w:eastAsia="黑体"/>
          <w:bCs/>
          <w:snapToGrid/>
          <w:kern w:val="2"/>
          <w:szCs w:val="32"/>
        </w:rPr>
        <w:t>件</w:t>
      </w:r>
      <w:r>
        <w:rPr>
          <w:rFonts w:eastAsia="黑体"/>
          <w:bCs/>
          <w:snapToGrid/>
          <w:kern w:val="2"/>
          <w:szCs w:val="32"/>
        </w:rPr>
        <w:t>4</w:t>
      </w:r>
    </w:p>
    <w:p>
      <w:pPr>
        <w:autoSpaceDE/>
        <w:autoSpaceDN/>
        <w:adjustRightInd w:val="0"/>
        <w:spacing w:line="560" w:lineRule="atLeast"/>
        <w:ind w:firstLine="0"/>
        <w:jc w:val="center"/>
        <w:rPr>
          <w:rFonts w:eastAsia="方正小标宋_GBK"/>
          <w:bCs/>
          <w:snapToGrid/>
          <w:kern w:val="2"/>
          <w:szCs w:val="32"/>
        </w:rPr>
      </w:pPr>
      <w:r>
        <w:rPr>
          <w:rFonts w:eastAsia="方正小标宋_GBK"/>
          <w:bCs/>
          <w:snapToGrid/>
          <w:kern w:val="2"/>
          <w:sz w:val="44"/>
          <w:szCs w:val="44"/>
        </w:rPr>
        <w:t>金坛区2017年VOCs整治企业名单表</w:t>
      </w:r>
    </w:p>
    <w:tbl>
      <w:tblPr>
        <w:tblStyle w:val="13"/>
        <w:tblW w:w="9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5020"/>
        <w:gridCol w:w="156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ascii="仿宋_GB2312" w:eastAsia="仿宋_GB2312" w:cs="仿宋_GB2312"/>
                <w:b/>
                <w:bCs/>
                <w:snapToGrid/>
                <w:kern w:val="2"/>
                <w:szCs w:val="32"/>
              </w:rPr>
            </w:pPr>
            <w:r>
              <w:rPr>
                <w:rFonts w:hint="eastAsia" w:ascii="仿宋_GB2312" w:eastAsia="仿宋_GB2312" w:cs="仿宋_GB2312"/>
                <w:b/>
                <w:bCs/>
                <w:snapToGrid/>
                <w:kern w:val="2"/>
                <w:szCs w:val="32"/>
              </w:rPr>
              <w:t>序号</w:t>
            </w:r>
          </w:p>
        </w:tc>
        <w:tc>
          <w:tcPr>
            <w:tcW w:w="5020" w:type="dxa"/>
            <w:vAlign w:val="center"/>
          </w:tcPr>
          <w:p>
            <w:pPr>
              <w:autoSpaceDE/>
              <w:autoSpaceDN/>
              <w:adjustRightInd w:val="0"/>
              <w:spacing w:line="500" w:lineRule="exact"/>
              <w:ind w:firstLine="0"/>
              <w:jc w:val="center"/>
              <w:rPr>
                <w:rFonts w:ascii="仿宋_GB2312" w:eastAsia="仿宋_GB2312" w:cs="仿宋_GB2312"/>
                <w:b/>
                <w:bCs/>
                <w:snapToGrid/>
                <w:kern w:val="2"/>
                <w:szCs w:val="32"/>
              </w:rPr>
            </w:pPr>
            <w:r>
              <w:rPr>
                <w:rFonts w:hint="eastAsia" w:ascii="仿宋_GB2312" w:eastAsia="仿宋_GB2312" w:cs="仿宋_GB2312"/>
                <w:b/>
                <w:bCs/>
                <w:snapToGrid/>
                <w:kern w:val="2"/>
                <w:szCs w:val="32"/>
              </w:rPr>
              <w:t>企业名称</w:t>
            </w:r>
          </w:p>
        </w:tc>
        <w:tc>
          <w:tcPr>
            <w:tcW w:w="1560" w:type="dxa"/>
            <w:vAlign w:val="center"/>
          </w:tcPr>
          <w:p>
            <w:pPr>
              <w:autoSpaceDE/>
              <w:autoSpaceDN/>
              <w:adjustRightInd w:val="0"/>
              <w:spacing w:line="500" w:lineRule="exact"/>
              <w:ind w:firstLine="0"/>
              <w:jc w:val="center"/>
              <w:rPr>
                <w:rFonts w:ascii="仿宋_GB2312" w:eastAsia="仿宋_GB2312" w:cs="仿宋_GB2312"/>
                <w:b/>
                <w:bCs/>
                <w:snapToGrid/>
                <w:kern w:val="2"/>
                <w:szCs w:val="32"/>
              </w:rPr>
            </w:pPr>
            <w:r>
              <w:rPr>
                <w:rFonts w:hint="eastAsia" w:ascii="仿宋_GB2312" w:eastAsia="仿宋_GB2312" w:cs="仿宋_GB2312"/>
                <w:b/>
                <w:bCs/>
                <w:snapToGrid/>
                <w:kern w:val="2"/>
                <w:szCs w:val="32"/>
              </w:rPr>
              <w:t>属地</w:t>
            </w:r>
          </w:p>
        </w:tc>
        <w:tc>
          <w:tcPr>
            <w:tcW w:w="1833" w:type="dxa"/>
            <w:vAlign w:val="center"/>
          </w:tcPr>
          <w:p>
            <w:pPr>
              <w:autoSpaceDE/>
              <w:autoSpaceDN/>
              <w:adjustRightInd w:val="0"/>
              <w:spacing w:line="500" w:lineRule="exact"/>
              <w:ind w:firstLine="0"/>
              <w:jc w:val="center"/>
              <w:rPr>
                <w:rFonts w:ascii="仿宋_GB2312" w:eastAsia="仿宋_GB2312" w:cs="仿宋_GB2312"/>
                <w:b/>
                <w:bCs/>
                <w:snapToGrid/>
                <w:kern w:val="2"/>
                <w:szCs w:val="32"/>
              </w:rPr>
            </w:pPr>
            <w:r>
              <w:rPr>
                <w:rFonts w:hint="eastAsia" w:ascii="仿宋_GB2312" w:eastAsia="仿宋_GB2312" w:cs="仿宋_GB2312"/>
                <w:b/>
                <w:bCs/>
                <w:snapToGrid/>
                <w:kern w:val="2"/>
                <w:szCs w:val="32"/>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金坛市荣盛化工有限公司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金坛市华东化工研究所</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金坛市华邦化工有限公司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4</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金坛市春风化工有限公司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5</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江苏润泽农化有限公司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6</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江苏力合粘合剂有限公司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7</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常州汉斯化学品有限公司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8</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常州方正化工有限公司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9</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江苏科达化工科技有限责任公司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10</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常州市西南化工研究所</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11</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金坛市中兴医药化工有限公司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12</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金坛市鑫达医药化工有限公司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13</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金坛市三方医药原料有限公司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14</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华通（常州）生化有限公司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15</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常州双益化工有限公司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16</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常州市天华制药有限公司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17</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常州市江南医药原料有限公司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18</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常州强达宝成化工有限公司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19</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金坛市鑫捷绝缘材料有限公司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20</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金坛市凌云动物保健品有限公司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21</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金坛市前药制药原料厂</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金城镇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22</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江苏省激素研究所股份有限公司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开发区</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23</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江苏中东化肥股份有限公司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开发区</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24</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中盐常州化工股份有限公司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开发区</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25</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江苏瑞东农药有限公司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开发区</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26</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常州久日化学有限公司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开发区</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27</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常州佳灵药业有限公司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开发区</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28</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金坛市华阳科技有限公司</w:t>
            </w:r>
          </w:p>
        </w:tc>
        <w:tc>
          <w:tcPr>
            <w:tcW w:w="1560" w:type="dxa"/>
            <w:vAlign w:val="center"/>
          </w:tcPr>
          <w:p>
            <w:pPr>
              <w:autoSpaceDE/>
              <w:autoSpaceDN/>
              <w:adjustRightInd w:val="0"/>
              <w:spacing w:line="500" w:lineRule="exact"/>
              <w:ind w:firstLine="0"/>
              <w:textAlignment w:val="center"/>
              <w:rPr>
                <w:rFonts w:eastAsia="仿宋_GB2312"/>
                <w:snapToGrid/>
                <w:kern w:val="2"/>
                <w:szCs w:val="32"/>
              </w:rPr>
            </w:pPr>
            <w:r>
              <w:rPr>
                <w:rFonts w:eastAsia="仿宋_GB2312"/>
                <w:snapToGrid/>
                <w:kern w:val="2"/>
                <w:szCs w:val="32"/>
              </w:rPr>
              <w:t xml:space="preserve"> </w:t>
            </w:r>
            <w:r>
              <w:rPr>
                <w:rFonts w:hAnsi="仿宋_GB2312" w:eastAsia="仿宋_GB2312"/>
                <w:snapToGrid/>
                <w:kern w:val="2"/>
                <w:szCs w:val="32"/>
              </w:rPr>
              <w:t>开发区</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29</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常州市日新树脂有限公司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朱林镇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30</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常州海华化工有限公司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朱林镇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31</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江苏兢业制药有限公司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薛埠镇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32</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常州市金坛茅麓溶剂厂</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薛埠镇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33</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金坛市金冬染织有限公司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直溪镇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34</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江苏丰登农药有限公司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直溪镇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35</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金坛市登冠化工有限公司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直溪镇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36</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金坛市裕华毛纺厂</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直溪镇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37</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金坛市金冠化工有限公司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直溪镇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38</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金坛市卿卿针织厂</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指前镇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39</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金坛市恒利精纺有限公司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指前镇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40</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江苏金标毛纺有限公司</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指前镇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1" w:hRule="atLeast"/>
          <w:jc w:val="center"/>
        </w:trPr>
        <w:tc>
          <w:tcPr>
            <w:tcW w:w="1064" w:type="dxa"/>
            <w:vAlign w:val="center"/>
          </w:tcPr>
          <w:p>
            <w:pPr>
              <w:autoSpaceDE/>
              <w:autoSpaceDN/>
              <w:adjustRightInd w:val="0"/>
              <w:spacing w:line="500" w:lineRule="exact"/>
              <w:ind w:firstLine="0"/>
              <w:jc w:val="center"/>
              <w:rPr>
                <w:rFonts w:eastAsia="仿宋_GB2312"/>
                <w:snapToGrid/>
                <w:kern w:val="2"/>
                <w:szCs w:val="32"/>
              </w:rPr>
            </w:pPr>
            <w:r>
              <w:rPr>
                <w:rFonts w:eastAsia="仿宋_GB2312"/>
                <w:snapToGrid/>
                <w:kern w:val="2"/>
                <w:szCs w:val="32"/>
              </w:rPr>
              <w:t>41</w:t>
            </w:r>
          </w:p>
        </w:tc>
        <w:tc>
          <w:tcPr>
            <w:tcW w:w="5020" w:type="dxa"/>
            <w:vAlign w:val="center"/>
          </w:tcPr>
          <w:p>
            <w:pPr>
              <w:autoSpaceDE/>
              <w:autoSpaceDN/>
              <w:adjustRightInd w:val="0"/>
              <w:spacing w:line="500" w:lineRule="exact"/>
              <w:ind w:firstLine="0"/>
              <w:textAlignment w:val="center"/>
              <w:rPr>
                <w:rFonts w:eastAsia="仿宋_GB2312"/>
                <w:snapToGrid/>
                <w:kern w:val="2"/>
                <w:szCs w:val="32"/>
              </w:rPr>
            </w:pPr>
            <w:r>
              <w:rPr>
                <w:rFonts w:hAnsi="仿宋_GB2312" w:eastAsia="仿宋_GB2312"/>
                <w:snapToGrid/>
                <w:color w:val="000000"/>
                <w:szCs w:val="32"/>
              </w:rPr>
              <w:t>金坛市有机化工厂</w:t>
            </w:r>
          </w:p>
        </w:tc>
        <w:tc>
          <w:tcPr>
            <w:tcW w:w="1560"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儒林镇</w:t>
            </w:r>
          </w:p>
        </w:tc>
        <w:tc>
          <w:tcPr>
            <w:tcW w:w="1833" w:type="dxa"/>
            <w:vAlign w:val="center"/>
          </w:tcPr>
          <w:p>
            <w:pPr>
              <w:autoSpaceDE/>
              <w:autoSpaceDN/>
              <w:adjustRightInd w:val="0"/>
              <w:spacing w:line="500" w:lineRule="exact"/>
              <w:ind w:firstLine="0"/>
              <w:jc w:val="center"/>
              <w:textAlignment w:val="center"/>
              <w:rPr>
                <w:rFonts w:eastAsia="仿宋_GB2312"/>
                <w:snapToGrid/>
                <w:kern w:val="2"/>
                <w:szCs w:val="32"/>
              </w:rPr>
            </w:pPr>
            <w:r>
              <w:rPr>
                <w:rFonts w:hAnsi="仿宋_GB2312" w:eastAsia="仿宋_GB2312"/>
                <w:snapToGrid/>
                <w:color w:val="000000"/>
                <w:szCs w:val="32"/>
              </w:rPr>
              <w:t>化工</w:t>
            </w:r>
          </w:p>
        </w:tc>
      </w:tr>
    </w:tbl>
    <w:p>
      <w:pPr>
        <w:pStyle w:val="22"/>
        <w:snapToGrid w:val="0"/>
        <w:spacing w:line="560" w:lineRule="atLeast"/>
        <w:ind w:right="-57"/>
        <w:jc w:val="both"/>
        <w:rPr>
          <w:b/>
        </w:rPr>
      </w:pPr>
    </w:p>
    <w:p>
      <w:pPr>
        <w:pStyle w:val="22"/>
        <w:snapToGrid w:val="0"/>
        <w:spacing w:line="100" w:lineRule="atLeast"/>
        <w:ind w:right="-57"/>
        <w:jc w:val="both"/>
        <w:rPr>
          <w:b/>
        </w:rPr>
      </w:pPr>
      <w:bookmarkStart w:id="0" w:name="_GoBack"/>
      <w:bookmarkEnd w:id="0"/>
    </w:p>
    <w:p>
      <w:pPr>
        <w:pStyle w:val="22"/>
        <w:snapToGrid w:val="0"/>
        <w:spacing w:line="100" w:lineRule="atLeast"/>
        <w:ind w:left="-57" w:right="-57"/>
        <w:jc w:val="both"/>
        <w:rPr>
          <w:rFonts w:ascii="仿宋" w:hAnsi="仿宋" w:eastAsia="仿宋" w:cs="宋体"/>
          <w:sz w:val="28"/>
          <w:szCs w:val="28"/>
        </w:rPr>
      </w:pPr>
    </w:p>
    <w:sectPr>
      <w:headerReference r:id="rId7" w:type="default"/>
      <w:footerReference r:id="rId9" w:type="default"/>
      <w:headerReference r:id="rId8" w:type="even"/>
      <w:footerReference r:id="rId10" w:type="even"/>
      <w:pgSz w:w="11906" w:h="16838"/>
      <w:pgMar w:top="2098" w:right="1531" w:bottom="1985" w:left="1531" w:header="851" w:footer="1361"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微软雅黑"/>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7989"/>
    </w:sdtPr>
    <w:sdtContent>
      <w:p>
        <w:pPr>
          <w:pStyle w:val="7"/>
          <w:numPr>
            <w:ilvl w:val="0"/>
            <w:numId w:val="1"/>
          </w:numPr>
          <w:wordWrap w:val="0"/>
          <w:jc w:val="right"/>
        </w:pP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  </w:t>
        </w:r>
      </w:p>
    </w:sdtContent>
  </w:sdt>
  <w:p>
    <w:pPr>
      <w:pStyle w:val="7"/>
      <w:ind w:right="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8025"/>
    </w:sdtPr>
    <w:sdtContent>
      <w:p>
        <w:pPr>
          <w:pStyle w:val="7"/>
          <w:numPr>
            <w:ilvl w:val="0"/>
            <w:numId w:val="2"/>
          </w:numPr>
          <w:jc w:val="both"/>
        </w:pPr>
        <w:r>
          <w:fldChar w:fldCharType="begin"/>
        </w:r>
        <w:r>
          <w:instrText xml:space="preserve"> PAGE   \* MERGEFORMAT </w:instrText>
        </w:r>
        <w:r>
          <w:fldChar w:fldCharType="separate"/>
        </w:r>
        <w:r>
          <w:rPr>
            <w:lang w:val="zh-CN"/>
          </w:rPr>
          <w:t>2</w:t>
        </w:r>
        <w:r>
          <w:rPr>
            <w:lang w:val="zh-CN"/>
          </w:rPr>
          <w:fldChar w:fldCharType="end"/>
        </w:r>
        <w:r>
          <w:rPr>
            <w:rFonts w:hint="eastAsia"/>
          </w:rPr>
          <w:t xml:space="preserve"> —</w:t>
        </w:r>
      </w:p>
    </w:sdtContent>
  </w:sdt>
  <w:p>
    <w:pPr>
      <w:pStyle w:val="7"/>
      <w:ind w:right="360"/>
      <w:rPr>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3"/>
      </w:numPr>
      <w:wordWrap w:val="0"/>
      <w:ind w:right="140"/>
      <w:jc w:val="right"/>
    </w:pPr>
    <w:sdt>
      <w:sdtPr>
        <w:id w:val="22354016"/>
      </w:sdtPr>
      <w:sdtContent>
        <w:r>
          <w:rPr>
            <w:rFonts w:hint="eastAsia"/>
          </w:rPr>
          <w:t xml:space="preserve"> </w:t>
        </w:r>
        <w:r>
          <w:fldChar w:fldCharType="begin"/>
        </w:r>
        <w:r>
          <w:instrText xml:space="preserve"> PAGE   \* MERGEFORMAT </w:instrText>
        </w:r>
        <w:r>
          <w:fldChar w:fldCharType="separate"/>
        </w:r>
        <w:r>
          <w:rPr>
            <w:lang w:val="zh-CN"/>
          </w:rPr>
          <w:t>37</w:t>
        </w:r>
        <w:r>
          <w:rPr>
            <w:lang w:val="zh-CN"/>
          </w:rPr>
          <w:fldChar w:fldCharType="end"/>
        </w:r>
        <w:r>
          <w:rPr>
            <w:rFonts w:hint="eastAsia"/>
          </w:rPr>
          <w:t xml:space="preserve"> —  </w:t>
        </w:r>
      </w:sdtContent>
    </w:sdt>
  </w:p>
  <w:p>
    <w:pPr>
      <w:pStyle w:val="7"/>
      <w:tabs>
        <w:tab w:val="left" w:pos="4935"/>
      </w:tabs>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ind w:firstLine="280" w:firstLineChars="100"/>
      <w:jc w:val="left"/>
    </w:pPr>
    <w:r>
      <w:rPr>
        <w:rFonts w:hint="eastAsia"/>
      </w:rPr>
      <w:t xml:space="preserve">— </w:t>
    </w:r>
    <w:r>
      <w:fldChar w:fldCharType="begin"/>
    </w:r>
    <w:r>
      <w:instrText xml:space="preserve"> PAGE   \* MERGEFORMAT </w:instrText>
    </w:r>
    <w:r>
      <w:fldChar w:fldCharType="separate"/>
    </w:r>
    <w:r>
      <w:rPr>
        <w:lang w:val="zh-CN"/>
      </w:rPr>
      <w:t>38</w:t>
    </w:r>
    <w:r>
      <w:rPr>
        <w:lang w:val="zh-CN"/>
      </w:rPr>
      <w:fldChar w:fldCharType="end"/>
    </w:r>
    <w:r>
      <w:rPr>
        <w:rFonts w:hint="eastAsia"/>
      </w:rPr>
      <w:t xml:space="preserve">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5C48"/>
    <w:multiLevelType w:val="multilevel"/>
    <w:tmpl w:val="0FA55C48"/>
    <w:lvl w:ilvl="0" w:tentative="0">
      <w:start w:val="0"/>
      <w:numFmt w:val="bullet"/>
      <w:lvlText w:val="—"/>
      <w:lvlJc w:val="left"/>
      <w:pPr>
        <w:ind w:left="360" w:hanging="360"/>
      </w:pPr>
      <w:rPr>
        <w:rFonts w:hint="eastAsia" w:ascii="方正仿宋_GBK" w:hAnsi="Times New Roman" w:eastAsia="方正仿宋_GBK"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B8952D7"/>
    <w:multiLevelType w:val="multilevel"/>
    <w:tmpl w:val="2B8952D7"/>
    <w:lvl w:ilvl="0" w:tentative="0">
      <w:start w:val="2012"/>
      <w:numFmt w:val="bullet"/>
      <w:lvlText w:val="—"/>
      <w:lvlJc w:val="left"/>
      <w:pPr>
        <w:ind w:left="720" w:hanging="360"/>
      </w:pPr>
      <w:rPr>
        <w:rFonts w:hint="eastAsia" w:ascii="方正仿宋_GBK" w:hAnsi="Times New Roman" w:eastAsia="方正仿宋_GBK"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798E03AD"/>
    <w:multiLevelType w:val="multilevel"/>
    <w:tmpl w:val="798E03AD"/>
    <w:lvl w:ilvl="0" w:tentative="0">
      <w:start w:val="0"/>
      <w:numFmt w:val="bullet"/>
      <w:lvlText w:val="—"/>
      <w:lvlJc w:val="left"/>
      <w:pPr>
        <w:ind w:left="840" w:hanging="360"/>
      </w:pPr>
      <w:rPr>
        <w:rFonts w:hint="eastAsia" w:ascii="方正仿宋_GBK" w:hAnsi="Times New Roman" w:eastAsia="方正仿宋_GBK"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0"/>
  <w:evenAndOddHeaders w:val="1"/>
  <w:drawingGridHorizontalSpacing w:val="158"/>
  <w:drawingGridVerticalSpacing w:val="579"/>
  <w:displayHorizontalDrawingGridEvery w:val="0"/>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06"/>
    <w:rsid w:val="00000FAA"/>
    <w:rsid w:val="0000208C"/>
    <w:rsid w:val="00011AE6"/>
    <w:rsid w:val="00015680"/>
    <w:rsid w:val="00016467"/>
    <w:rsid w:val="00017AFC"/>
    <w:rsid w:val="000214DB"/>
    <w:rsid w:val="0003180C"/>
    <w:rsid w:val="00033016"/>
    <w:rsid w:val="00040CCF"/>
    <w:rsid w:val="00041FDE"/>
    <w:rsid w:val="0004382E"/>
    <w:rsid w:val="0004543C"/>
    <w:rsid w:val="00056E89"/>
    <w:rsid w:val="0006028E"/>
    <w:rsid w:val="00061EB9"/>
    <w:rsid w:val="000752CA"/>
    <w:rsid w:val="00075E33"/>
    <w:rsid w:val="00082932"/>
    <w:rsid w:val="0008394B"/>
    <w:rsid w:val="000A65F3"/>
    <w:rsid w:val="000B130D"/>
    <w:rsid w:val="000B4D95"/>
    <w:rsid w:val="000D6EC5"/>
    <w:rsid w:val="000E4F5E"/>
    <w:rsid w:val="000F0865"/>
    <w:rsid w:val="001039F1"/>
    <w:rsid w:val="00103E03"/>
    <w:rsid w:val="00110D27"/>
    <w:rsid w:val="001129D4"/>
    <w:rsid w:val="00112A1D"/>
    <w:rsid w:val="00113660"/>
    <w:rsid w:val="00121674"/>
    <w:rsid w:val="001222DA"/>
    <w:rsid w:val="001252FE"/>
    <w:rsid w:val="00136260"/>
    <w:rsid w:val="001565D8"/>
    <w:rsid w:val="0016219D"/>
    <w:rsid w:val="001712E1"/>
    <w:rsid w:val="00192977"/>
    <w:rsid w:val="00194DC0"/>
    <w:rsid w:val="001A1AB5"/>
    <w:rsid w:val="001A4ACC"/>
    <w:rsid w:val="001B0FAB"/>
    <w:rsid w:val="001B141F"/>
    <w:rsid w:val="001B1857"/>
    <w:rsid w:val="001B349B"/>
    <w:rsid w:val="001C2BE3"/>
    <w:rsid w:val="001C6E41"/>
    <w:rsid w:val="001D3249"/>
    <w:rsid w:val="001E3A6C"/>
    <w:rsid w:val="001E4F17"/>
    <w:rsid w:val="001E55A3"/>
    <w:rsid w:val="001F4E6B"/>
    <w:rsid w:val="001F4E81"/>
    <w:rsid w:val="001F56F0"/>
    <w:rsid w:val="0020524F"/>
    <w:rsid w:val="00220EF5"/>
    <w:rsid w:val="00223A0A"/>
    <w:rsid w:val="00240D8E"/>
    <w:rsid w:val="00241F58"/>
    <w:rsid w:val="00242C20"/>
    <w:rsid w:val="00247059"/>
    <w:rsid w:val="002510F6"/>
    <w:rsid w:val="00255C1F"/>
    <w:rsid w:val="0026064A"/>
    <w:rsid w:val="00266709"/>
    <w:rsid w:val="00274134"/>
    <w:rsid w:val="002805F3"/>
    <w:rsid w:val="00284AAB"/>
    <w:rsid w:val="002929A1"/>
    <w:rsid w:val="00297306"/>
    <w:rsid w:val="002A4898"/>
    <w:rsid w:val="002C2085"/>
    <w:rsid w:val="002C3E08"/>
    <w:rsid w:val="002E1FB3"/>
    <w:rsid w:val="00303C1B"/>
    <w:rsid w:val="0031518A"/>
    <w:rsid w:val="00315522"/>
    <w:rsid w:val="00324F25"/>
    <w:rsid w:val="003309EE"/>
    <w:rsid w:val="00331D37"/>
    <w:rsid w:val="00336D64"/>
    <w:rsid w:val="00337D4F"/>
    <w:rsid w:val="00356CBB"/>
    <w:rsid w:val="00374334"/>
    <w:rsid w:val="00375C4E"/>
    <w:rsid w:val="00385ED7"/>
    <w:rsid w:val="00391FDE"/>
    <w:rsid w:val="003A5A3C"/>
    <w:rsid w:val="003B07CD"/>
    <w:rsid w:val="003B196A"/>
    <w:rsid w:val="003B2A20"/>
    <w:rsid w:val="003B514F"/>
    <w:rsid w:val="003C60CB"/>
    <w:rsid w:val="003D2389"/>
    <w:rsid w:val="003D633A"/>
    <w:rsid w:val="003D6618"/>
    <w:rsid w:val="003E5CD7"/>
    <w:rsid w:val="003E64D9"/>
    <w:rsid w:val="003F4AB9"/>
    <w:rsid w:val="003F7735"/>
    <w:rsid w:val="00407096"/>
    <w:rsid w:val="00411A4D"/>
    <w:rsid w:val="004202F2"/>
    <w:rsid w:val="0043098A"/>
    <w:rsid w:val="0043436D"/>
    <w:rsid w:val="004373B0"/>
    <w:rsid w:val="0044347A"/>
    <w:rsid w:val="00445859"/>
    <w:rsid w:val="00455663"/>
    <w:rsid w:val="004569EF"/>
    <w:rsid w:val="00473CBC"/>
    <w:rsid w:val="00482C22"/>
    <w:rsid w:val="00496910"/>
    <w:rsid w:val="004A5477"/>
    <w:rsid w:val="004A5BBF"/>
    <w:rsid w:val="004B1CB1"/>
    <w:rsid w:val="004B4D9E"/>
    <w:rsid w:val="004B6473"/>
    <w:rsid w:val="004C4757"/>
    <w:rsid w:val="004C6081"/>
    <w:rsid w:val="004C7097"/>
    <w:rsid w:val="004D0ABF"/>
    <w:rsid w:val="004D2B1B"/>
    <w:rsid w:val="004D340D"/>
    <w:rsid w:val="004F1B87"/>
    <w:rsid w:val="00514513"/>
    <w:rsid w:val="00521EFA"/>
    <w:rsid w:val="005223A2"/>
    <w:rsid w:val="005257AA"/>
    <w:rsid w:val="00533E4C"/>
    <w:rsid w:val="00537614"/>
    <w:rsid w:val="0054202D"/>
    <w:rsid w:val="005468B3"/>
    <w:rsid w:val="00547FF4"/>
    <w:rsid w:val="00551EAF"/>
    <w:rsid w:val="00562844"/>
    <w:rsid w:val="0056325C"/>
    <w:rsid w:val="00565C66"/>
    <w:rsid w:val="0057172D"/>
    <w:rsid w:val="0057573B"/>
    <w:rsid w:val="00590720"/>
    <w:rsid w:val="00591086"/>
    <w:rsid w:val="00597A26"/>
    <w:rsid w:val="005A0447"/>
    <w:rsid w:val="005A7770"/>
    <w:rsid w:val="005B2C63"/>
    <w:rsid w:val="005B4E07"/>
    <w:rsid w:val="005C1D4F"/>
    <w:rsid w:val="005C34D5"/>
    <w:rsid w:val="005D1A4A"/>
    <w:rsid w:val="005D24BB"/>
    <w:rsid w:val="005D4075"/>
    <w:rsid w:val="005D4F48"/>
    <w:rsid w:val="005E0725"/>
    <w:rsid w:val="005E230D"/>
    <w:rsid w:val="005F1DCC"/>
    <w:rsid w:val="005F6BC3"/>
    <w:rsid w:val="00613B94"/>
    <w:rsid w:val="006271DF"/>
    <w:rsid w:val="00631A66"/>
    <w:rsid w:val="00635FBA"/>
    <w:rsid w:val="0065046D"/>
    <w:rsid w:val="006504C8"/>
    <w:rsid w:val="00651A01"/>
    <w:rsid w:val="0065554B"/>
    <w:rsid w:val="00656423"/>
    <w:rsid w:val="006660F0"/>
    <w:rsid w:val="00670D20"/>
    <w:rsid w:val="00676673"/>
    <w:rsid w:val="0067754D"/>
    <w:rsid w:val="006810A0"/>
    <w:rsid w:val="006961B5"/>
    <w:rsid w:val="006A281E"/>
    <w:rsid w:val="006A2F50"/>
    <w:rsid w:val="006B1F44"/>
    <w:rsid w:val="006B2695"/>
    <w:rsid w:val="006B4F81"/>
    <w:rsid w:val="006C4393"/>
    <w:rsid w:val="006C4D1A"/>
    <w:rsid w:val="006D0659"/>
    <w:rsid w:val="006D3150"/>
    <w:rsid w:val="006E3331"/>
    <w:rsid w:val="00710A28"/>
    <w:rsid w:val="00755B29"/>
    <w:rsid w:val="00761B13"/>
    <w:rsid w:val="00762030"/>
    <w:rsid w:val="00765C45"/>
    <w:rsid w:val="007746A1"/>
    <w:rsid w:val="00774F21"/>
    <w:rsid w:val="00782978"/>
    <w:rsid w:val="007838E6"/>
    <w:rsid w:val="00784503"/>
    <w:rsid w:val="00787BD2"/>
    <w:rsid w:val="00792AE6"/>
    <w:rsid w:val="007A4D3C"/>
    <w:rsid w:val="007A7A55"/>
    <w:rsid w:val="007B75A0"/>
    <w:rsid w:val="007C0657"/>
    <w:rsid w:val="007D3871"/>
    <w:rsid w:val="007D427E"/>
    <w:rsid w:val="007D5364"/>
    <w:rsid w:val="007E07AB"/>
    <w:rsid w:val="007E27D6"/>
    <w:rsid w:val="007F4981"/>
    <w:rsid w:val="007F6626"/>
    <w:rsid w:val="0080021D"/>
    <w:rsid w:val="00801DF8"/>
    <w:rsid w:val="00813B65"/>
    <w:rsid w:val="00822D3B"/>
    <w:rsid w:val="00826374"/>
    <w:rsid w:val="00831F72"/>
    <w:rsid w:val="008346D3"/>
    <w:rsid w:val="00842E68"/>
    <w:rsid w:val="00846784"/>
    <w:rsid w:val="0085204D"/>
    <w:rsid w:val="00860F21"/>
    <w:rsid w:val="008625C4"/>
    <w:rsid w:val="00865776"/>
    <w:rsid w:val="008732FD"/>
    <w:rsid w:val="008740FD"/>
    <w:rsid w:val="00875AA2"/>
    <w:rsid w:val="00876ED6"/>
    <w:rsid w:val="00883D8F"/>
    <w:rsid w:val="00885134"/>
    <w:rsid w:val="00896EB6"/>
    <w:rsid w:val="008D01A5"/>
    <w:rsid w:val="008E0A7C"/>
    <w:rsid w:val="008E59AC"/>
    <w:rsid w:val="008F00DC"/>
    <w:rsid w:val="008F62A4"/>
    <w:rsid w:val="009020E3"/>
    <w:rsid w:val="00902210"/>
    <w:rsid w:val="0092138C"/>
    <w:rsid w:val="00923A78"/>
    <w:rsid w:val="009356CD"/>
    <w:rsid w:val="00936546"/>
    <w:rsid w:val="00973595"/>
    <w:rsid w:val="00980879"/>
    <w:rsid w:val="009859B6"/>
    <w:rsid w:val="009866B4"/>
    <w:rsid w:val="00991673"/>
    <w:rsid w:val="00992244"/>
    <w:rsid w:val="00996EDD"/>
    <w:rsid w:val="009A2901"/>
    <w:rsid w:val="009A7AF9"/>
    <w:rsid w:val="009B49FC"/>
    <w:rsid w:val="009C6181"/>
    <w:rsid w:val="009C7705"/>
    <w:rsid w:val="009C7CE9"/>
    <w:rsid w:val="009D3210"/>
    <w:rsid w:val="009F2A09"/>
    <w:rsid w:val="00A01230"/>
    <w:rsid w:val="00A013F1"/>
    <w:rsid w:val="00A02FFC"/>
    <w:rsid w:val="00A2041C"/>
    <w:rsid w:val="00A20AF1"/>
    <w:rsid w:val="00A250BB"/>
    <w:rsid w:val="00A30368"/>
    <w:rsid w:val="00A307B8"/>
    <w:rsid w:val="00A339FF"/>
    <w:rsid w:val="00A36675"/>
    <w:rsid w:val="00A37734"/>
    <w:rsid w:val="00A422C7"/>
    <w:rsid w:val="00A42F7E"/>
    <w:rsid w:val="00A54247"/>
    <w:rsid w:val="00A6208E"/>
    <w:rsid w:val="00A67AFE"/>
    <w:rsid w:val="00A71F3B"/>
    <w:rsid w:val="00A72306"/>
    <w:rsid w:val="00A772A9"/>
    <w:rsid w:val="00A96092"/>
    <w:rsid w:val="00AA0650"/>
    <w:rsid w:val="00AA1DD7"/>
    <w:rsid w:val="00AA1E6B"/>
    <w:rsid w:val="00AA324F"/>
    <w:rsid w:val="00AA6223"/>
    <w:rsid w:val="00AA666D"/>
    <w:rsid w:val="00AC7777"/>
    <w:rsid w:val="00AD201A"/>
    <w:rsid w:val="00B07030"/>
    <w:rsid w:val="00B110FE"/>
    <w:rsid w:val="00B16CE0"/>
    <w:rsid w:val="00B17162"/>
    <w:rsid w:val="00B20AB7"/>
    <w:rsid w:val="00B27B06"/>
    <w:rsid w:val="00B33129"/>
    <w:rsid w:val="00B43F21"/>
    <w:rsid w:val="00B46FE1"/>
    <w:rsid w:val="00B55F4C"/>
    <w:rsid w:val="00B579CA"/>
    <w:rsid w:val="00B7573E"/>
    <w:rsid w:val="00B76BD5"/>
    <w:rsid w:val="00B87D5A"/>
    <w:rsid w:val="00BA603E"/>
    <w:rsid w:val="00BA6ACD"/>
    <w:rsid w:val="00BB1816"/>
    <w:rsid w:val="00BB1C67"/>
    <w:rsid w:val="00BB3E9F"/>
    <w:rsid w:val="00BD17A8"/>
    <w:rsid w:val="00BD6323"/>
    <w:rsid w:val="00BE53F3"/>
    <w:rsid w:val="00BE711D"/>
    <w:rsid w:val="00BF1778"/>
    <w:rsid w:val="00BF2F92"/>
    <w:rsid w:val="00BF5F92"/>
    <w:rsid w:val="00C0019E"/>
    <w:rsid w:val="00C119EE"/>
    <w:rsid w:val="00C14DDA"/>
    <w:rsid w:val="00C15192"/>
    <w:rsid w:val="00C152F3"/>
    <w:rsid w:val="00C17E96"/>
    <w:rsid w:val="00C2514A"/>
    <w:rsid w:val="00C26A16"/>
    <w:rsid w:val="00C27AF1"/>
    <w:rsid w:val="00C44614"/>
    <w:rsid w:val="00C44976"/>
    <w:rsid w:val="00C529EB"/>
    <w:rsid w:val="00C57FC5"/>
    <w:rsid w:val="00C67C32"/>
    <w:rsid w:val="00C745D5"/>
    <w:rsid w:val="00C814B3"/>
    <w:rsid w:val="00CB4F5F"/>
    <w:rsid w:val="00CC2D53"/>
    <w:rsid w:val="00CC3DBE"/>
    <w:rsid w:val="00CC40D5"/>
    <w:rsid w:val="00CD46BD"/>
    <w:rsid w:val="00CF515B"/>
    <w:rsid w:val="00CF7FEB"/>
    <w:rsid w:val="00D02037"/>
    <w:rsid w:val="00D02298"/>
    <w:rsid w:val="00D0303E"/>
    <w:rsid w:val="00D05A35"/>
    <w:rsid w:val="00D12565"/>
    <w:rsid w:val="00D15385"/>
    <w:rsid w:val="00D21062"/>
    <w:rsid w:val="00D275D1"/>
    <w:rsid w:val="00D32BAD"/>
    <w:rsid w:val="00D411E9"/>
    <w:rsid w:val="00D42CCB"/>
    <w:rsid w:val="00D61C98"/>
    <w:rsid w:val="00D6313F"/>
    <w:rsid w:val="00D6365D"/>
    <w:rsid w:val="00D76BA4"/>
    <w:rsid w:val="00D83CEF"/>
    <w:rsid w:val="00D9097F"/>
    <w:rsid w:val="00D93361"/>
    <w:rsid w:val="00D972B8"/>
    <w:rsid w:val="00DA23C6"/>
    <w:rsid w:val="00DA3C59"/>
    <w:rsid w:val="00DB0FB3"/>
    <w:rsid w:val="00DB5133"/>
    <w:rsid w:val="00DB6D48"/>
    <w:rsid w:val="00DC7362"/>
    <w:rsid w:val="00DD126A"/>
    <w:rsid w:val="00DD2BBE"/>
    <w:rsid w:val="00DE356B"/>
    <w:rsid w:val="00DE7900"/>
    <w:rsid w:val="00DE7D4B"/>
    <w:rsid w:val="00DF0AEF"/>
    <w:rsid w:val="00DF2D6F"/>
    <w:rsid w:val="00DF5A2A"/>
    <w:rsid w:val="00E07ED7"/>
    <w:rsid w:val="00E14597"/>
    <w:rsid w:val="00E2523D"/>
    <w:rsid w:val="00E4334F"/>
    <w:rsid w:val="00E437DD"/>
    <w:rsid w:val="00E45D70"/>
    <w:rsid w:val="00E5456E"/>
    <w:rsid w:val="00E64784"/>
    <w:rsid w:val="00E7432E"/>
    <w:rsid w:val="00E848D7"/>
    <w:rsid w:val="00E84E30"/>
    <w:rsid w:val="00E86E72"/>
    <w:rsid w:val="00E911BD"/>
    <w:rsid w:val="00EA4779"/>
    <w:rsid w:val="00EB61FD"/>
    <w:rsid w:val="00EC292F"/>
    <w:rsid w:val="00ED0976"/>
    <w:rsid w:val="00EE3631"/>
    <w:rsid w:val="00EE449F"/>
    <w:rsid w:val="00EF7E15"/>
    <w:rsid w:val="00EF7F23"/>
    <w:rsid w:val="00F00425"/>
    <w:rsid w:val="00F006AD"/>
    <w:rsid w:val="00F01162"/>
    <w:rsid w:val="00F10C4C"/>
    <w:rsid w:val="00F12208"/>
    <w:rsid w:val="00F16780"/>
    <w:rsid w:val="00F17157"/>
    <w:rsid w:val="00F247E0"/>
    <w:rsid w:val="00F40C57"/>
    <w:rsid w:val="00F50D3D"/>
    <w:rsid w:val="00F745B3"/>
    <w:rsid w:val="00F923D5"/>
    <w:rsid w:val="00FA5BCD"/>
    <w:rsid w:val="00FB1E66"/>
    <w:rsid w:val="00FB339B"/>
    <w:rsid w:val="00FB47D4"/>
    <w:rsid w:val="00FC2327"/>
    <w:rsid w:val="00FD1A63"/>
    <w:rsid w:val="00FE1433"/>
    <w:rsid w:val="00FE1FB5"/>
    <w:rsid w:val="00FF5712"/>
    <w:rsid w:val="00FF7340"/>
    <w:rsid w:val="1897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link w:val="43"/>
    <w:qFormat/>
    <w:uiPriority w:val="0"/>
    <w:pPr>
      <w:keepNext/>
      <w:keepLines/>
      <w:spacing w:before="340" w:after="330" w:line="578" w:lineRule="atLeast"/>
      <w:outlineLvl w:val="0"/>
    </w:pPr>
    <w:rPr>
      <w:b/>
      <w:kern w:val="44"/>
      <w:sz w:val="44"/>
    </w:rPr>
  </w:style>
  <w:style w:type="paragraph" w:styleId="3">
    <w:name w:val="heading 2"/>
    <w:basedOn w:val="1"/>
    <w:next w:val="1"/>
    <w:link w:val="42"/>
    <w:unhideWhenUsed/>
    <w:qFormat/>
    <w:uiPriority w:val="9"/>
    <w:pPr>
      <w:keepNext/>
      <w:keepLines/>
      <w:autoSpaceDE/>
      <w:autoSpaceDN/>
      <w:adjustRightInd w:val="0"/>
      <w:spacing w:before="260" w:after="260" w:line="416" w:lineRule="atLeast"/>
      <w:ind w:firstLine="200" w:firstLineChars="200"/>
      <w:outlineLvl w:val="1"/>
    </w:pPr>
    <w:rPr>
      <w:rFonts w:asciiTheme="majorHAnsi" w:hAnsiTheme="majorHAnsi" w:eastAsiaTheme="majorEastAsia" w:cstheme="majorBidi"/>
      <w:b/>
      <w:bCs/>
      <w:snapToGrid/>
      <w:kern w:val="2"/>
      <w:szCs w:val="32"/>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next w:val="1"/>
    <w:uiPriority w:val="0"/>
    <w:pPr>
      <w:adjustRightInd w:val="0"/>
      <w:snapToGrid/>
      <w:ind w:firstLine="0"/>
      <w:jc w:val="left"/>
    </w:pPr>
    <w:rPr>
      <w:spacing w:val="-25"/>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36"/>
    <w:uiPriority w:val="99"/>
    <w:pPr>
      <w:tabs>
        <w:tab w:val="center" w:pos="4153"/>
        <w:tab w:val="right" w:pos="8306"/>
      </w:tabs>
      <w:spacing w:line="400" w:lineRule="atLeast"/>
      <w:ind w:firstLine="0"/>
      <w:jc w:val="center"/>
    </w:pPr>
    <w:rPr>
      <w:sz w:val="28"/>
    </w:rPr>
  </w:style>
  <w:style w:type="paragraph" w:styleId="8">
    <w:name w:val="header"/>
    <w:basedOn w:val="1"/>
    <w:link w:val="45"/>
    <w:qFormat/>
    <w:uiPriority w:val="99"/>
    <w:pPr>
      <w:pBdr>
        <w:bottom w:val="single" w:color="auto" w:sz="6" w:space="1"/>
      </w:pBdr>
      <w:tabs>
        <w:tab w:val="center" w:pos="4153"/>
        <w:tab w:val="right" w:pos="8306"/>
      </w:tabs>
      <w:spacing w:line="240" w:lineRule="atLeast"/>
      <w:jc w:val="center"/>
    </w:pPr>
    <w:rPr>
      <w:sz w:val="18"/>
    </w:rPr>
  </w:style>
  <w:style w:type="paragraph" w:styleId="9">
    <w:name w:val="Normal (Web)"/>
    <w:basedOn w:val="1"/>
    <w:uiPriority w:val="0"/>
    <w:pPr>
      <w:widowControl/>
      <w:autoSpaceDE/>
      <w:autoSpaceDN/>
      <w:snapToGrid/>
      <w:spacing w:before="100" w:beforeAutospacing="1" w:after="100" w:afterAutospacing="1" w:line="240" w:lineRule="auto"/>
      <w:ind w:firstLine="0"/>
      <w:jc w:val="left"/>
    </w:pPr>
    <w:rPr>
      <w:rFonts w:ascii="宋体" w:hAnsi="宋体" w:eastAsia="宋体"/>
      <w:snapToGrid/>
      <w:sz w:val="24"/>
    </w:rPr>
  </w:style>
  <w:style w:type="paragraph" w:styleId="10">
    <w:name w:val="Title"/>
    <w:basedOn w:val="1"/>
    <w:next w:val="1"/>
    <w:link w:val="48"/>
    <w:qFormat/>
    <w:uiPriority w:val="10"/>
    <w:pPr>
      <w:autoSpaceDE/>
      <w:autoSpaceDN/>
      <w:adjustRightInd w:val="0"/>
      <w:spacing w:before="240" w:after="60"/>
      <w:ind w:firstLine="200" w:firstLineChars="200"/>
      <w:jc w:val="center"/>
      <w:outlineLvl w:val="0"/>
    </w:pPr>
    <w:rPr>
      <w:rFonts w:eastAsia="宋体" w:asciiTheme="majorHAnsi" w:hAnsiTheme="majorHAnsi" w:cstheme="majorBidi"/>
      <w:b/>
      <w:bCs/>
      <w:snapToGrid/>
      <w:kern w:val="2"/>
      <w:szCs w:val="32"/>
    </w:rPr>
  </w:style>
  <w:style w:type="character" w:styleId="12">
    <w:name w:val="page number"/>
    <w:basedOn w:val="11"/>
    <w:qFormat/>
    <w:uiPriority w:val="0"/>
  </w:style>
  <w:style w:type="table" w:styleId="14">
    <w:name w:val="Table Grid"/>
    <w:basedOn w:val="13"/>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标题1"/>
    <w:basedOn w:val="1"/>
    <w:next w:val="1"/>
    <w:link w:val="44"/>
    <w:qFormat/>
    <w:uiPriority w:val="0"/>
    <w:pPr>
      <w:tabs>
        <w:tab w:val="left" w:pos="9193"/>
        <w:tab w:val="left" w:pos="9827"/>
      </w:tabs>
      <w:spacing w:line="700" w:lineRule="atLeast"/>
      <w:ind w:firstLine="0"/>
      <w:jc w:val="center"/>
    </w:pPr>
    <w:rPr>
      <w:rFonts w:eastAsia="方正小标宋_GBK"/>
      <w:sz w:val="44"/>
    </w:rPr>
  </w:style>
  <w:style w:type="paragraph" w:customStyle="1" w:styleId="16">
    <w:name w:val="红线"/>
    <w:basedOn w:val="2"/>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17">
    <w:name w:val="标题2"/>
    <w:basedOn w:val="1"/>
    <w:next w:val="1"/>
    <w:link w:val="30"/>
    <w:qFormat/>
    <w:uiPriority w:val="0"/>
    <w:pPr>
      <w:ind w:firstLine="0"/>
      <w:jc w:val="center"/>
    </w:pPr>
    <w:rPr>
      <w:rFonts w:eastAsia="方正楷体_GBK"/>
    </w:rPr>
  </w:style>
  <w:style w:type="paragraph" w:customStyle="1" w:styleId="18">
    <w:name w:val="标题3"/>
    <w:basedOn w:val="1"/>
    <w:next w:val="1"/>
    <w:uiPriority w:val="0"/>
    <w:rPr>
      <w:rFonts w:eastAsia="方正黑体_GBK"/>
    </w:rPr>
  </w:style>
  <w:style w:type="paragraph" w:customStyle="1" w:styleId="19">
    <w:name w:val="密级"/>
    <w:basedOn w:val="1"/>
    <w:uiPriority w:val="0"/>
    <w:pPr>
      <w:adjustRightInd w:val="0"/>
      <w:spacing w:line="440" w:lineRule="atLeast"/>
      <w:ind w:firstLine="0"/>
      <w:jc w:val="right"/>
    </w:pPr>
    <w:rPr>
      <w:rFonts w:ascii="黑体" w:eastAsia="黑体"/>
      <w:sz w:val="30"/>
    </w:rPr>
  </w:style>
  <w:style w:type="paragraph" w:customStyle="1" w:styleId="20">
    <w:name w:val="主题词"/>
    <w:basedOn w:val="1"/>
    <w:uiPriority w:val="0"/>
    <w:pPr>
      <w:adjustRightInd w:val="0"/>
      <w:snapToGrid/>
      <w:spacing w:line="240" w:lineRule="atLeast"/>
      <w:ind w:firstLine="0"/>
      <w:jc w:val="left"/>
    </w:pPr>
    <w:rPr>
      <w:rFonts w:ascii="方正黑体_GBK" w:eastAsia="方正黑体_GBK"/>
    </w:rPr>
  </w:style>
  <w:style w:type="paragraph" w:customStyle="1" w:styleId="21">
    <w:name w:val="抄送栏"/>
    <w:basedOn w:val="1"/>
    <w:uiPriority w:val="0"/>
    <w:pPr>
      <w:adjustRightInd w:val="0"/>
      <w:snapToGrid/>
      <w:spacing w:line="454" w:lineRule="atLeast"/>
      <w:ind w:left="1310" w:right="357" w:hanging="953"/>
    </w:pPr>
  </w:style>
  <w:style w:type="paragraph" w:customStyle="1" w:styleId="22">
    <w:name w:val="线型"/>
    <w:basedOn w:val="21"/>
    <w:uiPriority w:val="0"/>
    <w:pPr>
      <w:spacing w:line="240" w:lineRule="auto"/>
      <w:ind w:left="0" w:firstLine="0"/>
      <w:jc w:val="center"/>
    </w:pPr>
    <w:rPr>
      <w:sz w:val="21"/>
    </w:rPr>
  </w:style>
  <w:style w:type="paragraph" w:customStyle="1" w:styleId="23">
    <w:name w:val="印发栏"/>
    <w:basedOn w:val="4"/>
    <w:uiPriority w:val="0"/>
    <w:pPr>
      <w:tabs>
        <w:tab w:val="right" w:pos="8465"/>
      </w:tabs>
      <w:spacing w:line="454" w:lineRule="atLeast"/>
      <w:ind w:left="357" w:right="357"/>
    </w:pPr>
    <w:rPr>
      <w:spacing w:val="0"/>
    </w:rPr>
  </w:style>
  <w:style w:type="paragraph" w:customStyle="1" w:styleId="24">
    <w:name w:val="印数"/>
    <w:basedOn w:val="23"/>
    <w:qFormat/>
    <w:uiPriority w:val="0"/>
    <w:pPr>
      <w:spacing w:line="400" w:lineRule="atLeast"/>
      <w:jc w:val="right"/>
    </w:pPr>
  </w:style>
  <w:style w:type="paragraph" w:customStyle="1" w:styleId="25">
    <w:name w:val="文头"/>
    <w:basedOn w:val="1"/>
    <w:uiPriority w:val="0"/>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26">
    <w:name w:val="附件栏"/>
    <w:basedOn w:val="1"/>
    <w:qFormat/>
    <w:uiPriority w:val="0"/>
  </w:style>
  <w:style w:type="paragraph" w:customStyle="1" w:styleId="27">
    <w:name w:val="紧急程度"/>
    <w:basedOn w:val="19"/>
    <w:qFormat/>
    <w:uiPriority w:val="0"/>
    <w:pPr>
      <w:overflowPunct w:val="0"/>
    </w:pPr>
    <w:rPr>
      <w:sz w:val="32"/>
    </w:rPr>
  </w:style>
  <w:style w:type="paragraph" w:customStyle="1" w:styleId="28">
    <w:name w:val="样式1"/>
    <w:basedOn w:val="1"/>
    <w:qFormat/>
    <w:uiPriority w:val="0"/>
  </w:style>
  <w:style w:type="paragraph" w:customStyle="1" w:styleId="29">
    <w:name w:val="样式 主题词 + 段后: 8.85 磅 行距: 固定值 26 磅"/>
    <w:basedOn w:val="1"/>
    <w:qFormat/>
    <w:uiPriority w:val="0"/>
    <w:pPr>
      <w:adjustRightInd w:val="0"/>
      <w:snapToGrid/>
      <w:spacing w:after="177" w:line="520" w:lineRule="exact"/>
      <w:ind w:firstLine="0"/>
      <w:jc w:val="left"/>
    </w:pPr>
    <w:rPr>
      <w:rFonts w:ascii="方正黑体_GBK" w:eastAsia="方正黑体_GBK" w:cs="宋体"/>
      <w:bCs/>
    </w:rPr>
  </w:style>
  <w:style w:type="character" w:customStyle="1" w:styleId="30">
    <w:name w:val="标题2 Char"/>
    <w:basedOn w:val="11"/>
    <w:link w:val="17"/>
    <w:qFormat/>
    <w:uiPriority w:val="0"/>
    <w:rPr>
      <w:rFonts w:eastAsia="方正楷体_GBK"/>
      <w:snapToGrid w:val="0"/>
      <w:sz w:val="32"/>
      <w:lang w:val="en-US" w:eastAsia="zh-CN" w:bidi="ar-SA"/>
    </w:rPr>
  </w:style>
  <w:style w:type="character" w:customStyle="1" w:styleId="31">
    <w:name w:val="headline-content2"/>
    <w:basedOn w:val="11"/>
    <w:qFormat/>
    <w:uiPriority w:val="0"/>
  </w:style>
  <w:style w:type="paragraph" w:customStyle="1" w:styleId="32">
    <w:name w:val="Char Char Char Char Char Char Char Char Char Char Char Char Char Char Char Char Char Char Char Char Char Char Char Char Char Char Char Char Char Char Char Char Char1 Char"/>
    <w:basedOn w:val="1"/>
    <w:qFormat/>
    <w:uiPriority w:val="0"/>
    <w:pPr>
      <w:widowControl/>
      <w:autoSpaceDE/>
      <w:autoSpaceDN/>
      <w:snapToGrid/>
      <w:spacing w:after="160" w:line="240" w:lineRule="exact"/>
      <w:ind w:firstLine="0"/>
      <w:jc w:val="left"/>
    </w:pPr>
    <w:rPr>
      <w:rFonts w:ascii="Verdana" w:hAnsi="Verdana" w:eastAsia="仿宋_GB2312" w:cs="Verdana"/>
      <w:snapToGrid/>
      <w:sz w:val="24"/>
      <w:szCs w:val="24"/>
      <w:lang w:eastAsia="en-US"/>
    </w:rPr>
  </w:style>
  <w:style w:type="paragraph" w:customStyle="1" w:styleId="33">
    <w:name w:val="0"/>
    <w:basedOn w:val="1"/>
    <w:uiPriority w:val="0"/>
    <w:pPr>
      <w:widowControl/>
      <w:autoSpaceDE/>
      <w:autoSpaceDN/>
      <w:spacing w:line="365" w:lineRule="atLeast"/>
      <w:ind w:left="1" w:firstLine="0"/>
      <w:textAlignment w:val="bottom"/>
    </w:pPr>
    <w:rPr>
      <w:rFonts w:eastAsia="宋体"/>
      <w:snapToGrid/>
      <w:sz w:val="20"/>
    </w:rPr>
  </w:style>
  <w:style w:type="paragraph" w:customStyle="1" w:styleId="34">
    <w:name w:val="Char"/>
    <w:basedOn w:val="1"/>
    <w:uiPriority w:val="0"/>
    <w:pPr>
      <w:widowControl/>
      <w:autoSpaceDE/>
      <w:autoSpaceDN/>
      <w:snapToGrid/>
      <w:spacing w:after="160" w:line="240" w:lineRule="exact"/>
      <w:ind w:firstLine="0"/>
      <w:jc w:val="left"/>
    </w:pPr>
    <w:rPr>
      <w:rFonts w:eastAsia="宋体"/>
      <w:snapToGrid/>
      <w:kern w:val="2"/>
      <w:sz w:val="21"/>
      <w:szCs w:val="24"/>
    </w:rPr>
  </w:style>
  <w:style w:type="paragraph" w:customStyle="1" w:styleId="35">
    <w:name w:val="公文正文"/>
    <w:basedOn w:val="1"/>
    <w:uiPriority w:val="0"/>
    <w:pPr>
      <w:autoSpaceDE/>
      <w:autoSpaceDN/>
      <w:snapToGrid/>
      <w:spacing w:line="240" w:lineRule="auto"/>
      <w:ind w:firstLine="640" w:firstLineChars="200"/>
    </w:pPr>
    <w:rPr>
      <w:rFonts w:eastAsia="仿宋_GB2312"/>
      <w:snapToGrid/>
      <w:kern w:val="2"/>
    </w:rPr>
  </w:style>
  <w:style w:type="character" w:customStyle="1" w:styleId="36">
    <w:name w:val="页脚 Char"/>
    <w:basedOn w:val="11"/>
    <w:link w:val="7"/>
    <w:uiPriority w:val="99"/>
    <w:rPr>
      <w:rFonts w:eastAsia="方正仿宋_GBK"/>
      <w:snapToGrid w:val="0"/>
      <w:sz w:val="28"/>
    </w:rPr>
  </w:style>
  <w:style w:type="paragraph" w:customStyle="1" w:styleId="37">
    <w:name w:val="Char Char Char"/>
    <w:basedOn w:val="1"/>
    <w:uiPriority w:val="0"/>
    <w:pPr>
      <w:widowControl/>
      <w:autoSpaceDE/>
      <w:autoSpaceDN/>
      <w:snapToGrid/>
      <w:spacing w:after="160" w:line="240" w:lineRule="exact"/>
      <w:ind w:firstLine="0"/>
      <w:jc w:val="left"/>
    </w:pPr>
    <w:rPr>
      <w:rFonts w:eastAsia="宋体"/>
      <w:snapToGrid/>
      <w:kern w:val="2"/>
      <w:sz w:val="21"/>
      <w:szCs w:val="24"/>
    </w:rPr>
  </w:style>
  <w:style w:type="paragraph" w:customStyle="1" w:styleId="38">
    <w:name w:val="List Paragraph"/>
    <w:basedOn w:val="1"/>
    <w:qFormat/>
    <w:uiPriority w:val="34"/>
    <w:pPr>
      <w:ind w:firstLine="420" w:firstLineChars="200"/>
    </w:pPr>
  </w:style>
  <w:style w:type="paragraph" w:customStyle="1" w:styleId="39">
    <w:name w:val="列出段落1"/>
    <w:basedOn w:val="1"/>
    <w:uiPriority w:val="0"/>
    <w:pPr>
      <w:autoSpaceDE/>
      <w:autoSpaceDN/>
      <w:snapToGrid/>
      <w:spacing w:line="240" w:lineRule="auto"/>
      <w:ind w:firstLine="420" w:firstLineChars="200"/>
    </w:pPr>
    <w:rPr>
      <w:rFonts w:ascii="Calibri" w:hAnsi="Calibri" w:eastAsia="宋体"/>
      <w:snapToGrid/>
      <w:kern w:val="2"/>
      <w:sz w:val="21"/>
      <w:szCs w:val="22"/>
    </w:rPr>
  </w:style>
  <w:style w:type="paragraph" w:customStyle="1" w:styleId="40">
    <w:name w:val="列出段落2"/>
    <w:basedOn w:val="1"/>
    <w:uiPriority w:val="0"/>
    <w:pPr>
      <w:autoSpaceDE/>
      <w:autoSpaceDN/>
      <w:snapToGrid/>
      <w:spacing w:line="240" w:lineRule="auto"/>
      <w:ind w:firstLine="420" w:firstLineChars="200"/>
    </w:pPr>
    <w:rPr>
      <w:rFonts w:ascii="Calibri" w:hAnsi="Calibri" w:eastAsia="宋体"/>
      <w:snapToGrid/>
      <w:kern w:val="2"/>
      <w:sz w:val="21"/>
      <w:szCs w:val="22"/>
    </w:rPr>
  </w:style>
  <w:style w:type="character" w:customStyle="1" w:styleId="41">
    <w:name w:val="apple-converted-space"/>
    <w:basedOn w:val="11"/>
    <w:qFormat/>
    <w:uiPriority w:val="99"/>
    <w:rPr>
      <w:rFonts w:ascii="Times New Roman" w:hAnsi="Times New Roman" w:cs="Times New Roman"/>
    </w:rPr>
  </w:style>
  <w:style w:type="character" w:customStyle="1" w:styleId="42">
    <w:name w:val="标题 2 Char"/>
    <w:basedOn w:val="11"/>
    <w:link w:val="3"/>
    <w:semiHidden/>
    <w:qFormat/>
    <w:uiPriority w:val="9"/>
    <w:rPr>
      <w:rFonts w:asciiTheme="majorHAnsi" w:hAnsiTheme="majorHAnsi" w:eastAsiaTheme="majorEastAsia" w:cstheme="majorBidi"/>
      <w:b/>
      <w:bCs/>
      <w:kern w:val="2"/>
      <w:sz w:val="32"/>
      <w:szCs w:val="32"/>
    </w:rPr>
  </w:style>
  <w:style w:type="character" w:customStyle="1" w:styleId="43">
    <w:name w:val="标题 1 Char"/>
    <w:basedOn w:val="11"/>
    <w:link w:val="2"/>
    <w:uiPriority w:val="0"/>
    <w:rPr>
      <w:rFonts w:eastAsia="方正仿宋_GBK"/>
      <w:b/>
      <w:snapToGrid w:val="0"/>
      <w:kern w:val="44"/>
      <w:sz w:val="44"/>
    </w:rPr>
  </w:style>
  <w:style w:type="character" w:customStyle="1" w:styleId="44">
    <w:name w:val="标题1 Char"/>
    <w:link w:val="15"/>
    <w:qFormat/>
    <w:uiPriority w:val="0"/>
    <w:rPr>
      <w:rFonts w:eastAsia="方正小标宋_GBK"/>
      <w:snapToGrid w:val="0"/>
      <w:sz w:val="44"/>
    </w:rPr>
  </w:style>
  <w:style w:type="character" w:customStyle="1" w:styleId="45">
    <w:name w:val="页眉 Char"/>
    <w:link w:val="8"/>
    <w:qFormat/>
    <w:uiPriority w:val="99"/>
    <w:rPr>
      <w:rFonts w:eastAsia="方正仿宋_GBK"/>
      <w:snapToGrid w:val="0"/>
      <w:sz w:val="18"/>
    </w:rPr>
  </w:style>
  <w:style w:type="character" w:customStyle="1" w:styleId="46">
    <w:name w:val="页眉 Char1"/>
    <w:basedOn w:val="11"/>
    <w:semiHidden/>
    <w:qFormat/>
    <w:uiPriority w:val="99"/>
    <w:rPr>
      <w:rFonts w:eastAsia="方正仿宋_GBK"/>
      <w:kern w:val="2"/>
      <w:sz w:val="18"/>
      <w:szCs w:val="18"/>
    </w:rPr>
  </w:style>
  <w:style w:type="character" w:customStyle="1" w:styleId="47">
    <w:name w:val="页脚 Char1"/>
    <w:basedOn w:val="11"/>
    <w:semiHidden/>
    <w:qFormat/>
    <w:uiPriority w:val="99"/>
    <w:rPr>
      <w:rFonts w:eastAsia="方正仿宋_GBK"/>
      <w:kern w:val="2"/>
      <w:sz w:val="18"/>
      <w:szCs w:val="18"/>
    </w:rPr>
  </w:style>
  <w:style w:type="character" w:customStyle="1" w:styleId="48">
    <w:name w:val="标题 Char"/>
    <w:basedOn w:val="11"/>
    <w:link w:val="10"/>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wy\&#26700;&#38754;\2012&#26032;&#27169;&#26495;\&#33487;&#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26EA5-1BA7-4CFC-B29B-D98490F2BAB2}">
  <ds:schemaRefs/>
</ds:datastoreItem>
</file>

<file path=docProps/app.xml><?xml version="1.0" encoding="utf-8"?>
<Properties xmlns="http://schemas.openxmlformats.org/officeDocument/2006/extended-properties" xmlns:vt="http://schemas.openxmlformats.org/officeDocument/2006/docPropsVTypes">
  <Template>苏政办发.dot</Template>
  <Company>wyk</Company>
  <Pages>38</Pages>
  <Words>20900</Words>
  <Characters>2172</Characters>
  <Lines>18</Lines>
  <Paragraphs>46</Paragraphs>
  <TotalTime>0</TotalTime>
  <ScaleCrop>false</ScaleCrop>
  <LinksUpToDate>false</LinksUpToDate>
  <CharactersWithSpaces>23026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2015-01-29T01:28:00Z</dcterms:created>
  <dc:creator>黄进</dc:creator>
  <cp:lastModifiedBy>Administrator</cp:lastModifiedBy>
  <cp:lastPrinted>2017-04-28T02:56:00Z</cp:lastPrinted>
  <dcterms:modified xsi:type="dcterms:W3CDTF">2017-05-05T09:53:13Z</dcterms:modified>
  <dc:subject>各市、县（市、区）人民政府，省各委办厅局，省各直属单位：</dc:subject>
  <dc:title>省政府办公厅转发省商务厅等部门关于鼓励跨国公司在我省设立地区总部和功能性机构若干意见的通知(苏政办发〔2012〕143号)</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