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C59C3">
      <w:pPr>
        <w:rPr>
          <w:rFonts w:hint="default" w:ascii="Times New Roman" w:hAnsi="Times New Roman" w:eastAsia="仿宋" w:cs="Times New Roman"/>
          <w:color w:val="auto"/>
          <w:sz w:val="36"/>
          <w:szCs w:val="36"/>
        </w:rPr>
      </w:pPr>
    </w:p>
    <w:p w14:paraId="024BCE9E">
      <w:pPr>
        <w:rPr>
          <w:rFonts w:hint="default" w:ascii="Times New Roman" w:hAnsi="Times New Roman" w:eastAsia="仿宋" w:cs="Times New Roman"/>
          <w:color w:val="auto"/>
          <w:sz w:val="36"/>
          <w:szCs w:val="36"/>
        </w:rPr>
      </w:pPr>
    </w:p>
    <w:p w14:paraId="418E9301">
      <w:pPr>
        <w:rPr>
          <w:rFonts w:hint="default" w:ascii="Times New Roman" w:hAnsi="Times New Roman" w:eastAsia="仿宋" w:cs="Times New Roman"/>
          <w:color w:val="auto"/>
          <w:sz w:val="36"/>
          <w:szCs w:val="36"/>
        </w:rPr>
      </w:pPr>
    </w:p>
    <w:p w14:paraId="1622305D">
      <w:pPr>
        <w:rPr>
          <w:rFonts w:hint="default" w:ascii="Times New Roman" w:hAnsi="Times New Roman" w:eastAsia="仿宋" w:cs="Times New Roman"/>
          <w:color w:val="auto"/>
          <w:sz w:val="36"/>
          <w:szCs w:val="36"/>
        </w:rPr>
      </w:pPr>
    </w:p>
    <w:p w14:paraId="1557E323">
      <w:pPr>
        <w:rPr>
          <w:rFonts w:hint="default" w:ascii="Times New Roman" w:hAnsi="Times New Roman" w:eastAsia="仿宋" w:cs="Times New Roman"/>
          <w:color w:val="auto"/>
          <w:sz w:val="36"/>
          <w:szCs w:val="36"/>
        </w:rPr>
      </w:pPr>
    </w:p>
    <w:p w14:paraId="03EA8F0E">
      <w:pPr>
        <w:adjustRightInd w:val="0"/>
        <w:snapToGrid w:val="0"/>
        <w:jc w:val="center"/>
        <w:outlineLvl w:val="0"/>
        <w:rPr>
          <w:rFonts w:hint="default" w:ascii="Times New Roman" w:hAnsi="Times New Roman" w:eastAsia="仿宋" w:cs="Times New Roman"/>
          <w:bCs/>
          <w:color w:val="auto"/>
          <w:sz w:val="72"/>
          <w:szCs w:val="72"/>
        </w:rPr>
      </w:pPr>
      <w:bookmarkStart w:id="0" w:name="_Toc2867"/>
      <w:bookmarkStart w:id="1" w:name="_Toc70493861"/>
      <w:r>
        <w:rPr>
          <w:rFonts w:hint="default" w:ascii="Times New Roman" w:hAnsi="Times New Roman" w:eastAsia="仿宋" w:cs="Times New Roman"/>
          <w:bCs/>
          <w:color w:val="auto"/>
          <w:sz w:val="72"/>
          <w:szCs w:val="72"/>
        </w:rPr>
        <w:t>建设项目环境影响报告表</w:t>
      </w:r>
      <w:bookmarkEnd w:id="0"/>
      <w:bookmarkEnd w:id="1"/>
    </w:p>
    <w:p w14:paraId="4A49C5E0">
      <w:pPr>
        <w:adjustRightInd w:val="0"/>
        <w:snapToGrid w:val="0"/>
        <w:spacing w:before="192" w:beforeLines="80"/>
        <w:jc w:val="center"/>
        <w:rPr>
          <w:rFonts w:hint="default" w:ascii="Times New Roman" w:hAnsi="Times New Roman" w:eastAsia="仿宋" w:cs="Times New Roman"/>
          <w:bCs/>
          <w:color w:val="auto"/>
          <w:sz w:val="48"/>
          <w:szCs w:val="48"/>
        </w:rPr>
      </w:pPr>
      <w:r>
        <w:rPr>
          <w:rFonts w:hint="default" w:ascii="Times New Roman" w:hAnsi="Times New Roman" w:eastAsia="仿宋" w:cs="Times New Roman"/>
          <w:bCs/>
          <w:color w:val="auto"/>
          <w:sz w:val="48"/>
          <w:szCs w:val="48"/>
        </w:rPr>
        <w:t>（污染影响类）</w:t>
      </w:r>
    </w:p>
    <w:p w14:paraId="0ACE2855">
      <w:pPr>
        <w:jc w:val="center"/>
        <w:rPr>
          <w:rFonts w:hint="default" w:ascii="Times New Roman" w:hAnsi="Times New Roman" w:eastAsia="仿宋" w:cs="Times New Roman"/>
          <w:color w:val="auto"/>
          <w:sz w:val="44"/>
          <w:szCs w:val="44"/>
        </w:rPr>
      </w:pPr>
    </w:p>
    <w:p w14:paraId="30007B83">
      <w:pPr>
        <w:ind w:firstLine="1040"/>
        <w:rPr>
          <w:rFonts w:hint="default" w:ascii="Times New Roman" w:hAnsi="Times New Roman" w:eastAsia="仿宋" w:cs="Times New Roman"/>
          <w:color w:val="auto"/>
          <w:sz w:val="44"/>
          <w:szCs w:val="44"/>
        </w:rPr>
      </w:pPr>
    </w:p>
    <w:p w14:paraId="5363ABD5">
      <w:pPr>
        <w:ind w:firstLine="1040"/>
        <w:rPr>
          <w:rFonts w:hint="default" w:ascii="Times New Roman" w:hAnsi="Times New Roman" w:eastAsia="仿宋" w:cs="Times New Roman"/>
          <w:color w:val="auto"/>
          <w:sz w:val="44"/>
          <w:szCs w:val="44"/>
        </w:rPr>
      </w:pPr>
    </w:p>
    <w:p w14:paraId="53FB023E">
      <w:pPr>
        <w:ind w:firstLine="1040"/>
        <w:rPr>
          <w:rFonts w:hint="default" w:ascii="Times New Roman" w:hAnsi="Times New Roman" w:eastAsia="仿宋" w:cs="Times New Roman"/>
          <w:color w:val="auto"/>
          <w:sz w:val="44"/>
          <w:szCs w:val="44"/>
        </w:rPr>
      </w:pPr>
    </w:p>
    <w:p w14:paraId="29AFA9AA">
      <w:pPr>
        <w:ind w:firstLine="1040"/>
        <w:rPr>
          <w:rFonts w:hint="default" w:ascii="Times New Roman" w:hAnsi="Times New Roman" w:eastAsia="仿宋" w:cs="Times New Roman"/>
          <w:color w:val="auto"/>
          <w:sz w:val="44"/>
          <w:szCs w:val="44"/>
        </w:rPr>
      </w:pPr>
    </w:p>
    <w:p w14:paraId="6AC2C564">
      <w:pPr>
        <w:adjustRightInd w:val="0"/>
        <w:snapToGrid w:val="0"/>
        <w:spacing w:line="360" w:lineRule="auto"/>
        <w:ind w:left="1800" w:hanging="1800" w:hangingChars="500"/>
        <w:rPr>
          <w:rFonts w:hint="default" w:ascii="Times New Roman" w:hAnsi="Times New Roman" w:eastAsia="仿宋" w:cs="Times New Roman"/>
          <w:color w:val="auto"/>
          <w:sz w:val="36"/>
          <w:szCs w:val="36"/>
          <w:u w:val="single"/>
        </w:rPr>
      </w:pPr>
      <w:r>
        <w:rPr>
          <w:rFonts w:hint="default" w:ascii="Times New Roman" w:hAnsi="Times New Roman" w:eastAsia="仿宋" w:cs="Times New Roman"/>
          <w:color w:val="auto"/>
          <w:sz w:val="36"/>
          <w:szCs w:val="36"/>
        </w:rPr>
        <w:t>项目名称：</w:t>
      </w:r>
      <w:r>
        <w:rPr>
          <w:rFonts w:hint="default" w:ascii="Times New Roman" w:hAnsi="Times New Roman" w:eastAsia="仿宋" w:cs="Times New Roman"/>
          <w:color w:val="auto"/>
          <w:sz w:val="36"/>
          <w:szCs w:val="36"/>
          <w:u w:val="single"/>
        </w:rPr>
        <w:t xml:space="preserve">      </w:t>
      </w:r>
      <w:r>
        <w:rPr>
          <w:rFonts w:hint="default" w:ascii="Times New Roman" w:hAnsi="Times New Roman" w:eastAsia="仿宋" w:cs="Times New Roman"/>
          <w:color w:val="auto"/>
          <w:sz w:val="36"/>
          <w:szCs w:val="36"/>
          <w:u w:val="single"/>
          <w:lang w:val="en-US" w:eastAsia="zh-CN"/>
        </w:rPr>
        <w:t xml:space="preserve">    </w:t>
      </w:r>
      <w:r>
        <w:rPr>
          <w:rFonts w:hint="default" w:ascii="Times New Roman" w:hAnsi="Times New Roman" w:eastAsia="仿宋" w:cs="Times New Roman"/>
          <w:color w:val="auto"/>
          <w:sz w:val="36"/>
          <w:szCs w:val="36"/>
          <w:u w:val="single"/>
          <w:lang w:eastAsia="zh-CN"/>
        </w:rPr>
        <w:t>扩建实验室项目</w:t>
      </w:r>
      <w:r>
        <w:rPr>
          <w:rFonts w:hint="default" w:ascii="Times New Roman" w:hAnsi="Times New Roman" w:eastAsia="仿宋" w:cs="Times New Roman"/>
          <w:color w:val="auto"/>
          <w:sz w:val="36"/>
          <w:szCs w:val="36"/>
          <w:u w:val="single"/>
        </w:rPr>
        <w:t xml:space="preserve">               </w:t>
      </w:r>
    </w:p>
    <w:p w14:paraId="0354F46A">
      <w:pPr>
        <w:adjustRightInd w:val="0"/>
        <w:snapToGrid w:val="0"/>
        <w:spacing w:line="360" w:lineRule="auto"/>
        <w:ind w:left="3060" w:hanging="3060" w:hangingChars="850"/>
        <w:rPr>
          <w:rFonts w:hint="default" w:ascii="Times New Roman" w:hAnsi="Times New Roman" w:eastAsia="仿宋" w:cs="Times New Roman"/>
          <w:color w:val="auto"/>
          <w:sz w:val="36"/>
          <w:szCs w:val="36"/>
          <w:u w:val="single"/>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z w:val="36"/>
          <w:szCs w:val="36"/>
          <w:u w:val="single"/>
        </w:rPr>
        <w:t>伊莎贝棱辉特（常州）电子科技有限公司</w:t>
      </w:r>
    </w:p>
    <w:p w14:paraId="7AE92079">
      <w:pPr>
        <w:adjustRightInd w:val="0"/>
        <w:snapToGrid w:val="0"/>
        <w:spacing w:line="408" w:lineRule="auto"/>
        <w:rPr>
          <w:rFonts w:hint="default" w:ascii="Times New Roman" w:hAnsi="Times New Roman" w:eastAsia="仿宋" w:cs="Times New Roman"/>
          <w:color w:val="auto"/>
          <w:sz w:val="36"/>
          <w:szCs w:val="36"/>
          <w:u w:val="single"/>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rPr>
        <w:t xml:space="preserve">                202</w:t>
      </w:r>
      <w:r>
        <w:rPr>
          <w:rFonts w:hint="default"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rPr>
        <w:t>年</w:t>
      </w:r>
      <w:r>
        <w:rPr>
          <w:rFonts w:hint="eastAsia" w:eastAsia="仿宋" w:cs="Times New Roman"/>
          <w:color w:val="auto"/>
          <w:sz w:val="36"/>
          <w:szCs w:val="36"/>
          <w:u w:val="single"/>
          <w:lang w:val="en-US" w:eastAsia="zh-CN"/>
        </w:rPr>
        <w:t>12</w:t>
      </w:r>
      <w:r>
        <w:rPr>
          <w:rFonts w:hint="default" w:ascii="Times New Roman" w:hAnsi="Times New Roman" w:eastAsia="仿宋" w:cs="Times New Roman"/>
          <w:color w:val="auto"/>
          <w:sz w:val="36"/>
          <w:szCs w:val="36"/>
          <w:u w:val="single"/>
        </w:rPr>
        <w:t xml:space="preserve">月             </w:t>
      </w:r>
    </w:p>
    <w:p w14:paraId="3AA1534C">
      <w:pPr>
        <w:adjustRightInd w:val="0"/>
        <w:snapToGrid w:val="0"/>
        <w:spacing w:line="288" w:lineRule="auto"/>
        <w:ind w:firstLine="1040"/>
        <w:rPr>
          <w:rFonts w:hint="default" w:ascii="Times New Roman" w:hAnsi="Times New Roman" w:eastAsia="仿宋" w:cs="Times New Roman"/>
          <w:color w:val="auto"/>
          <w:sz w:val="36"/>
          <w:szCs w:val="36"/>
          <w:u w:val="single"/>
        </w:rPr>
      </w:pPr>
      <w:bookmarkStart w:id="2" w:name="_Hlk57884087"/>
    </w:p>
    <w:p w14:paraId="7A4D673E">
      <w:pPr>
        <w:adjustRightInd w:val="0"/>
        <w:snapToGrid w:val="0"/>
        <w:spacing w:line="288" w:lineRule="auto"/>
        <w:ind w:firstLine="1040"/>
        <w:rPr>
          <w:rFonts w:hint="default" w:ascii="Times New Roman" w:hAnsi="Times New Roman" w:eastAsia="仿宋" w:cs="Times New Roman"/>
          <w:color w:val="auto"/>
          <w:sz w:val="36"/>
          <w:szCs w:val="36"/>
          <w:u w:val="single"/>
        </w:rPr>
      </w:pPr>
    </w:p>
    <w:p w14:paraId="68483518">
      <w:pPr>
        <w:adjustRightInd w:val="0"/>
        <w:snapToGrid w:val="0"/>
        <w:spacing w:line="288" w:lineRule="auto"/>
        <w:ind w:firstLine="1040"/>
        <w:rPr>
          <w:rFonts w:hint="default" w:ascii="Times New Roman" w:hAnsi="Times New Roman" w:eastAsia="仿宋" w:cs="Times New Roman"/>
          <w:color w:val="auto"/>
          <w:sz w:val="36"/>
          <w:szCs w:val="36"/>
          <w:u w:val="single"/>
        </w:rPr>
      </w:pPr>
    </w:p>
    <w:p w14:paraId="6F4555DE">
      <w:pPr>
        <w:adjustRightInd w:val="0"/>
        <w:snapToGrid w:val="0"/>
        <w:spacing w:line="288" w:lineRule="auto"/>
        <w:rPr>
          <w:rFonts w:hint="default" w:ascii="Times New Roman" w:hAnsi="Times New Roman" w:eastAsia="仿宋" w:cs="Times New Roman"/>
          <w:color w:val="auto"/>
          <w:sz w:val="36"/>
          <w:szCs w:val="36"/>
        </w:rPr>
      </w:pPr>
    </w:p>
    <w:p w14:paraId="017778AF">
      <w:pPr>
        <w:adjustRightInd w:val="0"/>
        <w:snapToGrid w:val="0"/>
        <w:spacing w:line="288" w:lineRule="auto"/>
        <w:rPr>
          <w:rFonts w:hint="default" w:ascii="Times New Roman" w:hAnsi="Times New Roman" w:eastAsia="仿宋" w:cs="Times New Roman"/>
          <w:color w:val="auto"/>
          <w:sz w:val="36"/>
          <w:szCs w:val="36"/>
        </w:rPr>
      </w:pPr>
    </w:p>
    <w:bookmarkEnd w:id="2"/>
    <w:p w14:paraId="6D729C5D">
      <w:pPr>
        <w:adjustRightInd w:val="0"/>
        <w:snapToGrid w:val="0"/>
        <w:spacing w:line="288" w:lineRule="auto"/>
        <w:jc w:val="center"/>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t>中华人民共和国生态环境部制</w:t>
      </w:r>
    </w:p>
    <w:p w14:paraId="4A8E153E">
      <w:pPr>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br w:type="page"/>
      </w:r>
    </w:p>
    <w:p w14:paraId="44463257">
      <w:pPr>
        <w:pStyle w:val="21"/>
        <w:spacing w:before="120" w:beforeLines="50" w:beforeAutospacing="0" w:after="120" w:afterLines="50" w:afterAutospacing="0"/>
        <w:outlineLvl w:val="0"/>
        <w:rPr>
          <w:rFonts w:hint="eastAsia" w:ascii="Times New Roman" w:hAnsi="Times New Roman" w:eastAsia="仿宋" w:cs="Times New Roman"/>
          <w:color w:val="auto"/>
          <w:sz w:val="36"/>
          <w:szCs w:val="36"/>
          <w:lang w:eastAsia="zh-CN"/>
        </w:rPr>
      </w:pPr>
      <w:bookmarkStart w:id="3" w:name="_Toc7817"/>
      <w:r>
        <w:rPr>
          <w:rFonts w:hint="eastAsia" w:ascii="Times New Roman" w:hAnsi="Times New Roman" w:eastAsia="仿宋" w:cs="Times New Roman"/>
          <w:color w:val="auto"/>
          <w:sz w:val="36"/>
          <w:szCs w:val="36"/>
          <w:lang w:eastAsia="zh-CN"/>
        </w:rPr>
        <w:drawing>
          <wp:inline distT="0" distB="0" distL="114300" distR="114300">
            <wp:extent cx="5610860" cy="7938135"/>
            <wp:effectExtent l="0" t="0" r="12700" b="1905"/>
            <wp:docPr id="68" name="图片 68" descr="伊莎编制人员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伊莎编制人员表"/>
                    <pic:cNvPicPr>
                      <a:picLocks noChangeAspect="1"/>
                    </pic:cNvPicPr>
                  </pic:nvPicPr>
                  <pic:blipFill>
                    <a:blip r:embed="rId7"/>
                    <a:stretch>
                      <a:fillRect/>
                    </a:stretch>
                  </pic:blipFill>
                  <pic:spPr>
                    <a:xfrm>
                      <a:off x="0" y="0"/>
                      <a:ext cx="5610860" cy="7938135"/>
                    </a:xfrm>
                    <a:prstGeom prst="rect">
                      <a:avLst/>
                    </a:prstGeom>
                  </pic:spPr>
                </pic:pic>
              </a:graphicData>
            </a:graphic>
          </wp:inline>
        </w:drawing>
      </w:r>
    </w:p>
    <w:p w14:paraId="4B60EA5D">
      <w:pPr>
        <w:rPr>
          <w:rFonts w:hint="eastAsia" w:ascii="Times New Roman" w:hAnsi="Times New Roman" w:eastAsia="仿宋" w:cs="Times New Roman"/>
          <w:color w:val="auto"/>
          <w:sz w:val="36"/>
          <w:szCs w:val="36"/>
          <w:lang w:eastAsia="zh-CN"/>
        </w:rPr>
      </w:pPr>
      <w:r>
        <w:rPr>
          <w:rFonts w:hint="eastAsia" w:ascii="Times New Roman" w:hAnsi="Times New Roman" w:eastAsia="仿宋" w:cs="Times New Roman"/>
          <w:color w:val="auto"/>
          <w:sz w:val="36"/>
          <w:szCs w:val="36"/>
          <w:lang w:eastAsia="zh-CN"/>
        </w:rPr>
        <w:br w:type="page"/>
      </w:r>
    </w:p>
    <w:p w14:paraId="51BC95BD">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bookmarkStart w:id="33" w:name="_GoBack"/>
      <w:bookmarkEnd w:id="33"/>
      <w:r>
        <w:rPr>
          <w:rFonts w:hint="default" w:ascii="Times New Roman" w:hAnsi="Times New Roman" w:eastAsia="仿宋" w:cs="Times New Roman"/>
          <w:snapToGrid w:val="0"/>
          <w:color w:val="auto"/>
          <w:sz w:val="30"/>
          <w:szCs w:val="30"/>
        </w:rPr>
        <w:t>一、建设项目基本情况</w:t>
      </w:r>
      <w:bookmarkEnd w:id="3"/>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27"/>
        <w:gridCol w:w="1927"/>
        <w:gridCol w:w="88"/>
        <w:gridCol w:w="1867"/>
        <w:gridCol w:w="3025"/>
      </w:tblGrid>
      <w:tr w14:paraId="5A2AB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tcMar>
              <w:top w:w="16" w:type="dxa"/>
              <w:left w:w="16" w:type="dxa"/>
              <w:right w:w="16" w:type="dxa"/>
            </w:tcMar>
            <w:vAlign w:val="center"/>
          </w:tcPr>
          <w:p w14:paraId="09DF0A9F">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建设项目名称</w:t>
            </w:r>
          </w:p>
        </w:tc>
        <w:tc>
          <w:tcPr>
            <w:tcW w:w="6907" w:type="dxa"/>
            <w:gridSpan w:val="4"/>
            <w:vAlign w:val="center"/>
          </w:tcPr>
          <w:p w14:paraId="4B378F10">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扩建实验室项目</w:t>
            </w:r>
          </w:p>
        </w:tc>
      </w:tr>
      <w:tr w14:paraId="68D41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tcMar>
              <w:top w:w="16" w:type="dxa"/>
              <w:left w:w="16" w:type="dxa"/>
              <w:right w:w="16" w:type="dxa"/>
            </w:tcMar>
            <w:vAlign w:val="center"/>
          </w:tcPr>
          <w:p w14:paraId="5AA483C3">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项目代码</w:t>
            </w:r>
          </w:p>
        </w:tc>
        <w:tc>
          <w:tcPr>
            <w:tcW w:w="6907" w:type="dxa"/>
            <w:gridSpan w:val="4"/>
            <w:vAlign w:val="center"/>
          </w:tcPr>
          <w:p w14:paraId="60D7EE63">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2506-320458-89-05-907415</w:t>
            </w:r>
          </w:p>
        </w:tc>
      </w:tr>
      <w:tr w14:paraId="0FB56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tcMar>
              <w:top w:w="16" w:type="dxa"/>
              <w:left w:w="16" w:type="dxa"/>
              <w:right w:w="16" w:type="dxa"/>
            </w:tcMar>
            <w:vAlign w:val="center"/>
          </w:tcPr>
          <w:p w14:paraId="71E4C63D">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建设单位联系人</w:t>
            </w:r>
          </w:p>
        </w:tc>
        <w:tc>
          <w:tcPr>
            <w:tcW w:w="1927" w:type="dxa"/>
            <w:vAlign w:val="center"/>
          </w:tcPr>
          <w:p w14:paraId="3CB8D6B8">
            <w:pPr>
              <w:adjustRightInd w:val="0"/>
              <w:snapToGrid w:val="0"/>
              <w:jc w:val="center"/>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朱陈强</w:t>
            </w:r>
          </w:p>
        </w:tc>
        <w:tc>
          <w:tcPr>
            <w:tcW w:w="1955" w:type="dxa"/>
            <w:gridSpan w:val="2"/>
            <w:vAlign w:val="center"/>
          </w:tcPr>
          <w:p w14:paraId="1F5503F2">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联系方式</w:t>
            </w:r>
          </w:p>
        </w:tc>
        <w:tc>
          <w:tcPr>
            <w:tcW w:w="3025" w:type="dxa"/>
            <w:vAlign w:val="center"/>
          </w:tcPr>
          <w:p w14:paraId="5F8BAD93">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18017006665</w:t>
            </w:r>
          </w:p>
        </w:tc>
      </w:tr>
      <w:tr w14:paraId="45951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7" w:type="dxa"/>
            <w:tcMar>
              <w:top w:w="16" w:type="dxa"/>
              <w:left w:w="16" w:type="dxa"/>
              <w:right w:w="16" w:type="dxa"/>
            </w:tcMar>
            <w:vAlign w:val="center"/>
          </w:tcPr>
          <w:p w14:paraId="28E31ACB">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建设地点</w:t>
            </w:r>
          </w:p>
        </w:tc>
        <w:tc>
          <w:tcPr>
            <w:tcW w:w="6907" w:type="dxa"/>
            <w:gridSpan w:val="4"/>
            <w:vAlign w:val="center"/>
          </w:tcPr>
          <w:p w14:paraId="135D6112">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江苏省常州市金坛区龙湖路86号</w:t>
            </w:r>
          </w:p>
          <w:p w14:paraId="5611148D">
            <w:pPr>
              <w:adjustRightInd w:val="0"/>
              <w:snapToGrid w:val="0"/>
              <w:jc w:val="center"/>
              <w:rPr>
                <w:rFonts w:hint="default" w:ascii="Times New Roman" w:hAnsi="Times New Roman" w:eastAsia="仿宋" w:cs="Times New Roman"/>
                <w:color w:val="auto"/>
                <w:sz w:val="24"/>
              </w:rPr>
            </w:pPr>
            <w:r>
              <w:rPr>
                <w:rFonts w:hint="eastAsia" w:eastAsia="仿宋" w:cs="Times New Roman"/>
                <w:color w:val="auto"/>
                <w:sz w:val="24"/>
                <w:lang w:eastAsia="zh-CN"/>
              </w:rPr>
              <w:t>（</w:t>
            </w:r>
            <w:r>
              <w:rPr>
                <w:rFonts w:hint="default" w:ascii="Times New Roman" w:hAnsi="Times New Roman" w:eastAsia="仿宋" w:cs="Times New Roman"/>
                <w:color w:val="auto"/>
                <w:sz w:val="24"/>
              </w:rPr>
              <w:t>江苏省</w:t>
            </w:r>
            <w:r>
              <w:rPr>
                <w:rFonts w:hint="default" w:ascii="Times New Roman" w:hAnsi="Times New Roman" w:eastAsia="仿宋" w:cs="Times New Roman"/>
                <w:color w:val="auto"/>
                <w:sz w:val="24"/>
                <w:lang w:val="en-US" w:eastAsia="zh-CN"/>
              </w:rPr>
              <w:t>常州市</w:t>
            </w:r>
            <w:r>
              <w:rPr>
                <w:rFonts w:hint="default" w:ascii="Times New Roman" w:hAnsi="Times New Roman" w:eastAsia="仿宋" w:cs="Times New Roman"/>
                <w:color w:val="auto"/>
                <w:sz w:val="24"/>
              </w:rPr>
              <w:t>金坛经济开发区珠山路北侧、汇福路东侧、龙湖路西侧和鑫城大道南侧</w:t>
            </w:r>
            <w:r>
              <w:rPr>
                <w:rFonts w:hint="eastAsia" w:eastAsia="仿宋" w:cs="Times New Roman"/>
                <w:color w:val="auto"/>
                <w:sz w:val="24"/>
                <w:lang w:val="en-US" w:eastAsia="zh-CN"/>
              </w:rPr>
              <w:t>地块</w:t>
            </w:r>
            <w:r>
              <w:rPr>
                <w:rFonts w:hint="eastAsia" w:eastAsia="仿宋" w:cs="Times New Roman"/>
                <w:color w:val="auto"/>
                <w:sz w:val="24"/>
                <w:lang w:eastAsia="zh-CN"/>
              </w:rPr>
              <w:t>，</w:t>
            </w:r>
            <w:r>
              <w:rPr>
                <w:rFonts w:hint="default" w:ascii="Times New Roman" w:hAnsi="Times New Roman" w:eastAsia="仿宋" w:cs="Times New Roman"/>
                <w:color w:val="auto"/>
                <w:sz w:val="24"/>
              </w:rPr>
              <w:t>距最近金坛城区国控点6.8km）</w:t>
            </w:r>
          </w:p>
        </w:tc>
      </w:tr>
      <w:tr w14:paraId="09CD0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tcMar>
              <w:top w:w="16" w:type="dxa"/>
              <w:left w:w="16" w:type="dxa"/>
              <w:right w:w="16" w:type="dxa"/>
            </w:tcMar>
            <w:vAlign w:val="center"/>
          </w:tcPr>
          <w:p w14:paraId="0721430C">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地理坐标</w:t>
            </w:r>
          </w:p>
        </w:tc>
        <w:tc>
          <w:tcPr>
            <w:tcW w:w="6907" w:type="dxa"/>
            <w:gridSpan w:val="4"/>
            <w:vAlign w:val="center"/>
          </w:tcPr>
          <w:p w14:paraId="0B9455D3">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经度：</w:t>
            </w:r>
            <w:r>
              <w:rPr>
                <w:rFonts w:hint="default" w:ascii="Times New Roman" w:hAnsi="Times New Roman" w:eastAsia="仿宋" w:cs="Times New Roman"/>
                <w:color w:val="auto"/>
                <w:sz w:val="24"/>
                <w:u w:val="single"/>
              </w:rPr>
              <w:t>119</w:t>
            </w:r>
            <w:r>
              <w:rPr>
                <w:rFonts w:hint="default" w:ascii="Times New Roman" w:hAnsi="Times New Roman" w:eastAsia="仿宋" w:cs="Times New Roman"/>
                <w:color w:val="auto"/>
                <w:sz w:val="24"/>
              </w:rPr>
              <w:t>度</w:t>
            </w:r>
            <w:r>
              <w:rPr>
                <w:rFonts w:hint="default" w:ascii="Times New Roman" w:hAnsi="Times New Roman" w:eastAsia="仿宋" w:cs="Times New Roman"/>
                <w:color w:val="auto"/>
                <w:sz w:val="24"/>
                <w:u w:val="single"/>
              </w:rPr>
              <w:t>39</w:t>
            </w:r>
            <w:r>
              <w:rPr>
                <w:rFonts w:hint="default" w:ascii="Times New Roman" w:hAnsi="Times New Roman" w:eastAsia="仿宋" w:cs="Times New Roman"/>
                <w:color w:val="auto"/>
                <w:sz w:val="24"/>
              </w:rPr>
              <w:t>分</w:t>
            </w:r>
            <w:r>
              <w:rPr>
                <w:rFonts w:hint="default" w:ascii="Times New Roman" w:hAnsi="Times New Roman" w:eastAsia="仿宋" w:cs="Times New Roman"/>
                <w:color w:val="auto"/>
                <w:sz w:val="24"/>
                <w:u w:val="single"/>
              </w:rPr>
              <w:t>11.44420</w:t>
            </w:r>
            <w:r>
              <w:rPr>
                <w:rFonts w:hint="default" w:ascii="Times New Roman" w:hAnsi="Times New Roman" w:eastAsia="仿宋" w:cs="Times New Roman"/>
                <w:color w:val="auto"/>
                <w:sz w:val="24"/>
              </w:rPr>
              <w:t>秒，纬度：</w:t>
            </w:r>
            <w:r>
              <w:rPr>
                <w:rFonts w:hint="default" w:ascii="Times New Roman" w:hAnsi="Times New Roman" w:eastAsia="仿宋" w:cs="Times New Roman"/>
                <w:color w:val="auto"/>
                <w:sz w:val="24"/>
                <w:u w:val="single"/>
              </w:rPr>
              <w:t>31</w:t>
            </w:r>
            <w:r>
              <w:rPr>
                <w:rFonts w:hint="default" w:ascii="Times New Roman" w:hAnsi="Times New Roman" w:eastAsia="仿宋" w:cs="Times New Roman"/>
                <w:color w:val="auto"/>
                <w:sz w:val="24"/>
              </w:rPr>
              <w:t>度</w:t>
            </w:r>
            <w:r>
              <w:rPr>
                <w:rFonts w:hint="default" w:ascii="Times New Roman" w:hAnsi="Times New Roman" w:eastAsia="仿宋" w:cs="Times New Roman"/>
                <w:color w:val="auto"/>
                <w:sz w:val="24"/>
                <w:u w:val="single"/>
              </w:rPr>
              <w:t>44</w:t>
            </w:r>
            <w:r>
              <w:rPr>
                <w:rFonts w:hint="default" w:ascii="Times New Roman" w:hAnsi="Times New Roman" w:eastAsia="仿宋" w:cs="Times New Roman"/>
                <w:color w:val="auto"/>
                <w:sz w:val="24"/>
              </w:rPr>
              <w:t>分</w:t>
            </w:r>
            <w:r>
              <w:rPr>
                <w:rFonts w:hint="default" w:ascii="Times New Roman" w:hAnsi="Times New Roman" w:eastAsia="仿宋" w:cs="Times New Roman"/>
                <w:color w:val="auto"/>
                <w:sz w:val="24"/>
                <w:u w:val="single"/>
              </w:rPr>
              <w:t>1.84631</w:t>
            </w:r>
            <w:r>
              <w:rPr>
                <w:rFonts w:hint="default" w:ascii="Times New Roman" w:hAnsi="Times New Roman" w:eastAsia="仿宋" w:cs="Times New Roman"/>
                <w:color w:val="auto"/>
                <w:sz w:val="24"/>
              </w:rPr>
              <w:t>秒</w:t>
            </w:r>
          </w:p>
        </w:tc>
      </w:tr>
      <w:tr w14:paraId="2C499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27" w:type="dxa"/>
            <w:tcMar>
              <w:top w:w="16" w:type="dxa"/>
              <w:left w:w="16" w:type="dxa"/>
              <w:right w:w="16" w:type="dxa"/>
            </w:tcMar>
            <w:vAlign w:val="center"/>
          </w:tcPr>
          <w:p w14:paraId="03AB7E7A">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国民经济行业类别</w:t>
            </w:r>
          </w:p>
        </w:tc>
        <w:tc>
          <w:tcPr>
            <w:tcW w:w="2015" w:type="dxa"/>
            <w:gridSpan w:val="2"/>
            <w:vAlign w:val="center"/>
          </w:tcPr>
          <w:p w14:paraId="222811E4">
            <w:pPr>
              <w:adjustRightInd w:val="0"/>
              <w:snapToGrid w:val="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M7320工程和技术研究和试验发展</w:t>
            </w:r>
          </w:p>
        </w:tc>
        <w:tc>
          <w:tcPr>
            <w:tcW w:w="1867" w:type="dxa"/>
            <w:vAlign w:val="center"/>
          </w:tcPr>
          <w:p w14:paraId="25663E27">
            <w:pPr>
              <w:adjustRightInd w:val="0"/>
              <w:snapToGrid w:val="0"/>
              <w:jc w:val="center"/>
              <w:rPr>
                <w:rFonts w:hint="default" w:ascii="Times New Roman" w:hAnsi="Times New Roman" w:eastAsia="仿宋" w:cs="Times New Roman"/>
                <w:color w:val="auto"/>
                <w:sz w:val="24"/>
                <w:szCs w:val="24"/>
              </w:rPr>
            </w:pPr>
            <w:bookmarkStart w:id="4" w:name="_Hlk49843745"/>
            <w:r>
              <w:rPr>
                <w:rFonts w:hint="default" w:ascii="Times New Roman" w:hAnsi="Times New Roman" w:eastAsia="仿宋" w:cs="Times New Roman"/>
                <w:color w:val="auto"/>
                <w:sz w:val="24"/>
                <w:szCs w:val="24"/>
              </w:rPr>
              <w:t>建设项目</w:t>
            </w:r>
          </w:p>
          <w:p w14:paraId="5DBF0922">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bookmarkEnd w:id="4"/>
          </w:p>
        </w:tc>
        <w:tc>
          <w:tcPr>
            <w:tcW w:w="3025" w:type="dxa"/>
            <w:vAlign w:val="center"/>
          </w:tcPr>
          <w:p w14:paraId="3CCB9F13">
            <w:pPr>
              <w:adjustRightInd w:val="0"/>
              <w:snapToGrid w:val="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四十五、研究和试验发展</w:t>
            </w:r>
            <w:r>
              <w:rPr>
                <w:rFonts w:hint="default" w:ascii="Times New Roman" w:hAnsi="Times New Roman" w:eastAsia="仿宋" w:cs="Times New Roman"/>
                <w:color w:val="auto"/>
                <w:sz w:val="24"/>
                <w:szCs w:val="24"/>
                <w:lang w:val="en-US" w:eastAsia="zh-CN"/>
              </w:rPr>
              <w:t>-</w:t>
            </w:r>
          </w:p>
          <w:p w14:paraId="6E20865C">
            <w:pPr>
              <w:adjustRightInd w:val="0"/>
              <w:snapToGrid w:val="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98、专业实验室、研发（试验）基地-其他（不产生实验废气、废水、危险废物的除外）</w:t>
            </w:r>
          </w:p>
        </w:tc>
      </w:tr>
      <w:tr w14:paraId="75E61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27" w:type="dxa"/>
            <w:tcMar>
              <w:top w:w="16" w:type="dxa"/>
              <w:left w:w="16" w:type="dxa"/>
              <w:right w:w="16" w:type="dxa"/>
            </w:tcMar>
            <w:vAlign w:val="center"/>
          </w:tcPr>
          <w:p w14:paraId="7EF24540">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建设性质</w:t>
            </w:r>
          </w:p>
        </w:tc>
        <w:tc>
          <w:tcPr>
            <w:tcW w:w="2015" w:type="dxa"/>
            <w:gridSpan w:val="2"/>
            <w:vAlign w:val="center"/>
          </w:tcPr>
          <w:p w14:paraId="57B26181">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新建（迁建）</w:t>
            </w:r>
          </w:p>
          <w:p w14:paraId="1BB3276E">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□改建</w:t>
            </w:r>
          </w:p>
          <w:p w14:paraId="7BD42BF8">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w:char="00FE"/>
            </w:r>
            <w:r>
              <w:rPr>
                <w:rFonts w:hint="default" w:ascii="Times New Roman" w:hAnsi="Times New Roman" w:eastAsia="仿宋" w:cs="Times New Roman"/>
                <w:color w:val="auto"/>
                <w:sz w:val="24"/>
                <w:szCs w:val="24"/>
              </w:rPr>
              <w:t>扩建</w:t>
            </w:r>
          </w:p>
          <w:p w14:paraId="20494D1E">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□技术改造</w:t>
            </w:r>
          </w:p>
        </w:tc>
        <w:tc>
          <w:tcPr>
            <w:tcW w:w="1867" w:type="dxa"/>
            <w:vAlign w:val="center"/>
          </w:tcPr>
          <w:p w14:paraId="097F5026">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14:paraId="0AF7E2C8">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申报情形</w:t>
            </w:r>
          </w:p>
        </w:tc>
        <w:tc>
          <w:tcPr>
            <w:tcW w:w="3025" w:type="dxa"/>
            <w:vAlign w:val="center"/>
          </w:tcPr>
          <w:p w14:paraId="6BAA0F93">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w:char="00FE"/>
            </w:r>
            <w:r>
              <w:rPr>
                <w:rFonts w:hint="default" w:ascii="Times New Roman" w:hAnsi="Times New Roman" w:eastAsia="仿宋" w:cs="Times New Roman"/>
                <w:color w:val="auto"/>
                <w:sz w:val="24"/>
                <w:szCs w:val="24"/>
              </w:rPr>
              <w:t xml:space="preserve">首次申报项目             </w:t>
            </w:r>
          </w:p>
          <w:p w14:paraId="0D7D3060">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□不予批准后再次申报项目</w:t>
            </w:r>
          </w:p>
          <w:p w14:paraId="5689A31E">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□超五年重新审核项目     </w:t>
            </w:r>
          </w:p>
          <w:p w14:paraId="47E59AE8">
            <w:pPr>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□重大变动重新报批项目</w:t>
            </w:r>
          </w:p>
        </w:tc>
      </w:tr>
      <w:tr w14:paraId="5F337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27" w:type="dxa"/>
            <w:tcMar>
              <w:top w:w="16" w:type="dxa"/>
              <w:left w:w="16" w:type="dxa"/>
              <w:right w:w="16" w:type="dxa"/>
            </w:tcMar>
            <w:vAlign w:val="center"/>
          </w:tcPr>
          <w:p w14:paraId="33AD445E">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项目审批（核准/备案）部门</w:t>
            </w:r>
          </w:p>
        </w:tc>
        <w:tc>
          <w:tcPr>
            <w:tcW w:w="2015" w:type="dxa"/>
            <w:gridSpan w:val="2"/>
            <w:vAlign w:val="center"/>
          </w:tcPr>
          <w:p w14:paraId="240F7D02">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江苏金坛经济开发区经济发展局</w:t>
            </w:r>
          </w:p>
        </w:tc>
        <w:tc>
          <w:tcPr>
            <w:tcW w:w="1867" w:type="dxa"/>
            <w:vAlign w:val="center"/>
          </w:tcPr>
          <w:p w14:paraId="346440A7">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项目审批（核准/备案）文号</w:t>
            </w:r>
          </w:p>
        </w:tc>
        <w:tc>
          <w:tcPr>
            <w:tcW w:w="3025" w:type="dxa"/>
            <w:vAlign w:val="center"/>
          </w:tcPr>
          <w:p w14:paraId="5D56FB9A">
            <w:pPr>
              <w:adjustRightInd w:val="0"/>
              <w:snapToGrid w:val="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坛开经发备字</w:t>
            </w:r>
            <w:r>
              <w:rPr>
                <w:rFonts w:hint="default" w:ascii="Times New Roman" w:hAnsi="Times New Roman" w:eastAsia="仿宋" w:cs="Times New Roman"/>
                <w:color w:val="auto"/>
                <w:sz w:val="24"/>
                <w:szCs w:val="24"/>
                <w:lang w:eastAsia="zh-CN"/>
              </w:rPr>
              <w:t>〔2025〕179号</w:t>
            </w:r>
          </w:p>
        </w:tc>
      </w:tr>
      <w:tr w14:paraId="49028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7" w:type="dxa"/>
            <w:shd w:val="clear" w:color="auto" w:fill="auto"/>
            <w:tcMar>
              <w:top w:w="16" w:type="dxa"/>
              <w:left w:w="16" w:type="dxa"/>
              <w:right w:w="16" w:type="dxa"/>
            </w:tcMar>
            <w:vAlign w:val="center"/>
          </w:tcPr>
          <w:p w14:paraId="7648EA08">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总投资（万元）</w:t>
            </w:r>
          </w:p>
        </w:tc>
        <w:tc>
          <w:tcPr>
            <w:tcW w:w="2015" w:type="dxa"/>
            <w:gridSpan w:val="2"/>
            <w:shd w:val="clear" w:color="auto" w:fill="auto"/>
            <w:vAlign w:val="center"/>
          </w:tcPr>
          <w:p w14:paraId="2729B181">
            <w:pPr>
              <w:adjustRightInd w:val="0"/>
              <w:snapToGrid w:val="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400</w:t>
            </w:r>
          </w:p>
        </w:tc>
        <w:tc>
          <w:tcPr>
            <w:tcW w:w="1867" w:type="dxa"/>
            <w:shd w:val="clear" w:color="auto" w:fill="auto"/>
            <w:tcMar>
              <w:top w:w="16" w:type="dxa"/>
              <w:left w:w="16" w:type="dxa"/>
              <w:right w:w="16" w:type="dxa"/>
            </w:tcMar>
            <w:vAlign w:val="center"/>
          </w:tcPr>
          <w:p w14:paraId="425326DE">
            <w:pPr>
              <w:adjustRightInd w:val="0"/>
              <w:snapToGrid w:val="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环保投资</w:t>
            </w:r>
          </w:p>
          <w:p w14:paraId="4166D222">
            <w:pPr>
              <w:adjustRightInd w:val="0"/>
              <w:snapToGrid w:val="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（万元）</w:t>
            </w:r>
          </w:p>
        </w:tc>
        <w:tc>
          <w:tcPr>
            <w:tcW w:w="3025" w:type="dxa"/>
            <w:shd w:val="clear" w:color="auto" w:fill="auto"/>
            <w:vAlign w:val="center"/>
          </w:tcPr>
          <w:p w14:paraId="6D2C6D33">
            <w:pPr>
              <w:adjustRightInd w:val="0"/>
              <w:snapToGrid w:val="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w:t>
            </w:r>
          </w:p>
        </w:tc>
      </w:tr>
      <w:tr w14:paraId="1F45F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shd w:val="clear" w:color="auto" w:fill="auto"/>
            <w:tcMar>
              <w:top w:w="16" w:type="dxa"/>
              <w:left w:w="16" w:type="dxa"/>
              <w:right w:w="16" w:type="dxa"/>
            </w:tcMar>
            <w:vAlign w:val="center"/>
          </w:tcPr>
          <w:p w14:paraId="767F0286">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环保投资占比（%）</w:t>
            </w:r>
          </w:p>
        </w:tc>
        <w:tc>
          <w:tcPr>
            <w:tcW w:w="2015" w:type="dxa"/>
            <w:gridSpan w:val="2"/>
            <w:shd w:val="clear" w:color="auto" w:fill="auto"/>
            <w:vAlign w:val="center"/>
          </w:tcPr>
          <w:p w14:paraId="74BB2CD8">
            <w:pPr>
              <w:adjustRightInd w:val="0"/>
              <w:snapToGrid w:val="0"/>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0.5</w:t>
            </w:r>
          </w:p>
        </w:tc>
        <w:tc>
          <w:tcPr>
            <w:tcW w:w="1867" w:type="dxa"/>
            <w:shd w:val="clear" w:color="auto" w:fill="auto"/>
            <w:tcMar>
              <w:top w:w="16" w:type="dxa"/>
              <w:left w:w="16" w:type="dxa"/>
              <w:right w:w="16" w:type="dxa"/>
            </w:tcMar>
            <w:vAlign w:val="center"/>
          </w:tcPr>
          <w:p w14:paraId="5E65E00E">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施工工期</w:t>
            </w:r>
          </w:p>
        </w:tc>
        <w:tc>
          <w:tcPr>
            <w:tcW w:w="3025" w:type="dxa"/>
            <w:shd w:val="clear" w:color="auto" w:fill="auto"/>
            <w:vAlign w:val="center"/>
          </w:tcPr>
          <w:p w14:paraId="64086444">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个月</w:t>
            </w:r>
          </w:p>
        </w:tc>
      </w:tr>
      <w:tr w14:paraId="2337D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27" w:type="dxa"/>
            <w:tcMar>
              <w:top w:w="16" w:type="dxa"/>
              <w:left w:w="16" w:type="dxa"/>
              <w:right w:w="16" w:type="dxa"/>
            </w:tcMar>
            <w:vAlign w:val="center"/>
          </w:tcPr>
          <w:p w14:paraId="302B9978">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是否开工建设</w:t>
            </w:r>
          </w:p>
        </w:tc>
        <w:tc>
          <w:tcPr>
            <w:tcW w:w="2015" w:type="dxa"/>
            <w:gridSpan w:val="2"/>
            <w:vAlign w:val="center"/>
          </w:tcPr>
          <w:p w14:paraId="1C2CEF35">
            <w:pPr>
              <w:adjustRightInd w:val="0"/>
              <w:snapToGrid w:val="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sym w:font="Wingdings" w:char="F0FE"/>
            </w:r>
            <w:r>
              <w:rPr>
                <w:rFonts w:hint="default" w:ascii="Times New Roman" w:hAnsi="Times New Roman" w:eastAsia="仿宋" w:cs="Times New Roman"/>
                <w:color w:val="auto"/>
                <w:sz w:val="24"/>
              </w:rPr>
              <w:t>否</w:t>
            </w:r>
          </w:p>
          <w:p w14:paraId="5AB755F3">
            <w:pPr>
              <w:adjustRightInd w:val="0"/>
              <w:snapToGrid w:val="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□是：</w:t>
            </w:r>
            <w:r>
              <w:rPr>
                <w:rFonts w:hint="default" w:ascii="Times New Roman" w:hAnsi="Times New Roman" w:eastAsia="仿宋" w:cs="Times New Roman"/>
                <w:color w:val="auto"/>
                <w:sz w:val="24"/>
                <w:u w:val="single"/>
              </w:rPr>
              <w:t xml:space="preserve">             </w:t>
            </w:r>
          </w:p>
        </w:tc>
        <w:tc>
          <w:tcPr>
            <w:tcW w:w="1867" w:type="dxa"/>
            <w:tcMar>
              <w:top w:w="16" w:type="dxa"/>
              <w:left w:w="16" w:type="dxa"/>
              <w:right w:w="16" w:type="dxa"/>
            </w:tcMar>
            <w:vAlign w:val="center"/>
          </w:tcPr>
          <w:p w14:paraId="67C8908E">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pacing w:val="-6"/>
                <w:sz w:val="24"/>
              </w:rPr>
              <w:t>用地面积（m</w:t>
            </w:r>
            <w:r>
              <w:rPr>
                <w:rFonts w:hint="default" w:ascii="Times New Roman" w:hAnsi="Times New Roman" w:eastAsia="仿宋" w:cs="Times New Roman"/>
                <w:color w:val="auto"/>
                <w:spacing w:val="-6"/>
                <w:sz w:val="24"/>
                <w:vertAlign w:val="superscript"/>
              </w:rPr>
              <w:t>2</w:t>
            </w:r>
            <w:r>
              <w:rPr>
                <w:rFonts w:hint="default" w:ascii="Times New Roman" w:hAnsi="Times New Roman" w:eastAsia="仿宋" w:cs="Times New Roman"/>
                <w:color w:val="auto"/>
                <w:spacing w:val="-6"/>
                <w:sz w:val="24"/>
              </w:rPr>
              <w:t>）</w:t>
            </w:r>
          </w:p>
        </w:tc>
        <w:tc>
          <w:tcPr>
            <w:tcW w:w="3025" w:type="dxa"/>
            <w:vAlign w:val="center"/>
          </w:tcPr>
          <w:p w14:paraId="43A97920">
            <w:pPr>
              <w:adjustRightInd w:val="0"/>
              <w:snapToGrid w:val="0"/>
              <w:jc w:val="center"/>
              <w:rPr>
                <w:rFonts w:hint="default" w:ascii="Times New Roman" w:hAnsi="Times New Roman" w:eastAsia="仿宋" w:cs="Times New Roman"/>
                <w:color w:val="auto"/>
                <w:sz w:val="24"/>
                <w:lang w:eastAsia="zh-CN"/>
              </w:rPr>
            </w:pPr>
            <w:r>
              <w:rPr>
                <w:rFonts w:hint="default" w:ascii="Times New Roman" w:hAnsi="Times New Roman" w:eastAsia="仿宋" w:cs="Times New Roman"/>
                <w:bCs/>
                <w:color w:val="auto"/>
                <w:sz w:val="24"/>
                <w:lang w:val="en-US" w:eastAsia="zh-CN"/>
              </w:rPr>
              <w:t>164</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highlight w:val="none"/>
                <w:lang w:val="en-US" w:eastAsia="zh-CN"/>
              </w:rPr>
              <w:t>建筑面积</w:t>
            </w:r>
            <w:r>
              <w:rPr>
                <w:rFonts w:hint="default" w:ascii="Times New Roman" w:hAnsi="Times New Roman" w:eastAsia="仿宋" w:cs="Times New Roman"/>
                <w:bCs/>
                <w:color w:val="auto"/>
                <w:sz w:val="24"/>
                <w:lang w:eastAsia="zh-CN"/>
              </w:rPr>
              <w:t>）</w:t>
            </w:r>
          </w:p>
        </w:tc>
      </w:tr>
      <w:tr w14:paraId="110C4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527" w:type="dxa"/>
            <w:vAlign w:val="center"/>
          </w:tcPr>
          <w:p w14:paraId="180FEE13">
            <w:pPr>
              <w:autoSpaceDE w:val="0"/>
              <w:autoSpaceDN w:val="0"/>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专项评价设置情况</w:t>
            </w:r>
          </w:p>
        </w:tc>
        <w:tc>
          <w:tcPr>
            <w:tcW w:w="6907" w:type="dxa"/>
            <w:gridSpan w:val="4"/>
            <w:vAlign w:val="center"/>
          </w:tcPr>
          <w:p w14:paraId="0837983F">
            <w:pPr>
              <w:adjustRightInd w:val="0"/>
              <w:snapToGrid w:val="0"/>
              <w:spacing w:before="120" w:beforeLines="50"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根据《建设项目环境影响报告表编制技术指南（污染影响类）试行》，本项目无需设置专项评价，具体分析如下表：</w:t>
            </w:r>
          </w:p>
          <w:p w14:paraId="2FB4D5C4">
            <w:pPr>
              <w:adjustRightInd w:val="0"/>
              <w:snapToGrid w:val="0"/>
              <w:spacing w:line="240" w:lineRule="auto"/>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表1-1  专项评价是否设置对照表</w:t>
            </w:r>
          </w:p>
          <w:tbl>
            <w:tblPr>
              <w:tblStyle w:val="2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2"/>
              <w:gridCol w:w="4004"/>
              <w:gridCol w:w="1532"/>
              <w:gridCol w:w="533"/>
            </w:tblGrid>
            <w:tr w14:paraId="197DC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44745FEB">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2991" w:type="pct"/>
                  <w:vAlign w:val="center"/>
                </w:tcPr>
                <w:p w14:paraId="4CA8EF07">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设置原则</w:t>
                  </w:r>
                </w:p>
              </w:tc>
              <w:tc>
                <w:tcPr>
                  <w:tcW w:w="1144" w:type="pct"/>
                  <w:vAlign w:val="center"/>
                </w:tcPr>
                <w:p w14:paraId="4CA4BA96">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对照情况</w:t>
                  </w:r>
                </w:p>
              </w:tc>
              <w:tc>
                <w:tcPr>
                  <w:tcW w:w="398" w:type="pct"/>
                  <w:vAlign w:val="center"/>
                </w:tcPr>
                <w:p w14:paraId="435E272A">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是否设置</w:t>
                  </w:r>
                </w:p>
              </w:tc>
            </w:tr>
            <w:tr w14:paraId="30A68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52ADA68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w:t>
                  </w:r>
                </w:p>
              </w:tc>
              <w:tc>
                <w:tcPr>
                  <w:tcW w:w="2991" w:type="pct"/>
                  <w:vAlign w:val="center"/>
                </w:tcPr>
                <w:p w14:paraId="69F6AB11">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排放废气含</w:t>
                  </w:r>
                  <w:bookmarkStart w:id="5" w:name="OLE_LINK1"/>
                  <w:r>
                    <w:rPr>
                      <w:rFonts w:hint="default" w:ascii="Times New Roman" w:hAnsi="Times New Roman" w:eastAsia="仿宋" w:cs="Times New Roman"/>
                      <w:color w:val="auto"/>
                      <w:sz w:val="21"/>
                      <w:szCs w:val="21"/>
                    </w:rPr>
                    <w:t>有毒有害污染物</w:t>
                  </w:r>
                  <w:bookmarkEnd w:id="5"/>
                  <w:r>
                    <w:rPr>
                      <w:rFonts w:hint="default" w:ascii="Times New Roman" w:hAnsi="Times New Roman" w:eastAsia="仿宋" w:cs="Times New Roman"/>
                      <w:color w:val="auto"/>
                      <w:sz w:val="21"/>
                      <w:szCs w:val="21"/>
                      <w:vertAlign w:val="superscript"/>
                    </w:rPr>
                    <w:t>1</w:t>
                  </w:r>
                  <w:r>
                    <w:rPr>
                      <w:rFonts w:hint="default" w:ascii="Times New Roman" w:hAnsi="Times New Roman" w:eastAsia="仿宋" w:cs="Times New Roman"/>
                      <w:color w:val="auto"/>
                      <w:sz w:val="21"/>
                      <w:szCs w:val="21"/>
                    </w:rPr>
                    <w:t>、二噁英、苯并[a]芘、氰化物、氯气且厂界外500米范围内有环境空气保护目标</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的建设项目</w:t>
                  </w:r>
                </w:p>
              </w:tc>
              <w:tc>
                <w:tcPr>
                  <w:tcW w:w="1144" w:type="pct"/>
                  <w:vAlign w:val="center"/>
                </w:tcPr>
                <w:p w14:paraId="6AFA064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本项目不排放有毒有害废气</w:t>
                  </w:r>
                </w:p>
              </w:tc>
              <w:tc>
                <w:tcPr>
                  <w:tcW w:w="398" w:type="pct"/>
                  <w:vAlign w:val="center"/>
                </w:tcPr>
                <w:p w14:paraId="7006F2D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否</w:t>
                  </w:r>
                </w:p>
              </w:tc>
            </w:tr>
            <w:tr w14:paraId="64422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2150B4F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地表水</w:t>
                  </w:r>
                </w:p>
              </w:tc>
              <w:tc>
                <w:tcPr>
                  <w:tcW w:w="2991" w:type="pct"/>
                  <w:vAlign w:val="center"/>
                </w:tcPr>
                <w:p w14:paraId="34D456FA">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新增工业废水直排建设项目（槽罐车外送污水处理厂的除外）；新增废水直排的污水集中处理厂</w:t>
                  </w:r>
                </w:p>
              </w:tc>
              <w:tc>
                <w:tcPr>
                  <w:tcW w:w="1144" w:type="pct"/>
                  <w:vAlign w:val="center"/>
                </w:tcPr>
                <w:p w14:paraId="79BD69E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本项目不涉及</w:t>
                  </w:r>
                </w:p>
              </w:tc>
              <w:tc>
                <w:tcPr>
                  <w:tcW w:w="398" w:type="pct"/>
                  <w:vAlign w:val="center"/>
                </w:tcPr>
                <w:p w14:paraId="4EDACFF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否</w:t>
                  </w:r>
                </w:p>
              </w:tc>
            </w:tr>
            <w:tr w14:paraId="18B442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21C5D49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w:t>
                  </w:r>
                </w:p>
              </w:tc>
              <w:tc>
                <w:tcPr>
                  <w:tcW w:w="2991" w:type="pct"/>
                  <w:vAlign w:val="center"/>
                </w:tcPr>
                <w:p w14:paraId="26785E8E">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有毒有害和易燃易爆危险物质存储量超过临界量</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的建设项目</w:t>
                  </w:r>
                </w:p>
              </w:tc>
              <w:tc>
                <w:tcPr>
                  <w:tcW w:w="1144" w:type="pct"/>
                  <w:vAlign w:val="center"/>
                </w:tcPr>
                <w:p w14:paraId="1E553C8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根据计算，本项目危险物质储量未超过临界量</w:t>
                  </w:r>
                </w:p>
              </w:tc>
              <w:tc>
                <w:tcPr>
                  <w:tcW w:w="398" w:type="pct"/>
                  <w:vAlign w:val="center"/>
                </w:tcPr>
                <w:p w14:paraId="2764006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否</w:t>
                  </w:r>
                </w:p>
              </w:tc>
            </w:tr>
            <w:tr w14:paraId="50F88F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0EAA21A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w:t>
                  </w:r>
                </w:p>
              </w:tc>
              <w:tc>
                <w:tcPr>
                  <w:tcW w:w="2991" w:type="pct"/>
                  <w:vAlign w:val="center"/>
                </w:tcPr>
                <w:p w14:paraId="403E4466">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取水口下游500米范围内有重要水生生物的自然产卵场、索饵场、越冬场和洄游通道的新增河道取水的污染类建设项目</w:t>
                  </w:r>
                </w:p>
              </w:tc>
              <w:tc>
                <w:tcPr>
                  <w:tcW w:w="1144" w:type="pct"/>
                  <w:vAlign w:val="center"/>
                </w:tcPr>
                <w:p w14:paraId="60A94E3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本项目不涉及</w:t>
                  </w:r>
                </w:p>
              </w:tc>
              <w:tc>
                <w:tcPr>
                  <w:tcW w:w="398" w:type="pct"/>
                  <w:vAlign w:val="center"/>
                </w:tcPr>
                <w:p w14:paraId="281337C4">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否</w:t>
                  </w:r>
                </w:p>
              </w:tc>
            </w:tr>
            <w:tr w14:paraId="57AC2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65" w:type="pct"/>
                  <w:vAlign w:val="center"/>
                </w:tcPr>
                <w:p w14:paraId="2B1BB0A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海洋</w:t>
                  </w:r>
                </w:p>
              </w:tc>
              <w:tc>
                <w:tcPr>
                  <w:tcW w:w="2991" w:type="pct"/>
                  <w:vAlign w:val="center"/>
                </w:tcPr>
                <w:p w14:paraId="4523F030">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直接向海排放污染物的海洋工程建设项目</w:t>
                  </w:r>
                </w:p>
              </w:tc>
              <w:tc>
                <w:tcPr>
                  <w:tcW w:w="1144" w:type="pct"/>
                  <w:vAlign w:val="center"/>
                </w:tcPr>
                <w:p w14:paraId="3AFF07E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本项目不涉及</w:t>
                  </w:r>
                </w:p>
              </w:tc>
              <w:tc>
                <w:tcPr>
                  <w:tcW w:w="398" w:type="pct"/>
                  <w:vAlign w:val="center"/>
                </w:tcPr>
                <w:p w14:paraId="7C42E41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否</w:t>
                  </w:r>
                </w:p>
              </w:tc>
            </w:tr>
          </w:tbl>
          <w:p w14:paraId="34CA3219">
            <w:pPr>
              <w:autoSpaceDE w:val="0"/>
              <w:autoSpaceDN w:val="0"/>
              <w:adjustRightInd w:val="0"/>
              <w:snapToGrid w:val="0"/>
              <w:jc w:val="left"/>
              <w:rPr>
                <w:rFonts w:hint="default" w:ascii="Times New Roman" w:hAnsi="Times New Roman" w:eastAsia="仿宋" w:cs="Times New Roman"/>
                <w:bCs/>
                <w:color w:val="auto"/>
                <w:kern w:val="0"/>
                <w:sz w:val="18"/>
                <w:szCs w:val="18"/>
              </w:rPr>
            </w:pPr>
            <w:r>
              <w:rPr>
                <w:rFonts w:hint="default" w:ascii="Times New Roman" w:hAnsi="Times New Roman" w:eastAsia="仿宋" w:cs="Times New Roman"/>
                <w:color w:val="auto"/>
                <w:kern w:val="0"/>
                <w:sz w:val="18"/>
                <w:szCs w:val="18"/>
              </w:rPr>
              <w:t>注：1.废气中有毒有害污染物指纳入《有毒有害大气污染物名录》的污染物（不包括无排放标准</w:t>
            </w:r>
            <w:r>
              <w:rPr>
                <w:rFonts w:hint="default" w:ascii="Times New Roman" w:hAnsi="Times New Roman" w:eastAsia="仿宋" w:cs="Times New Roman"/>
                <w:color w:val="auto"/>
                <w:spacing w:val="-99"/>
                <w:kern w:val="0"/>
                <w:sz w:val="18"/>
                <w:szCs w:val="18"/>
              </w:rPr>
              <w:t xml:space="preserve"> </w:t>
            </w:r>
            <w:r>
              <w:rPr>
                <w:rFonts w:hint="default" w:ascii="Times New Roman" w:hAnsi="Times New Roman" w:eastAsia="仿宋" w:cs="Times New Roman"/>
                <w:color w:val="auto"/>
                <w:kern w:val="0"/>
                <w:sz w:val="18"/>
                <w:szCs w:val="18"/>
              </w:rPr>
              <w:t>的污染物）</w:t>
            </w:r>
            <w:r>
              <w:rPr>
                <w:rFonts w:hint="default" w:ascii="Times New Roman" w:hAnsi="Times New Roman" w:eastAsia="仿宋" w:cs="Times New Roman"/>
                <w:bCs/>
                <w:color w:val="auto"/>
                <w:kern w:val="0"/>
                <w:sz w:val="18"/>
                <w:szCs w:val="18"/>
              </w:rPr>
              <w:t>；</w:t>
            </w:r>
          </w:p>
          <w:p w14:paraId="49CE9E15">
            <w:pPr>
              <w:autoSpaceDE w:val="0"/>
              <w:autoSpaceDN w:val="0"/>
              <w:adjustRightInd w:val="0"/>
              <w:snapToGrid w:val="0"/>
              <w:jc w:val="left"/>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2.环境空气保护目标指自然保护区、风景名胜区、居住区、文化区和农村地区中人群较集中的区域；</w:t>
            </w:r>
          </w:p>
          <w:p w14:paraId="0CB4E47E">
            <w:pPr>
              <w:autoSpaceDE w:val="0"/>
              <w:autoSpaceDN w:val="0"/>
              <w:adjustRightInd w:val="0"/>
              <w:snapToGrid w:val="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pacing w:val="-3"/>
                <w:kern w:val="0"/>
                <w:sz w:val="18"/>
                <w:szCs w:val="18"/>
              </w:rPr>
              <w:t>3.临界量及其计算方法可参考《建设项目环境风险评价技术导则》（HJ</w:t>
            </w:r>
            <w:r>
              <w:rPr>
                <w:rFonts w:hint="default" w:ascii="Times New Roman" w:hAnsi="Times New Roman" w:eastAsia="仿宋" w:cs="Times New Roman"/>
                <w:color w:val="auto"/>
                <w:spacing w:val="-5"/>
                <w:kern w:val="0"/>
                <w:sz w:val="18"/>
                <w:szCs w:val="18"/>
              </w:rPr>
              <w:t>169）附录</w:t>
            </w:r>
            <w:r>
              <w:rPr>
                <w:rFonts w:hint="default" w:ascii="Times New Roman" w:hAnsi="Times New Roman" w:eastAsia="仿宋" w:cs="Times New Roman"/>
                <w:color w:val="auto"/>
                <w:spacing w:val="-7"/>
                <w:kern w:val="0"/>
                <w:sz w:val="18"/>
                <w:szCs w:val="18"/>
              </w:rPr>
              <w:t>B、附录</w:t>
            </w:r>
            <w:r>
              <w:rPr>
                <w:rFonts w:hint="default" w:ascii="Times New Roman" w:hAnsi="Times New Roman" w:eastAsia="仿宋" w:cs="Times New Roman"/>
                <w:color w:val="auto"/>
                <w:kern w:val="0"/>
                <w:sz w:val="18"/>
                <w:szCs w:val="18"/>
              </w:rPr>
              <w:t>C。</w:t>
            </w:r>
          </w:p>
        </w:tc>
      </w:tr>
      <w:tr w14:paraId="5969C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7" w:type="dxa"/>
            <w:vAlign w:val="center"/>
          </w:tcPr>
          <w:p w14:paraId="4E270588">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规划情况</w:t>
            </w:r>
          </w:p>
        </w:tc>
        <w:tc>
          <w:tcPr>
            <w:tcW w:w="6907" w:type="dxa"/>
            <w:gridSpan w:val="4"/>
            <w:vAlign w:val="center"/>
          </w:tcPr>
          <w:p w14:paraId="0DA0C87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规划名称：《金坛经济开发区发展规划》；</w:t>
            </w:r>
          </w:p>
          <w:p w14:paraId="3ED866F5">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lang w:val="en-US" w:eastAsia="zh-CN"/>
              </w:rPr>
              <w:t>审批机关：江苏省人民政府；</w:t>
            </w:r>
          </w:p>
        </w:tc>
      </w:tr>
      <w:tr w14:paraId="5D14B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527" w:type="dxa"/>
            <w:vAlign w:val="center"/>
          </w:tcPr>
          <w:p w14:paraId="0BD514C6">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规划环境影响评价情况</w:t>
            </w:r>
          </w:p>
        </w:tc>
        <w:tc>
          <w:tcPr>
            <w:tcW w:w="6907" w:type="dxa"/>
            <w:gridSpan w:val="4"/>
            <w:vAlign w:val="center"/>
          </w:tcPr>
          <w:p w14:paraId="57F3B304">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名称：《金坛经济开发区发展规划环境影响报告书》</w:t>
            </w:r>
          </w:p>
          <w:p w14:paraId="543F7F3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召集审查机关：江苏省环境保护厅</w:t>
            </w:r>
          </w:p>
          <w:p w14:paraId="184027E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lang w:val="en-US" w:eastAsia="zh-CN"/>
              </w:rPr>
              <w:t>审查文件名称及文号：关于金坛经济开发区发展规划环境影响评价审查意见（苏环审〔2015〕52号）</w:t>
            </w:r>
          </w:p>
        </w:tc>
      </w:tr>
      <w:tr w14:paraId="6BEAD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27" w:type="dxa"/>
            <w:vAlign w:val="center"/>
          </w:tcPr>
          <w:p w14:paraId="11D69DF8">
            <w:pPr>
              <w:autoSpaceDE w:val="0"/>
              <w:autoSpaceDN w:val="0"/>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规划及规划环境影响评价符合性分析</w:t>
            </w:r>
          </w:p>
        </w:tc>
        <w:tc>
          <w:tcPr>
            <w:tcW w:w="6907" w:type="dxa"/>
            <w:gridSpan w:val="4"/>
          </w:tcPr>
          <w:p w14:paraId="65A5E12A">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1、与</w:t>
            </w:r>
            <w:r>
              <w:rPr>
                <w:rFonts w:hint="default" w:ascii="Times New Roman" w:hAnsi="Times New Roman" w:eastAsia="仿宋" w:cs="Times New Roman"/>
                <w:color w:val="auto"/>
                <w:sz w:val="24"/>
              </w:rPr>
              <w:t>区域规划</w:t>
            </w:r>
            <w:r>
              <w:rPr>
                <w:rFonts w:hint="default" w:ascii="Times New Roman" w:hAnsi="Times New Roman" w:eastAsia="仿宋" w:cs="Times New Roman"/>
                <w:color w:val="auto"/>
                <w:kern w:val="0"/>
                <w:sz w:val="24"/>
              </w:rPr>
              <w:t>相符性分析</w:t>
            </w:r>
          </w:p>
          <w:p w14:paraId="0E2887B2">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金坛经济开发区发展规划，金坛经济开发区规划范围为：东至在建省道203（东环路），南至规划沿江城际铁路，西至金湖路（金宜路）-S340-丹金溧漕河，北近开发区行政界线，距金坛和丹阳市界500m处，总面积71.3km</w:t>
            </w:r>
            <w:r>
              <w:rPr>
                <w:rFonts w:hint="default" w:ascii="Times New Roman" w:hAnsi="Times New Roman" w:eastAsia="仿宋" w:cs="Times New Roman"/>
                <w:color w:val="auto"/>
                <w:sz w:val="24"/>
                <w:vertAlign w:val="superscript"/>
              </w:rPr>
              <w:t>2</w:t>
            </w:r>
            <w:r>
              <w:rPr>
                <w:rFonts w:hint="default" w:ascii="Times New Roman" w:hAnsi="Times New Roman" w:eastAsia="仿宋" w:cs="Times New Roman"/>
                <w:color w:val="auto"/>
                <w:sz w:val="24"/>
              </w:rPr>
              <w:t>。按照产业划分形成传统产业园区（产业北区）和创新型产业园区（产业南区），其中传统产业园区：位于金武公路以北，主要发展以服装、电子、机械、新材料和新能源等为主导的产业，规划整合为盐化工产业园、综合制造产业园、高端制造产业园、中小企业园、新能源新材料产业园；创新产业园：位于延政西路以南，从事高新技术产品的研制、开发或提供技术外包服务和业务流程外包服务的企业用地，主要发展以新医药、环保、新传感网等新兴产业的研发、设计与营销为主。环保设施规划：采用雨污分流排水体制，污水经收集后排入常州金坛区第二污水处理有限公司集中处理。环卫：采用垃圾分类处理方式，分类后的无机物、废品垃圾尽量回收利用，有机垃圾以焚烧为主。</w:t>
            </w:r>
          </w:p>
          <w:p w14:paraId="3A9D877C">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本项目位于江苏省常州市金坛区龙湖路86号，</w:t>
            </w:r>
            <w:r>
              <w:rPr>
                <w:rFonts w:hint="eastAsia" w:eastAsia="仿宋" w:cs="Times New Roman"/>
                <w:color w:val="auto"/>
                <w:sz w:val="24"/>
                <w:lang w:val="en-US" w:eastAsia="zh-CN"/>
              </w:rPr>
              <w:t>属于</w:t>
            </w:r>
            <w:r>
              <w:rPr>
                <w:rFonts w:hint="default" w:ascii="Times New Roman" w:hAnsi="Times New Roman" w:eastAsia="仿宋" w:cs="Times New Roman"/>
                <w:color w:val="auto"/>
                <w:sz w:val="24"/>
              </w:rPr>
              <w:t>金坛经济开发区传统产业园区内；</w:t>
            </w:r>
            <w:r>
              <w:rPr>
                <w:rFonts w:hint="default" w:ascii="Times New Roman" w:hAnsi="Times New Roman" w:eastAsia="仿宋" w:cs="Times New Roman"/>
                <w:color w:val="auto"/>
                <w:sz w:val="24"/>
                <w:lang w:val="en-US" w:eastAsia="zh-CN"/>
              </w:rPr>
              <w:t>建设单位从事传感器以及电子元件的生产，属于电子行业，本</w:t>
            </w:r>
            <w:r>
              <w:rPr>
                <w:rFonts w:hint="default" w:ascii="Times New Roman" w:hAnsi="Times New Roman" w:eastAsia="仿宋" w:cs="Times New Roman"/>
                <w:color w:val="auto"/>
                <w:sz w:val="24"/>
              </w:rPr>
              <w:t>项目</w:t>
            </w:r>
            <w:r>
              <w:rPr>
                <w:rFonts w:hint="default" w:ascii="Times New Roman" w:hAnsi="Times New Roman" w:eastAsia="仿宋" w:cs="Times New Roman"/>
                <w:color w:val="auto"/>
                <w:sz w:val="24"/>
                <w:lang w:val="en-US" w:eastAsia="zh-CN"/>
              </w:rPr>
              <w:t>为自有产品及生产配套需求提供实验及检测服务</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符合园区产业定位</w:t>
            </w:r>
            <w:r>
              <w:rPr>
                <w:rFonts w:hint="default" w:ascii="Times New Roman" w:hAnsi="Times New Roman" w:eastAsia="仿宋" w:cs="Times New Roman"/>
                <w:color w:val="auto"/>
                <w:kern w:val="0"/>
                <w:sz w:val="24"/>
              </w:rPr>
              <w:t>；根据《金坛经济开发区土地利用规划图》，本项目所在地块规划为二类工业用地；</w:t>
            </w:r>
            <w:r>
              <w:rPr>
                <w:rFonts w:hint="default" w:ascii="Times New Roman" w:hAnsi="Times New Roman" w:eastAsia="仿宋" w:cs="Times New Roman"/>
                <w:color w:val="auto"/>
                <w:kern w:val="0"/>
                <w:sz w:val="24"/>
                <w:highlight w:val="none"/>
              </w:rPr>
              <w:t>根据建设单位提供的</w:t>
            </w:r>
            <w:r>
              <w:rPr>
                <w:rFonts w:hint="eastAsia" w:eastAsia="仿宋" w:cs="Times New Roman"/>
                <w:color w:val="auto"/>
                <w:kern w:val="0"/>
                <w:sz w:val="24"/>
                <w:highlight w:val="none"/>
                <w:lang w:val="en-US" w:eastAsia="zh-CN"/>
              </w:rPr>
              <w:t>不动产权证</w:t>
            </w:r>
            <w:r>
              <w:rPr>
                <w:rFonts w:hint="default" w:ascii="Times New Roman" w:hAnsi="Times New Roman" w:eastAsia="仿宋" w:cs="Times New Roman"/>
                <w:color w:val="auto"/>
                <w:kern w:val="0"/>
                <w:sz w:val="24"/>
                <w:highlight w:val="none"/>
              </w:rPr>
              <w:t>（</w:t>
            </w:r>
            <w:r>
              <w:rPr>
                <w:rFonts w:hint="eastAsia" w:eastAsia="仿宋" w:cs="Times New Roman"/>
                <w:color w:val="auto"/>
                <w:kern w:val="0"/>
                <w:sz w:val="24"/>
                <w:highlight w:val="none"/>
                <w:lang w:val="en-US" w:eastAsia="zh-CN"/>
              </w:rPr>
              <w:t>苏（2025）金坛区不动产权第0210924号</w:t>
            </w:r>
            <w:r>
              <w:rPr>
                <w:rFonts w:hint="default" w:ascii="Times New Roman" w:hAnsi="Times New Roman" w:eastAsia="仿宋" w:cs="Times New Roman"/>
                <w:color w:val="auto"/>
                <w:kern w:val="0"/>
                <w:sz w:val="24"/>
                <w:highlight w:val="none"/>
              </w:rPr>
              <w:t>），本项目所在地用地性质为工业用地</w:t>
            </w:r>
            <w:r>
              <w:rPr>
                <w:rFonts w:hint="default" w:ascii="Times New Roman" w:hAnsi="Times New Roman" w:eastAsia="仿宋" w:cs="Times New Roman"/>
                <w:color w:val="auto"/>
                <w:kern w:val="0"/>
                <w:sz w:val="24"/>
              </w:rPr>
              <w:t>，符合区域用地规划要求，与开发区用地规划相符。</w:t>
            </w:r>
            <w:r>
              <w:rPr>
                <w:rFonts w:hint="default" w:ascii="Times New Roman" w:hAnsi="Times New Roman" w:eastAsia="仿宋" w:cs="Times New Roman"/>
                <w:color w:val="auto"/>
                <w:sz w:val="24"/>
              </w:rPr>
              <w:t>且项目所在地区域给水、排水、供电、道路交通等基础设施完备，具备污染集中控制条件，符合区域环保规划要求。</w:t>
            </w:r>
          </w:p>
          <w:p w14:paraId="6225C551">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2、与规划环境影响评价相符性分析</w:t>
            </w:r>
          </w:p>
          <w:p w14:paraId="08700FE4">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项目与《金坛经济开发区发展规划环境影响报告书》及其审查意见（苏环审</w:t>
            </w:r>
            <w:r>
              <w:rPr>
                <w:rFonts w:hint="default" w:ascii="Times New Roman" w:hAnsi="Times New Roman" w:eastAsia="仿宋" w:cs="Times New Roman"/>
                <w:color w:val="auto"/>
                <w:kern w:val="0"/>
                <w:sz w:val="24"/>
                <w:lang w:eastAsia="zh-CN"/>
              </w:rPr>
              <w:t>〔2015〕52号</w:t>
            </w:r>
            <w:r>
              <w:rPr>
                <w:rFonts w:hint="default" w:ascii="Times New Roman" w:hAnsi="Times New Roman" w:eastAsia="仿宋" w:cs="Times New Roman"/>
                <w:color w:val="auto"/>
                <w:kern w:val="0"/>
                <w:sz w:val="24"/>
              </w:rPr>
              <w:t>）相符性分析见</w:t>
            </w:r>
            <w:r>
              <w:rPr>
                <w:rFonts w:hint="eastAsia" w:eastAsia="仿宋" w:cs="Times New Roman"/>
                <w:color w:val="auto"/>
                <w:kern w:val="0"/>
                <w:sz w:val="24"/>
                <w:lang w:val="en-US" w:eastAsia="zh-CN"/>
              </w:rPr>
              <w:t>下表</w:t>
            </w:r>
            <w:r>
              <w:rPr>
                <w:rFonts w:hint="default" w:ascii="Times New Roman" w:hAnsi="Times New Roman" w:eastAsia="仿宋" w:cs="Times New Roman"/>
                <w:color w:val="auto"/>
                <w:kern w:val="0"/>
                <w:sz w:val="24"/>
              </w:rPr>
              <w:t>。</w:t>
            </w:r>
          </w:p>
          <w:p w14:paraId="4E2BB6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b/>
                <w:color w:val="auto"/>
                <w:kern w:val="0"/>
                <w:sz w:val="22"/>
              </w:rPr>
            </w:pPr>
            <w:r>
              <w:rPr>
                <w:rFonts w:hint="default" w:ascii="Times New Roman" w:hAnsi="Times New Roman" w:eastAsia="仿宋" w:cs="Times New Roman"/>
                <w:b/>
                <w:color w:val="auto"/>
                <w:kern w:val="0"/>
                <w:sz w:val="22"/>
              </w:rPr>
              <w:t>表1-2</w:t>
            </w:r>
            <w:r>
              <w:rPr>
                <w:rFonts w:hint="eastAsia" w:eastAsia="仿宋" w:cs="Times New Roman"/>
                <w:b/>
                <w:color w:val="auto"/>
                <w:kern w:val="0"/>
                <w:sz w:val="22"/>
                <w:lang w:val="en-US" w:eastAsia="zh-CN"/>
              </w:rPr>
              <w:t xml:space="preserve">  </w:t>
            </w:r>
            <w:r>
              <w:rPr>
                <w:rFonts w:hint="default" w:ascii="Times New Roman" w:hAnsi="Times New Roman" w:eastAsia="仿宋" w:cs="Times New Roman"/>
                <w:b/>
                <w:color w:val="auto"/>
                <w:kern w:val="0"/>
                <w:sz w:val="22"/>
              </w:rPr>
              <w:t>与规划环评及审查意见（苏环审</w:t>
            </w:r>
            <w:r>
              <w:rPr>
                <w:rFonts w:hint="default" w:ascii="Times New Roman" w:hAnsi="Times New Roman" w:eastAsia="仿宋" w:cs="Times New Roman"/>
                <w:b/>
                <w:color w:val="auto"/>
                <w:kern w:val="0"/>
                <w:sz w:val="22"/>
                <w:lang w:eastAsia="zh-CN"/>
              </w:rPr>
              <w:t>〔2015〕52号</w:t>
            </w:r>
            <w:r>
              <w:rPr>
                <w:rFonts w:hint="default" w:ascii="Times New Roman" w:hAnsi="Times New Roman" w:eastAsia="仿宋" w:cs="Times New Roman"/>
                <w:b/>
                <w:color w:val="auto"/>
                <w:kern w:val="0"/>
                <w:sz w:val="22"/>
              </w:rPr>
              <w:t>）相符性分析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0"/>
              <w:gridCol w:w="2818"/>
              <w:gridCol w:w="2438"/>
              <w:gridCol w:w="735"/>
            </w:tblGrid>
            <w:tr w14:paraId="15C9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4E97FE98">
                  <w:pPr>
                    <w:autoSpaceDE w:val="0"/>
                    <w:autoSpaceDN w:val="0"/>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类别</w:t>
                  </w:r>
                </w:p>
              </w:tc>
              <w:tc>
                <w:tcPr>
                  <w:tcW w:w="2105" w:type="pct"/>
                  <w:shd w:val="clear" w:color="auto" w:fill="auto"/>
                  <w:vAlign w:val="center"/>
                </w:tcPr>
                <w:p w14:paraId="0E43C670">
                  <w:pPr>
                    <w:autoSpaceDE w:val="0"/>
                    <w:autoSpaceDN w:val="0"/>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规划环评及审查意见要求</w:t>
                  </w:r>
                </w:p>
              </w:tc>
              <w:tc>
                <w:tcPr>
                  <w:tcW w:w="1821" w:type="pct"/>
                  <w:shd w:val="clear" w:color="auto" w:fill="auto"/>
                  <w:vAlign w:val="center"/>
                </w:tcPr>
                <w:p w14:paraId="57A345A3">
                  <w:pPr>
                    <w:autoSpaceDE w:val="0"/>
                    <w:autoSpaceDN w:val="0"/>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对照简析</w:t>
                  </w:r>
                </w:p>
              </w:tc>
              <w:tc>
                <w:tcPr>
                  <w:tcW w:w="549" w:type="pct"/>
                  <w:shd w:val="clear" w:color="auto" w:fill="auto"/>
                  <w:vAlign w:val="center"/>
                </w:tcPr>
                <w:p w14:paraId="5EDAD371">
                  <w:pPr>
                    <w:autoSpaceDE w:val="0"/>
                    <w:autoSpaceDN w:val="0"/>
                    <w:adjustRightInd w:val="0"/>
                    <w:snapToGrid w:val="0"/>
                    <w:jc w:val="center"/>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相符性</w:t>
                  </w:r>
                </w:p>
              </w:tc>
            </w:tr>
            <w:tr w14:paraId="5919F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78962A3F">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规划</w:t>
                  </w:r>
                </w:p>
                <w:p w14:paraId="044E6514">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范围</w:t>
                  </w:r>
                </w:p>
              </w:tc>
              <w:tc>
                <w:tcPr>
                  <w:tcW w:w="2105" w:type="pct"/>
                  <w:shd w:val="clear" w:color="auto" w:fill="auto"/>
                  <w:vAlign w:val="center"/>
                </w:tcPr>
                <w:p w14:paraId="42014189">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东至在建省道203（东环路），南至规划沿江城际铁路，西至金湖路（金宜路）-S340-丹金溧漕河，北近开发区行政界线，距金坛和丹阳市界500m处，总面积71.3km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p>
              </w:tc>
              <w:tc>
                <w:tcPr>
                  <w:tcW w:w="1821" w:type="pct"/>
                  <w:shd w:val="clear" w:color="auto" w:fill="auto"/>
                  <w:vAlign w:val="center"/>
                </w:tcPr>
                <w:p w14:paraId="65ACD99A">
                  <w:pPr>
                    <w:autoSpaceDE w:val="0"/>
                    <w:autoSpaceDN w:val="0"/>
                    <w:adjustRightInd w:val="0"/>
                    <w:snapToGrid w:val="0"/>
                    <w:jc w:val="both"/>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本项目位于江苏省常州市金坛区龙湖路86号，在金坛经济开发区规划范围内。</w:t>
                  </w:r>
                </w:p>
              </w:tc>
              <w:tc>
                <w:tcPr>
                  <w:tcW w:w="549" w:type="pct"/>
                  <w:shd w:val="clear" w:color="auto" w:fill="auto"/>
                  <w:vAlign w:val="center"/>
                </w:tcPr>
                <w:p w14:paraId="15F59B10">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相符</w:t>
                  </w:r>
                </w:p>
              </w:tc>
            </w:tr>
            <w:tr w14:paraId="752DF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3D68C79D">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产业</w:t>
                  </w:r>
                </w:p>
                <w:p w14:paraId="7F6652AA">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定位</w:t>
                  </w:r>
                </w:p>
              </w:tc>
              <w:tc>
                <w:tcPr>
                  <w:tcW w:w="2105" w:type="pct"/>
                  <w:shd w:val="clear" w:color="auto" w:fill="auto"/>
                  <w:vAlign w:val="center"/>
                </w:tcPr>
                <w:p w14:paraId="20347006">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纺织服装、机械电子、高端装备制造、盐化工、新能源、新材料、节能环保、新医药、研发服务。</w:t>
                  </w:r>
                </w:p>
              </w:tc>
              <w:tc>
                <w:tcPr>
                  <w:tcW w:w="1821" w:type="pct"/>
                  <w:shd w:val="clear" w:color="auto" w:fill="auto"/>
                  <w:vAlign w:val="center"/>
                </w:tcPr>
                <w:p w14:paraId="54836433">
                  <w:pPr>
                    <w:autoSpaceDE w:val="0"/>
                    <w:autoSpaceDN w:val="0"/>
                    <w:adjustRightInd w:val="0"/>
                    <w:snapToGrid w:val="0"/>
                    <w:jc w:val="both"/>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lang w:val="en-US" w:eastAsia="zh-CN"/>
                    </w:rPr>
                    <w:t>建设单位从事传感器以及电子元件的生产，属于电子行业，本</w:t>
                  </w:r>
                  <w:r>
                    <w:rPr>
                      <w:rFonts w:hint="default" w:ascii="Times New Roman" w:hAnsi="Times New Roman" w:eastAsia="仿宋" w:cs="Times New Roman"/>
                      <w:color w:val="auto"/>
                      <w:kern w:val="0"/>
                      <w:szCs w:val="21"/>
                    </w:rPr>
                    <w:t>项目</w:t>
                  </w:r>
                  <w:r>
                    <w:rPr>
                      <w:rFonts w:hint="default" w:ascii="Times New Roman" w:hAnsi="Times New Roman" w:eastAsia="仿宋" w:cs="Times New Roman"/>
                      <w:color w:val="auto"/>
                      <w:kern w:val="0"/>
                      <w:szCs w:val="21"/>
                      <w:lang w:val="en-US" w:eastAsia="zh-CN"/>
                    </w:rPr>
                    <w:t>为自有产品及生产配套需求提供实验及检测服务</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en-US" w:eastAsia="zh-CN"/>
                    </w:rPr>
                    <w:t>符合园区产业定位。</w:t>
                  </w:r>
                </w:p>
              </w:tc>
              <w:tc>
                <w:tcPr>
                  <w:tcW w:w="549" w:type="pct"/>
                  <w:shd w:val="clear" w:color="auto" w:fill="auto"/>
                  <w:vAlign w:val="center"/>
                </w:tcPr>
                <w:p w14:paraId="69FBFCF0">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相符</w:t>
                  </w:r>
                </w:p>
              </w:tc>
            </w:tr>
            <w:tr w14:paraId="23CCA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61FD6540">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用地</w:t>
                  </w:r>
                </w:p>
                <w:p w14:paraId="0C11F36B">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布局</w:t>
                  </w:r>
                </w:p>
              </w:tc>
              <w:tc>
                <w:tcPr>
                  <w:tcW w:w="2105" w:type="pct"/>
                  <w:shd w:val="clear" w:color="auto" w:fill="auto"/>
                  <w:vAlign w:val="center"/>
                </w:tcPr>
                <w:p w14:paraId="2D791051">
                  <w:pPr>
                    <w:autoSpaceDE w:val="0"/>
                    <w:autoSpaceDN w:val="0"/>
                    <w:adjustRightInd w:val="0"/>
                    <w:snapToGrid w:val="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（1）总用地为7130hm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。其中城市建设用地为6411.2hm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，非建设用地为334.4hm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（水域面积258.3hm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），发展备用地384.4hm</w:t>
                  </w:r>
                  <w:r>
                    <w:rPr>
                      <w:rFonts w:hint="default" w:ascii="Times New Roman" w:hAnsi="Times New Roman" w:eastAsia="仿宋" w:cs="Times New Roman"/>
                      <w:color w:val="auto"/>
                      <w:kern w:val="0"/>
                      <w:szCs w:val="21"/>
                      <w:vertAlign w:val="superscript"/>
                    </w:rPr>
                    <w:t>2</w:t>
                  </w:r>
                  <w:r>
                    <w:rPr>
                      <w:rFonts w:hint="default" w:ascii="Times New Roman" w:hAnsi="Times New Roman" w:eastAsia="仿宋" w:cs="Times New Roman"/>
                      <w:color w:val="auto"/>
                      <w:kern w:val="0"/>
                      <w:szCs w:val="21"/>
                    </w:rPr>
                    <w:t>。</w:t>
                  </w:r>
                </w:p>
                <w:p w14:paraId="5E3AE8CD">
                  <w:pPr>
                    <w:autoSpaceDE w:val="0"/>
                    <w:autoSpaceDN w:val="0"/>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（2）《金坛经济开发区发展规划环境影响报告书》中金坛经济开发区土地利用规划图。</w:t>
                  </w:r>
                </w:p>
              </w:tc>
              <w:tc>
                <w:tcPr>
                  <w:tcW w:w="1821" w:type="pct"/>
                  <w:shd w:val="clear" w:color="auto" w:fill="auto"/>
                  <w:vAlign w:val="center"/>
                </w:tcPr>
                <w:p w14:paraId="7212CEC7">
                  <w:pPr>
                    <w:autoSpaceDE w:val="0"/>
                    <w:autoSpaceDN w:val="0"/>
                    <w:adjustRightInd w:val="0"/>
                    <w:snapToGrid w:val="0"/>
                    <w:jc w:val="both"/>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项目所在地规划为二类工业用地。</w:t>
                  </w:r>
                </w:p>
              </w:tc>
              <w:tc>
                <w:tcPr>
                  <w:tcW w:w="549" w:type="pct"/>
                  <w:shd w:val="clear" w:color="auto" w:fill="auto"/>
                  <w:vAlign w:val="center"/>
                </w:tcPr>
                <w:p w14:paraId="24DF633E">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相符</w:t>
                  </w:r>
                </w:p>
              </w:tc>
            </w:tr>
            <w:tr w14:paraId="55728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39264698">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环保基础设施规划</w:t>
                  </w:r>
                </w:p>
              </w:tc>
              <w:tc>
                <w:tcPr>
                  <w:tcW w:w="2105" w:type="pct"/>
                  <w:shd w:val="clear" w:color="auto" w:fill="auto"/>
                  <w:vAlign w:val="center"/>
                </w:tcPr>
                <w:p w14:paraId="79FB150B">
                  <w:pPr>
                    <w:autoSpaceDE w:val="0"/>
                    <w:autoSpaceDN w:val="0"/>
                    <w:adjustRightInd w:val="0"/>
                    <w:snapToGrid w:val="0"/>
                    <w:jc w:val="left"/>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采用雨污分流排水体制，污水经收集后排入金坛第二污水厂集中处理；开发区危险废物委托有资质单位安全处置。</w:t>
                  </w:r>
                </w:p>
              </w:tc>
              <w:tc>
                <w:tcPr>
                  <w:tcW w:w="1821" w:type="pct"/>
                  <w:shd w:val="clear" w:color="auto" w:fill="auto"/>
                  <w:vAlign w:val="center"/>
                </w:tcPr>
                <w:p w14:paraId="213DC036">
                  <w:pPr>
                    <w:autoSpaceDE w:val="0"/>
                    <w:autoSpaceDN w:val="0"/>
                    <w:adjustRightInd w:val="0"/>
                    <w:snapToGrid w:val="0"/>
                    <w:jc w:val="both"/>
                    <w:rPr>
                      <w:rFonts w:hint="default" w:ascii="Times New Roman" w:hAnsi="Times New Roman" w:eastAsia="仿宋" w:cs="Times New Roman"/>
                      <w:color w:val="auto"/>
                      <w:kern w:val="0"/>
                      <w:szCs w:val="21"/>
                    </w:rPr>
                  </w:pPr>
                  <w:r>
                    <w:rPr>
                      <w:rFonts w:hint="eastAsia" w:eastAsia="仿宋" w:cs="Times New Roman"/>
                      <w:color w:val="auto"/>
                      <w:kern w:val="0"/>
                      <w:szCs w:val="21"/>
                      <w:lang w:val="en-US" w:eastAsia="zh-CN"/>
                    </w:rPr>
                    <w:t>现有厂区已实施“</w:t>
                  </w:r>
                  <w:r>
                    <w:rPr>
                      <w:rFonts w:hint="default" w:ascii="Times New Roman" w:hAnsi="Times New Roman" w:eastAsia="仿宋" w:cs="Times New Roman"/>
                      <w:color w:val="auto"/>
                      <w:kern w:val="0"/>
                      <w:szCs w:val="21"/>
                    </w:rPr>
                    <w:t>雨污分流</w:t>
                  </w:r>
                  <w:r>
                    <w:rPr>
                      <w:rFonts w:hint="eastAsia" w:eastAsia="仿宋" w:cs="Times New Roman"/>
                      <w:color w:val="auto"/>
                      <w:kern w:val="0"/>
                      <w:szCs w:val="21"/>
                      <w:lang w:val="en-US" w:eastAsia="zh-CN"/>
                    </w:rPr>
                    <w:t>”</w:t>
                  </w:r>
                  <w:r>
                    <w:rPr>
                      <w:rFonts w:hint="default" w:ascii="Times New Roman" w:hAnsi="Times New Roman" w:eastAsia="仿宋" w:cs="Times New Roman"/>
                      <w:color w:val="auto"/>
                      <w:kern w:val="0"/>
                      <w:szCs w:val="21"/>
                    </w:rPr>
                    <w:t>，</w:t>
                  </w:r>
                  <w:r>
                    <w:rPr>
                      <w:rFonts w:hint="default" w:ascii="Times New Roman" w:hAnsi="Times New Roman" w:eastAsia="仿宋" w:cs="Times New Roman"/>
                      <w:color w:val="auto"/>
                      <w:kern w:val="0"/>
                      <w:szCs w:val="21"/>
                      <w:lang w:val="en-US" w:eastAsia="zh-CN"/>
                    </w:rPr>
                    <w:t>本项目不新增生活污水，新增的制纯水弃水全部用于员工冲厕</w:t>
                  </w:r>
                  <w:r>
                    <w:rPr>
                      <w:rFonts w:hint="default" w:ascii="Times New Roman" w:hAnsi="Times New Roman" w:eastAsia="仿宋" w:cs="Times New Roman"/>
                      <w:color w:val="auto"/>
                      <w:kern w:val="0"/>
                      <w:szCs w:val="21"/>
                      <w:highlight w:val="none"/>
                    </w:rPr>
                    <w:t>；</w:t>
                  </w:r>
                  <w:r>
                    <w:rPr>
                      <w:rFonts w:hint="default" w:ascii="Times New Roman" w:hAnsi="Times New Roman" w:eastAsia="仿宋" w:cs="Times New Roman"/>
                      <w:color w:val="auto"/>
                      <w:kern w:val="0"/>
                      <w:szCs w:val="21"/>
                    </w:rPr>
                    <w:t>项目产生的危险废物委托有资质单位处置。</w:t>
                  </w:r>
                </w:p>
              </w:tc>
              <w:tc>
                <w:tcPr>
                  <w:tcW w:w="549" w:type="pct"/>
                  <w:shd w:val="clear" w:color="auto" w:fill="auto"/>
                  <w:vAlign w:val="center"/>
                </w:tcPr>
                <w:p w14:paraId="58C0A3A7">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相符</w:t>
                  </w:r>
                </w:p>
              </w:tc>
            </w:tr>
            <w:tr w14:paraId="782D5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23" w:type="pct"/>
                  <w:shd w:val="clear" w:color="auto" w:fill="auto"/>
                  <w:vAlign w:val="center"/>
                </w:tcPr>
                <w:p w14:paraId="4600F41D">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环境</w:t>
                  </w:r>
                </w:p>
                <w:p w14:paraId="27E2DAE2">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准入</w:t>
                  </w:r>
                </w:p>
              </w:tc>
              <w:tc>
                <w:tcPr>
                  <w:tcW w:w="2105" w:type="pct"/>
                  <w:shd w:val="clear" w:color="auto" w:fill="auto"/>
                  <w:vAlign w:val="center"/>
                </w:tcPr>
                <w:p w14:paraId="589EA577">
                  <w:pPr>
                    <w:autoSpaceDE w:val="0"/>
                    <w:autoSpaceDN w:val="0"/>
                    <w:adjustRightInd w:val="0"/>
                    <w:snapToGrid w:val="0"/>
                    <w:jc w:val="both"/>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入区项目必须与国家、江苏省及常州市、金坛市产业政策相符，必须与开发的产业导向相符。（1）进区项目应是科技含量高、产品附加值高、无污染或者污染很轻的项目，生产工艺、设备和环保设施应达到同类国际先进水平，至少是国内先进水平</w:t>
                  </w:r>
                  <w:r>
                    <w:rPr>
                      <w:rFonts w:hint="default" w:ascii="Times New Roman" w:hAnsi="Times New Roman" w:eastAsia="仿宋" w:cs="Times New Roman"/>
                      <w:color w:val="auto"/>
                      <w:kern w:val="0"/>
                      <w:szCs w:val="21"/>
                      <w:highlight w:val="none"/>
                      <w:lang w:eastAsia="zh-CN"/>
                    </w:rPr>
                    <w:t>。</w:t>
                  </w:r>
                  <w:r>
                    <w:rPr>
                      <w:rFonts w:hint="default" w:ascii="Times New Roman" w:hAnsi="Times New Roman" w:eastAsia="仿宋" w:cs="Times New Roman"/>
                      <w:color w:val="auto"/>
                      <w:kern w:val="0"/>
                      <w:szCs w:val="21"/>
                      <w:highlight w:val="none"/>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w:t>
                  </w:r>
                  <w:r>
                    <w:rPr>
                      <w:rFonts w:hint="eastAsia" w:eastAsia="仿宋" w:cs="Times New Roman"/>
                      <w:color w:val="auto"/>
                      <w:kern w:val="0"/>
                      <w:szCs w:val="21"/>
                      <w:highlight w:val="none"/>
                      <w:lang w:val="en-US" w:eastAsia="zh-CN"/>
                    </w:rPr>
                    <w:t>l</w:t>
                  </w:r>
                  <w:r>
                    <w:rPr>
                      <w:rFonts w:hint="default" w:ascii="Times New Roman" w:hAnsi="Times New Roman" w:eastAsia="仿宋" w:cs="Times New Roman"/>
                      <w:color w:val="auto"/>
                      <w:kern w:val="0"/>
                      <w:szCs w:val="21"/>
                      <w:highlight w:val="none"/>
                    </w:rPr>
                    <w:t>稳定达标前禁止引进排放大气污染物HCl的企业和项目。</w:t>
                  </w:r>
                </w:p>
                <w:p w14:paraId="6F6EE2D1">
                  <w:pPr>
                    <w:autoSpaceDE w:val="0"/>
                    <w:autoSpaceDN w:val="0"/>
                    <w:adjustRightInd w:val="0"/>
                    <w:snapToGrid w:val="0"/>
                    <w:jc w:val="both"/>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（2）废水经预处理可达到开发区污水处理厂的接管标准，并确保不影响污水处理厂的处理效果，“三废”排放能实现稳定达标排放；</w:t>
                  </w:r>
                </w:p>
                <w:p w14:paraId="4F58E911">
                  <w:pPr>
                    <w:autoSpaceDE w:val="0"/>
                    <w:autoSpaceDN w:val="0"/>
                    <w:adjustRightInd w:val="0"/>
                    <w:snapToGrid w:val="0"/>
                    <w:jc w:val="left"/>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（3）采用有效的回收、回用技术，包括余热利用、物料回收套用、各类废水回用等。</w:t>
                  </w:r>
                </w:p>
              </w:tc>
              <w:tc>
                <w:tcPr>
                  <w:tcW w:w="1821" w:type="pct"/>
                  <w:shd w:val="clear" w:color="auto" w:fill="auto"/>
                  <w:vAlign w:val="center"/>
                </w:tcPr>
                <w:p w14:paraId="270E3B4C">
                  <w:pPr>
                    <w:autoSpaceDE w:val="0"/>
                    <w:autoSpaceDN w:val="0"/>
                    <w:adjustRightInd w:val="0"/>
                    <w:snapToGrid w:val="0"/>
                    <w:jc w:val="both"/>
                    <w:rPr>
                      <w:rFonts w:hint="eastAsia" w:ascii="Times New Roman" w:hAnsi="Times New Roman" w:eastAsia="仿宋" w:cs="Times New Roman"/>
                      <w:color w:val="auto"/>
                      <w:kern w:val="0"/>
                      <w:szCs w:val="21"/>
                      <w:highlight w:val="none"/>
                      <w:lang w:eastAsia="zh-CN"/>
                    </w:rPr>
                  </w:pPr>
                  <w:r>
                    <w:rPr>
                      <w:rFonts w:hint="eastAsia" w:eastAsia="仿宋" w:cs="Times New Roman"/>
                      <w:color w:val="auto"/>
                      <w:kern w:val="0"/>
                      <w:szCs w:val="21"/>
                      <w:highlight w:val="none"/>
                      <w:lang w:val="en-US" w:eastAsia="zh-CN"/>
                    </w:rPr>
                    <w:t>（1）</w:t>
                  </w:r>
                  <w:r>
                    <w:rPr>
                      <w:rFonts w:hint="default" w:ascii="Times New Roman" w:hAnsi="Times New Roman" w:eastAsia="仿宋" w:cs="Times New Roman"/>
                      <w:color w:val="auto"/>
                      <w:kern w:val="0"/>
                      <w:szCs w:val="21"/>
                      <w:highlight w:val="none"/>
                      <w:lang w:val="en-US" w:eastAsia="zh-CN"/>
                    </w:rPr>
                    <w:t>本</w:t>
                  </w:r>
                  <w:r>
                    <w:rPr>
                      <w:rFonts w:hint="default" w:ascii="Times New Roman" w:hAnsi="Times New Roman" w:eastAsia="仿宋" w:cs="Times New Roman"/>
                      <w:color w:val="auto"/>
                      <w:kern w:val="0"/>
                      <w:szCs w:val="21"/>
                      <w:highlight w:val="none"/>
                    </w:rPr>
                    <w:t>项目</w:t>
                  </w:r>
                  <w:r>
                    <w:rPr>
                      <w:rFonts w:hint="default" w:ascii="Times New Roman" w:hAnsi="Times New Roman" w:eastAsia="仿宋" w:cs="Times New Roman"/>
                      <w:color w:val="auto"/>
                      <w:kern w:val="0"/>
                      <w:szCs w:val="21"/>
                      <w:highlight w:val="none"/>
                      <w:lang w:val="en-US" w:eastAsia="zh-CN"/>
                    </w:rPr>
                    <w:t>为自有电子产品及生产配套需求提供实验及检测服务</w:t>
                  </w:r>
                  <w:r>
                    <w:rPr>
                      <w:rFonts w:hint="default" w:ascii="Times New Roman" w:hAnsi="Times New Roman" w:eastAsia="仿宋" w:cs="Times New Roman"/>
                      <w:color w:val="auto"/>
                      <w:kern w:val="0"/>
                      <w:szCs w:val="21"/>
                      <w:highlight w:val="none"/>
                    </w:rPr>
                    <w:t>，</w:t>
                  </w:r>
                  <w:r>
                    <w:rPr>
                      <w:rFonts w:hint="default" w:ascii="Times New Roman" w:hAnsi="Times New Roman" w:eastAsia="仿宋" w:cs="Times New Roman"/>
                      <w:color w:val="auto"/>
                      <w:kern w:val="0"/>
                      <w:szCs w:val="21"/>
                      <w:highlight w:val="none"/>
                      <w:lang w:val="en-US" w:eastAsia="zh-CN"/>
                    </w:rPr>
                    <w:t>不涉及电镀及表面处理</w:t>
                  </w:r>
                  <w:r>
                    <w:rPr>
                      <w:rFonts w:hint="eastAsia" w:ascii="Times New Roman" w:hAnsi="Times New Roman" w:eastAsia="仿宋" w:cs="Times New Roman"/>
                      <w:color w:val="auto"/>
                      <w:kern w:val="0"/>
                      <w:szCs w:val="21"/>
                      <w:highlight w:val="none"/>
                      <w:lang w:val="en-US" w:eastAsia="zh-CN"/>
                    </w:rPr>
                    <w:t>。</w:t>
                  </w:r>
                  <w:r>
                    <w:rPr>
                      <w:rFonts w:hint="eastAsia" w:ascii="Times New Roman" w:hAnsi="Times New Roman" w:eastAsia="仿宋" w:cs="Times New Roman"/>
                      <w:color w:val="auto"/>
                      <w:kern w:val="0"/>
                      <w:szCs w:val="21"/>
                      <w:highlight w:val="none"/>
                    </w:rPr>
                    <w:t>本项目</w:t>
                  </w:r>
                  <w:r>
                    <w:rPr>
                      <w:rFonts w:hint="eastAsia" w:ascii="Times New Roman" w:hAnsi="Times New Roman" w:eastAsia="仿宋" w:cs="Times New Roman"/>
                      <w:color w:val="auto"/>
                      <w:kern w:val="0"/>
                      <w:szCs w:val="21"/>
                      <w:highlight w:val="none"/>
                      <w:lang w:val="en-US" w:eastAsia="zh-CN"/>
                    </w:rPr>
                    <w:t>实验检测</w:t>
                  </w:r>
                  <w:r>
                    <w:rPr>
                      <w:rFonts w:hint="eastAsia" w:ascii="Times New Roman" w:hAnsi="Times New Roman" w:eastAsia="仿宋" w:cs="Times New Roman"/>
                      <w:color w:val="auto"/>
                      <w:kern w:val="0"/>
                      <w:szCs w:val="21"/>
                      <w:highlight w:val="none"/>
                    </w:rPr>
                    <w:t>将产生氯化氢，根据大气环境质量现状监测结果，项目所在区域环境空气中氯化氢现状监测浓度低于《环境影响评价技术导则大气环境》（HJ2.2-2018）附录D中浓度限值，通过</w:t>
                  </w:r>
                  <w:r>
                    <w:rPr>
                      <w:rFonts w:hint="default" w:ascii="Times New Roman" w:hAnsi="Times New Roman" w:eastAsia="仿宋" w:cs="Times New Roman"/>
                      <w:color w:val="auto"/>
                      <w:kern w:val="0"/>
                      <w:szCs w:val="21"/>
                      <w:highlight w:val="none"/>
                      <w:lang w:val="en-US" w:eastAsia="zh-CN"/>
                    </w:rPr>
                    <w:t>1套碱液喷淋塔</w:t>
                  </w:r>
                  <w:r>
                    <w:rPr>
                      <w:rFonts w:hint="eastAsia" w:eastAsia="仿宋" w:cs="Times New Roman"/>
                      <w:color w:val="auto"/>
                      <w:kern w:val="0"/>
                      <w:szCs w:val="21"/>
                      <w:highlight w:val="none"/>
                      <w:lang w:val="en-US" w:eastAsia="zh-CN"/>
                    </w:rPr>
                    <w:t>（含吸水填料）</w:t>
                  </w:r>
                  <w:r>
                    <w:rPr>
                      <w:rFonts w:hint="default" w:ascii="Times New Roman" w:hAnsi="Times New Roman" w:eastAsia="仿宋" w:cs="Times New Roman"/>
                      <w:color w:val="auto"/>
                      <w:kern w:val="0"/>
                      <w:szCs w:val="21"/>
                      <w:highlight w:val="none"/>
                      <w:lang w:val="en-US" w:eastAsia="zh-CN"/>
                    </w:rPr>
                    <w:t>+3#两级活性炭吸附装置</w:t>
                  </w:r>
                  <w:r>
                    <w:rPr>
                      <w:rFonts w:hint="eastAsia" w:ascii="Times New Roman" w:hAnsi="Times New Roman" w:eastAsia="仿宋" w:cs="Times New Roman"/>
                      <w:color w:val="auto"/>
                      <w:kern w:val="0"/>
                      <w:szCs w:val="21"/>
                      <w:highlight w:val="none"/>
                    </w:rPr>
                    <w:t>净化处理，不会对区域大气环境造成负担</w:t>
                  </w:r>
                  <w:r>
                    <w:rPr>
                      <w:rFonts w:hint="default" w:ascii="Times New Roman" w:hAnsi="Times New Roman" w:eastAsia="仿宋" w:cs="Times New Roman"/>
                      <w:color w:val="auto"/>
                      <w:kern w:val="0"/>
                      <w:szCs w:val="21"/>
                      <w:highlight w:val="none"/>
                      <w:lang w:val="en-US" w:eastAsia="zh-CN"/>
                    </w:rPr>
                    <w:t>，</w:t>
                  </w:r>
                  <w:r>
                    <w:rPr>
                      <w:rFonts w:hint="eastAsia" w:eastAsia="仿宋" w:cs="Times New Roman"/>
                      <w:color w:val="auto"/>
                      <w:kern w:val="0"/>
                      <w:szCs w:val="21"/>
                      <w:highlight w:val="none"/>
                      <w:lang w:val="en-US" w:eastAsia="zh-CN"/>
                    </w:rPr>
                    <w:t>废气经处理后</w:t>
                  </w:r>
                  <w:r>
                    <w:rPr>
                      <w:rFonts w:hint="default" w:ascii="Times New Roman" w:hAnsi="Times New Roman" w:eastAsia="仿宋" w:cs="Times New Roman"/>
                      <w:color w:val="auto"/>
                      <w:kern w:val="0"/>
                      <w:szCs w:val="21"/>
                      <w:highlight w:val="none"/>
                      <w:lang w:val="en-US" w:eastAsia="zh-CN"/>
                    </w:rPr>
                    <w:t>依托现有1根25m高3#排气筒</w:t>
                  </w:r>
                  <w:r>
                    <w:rPr>
                      <w:rFonts w:hint="eastAsia" w:eastAsia="仿宋" w:cs="Times New Roman"/>
                      <w:color w:val="auto"/>
                      <w:kern w:val="0"/>
                      <w:szCs w:val="21"/>
                      <w:highlight w:val="none"/>
                      <w:lang w:val="en-US" w:eastAsia="zh-CN"/>
                    </w:rPr>
                    <w:t>达标</w:t>
                  </w:r>
                  <w:r>
                    <w:rPr>
                      <w:rFonts w:hint="default" w:ascii="Times New Roman" w:hAnsi="Times New Roman" w:eastAsia="仿宋" w:cs="Times New Roman"/>
                      <w:color w:val="auto"/>
                      <w:kern w:val="0"/>
                      <w:szCs w:val="21"/>
                      <w:highlight w:val="none"/>
                      <w:lang w:val="en-US" w:eastAsia="zh-CN"/>
                    </w:rPr>
                    <w:t>排放。对周围环境影响较小。本项目不新增生活污水，新增的制纯水弃水全部用于员工冲厕</w:t>
                  </w:r>
                  <w:r>
                    <w:rPr>
                      <w:rFonts w:hint="default" w:ascii="Times New Roman" w:hAnsi="Times New Roman" w:eastAsia="仿宋" w:cs="Times New Roman"/>
                      <w:color w:val="auto"/>
                      <w:kern w:val="0"/>
                      <w:szCs w:val="21"/>
                      <w:highlight w:val="none"/>
                      <w:lang w:eastAsia="zh-CN"/>
                    </w:rPr>
                    <w:t>。</w:t>
                  </w:r>
                  <w:r>
                    <w:rPr>
                      <w:rFonts w:hint="default" w:ascii="Times New Roman" w:hAnsi="Times New Roman" w:eastAsia="仿宋" w:cs="Times New Roman"/>
                      <w:color w:val="auto"/>
                      <w:kern w:val="0"/>
                      <w:szCs w:val="21"/>
                      <w:highlight w:val="none"/>
                    </w:rPr>
                    <w:t>一般固废外售综合利用，危险废物委托有资质单位处置。</w:t>
                  </w:r>
                </w:p>
              </w:tc>
              <w:tc>
                <w:tcPr>
                  <w:tcW w:w="549" w:type="pct"/>
                  <w:shd w:val="clear" w:color="auto" w:fill="auto"/>
                  <w:vAlign w:val="center"/>
                </w:tcPr>
                <w:p w14:paraId="3A8EEC6B">
                  <w:pPr>
                    <w:autoSpaceDE w:val="0"/>
                    <w:autoSpaceDN w:val="0"/>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相符</w:t>
                  </w:r>
                </w:p>
              </w:tc>
            </w:tr>
          </w:tbl>
          <w:p w14:paraId="0816A568">
            <w:pPr>
              <w:adjustRightInd w:val="0"/>
              <w:snapToGrid w:val="0"/>
              <w:ind w:firstLine="200" w:firstLineChars="200"/>
              <w:jc w:val="left"/>
              <w:rPr>
                <w:rFonts w:hint="default" w:ascii="Times New Roman" w:hAnsi="Times New Roman" w:eastAsia="仿宋" w:cs="Times New Roman"/>
                <w:color w:val="auto"/>
                <w:kern w:val="0"/>
                <w:sz w:val="10"/>
                <w:szCs w:val="10"/>
              </w:rPr>
            </w:pPr>
          </w:p>
          <w:p w14:paraId="36E50BDD">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综上，本项目与区域规划、《金坛经济开发区发展规划环境影响报告书》及其审查意见（苏环审</w:t>
            </w:r>
            <w:r>
              <w:rPr>
                <w:rFonts w:hint="default" w:ascii="Times New Roman" w:hAnsi="Times New Roman" w:eastAsia="仿宋" w:cs="Times New Roman"/>
                <w:color w:val="auto"/>
                <w:kern w:val="0"/>
                <w:sz w:val="24"/>
                <w:lang w:eastAsia="zh-CN"/>
              </w:rPr>
              <w:t>〔2015〕52号</w:t>
            </w:r>
            <w:r>
              <w:rPr>
                <w:rFonts w:hint="default" w:ascii="Times New Roman" w:hAnsi="Times New Roman" w:eastAsia="仿宋" w:cs="Times New Roman"/>
                <w:color w:val="auto"/>
                <w:kern w:val="0"/>
                <w:sz w:val="24"/>
              </w:rPr>
              <w:t>）相符。</w:t>
            </w:r>
          </w:p>
          <w:p w14:paraId="35CF3063">
            <w:pPr>
              <w:spacing w:line="360" w:lineRule="auto"/>
              <w:ind w:firstLine="480" w:firstLineChars="200"/>
              <w:rPr>
                <w:rFonts w:hint="default" w:ascii="Times New Roman" w:hAnsi="Times New Roman" w:eastAsia="仿宋" w:cs="Times New Roman"/>
                <w:color w:val="auto"/>
                <w:sz w:val="24"/>
              </w:rPr>
            </w:pPr>
            <w:r>
              <w:rPr>
                <w:rFonts w:hint="eastAsia" w:eastAsia="仿宋" w:cs="Times New Roman"/>
                <w:color w:val="auto"/>
                <w:kern w:val="0"/>
                <w:sz w:val="24"/>
                <w:lang w:val="en-US" w:eastAsia="zh-CN"/>
              </w:rPr>
              <w:t>由于</w:t>
            </w:r>
            <w:r>
              <w:rPr>
                <w:rFonts w:hint="default" w:ascii="Times New Roman" w:hAnsi="Times New Roman" w:eastAsia="仿宋" w:cs="Times New Roman"/>
                <w:color w:val="auto"/>
                <w:kern w:val="0"/>
                <w:sz w:val="24"/>
              </w:rPr>
              <w:t>最新的《</w:t>
            </w:r>
            <w:r>
              <w:rPr>
                <w:rFonts w:hint="eastAsia" w:ascii="Times New Roman" w:hAnsi="Times New Roman" w:eastAsia="仿宋" w:cs="Times New Roman"/>
                <w:color w:val="auto"/>
                <w:kern w:val="0"/>
                <w:sz w:val="24"/>
              </w:rPr>
              <w:t>江苏金坛经济开发区开发建设规划（2023-2035）环境影响报告书</w:t>
            </w:r>
            <w:r>
              <w:rPr>
                <w:rFonts w:hint="default" w:ascii="Times New Roman" w:hAnsi="Times New Roman" w:eastAsia="仿宋" w:cs="Times New Roman"/>
                <w:color w:val="auto"/>
                <w:kern w:val="0"/>
                <w:sz w:val="24"/>
              </w:rPr>
              <w:t>》正在委托江苏龙环环境科技有限公司更新编制中，本次环评暂不对其对照分析，仅保留《金坛经济开发区发展规划环境影响报告书》及其审查意见（苏环审</w:t>
            </w:r>
            <w:r>
              <w:rPr>
                <w:rFonts w:hint="default" w:ascii="Times New Roman" w:hAnsi="Times New Roman" w:eastAsia="仿宋" w:cs="Times New Roman"/>
                <w:color w:val="auto"/>
                <w:kern w:val="0"/>
                <w:sz w:val="24"/>
                <w:lang w:eastAsia="zh-CN"/>
              </w:rPr>
              <w:t>〔2015〕52号</w:t>
            </w:r>
            <w:r>
              <w:rPr>
                <w:rFonts w:hint="default" w:ascii="Times New Roman" w:hAnsi="Times New Roman" w:eastAsia="仿宋" w:cs="Times New Roman"/>
                <w:color w:val="auto"/>
                <w:kern w:val="0"/>
                <w:sz w:val="24"/>
              </w:rPr>
              <w:t>）规划相符性结论。</w:t>
            </w:r>
          </w:p>
          <w:p w14:paraId="41526C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lang w:val="en-US" w:eastAsia="zh-CN"/>
              </w:rPr>
              <w:t>3、与国土空间规划及“三区三线”相符性分析</w:t>
            </w:r>
          </w:p>
          <w:p w14:paraId="5DA95E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根据《自然资源部关于在全国开展“三区三线”划定工作的函》（自然资函〔2022〕47号）以及《江苏省国土空间规划（2021-2035年）》（国函〔2025〕9号），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2BD9EC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根据《常州市国土空间总体规划（2021-2035年）》，到2035年常州市耕地保有量不低于126.08万亩，其中永久基本农田保护面积不低于114.96万亩；生态保护红线面积不低于346.10平方千米；城镇开发边界面积控制在925.06平方千米以内；单位国内生产总值建设用地使用面积下降不少于40%；用水总量不超过上级下达指标，其中2025年不超过31.0亿立方米。明确自然灾害风险重点防控区域，划定洪涝、地震等风险控制线以及绿地系统线、水体保护线、历史文化保护线和基础设施建设控制线，落实战略性矿产资源等安全保障空间。</w:t>
            </w:r>
          </w:p>
          <w:p w14:paraId="03E5CD57">
            <w:pPr>
              <w:spacing w:line="360" w:lineRule="auto"/>
              <w:ind w:firstLine="480" w:firstLineChars="200"/>
              <w:rPr>
                <w:rFonts w:hint="default" w:ascii="Times New Roman" w:hAnsi="Times New Roman" w:eastAsia="仿宋" w:cs="Times New Roman"/>
                <w:color w:val="auto"/>
                <w:sz w:val="24"/>
                <w:highlight w:val="yellow"/>
              </w:rPr>
            </w:pPr>
            <w:r>
              <w:rPr>
                <w:rFonts w:hint="default" w:ascii="Times New Roman" w:hAnsi="Times New Roman" w:eastAsia="仿宋" w:cs="Times New Roman"/>
                <w:color w:val="auto"/>
                <w:sz w:val="24"/>
                <w:lang w:val="en-US" w:eastAsia="zh-CN"/>
              </w:rPr>
              <w:t>根据《常州市金坛区国土空间总体规划》（2021-2035年），落实市级下达的耕地保护任务，耕地保有量不低于209.1800平方千米（31.3770万亩），全区实际划定耕地保有量209.1926平方千米（31.3789万亩）。市级下达金坛区永久基本农田保护任务192.0933平方千米（28.8140万亩），全区划定永久基本农田188.4269平方千米（28.2640万亩），主要分布在直溪镇、金城镇、薛埠镇、指前镇等区域，由常州市统筹与盐城市签署协议易地调剂3.6667平方千米（0.5500万亩）。金坛区划定2处生态保护红线，总面积98.6663平方千米，占全区国土面积的10.11%。包括江苏常州金坛茅东省级森林公园与江苏金坛长荡湖国家湿地公园。生态保护红线内禁止开发性、生产性建设活动，在符合法律法规的前提下，仅允许对生态功能不造成破坏的有限人为活动。金坛区划定城镇开发边界115.6774平方千米，占全区国土面积的11.86%。城镇开发边界扩展倍数为1.3636。</w:t>
            </w:r>
          </w:p>
          <w:p w14:paraId="445D92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本项目位于</w:t>
            </w:r>
            <w:r>
              <w:rPr>
                <w:rFonts w:hint="default" w:ascii="Times New Roman" w:hAnsi="Times New Roman" w:eastAsia="仿宋" w:cs="Times New Roman"/>
                <w:color w:val="auto"/>
                <w:sz w:val="24"/>
              </w:rPr>
              <w:t>江苏省金坛经济开发区</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根据《常州市国土空间总体规划图》，项目地属于工业发展区，不占用耕地和永久基本农田，不涉及生态保护红线，符合国家、常州市</w:t>
            </w:r>
            <w:r>
              <w:rPr>
                <w:rFonts w:hint="eastAsia" w:eastAsia="仿宋" w:cs="Times New Roman"/>
                <w:color w:val="auto"/>
                <w:sz w:val="24"/>
                <w:lang w:val="en-US" w:eastAsia="zh-CN"/>
              </w:rPr>
              <w:t>及金坛区</w:t>
            </w:r>
            <w:r>
              <w:rPr>
                <w:rFonts w:hint="default" w:ascii="Times New Roman" w:hAnsi="Times New Roman" w:eastAsia="仿宋" w:cs="Times New Roman"/>
                <w:color w:val="auto"/>
                <w:sz w:val="24"/>
                <w:lang w:val="en-US" w:eastAsia="zh-CN"/>
              </w:rPr>
              <w:t>国土空间总体规划及“三区三线”要求。</w:t>
            </w:r>
          </w:p>
        </w:tc>
      </w:tr>
      <w:tr w14:paraId="6947B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27" w:type="dxa"/>
            <w:vAlign w:val="center"/>
          </w:tcPr>
          <w:p w14:paraId="11B027C7">
            <w:pPr>
              <w:autoSpaceDE w:val="0"/>
              <w:autoSpaceDN w:val="0"/>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其他符合性分析</w:t>
            </w:r>
          </w:p>
        </w:tc>
        <w:tc>
          <w:tcPr>
            <w:tcW w:w="6907" w:type="dxa"/>
            <w:gridSpan w:val="4"/>
            <w:vAlign w:val="center"/>
          </w:tcPr>
          <w:p w14:paraId="149A4F2D">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1、产业政策相符性分析</w:t>
            </w:r>
          </w:p>
          <w:p w14:paraId="513CD483">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本项目与产业政策相符性具体见下表。</w:t>
            </w:r>
          </w:p>
          <w:p w14:paraId="7244EBA9">
            <w:pPr>
              <w:adjustRightInd w:val="0"/>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表1-3 产业政策相符性判定分析</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7" w:type="dxa"/>
                <w:left w:w="28" w:type="dxa"/>
                <w:bottom w:w="17" w:type="dxa"/>
                <w:right w:w="28" w:type="dxa"/>
              </w:tblCellMar>
            </w:tblPr>
            <w:tblGrid>
              <w:gridCol w:w="865"/>
              <w:gridCol w:w="4928"/>
              <w:gridCol w:w="898"/>
            </w:tblGrid>
            <w:tr w14:paraId="1ACE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tblHeader/>
                <w:jc w:val="center"/>
              </w:trPr>
              <w:tc>
                <w:tcPr>
                  <w:tcW w:w="646" w:type="pct"/>
                  <w:vAlign w:val="center"/>
                </w:tcPr>
                <w:p w14:paraId="127EBB60">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判断类型</w:t>
                  </w:r>
                </w:p>
              </w:tc>
              <w:tc>
                <w:tcPr>
                  <w:tcW w:w="3681" w:type="pct"/>
                  <w:vAlign w:val="center"/>
                </w:tcPr>
                <w:p w14:paraId="33CD9BA9">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对照分析</w:t>
                  </w:r>
                </w:p>
              </w:tc>
              <w:tc>
                <w:tcPr>
                  <w:tcW w:w="671" w:type="pct"/>
                  <w:vAlign w:val="center"/>
                </w:tcPr>
                <w:p w14:paraId="722ED89A">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是否满足要求</w:t>
                  </w:r>
                </w:p>
              </w:tc>
            </w:tr>
            <w:tr w14:paraId="3F16F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90" w:hRule="atLeast"/>
                <w:jc w:val="center"/>
              </w:trPr>
              <w:tc>
                <w:tcPr>
                  <w:tcW w:w="646" w:type="pct"/>
                  <w:vMerge w:val="restart"/>
                  <w:vAlign w:val="center"/>
                </w:tcPr>
                <w:p w14:paraId="2E23AF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产业政策</w:t>
                  </w:r>
                </w:p>
              </w:tc>
              <w:tc>
                <w:tcPr>
                  <w:tcW w:w="3681" w:type="pct"/>
                </w:tcPr>
                <w:p w14:paraId="383B3094">
                  <w:pPr>
                    <w:pStyle w:val="61"/>
                    <w:spacing w:line="278"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本</w:t>
                  </w:r>
                  <w:r>
                    <w:rPr>
                      <w:rFonts w:hint="default" w:ascii="Times New Roman" w:hAnsi="Times New Roman" w:eastAsia="仿宋" w:cs="Times New Roman"/>
                      <w:color w:val="auto"/>
                      <w:sz w:val="21"/>
                      <w:szCs w:val="21"/>
                    </w:rPr>
                    <w:t>项目</w:t>
                  </w:r>
                  <w:r>
                    <w:rPr>
                      <w:rFonts w:hint="default" w:ascii="Times New Roman" w:hAnsi="Times New Roman" w:eastAsia="仿宋" w:cs="Times New Roman"/>
                      <w:color w:val="auto"/>
                      <w:sz w:val="21"/>
                      <w:szCs w:val="21"/>
                      <w:lang w:val="en-US" w:eastAsia="zh-CN"/>
                    </w:rPr>
                    <w:t>为自有电子产品及生产配套需求提供实验及检测服务</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lang w:val="en-US" w:eastAsia="zh-CN"/>
                    </w:rPr>
                    <w:t>实验工艺</w:t>
                  </w:r>
                  <w:r>
                    <w:rPr>
                      <w:rFonts w:hint="default" w:ascii="Times New Roman" w:hAnsi="Times New Roman" w:eastAsia="仿宋" w:cs="Times New Roman"/>
                      <w:color w:val="auto"/>
                      <w:sz w:val="21"/>
                      <w:szCs w:val="21"/>
                      <w:highlight w:val="none"/>
                    </w:rPr>
                    <w:t>、设备等均不属于《产业结构调整指导目录（2024年本）》中限制类和淘汰类项目。</w:t>
                  </w:r>
                </w:p>
              </w:tc>
              <w:tc>
                <w:tcPr>
                  <w:tcW w:w="671" w:type="pct"/>
                  <w:vAlign w:val="center"/>
                </w:tcPr>
                <w:p w14:paraId="66256225">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w:t>
                  </w:r>
                </w:p>
              </w:tc>
            </w:tr>
            <w:tr w14:paraId="6E627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646" w:type="pct"/>
                  <w:vMerge w:val="continue"/>
                  <w:vAlign w:val="center"/>
                </w:tcPr>
                <w:p w14:paraId="4EF5DCAB">
                  <w:pPr>
                    <w:jc w:val="center"/>
                    <w:rPr>
                      <w:rFonts w:hint="default" w:ascii="Times New Roman" w:hAnsi="Times New Roman" w:eastAsia="仿宋" w:cs="Times New Roman"/>
                      <w:color w:val="auto"/>
                      <w:szCs w:val="21"/>
                    </w:rPr>
                  </w:pPr>
                </w:p>
              </w:tc>
              <w:tc>
                <w:tcPr>
                  <w:tcW w:w="3681" w:type="pct"/>
                </w:tcPr>
                <w:p w14:paraId="396C0A70">
                  <w:pPr>
                    <w:pStyle w:val="61"/>
                    <w:spacing w:line="278"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本</w:t>
                  </w:r>
                  <w:r>
                    <w:rPr>
                      <w:rFonts w:hint="default" w:ascii="Times New Roman" w:hAnsi="Times New Roman" w:eastAsia="仿宋" w:cs="Times New Roman"/>
                      <w:color w:val="auto"/>
                      <w:sz w:val="21"/>
                      <w:szCs w:val="21"/>
                    </w:rPr>
                    <w:t>项目</w:t>
                  </w:r>
                  <w:r>
                    <w:rPr>
                      <w:rFonts w:hint="default" w:ascii="Times New Roman" w:hAnsi="Times New Roman" w:eastAsia="仿宋" w:cs="Times New Roman"/>
                      <w:color w:val="auto"/>
                      <w:sz w:val="21"/>
                      <w:szCs w:val="21"/>
                      <w:lang w:val="en-US" w:eastAsia="zh-CN"/>
                    </w:rPr>
                    <w:t>为自有电子产品及生产配套需求提供实验及检测服务</w:t>
                  </w:r>
                  <w:r>
                    <w:rPr>
                      <w:rFonts w:hint="default" w:ascii="Times New Roman" w:hAnsi="Times New Roman" w:eastAsia="仿宋" w:cs="Times New Roman"/>
                      <w:color w:val="auto"/>
                      <w:sz w:val="21"/>
                      <w:szCs w:val="21"/>
                      <w:lang w:val="en-US"/>
                    </w:rPr>
                    <w:t>，不属于《江苏省产业结构调整限制、淘汰和禁止目录（2018年本）》中的限制、淘汰及禁止类。</w:t>
                  </w:r>
                </w:p>
              </w:tc>
              <w:tc>
                <w:tcPr>
                  <w:tcW w:w="671" w:type="pct"/>
                  <w:vAlign w:val="center"/>
                </w:tcPr>
                <w:p w14:paraId="7D984FD8">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w:t>
                  </w:r>
                </w:p>
              </w:tc>
            </w:tr>
            <w:tr w14:paraId="2641A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646" w:type="pct"/>
                  <w:vMerge w:val="continue"/>
                  <w:vAlign w:val="center"/>
                </w:tcPr>
                <w:p w14:paraId="318488AB">
                  <w:pPr>
                    <w:jc w:val="center"/>
                    <w:rPr>
                      <w:rFonts w:hint="default" w:ascii="Times New Roman" w:hAnsi="Times New Roman" w:eastAsia="仿宋" w:cs="Times New Roman"/>
                      <w:color w:val="auto"/>
                      <w:szCs w:val="21"/>
                    </w:rPr>
                  </w:pPr>
                </w:p>
              </w:tc>
              <w:tc>
                <w:tcPr>
                  <w:tcW w:w="3681" w:type="pct"/>
                </w:tcPr>
                <w:p w14:paraId="182F67FA">
                  <w:pPr>
                    <w:spacing w:beforeLines="0" w:afterLines="0"/>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本项目为自有电子产品及生产配套需求提供实验及检测服务</w:t>
                  </w:r>
                  <w:r>
                    <w:rPr>
                      <w:rFonts w:hint="eastAsia"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未列入《</w:t>
                  </w:r>
                  <w:r>
                    <w:rPr>
                      <w:rFonts w:hint="eastAsia" w:ascii="Times New Roman" w:hAnsi="Times New Roman" w:eastAsia="仿宋" w:cs="Times New Roman"/>
                      <w:color w:val="auto"/>
                      <w:sz w:val="21"/>
                      <w:szCs w:val="21"/>
                      <w:lang w:val="en-US" w:eastAsia="zh-CN"/>
                    </w:rPr>
                    <w:t>外商投资准入特别管理措施</w:t>
                  </w:r>
                </w:p>
                <w:p w14:paraId="6029AAC8">
                  <w:pPr>
                    <w:spacing w:beforeLines="0" w:afterLines="0"/>
                    <w:jc w:val="both"/>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（负面清单）（2024年版）</w:t>
                  </w:r>
                  <w:r>
                    <w:rPr>
                      <w:rFonts w:hint="eastAsia" w:eastAsia="仿宋" w:cs="Times New Roman"/>
                      <w:color w:val="auto"/>
                      <w:sz w:val="21"/>
                      <w:szCs w:val="21"/>
                      <w:lang w:val="en-US" w:eastAsia="zh-CN"/>
                    </w:rPr>
                    <w:t>》。</w:t>
                  </w:r>
                </w:p>
              </w:tc>
              <w:tc>
                <w:tcPr>
                  <w:tcW w:w="671" w:type="pct"/>
                  <w:vAlign w:val="center"/>
                </w:tcPr>
                <w:p w14:paraId="21ACF116">
                  <w:pPr>
                    <w:spacing w:beforeLines="0" w:afterLine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0"/>
                      <w:szCs w:val="21"/>
                    </w:rPr>
                    <w:t>是</w:t>
                  </w:r>
                </w:p>
              </w:tc>
            </w:tr>
            <w:tr w14:paraId="7AF26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646" w:type="pct"/>
                  <w:vMerge w:val="continue"/>
                  <w:vAlign w:val="center"/>
                </w:tcPr>
                <w:p w14:paraId="3C55FEB7">
                  <w:pPr>
                    <w:jc w:val="center"/>
                    <w:rPr>
                      <w:rFonts w:hint="default" w:ascii="Times New Roman" w:hAnsi="Times New Roman" w:eastAsia="仿宋" w:cs="Times New Roman"/>
                      <w:color w:val="auto"/>
                      <w:szCs w:val="21"/>
                    </w:rPr>
                  </w:pPr>
                </w:p>
              </w:tc>
              <w:tc>
                <w:tcPr>
                  <w:tcW w:w="3681" w:type="pct"/>
                </w:tcPr>
                <w:p w14:paraId="1CD01C3E">
                  <w:pPr>
                    <w:spacing w:beforeLines="0" w:afterLines="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本项目为自有电子产品及生产配套需求提供实验及检测服务</w:t>
                  </w:r>
                  <w:r>
                    <w:rPr>
                      <w:rFonts w:hint="eastAsia" w:ascii="Times New Roman" w:hAnsi="Times New Roman" w:eastAsia="仿宋" w:cs="Times New Roman"/>
                      <w:color w:val="auto"/>
                      <w:sz w:val="21"/>
                      <w:szCs w:val="21"/>
                      <w:lang w:val="en-US" w:eastAsia="zh-CN"/>
                    </w:rPr>
                    <w:t>，</w:t>
                  </w:r>
                  <w:r>
                    <w:rPr>
                      <w:rFonts w:hint="eastAsia" w:eastAsia="仿宋" w:cs="Times New Roman"/>
                      <w:color w:val="auto"/>
                      <w:sz w:val="21"/>
                      <w:szCs w:val="21"/>
                      <w:lang w:val="en-US" w:eastAsia="zh-CN"/>
                    </w:rPr>
                    <w:t>不属于《</w:t>
                  </w:r>
                  <w:r>
                    <w:rPr>
                      <w:rFonts w:hint="eastAsia" w:ascii="Times New Roman" w:hAnsi="Times New Roman" w:eastAsia="仿宋" w:cs="Times New Roman"/>
                      <w:color w:val="auto"/>
                      <w:sz w:val="21"/>
                      <w:szCs w:val="21"/>
                      <w:lang w:val="en-US" w:eastAsia="zh-CN"/>
                    </w:rPr>
                    <w:t>江苏省太湖流域禁止和限制的产业产品目录（2024年本）</w:t>
                  </w:r>
                  <w:r>
                    <w:rPr>
                      <w:rFonts w:hint="eastAsia" w:eastAsia="仿宋" w:cs="Times New Roman"/>
                      <w:color w:val="auto"/>
                      <w:sz w:val="21"/>
                      <w:szCs w:val="21"/>
                      <w:lang w:val="en-US" w:eastAsia="zh-CN"/>
                    </w:rPr>
                    <w:t>》中的限制、淘汰及禁止类。</w:t>
                  </w:r>
                </w:p>
              </w:tc>
              <w:tc>
                <w:tcPr>
                  <w:tcW w:w="671" w:type="pct"/>
                  <w:vAlign w:val="center"/>
                </w:tcPr>
                <w:p w14:paraId="69B7C22D">
                  <w:pPr>
                    <w:spacing w:beforeLines="0" w:afterLines="0"/>
                    <w:jc w:val="center"/>
                    <w:rPr>
                      <w:rFonts w:hint="eastAsia"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是</w:t>
                  </w:r>
                </w:p>
              </w:tc>
            </w:tr>
            <w:tr w14:paraId="7FD75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646" w:type="pct"/>
                  <w:vMerge w:val="continue"/>
                  <w:vAlign w:val="center"/>
                </w:tcPr>
                <w:p w14:paraId="05DBECEC">
                  <w:pPr>
                    <w:jc w:val="center"/>
                    <w:rPr>
                      <w:rFonts w:hint="default" w:ascii="Times New Roman" w:hAnsi="Times New Roman" w:eastAsia="仿宋" w:cs="Times New Roman"/>
                      <w:color w:val="auto"/>
                      <w:szCs w:val="21"/>
                    </w:rPr>
                  </w:pPr>
                </w:p>
              </w:tc>
              <w:tc>
                <w:tcPr>
                  <w:tcW w:w="3681" w:type="pct"/>
                </w:tcPr>
                <w:p w14:paraId="6F645932">
                  <w:pPr>
                    <w:pStyle w:val="61"/>
                    <w:spacing w:line="278"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本</w:t>
                  </w:r>
                  <w:r>
                    <w:rPr>
                      <w:rFonts w:hint="default" w:ascii="Times New Roman" w:hAnsi="Times New Roman" w:eastAsia="仿宋" w:cs="Times New Roman"/>
                      <w:color w:val="auto"/>
                      <w:sz w:val="21"/>
                      <w:szCs w:val="21"/>
                    </w:rPr>
                    <w:t>项目</w:t>
                  </w:r>
                  <w:r>
                    <w:rPr>
                      <w:rFonts w:hint="default" w:ascii="Times New Roman" w:hAnsi="Times New Roman" w:eastAsia="仿宋" w:cs="Times New Roman"/>
                      <w:color w:val="auto"/>
                      <w:sz w:val="21"/>
                      <w:szCs w:val="21"/>
                      <w:lang w:val="en-US" w:eastAsia="zh-CN"/>
                    </w:rPr>
                    <w:t>为自有电子产品及生产配套需求提供实验及检测服务</w:t>
                  </w:r>
                  <w:r>
                    <w:rPr>
                      <w:rFonts w:hint="default" w:ascii="Times New Roman" w:hAnsi="Times New Roman" w:eastAsia="仿宋" w:cs="Times New Roman"/>
                      <w:color w:val="auto"/>
                      <w:sz w:val="21"/>
                      <w:szCs w:val="21"/>
                      <w:lang w:val="en-US"/>
                    </w:rPr>
                    <w:t>，</w:t>
                  </w:r>
                  <w:r>
                    <w:rPr>
                      <w:rFonts w:hint="default" w:ascii="Times New Roman" w:hAnsi="Times New Roman" w:eastAsia="仿宋" w:cs="Times New Roman"/>
                      <w:color w:val="auto"/>
                      <w:sz w:val="21"/>
                      <w:szCs w:val="21"/>
                    </w:rPr>
                    <w:t>不属于《长江经济带发展负面清单指南（试行，2022年版）</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市场准入负面清单（202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年版）》中禁止准入类项目。</w:t>
                  </w:r>
                </w:p>
              </w:tc>
              <w:tc>
                <w:tcPr>
                  <w:tcW w:w="671" w:type="pct"/>
                  <w:vAlign w:val="center"/>
                </w:tcPr>
                <w:p w14:paraId="0699649F">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w:t>
                  </w:r>
                </w:p>
              </w:tc>
            </w:tr>
            <w:tr w14:paraId="5EE46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20" w:hRule="atLeast"/>
                <w:jc w:val="center"/>
              </w:trPr>
              <w:tc>
                <w:tcPr>
                  <w:tcW w:w="646" w:type="pct"/>
                  <w:vMerge w:val="continue"/>
                  <w:vAlign w:val="center"/>
                </w:tcPr>
                <w:p w14:paraId="0BBA2F39">
                  <w:pPr>
                    <w:jc w:val="center"/>
                    <w:rPr>
                      <w:rFonts w:hint="default" w:ascii="Times New Roman" w:hAnsi="Times New Roman" w:eastAsia="仿宋" w:cs="Times New Roman"/>
                      <w:color w:val="auto"/>
                      <w:szCs w:val="21"/>
                    </w:rPr>
                  </w:pPr>
                </w:p>
              </w:tc>
              <w:tc>
                <w:tcPr>
                  <w:tcW w:w="3681" w:type="pct"/>
                  <w:vAlign w:val="center"/>
                </w:tcPr>
                <w:p w14:paraId="255C6874">
                  <w:pPr>
                    <w:pStyle w:val="61"/>
                    <w:spacing w:line="278"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本项目已于20</w:t>
                  </w:r>
                  <w:r>
                    <w:rPr>
                      <w:rFonts w:hint="default" w:ascii="Times New Roman" w:hAnsi="Times New Roman" w:eastAsia="仿宋" w:cs="Times New Roman"/>
                      <w:color w:val="auto"/>
                      <w:sz w:val="21"/>
                      <w:szCs w:val="21"/>
                      <w:lang w:val="en-US" w:eastAsia="zh-CN"/>
                    </w:rPr>
                    <w:t>25</w:t>
                  </w:r>
                  <w:r>
                    <w:rPr>
                      <w:rFonts w:hint="default" w:ascii="Times New Roman" w:hAnsi="Times New Roman" w:eastAsia="仿宋" w:cs="Times New Roman"/>
                      <w:color w:val="auto"/>
                      <w:sz w:val="21"/>
                      <w:szCs w:val="21"/>
                    </w:rPr>
                    <w:t>年</w:t>
                  </w:r>
                  <w:r>
                    <w:rPr>
                      <w:rFonts w:hint="default"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rPr>
                    <w:t>月</w:t>
                  </w:r>
                  <w:r>
                    <w:rPr>
                      <w:rFonts w:hint="default" w:ascii="Times New Roman" w:hAnsi="Times New Roman" w:eastAsia="仿宋" w:cs="Times New Roman"/>
                      <w:color w:val="auto"/>
                      <w:sz w:val="21"/>
                      <w:szCs w:val="21"/>
                      <w:lang w:val="en-US" w:eastAsia="zh-CN"/>
                    </w:rPr>
                    <w:t>27</w:t>
                  </w:r>
                  <w:r>
                    <w:rPr>
                      <w:rFonts w:hint="default" w:ascii="Times New Roman" w:hAnsi="Times New Roman" w:eastAsia="仿宋" w:cs="Times New Roman"/>
                      <w:color w:val="auto"/>
                      <w:sz w:val="21"/>
                      <w:szCs w:val="21"/>
                    </w:rPr>
                    <w:t>日取得江苏金坛经济开发区经济发展局出具的江苏省投资项目备案证，符合区域产业政策。</w:t>
                  </w:r>
                </w:p>
              </w:tc>
              <w:tc>
                <w:tcPr>
                  <w:tcW w:w="671" w:type="pct"/>
                  <w:vAlign w:val="center"/>
                </w:tcPr>
                <w:p w14:paraId="011CA190">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是</w:t>
                  </w:r>
                </w:p>
              </w:tc>
            </w:tr>
          </w:tbl>
          <w:p w14:paraId="2098F41E">
            <w:pPr>
              <w:autoSpaceDE w:val="0"/>
              <w:autoSpaceDN w:val="0"/>
              <w:adjustRightInd w:val="0"/>
              <w:snapToGrid w:val="0"/>
              <w:ind w:firstLine="200" w:firstLineChars="200"/>
              <w:jc w:val="left"/>
              <w:rPr>
                <w:rFonts w:hint="default" w:ascii="Times New Roman" w:hAnsi="Times New Roman" w:eastAsia="仿宋" w:cs="Times New Roman"/>
                <w:color w:val="auto"/>
                <w:kern w:val="0"/>
                <w:sz w:val="10"/>
                <w:szCs w:val="10"/>
              </w:rPr>
            </w:pPr>
          </w:p>
          <w:p w14:paraId="3D37F08F">
            <w:pPr>
              <w:autoSpaceDE w:val="0"/>
              <w:autoSpaceDN w:val="0"/>
              <w:adjustRightInd w:val="0"/>
              <w:snapToGrid w:val="0"/>
              <w:spacing w:before="120" w:beforeLines="50"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2、与“三线一单”相符性分析</w:t>
            </w:r>
          </w:p>
          <w:p w14:paraId="7647810F">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（1）生态红线</w:t>
            </w:r>
          </w:p>
          <w:p w14:paraId="37A184D5">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本项目位于江苏省常州市金坛区龙湖路86号，对照《江苏省生态空间管控区域规划》</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苏政发</w:t>
            </w:r>
            <w:r>
              <w:rPr>
                <w:rFonts w:hint="default" w:ascii="Times New Roman" w:hAnsi="Times New Roman" w:eastAsia="仿宋" w:cs="Times New Roman"/>
                <w:color w:val="auto"/>
                <w:kern w:val="0"/>
                <w:sz w:val="24"/>
                <w:lang w:eastAsia="zh-CN"/>
              </w:rPr>
              <w:t>〔2020〕1号）</w:t>
            </w:r>
            <w:r>
              <w:rPr>
                <w:rFonts w:hint="default" w:ascii="Times New Roman" w:hAnsi="Times New Roman" w:eastAsia="仿宋" w:cs="Times New Roman"/>
                <w:color w:val="auto"/>
                <w:kern w:val="0"/>
                <w:sz w:val="24"/>
              </w:rPr>
              <w:t>，距离最近的生态空间管控区钱资荡重要湿地5.2km，不在国家级生态保护红线范围和生态空间管控区范围内。</w:t>
            </w:r>
          </w:p>
          <w:p w14:paraId="38DEC1AE">
            <w:pPr>
              <w:autoSpaceDE w:val="0"/>
              <w:autoSpaceDN w:val="0"/>
              <w:adjustRightInd w:val="0"/>
              <w:snapToGrid w:val="0"/>
              <w:jc w:val="center"/>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表1-4  项目地附近生态红线区域</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686"/>
              <w:gridCol w:w="836"/>
              <w:gridCol w:w="846"/>
              <w:gridCol w:w="943"/>
              <w:gridCol w:w="819"/>
              <w:gridCol w:w="890"/>
              <w:gridCol w:w="534"/>
            </w:tblGrid>
            <w:tr w14:paraId="4955F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9" w:hRule="atLeast"/>
                <w:jc w:val="center"/>
              </w:trPr>
              <w:tc>
                <w:tcPr>
                  <w:tcW w:w="849" w:type="pct"/>
                  <w:vMerge w:val="restart"/>
                  <w:vAlign w:val="center"/>
                </w:tcPr>
                <w:p w14:paraId="6353E503">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生态空间保护区域名称</w:t>
                  </w:r>
                </w:p>
              </w:tc>
              <w:tc>
                <w:tcPr>
                  <w:tcW w:w="512" w:type="pct"/>
                  <w:vMerge w:val="restart"/>
                  <w:vAlign w:val="center"/>
                </w:tcPr>
                <w:p w14:paraId="360AF2E1">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主导生态功能</w:t>
                  </w:r>
                </w:p>
              </w:tc>
              <w:tc>
                <w:tcPr>
                  <w:tcW w:w="624" w:type="pct"/>
                  <w:vMerge w:val="restart"/>
                  <w:vAlign w:val="center"/>
                </w:tcPr>
                <w:p w14:paraId="524742F6">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与本项目方位、距离</w:t>
                  </w:r>
                </w:p>
              </w:tc>
              <w:tc>
                <w:tcPr>
                  <w:tcW w:w="1336" w:type="pct"/>
                  <w:gridSpan w:val="2"/>
                  <w:vAlign w:val="center"/>
                </w:tcPr>
                <w:p w14:paraId="01E74BB8">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范围</w:t>
                  </w:r>
                </w:p>
              </w:tc>
              <w:tc>
                <w:tcPr>
                  <w:tcW w:w="1676" w:type="pct"/>
                  <w:gridSpan w:val="3"/>
                  <w:vAlign w:val="center"/>
                </w:tcPr>
                <w:p w14:paraId="466DD542">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面积（平方公里）</w:t>
                  </w:r>
                </w:p>
              </w:tc>
            </w:tr>
            <w:tr w14:paraId="585F4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0" w:hRule="atLeast"/>
                <w:jc w:val="center"/>
              </w:trPr>
              <w:tc>
                <w:tcPr>
                  <w:tcW w:w="849" w:type="pct"/>
                  <w:vMerge w:val="continue"/>
                  <w:vAlign w:val="center"/>
                </w:tcPr>
                <w:p w14:paraId="432D77A5">
                  <w:pPr>
                    <w:adjustRightInd w:val="0"/>
                    <w:snapToGrid w:val="0"/>
                    <w:rPr>
                      <w:rFonts w:hint="default" w:ascii="Times New Roman" w:hAnsi="Times New Roman" w:eastAsia="仿宋" w:cs="Times New Roman"/>
                      <w:b/>
                      <w:bCs/>
                      <w:color w:val="auto"/>
                      <w:sz w:val="21"/>
                      <w:szCs w:val="21"/>
                    </w:rPr>
                  </w:pPr>
                </w:p>
              </w:tc>
              <w:tc>
                <w:tcPr>
                  <w:tcW w:w="512" w:type="pct"/>
                  <w:vMerge w:val="continue"/>
                  <w:vAlign w:val="center"/>
                </w:tcPr>
                <w:p w14:paraId="3842AEAC">
                  <w:pPr>
                    <w:adjustRightInd w:val="0"/>
                    <w:snapToGrid w:val="0"/>
                    <w:rPr>
                      <w:rFonts w:hint="default" w:ascii="Times New Roman" w:hAnsi="Times New Roman" w:eastAsia="仿宋" w:cs="Times New Roman"/>
                      <w:b/>
                      <w:bCs/>
                      <w:color w:val="auto"/>
                      <w:sz w:val="21"/>
                      <w:szCs w:val="21"/>
                    </w:rPr>
                  </w:pPr>
                </w:p>
              </w:tc>
              <w:tc>
                <w:tcPr>
                  <w:tcW w:w="624" w:type="pct"/>
                  <w:vMerge w:val="continue"/>
                  <w:vAlign w:val="center"/>
                </w:tcPr>
                <w:p w14:paraId="132D9825">
                  <w:pPr>
                    <w:adjustRightInd w:val="0"/>
                    <w:snapToGrid w:val="0"/>
                    <w:rPr>
                      <w:rFonts w:hint="default" w:ascii="Times New Roman" w:hAnsi="Times New Roman" w:eastAsia="仿宋" w:cs="Times New Roman"/>
                      <w:b/>
                      <w:bCs/>
                      <w:color w:val="auto"/>
                      <w:sz w:val="21"/>
                      <w:szCs w:val="21"/>
                    </w:rPr>
                  </w:pPr>
                </w:p>
              </w:tc>
              <w:tc>
                <w:tcPr>
                  <w:tcW w:w="632" w:type="pct"/>
                  <w:vAlign w:val="center"/>
                </w:tcPr>
                <w:p w14:paraId="2CD5FED1">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国家级生态保护红线范围</w:t>
                  </w:r>
                </w:p>
              </w:tc>
              <w:tc>
                <w:tcPr>
                  <w:tcW w:w="704" w:type="pct"/>
                  <w:vAlign w:val="center"/>
                </w:tcPr>
                <w:p w14:paraId="2A8DE891">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生态空间管控区域范围</w:t>
                  </w:r>
                </w:p>
              </w:tc>
              <w:tc>
                <w:tcPr>
                  <w:tcW w:w="612" w:type="pct"/>
                  <w:vAlign w:val="center"/>
                </w:tcPr>
                <w:p w14:paraId="0F11A1D4">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国家级生态保护红线面积</w:t>
                  </w:r>
                </w:p>
              </w:tc>
              <w:tc>
                <w:tcPr>
                  <w:tcW w:w="665" w:type="pct"/>
                  <w:vAlign w:val="center"/>
                </w:tcPr>
                <w:p w14:paraId="4B6B616A">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生态空间管控区域面积</w:t>
                  </w:r>
                </w:p>
              </w:tc>
              <w:tc>
                <w:tcPr>
                  <w:tcW w:w="399" w:type="pct"/>
                  <w:vAlign w:val="center"/>
                </w:tcPr>
                <w:p w14:paraId="468F4E24">
                  <w:pPr>
                    <w:pStyle w:val="51"/>
                    <w:spacing w:before="24" w:after="24" w:line="240" w:lineRule="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总面积</w:t>
                  </w:r>
                </w:p>
              </w:tc>
            </w:tr>
            <w:tr w14:paraId="5C260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 w:hRule="atLeast"/>
                <w:jc w:val="center"/>
              </w:trPr>
              <w:tc>
                <w:tcPr>
                  <w:tcW w:w="849" w:type="pct"/>
                  <w:vAlign w:val="center"/>
                </w:tcPr>
                <w:p w14:paraId="3129ECBF">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新孟河（金坛区）清水通道维护区</w:t>
                  </w:r>
                </w:p>
              </w:tc>
              <w:tc>
                <w:tcPr>
                  <w:tcW w:w="512" w:type="pct"/>
                  <w:vAlign w:val="center"/>
                </w:tcPr>
                <w:p w14:paraId="6A4AE8F5">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水源水质保护</w:t>
                  </w:r>
                </w:p>
              </w:tc>
              <w:tc>
                <w:tcPr>
                  <w:tcW w:w="624" w:type="pct"/>
                  <w:vAlign w:val="center"/>
                </w:tcPr>
                <w:p w14:paraId="3090C3EC">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SE</w:t>
                  </w:r>
                  <w:r>
                    <w:rPr>
                      <w:rFonts w:hint="eastAsia" w:asci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5.6km</w:t>
                  </w:r>
                </w:p>
              </w:tc>
              <w:tc>
                <w:tcPr>
                  <w:tcW w:w="632" w:type="pct"/>
                  <w:vAlign w:val="center"/>
                </w:tcPr>
                <w:p w14:paraId="739FC355">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04" w:type="pct"/>
                  <w:vAlign w:val="center"/>
                </w:tcPr>
                <w:p w14:paraId="22A280F4">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新孟河及河道两侧1公里范围</w:t>
                  </w:r>
                </w:p>
              </w:tc>
              <w:tc>
                <w:tcPr>
                  <w:tcW w:w="612" w:type="pct"/>
                  <w:vAlign w:val="center"/>
                </w:tcPr>
                <w:p w14:paraId="60518013">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665" w:type="pct"/>
                  <w:vAlign w:val="center"/>
                </w:tcPr>
                <w:p w14:paraId="362D62AD">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14.05</w:t>
                  </w:r>
                </w:p>
              </w:tc>
              <w:tc>
                <w:tcPr>
                  <w:tcW w:w="399" w:type="pct"/>
                  <w:vAlign w:val="center"/>
                </w:tcPr>
                <w:p w14:paraId="7FDACC14">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14.05 </w:t>
                  </w:r>
                </w:p>
              </w:tc>
            </w:tr>
            <w:tr w14:paraId="591D6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7" w:hRule="atLeast"/>
                <w:jc w:val="center"/>
              </w:trPr>
              <w:tc>
                <w:tcPr>
                  <w:tcW w:w="849" w:type="pct"/>
                  <w:vAlign w:val="center"/>
                </w:tcPr>
                <w:p w14:paraId="424F67EB">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钱资荡重要湿地</w:t>
                  </w:r>
                </w:p>
              </w:tc>
              <w:tc>
                <w:tcPr>
                  <w:tcW w:w="512" w:type="pct"/>
                  <w:vAlign w:val="center"/>
                </w:tcPr>
                <w:p w14:paraId="4621D5EF">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湿地生态系统保护</w:t>
                  </w:r>
                </w:p>
              </w:tc>
              <w:tc>
                <w:tcPr>
                  <w:tcW w:w="624" w:type="pct"/>
                  <w:vAlign w:val="center"/>
                </w:tcPr>
                <w:p w14:paraId="3DD14E87">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w:t>
                  </w:r>
                  <w:r>
                    <w:rPr>
                      <w:rFonts w:hint="eastAsia" w:asci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5.2km</w:t>
                  </w:r>
                </w:p>
              </w:tc>
              <w:tc>
                <w:tcPr>
                  <w:tcW w:w="632" w:type="pct"/>
                  <w:vAlign w:val="center"/>
                </w:tcPr>
                <w:p w14:paraId="5B1477C5">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04" w:type="pct"/>
                  <w:vAlign w:val="center"/>
                </w:tcPr>
                <w:p w14:paraId="0A0D6A6B">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钱资湖湖面区域</w:t>
                  </w:r>
                </w:p>
              </w:tc>
              <w:tc>
                <w:tcPr>
                  <w:tcW w:w="612" w:type="pct"/>
                  <w:vAlign w:val="center"/>
                </w:tcPr>
                <w:p w14:paraId="21A0EEBC">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665" w:type="pct"/>
                  <w:vAlign w:val="center"/>
                </w:tcPr>
                <w:p w14:paraId="1521ACC5">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4.61</w:t>
                  </w:r>
                </w:p>
              </w:tc>
              <w:tc>
                <w:tcPr>
                  <w:tcW w:w="399" w:type="pct"/>
                  <w:vAlign w:val="center"/>
                </w:tcPr>
                <w:p w14:paraId="3DE0065A">
                  <w:pPr>
                    <w:pStyle w:val="51"/>
                    <w:spacing w:before="24" w:after="24"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4.61</w:t>
                  </w:r>
                </w:p>
              </w:tc>
            </w:tr>
          </w:tbl>
          <w:p w14:paraId="689060A9">
            <w:pPr>
              <w:autoSpaceDE w:val="0"/>
              <w:autoSpaceDN w:val="0"/>
              <w:adjustRightInd w:val="0"/>
              <w:snapToGrid w:val="0"/>
              <w:spacing w:line="360" w:lineRule="auto"/>
              <w:ind w:firstLine="200" w:firstLineChars="200"/>
              <w:jc w:val="left"/>
              <w:rPr>
                <w:rFonts w:hint="default" w:ascii="Times New Roman" w:hAnsi="Times New Roman" w:eastAsia="仿宋" w:cs="Times New Roman"/>
                <w:color w:val="auto"/>
                <w:kern w:val="0"/>
                <w:sz w:val="10"/>
                <w:szCs w:val="10"/>
              </w:rPr>
            </w:pPr>
          </w:p>
          <w:p w14:paraId="060E1C85">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（2）环境质量底线</w:t>
            </w:r>
          </w:p>
          <w:p w14:paraId="65D552B0">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根据《2024年常州市生态环境状况公报》，2024年常州市环境空气中SO</w:t>
            </w:r>
            <w:r>
              <w:rPr>
                <w:rFonts w:hint="default" w:ascii="Times New Roman" w:hAnsi="Times New Roman" w:eastAsia="仿宋" w:cs="Times New Roman"/>
                <w:color w:val="auto"/>
                <w:kern w:val="0"/>
                <w:sz w:val="24"/>
                <w:vertAlign w:val="subscript"/>
              </w:rPr>
              <w:t>2</w:t>
            </w:r>
            <w:r>
              <w:rPr>
                <w:rFonts w:hint="default" w:ascii="Times New Roman" w:hAnsi="Times New Roman" w:eastAsia="仿宋" w:cs="Times New Roman"/>
                <w:color w:val="auto"/>
                <w:kern w:val="0"/>
                <w:sz w:val="24"/>
              </w:rPr>
              <w:t>、NO</w:t>
            </w:r>
            <w:r>
              <w:rPr>
                <w:rFonts w:hint="default" w:ascii="Times New Roman" w:hAnsi="Times New Roman" w:eastAsia="仿宋" w:cs="Times New Roman"/>
                <w:color w:val="auto"/>
                <w:kern w:val="0"/>
                <w:sz w:val="24"/>
                <w:vertAlign w:val="subscript"/>
              </w:rPr>
              <w:t>2</w:t>
            </w:r>
            <w:r>
              <w:rPr>
                <w:rFonts w:hint="default" w:ascii="Times New Roman" w:hAnsi="Times New Roman" w:eastAsia="仿宋" w:cs="Times New Roman"/>
                <w:color w:val="auto"/>
                <w:kern w:val="0"/>
                <w:sz w:val="24"/>
              </w:rPr>
              <w:t>年均值和日均值的第98百分位数、PM</w:t>
            </w:r>
            <w:r>
              <w:rPr>
                <w:rFonts w:hint="default" w:ascii="Times New Roman" w:hAnsi="Times New Roman" w:eastAsia="仿宋" w:cs="Times New Roman"/>
                <w:color w:val="auto"/>
                <w:kern w:val="0"/>
                <w:sz w:val="24"/>
                <w:vertAlign w:val="subscript"/>
              </w:rPr>
              <w:t>10</w:t>
            </w:r>
            <w:r>
              <w:rPr>
                <w:rFonts w:hint="default" w:ascii="Times New Roman" w:hAnsi="Times New Roman" w:eastAsia="仿宋" w:cs="Times New Roman"/>
                <w:color w:val="auto"/>
                <w:kern w:val="0"/>
                <w:sz w:val="24"/>
              </w:rPr>
              <w:t>年均值和日均值的第95百分位数、PM</w:t>
            </w:r>
            <w:r>
              <w:rPr>
                <w:rFonts w:hint="default" w:ascii="Times New Roman" w:hAnsi="Times New Roman" w:eastAsia="仿宋" w:cs="Times New Roman"/>
                <w:color w:val="auto"/>
                <w:kern w:val="0"/>
                <w:sz w:val="24"/>
                <w:vertAlign w:val="subscript"/>
              </w:rPr>
              <w:t>2.5</w:t>
            </w:r>
            <w:r>
              <w:rPr>
                <w:rFonts w:hint="default" w:ascii="Times New Roman" w:hAnsi="Times New Roman" w:eastAsia="仿宋" w:cs="Times New Roman"/>
                <w:color w:val="auto"/>
                <w:kern w:val="0"/>
                <w:sz w:val="24"/>
              </w:rPr>
              <w:t>年均值、一氧化碳日均值的第95百分位数均达到《环境空气质量标准》（GB3095-20</w:t>
            </w:r>
            <w:r>
              <w:rPr>
                <w:rFonts w:hint="eastAsia" w:eastAsia="仿宋" w:cs="Times New Roman"/>
                <w:color w:val="auto"/>
                <w:kern w:val="0"/>
                <w:sz w:val="24"/>
                <w:lang w:val="en-US" w:eastAsia="zh-CN"/>
              </w:rPr>
              <w:t>26</w:t>
            </w:r>
            <w:r>
              <w:rPr>
                <w:rFonts w:hint="default" w:ascii="Times New Roman" w:hAnsi="Times New Roman" w:eastAsia="仿宋" w:cs="Times New Roman"/>
                <w:color w:val="auto"/>
                <w:kern w:val="0"/>
                <w:sz w:val="24"/>
              </w:rPr>
              <w:t>）二级标准，PM</w:t>
            </w:r>
            <w:r>
              <w:rPr>
                <w:rFonts w:hint="default" w:ascii="Times New Roman" w:hAnsi="Times New Roman" w:eastAsia="仿宋" w:cs="Times New Roman"/>
                <w:color w:val="auto"/>
                <w:kern w:val="0"/>
                <w:sz w:val="24"/>
                <w:vertAlign w:val="subscript"/>
              </w:rPr>
              <w:t>2.5</w:t>
            </w:r>
            <w:r>
              <w:rPr>
                <w:rFonts w:hint="default" w:ascii="Times New Roman" w:hAnsi="Times New Roman" w:eastAsia="仿宋" w:cs="Times New Roman"/>
                <w:color w:val="auto"/>
                <w:kern w:val="0"/>
                <w:sz w:val="24"/>
              </w:rPr>
              <w:t>日均值的第95百分位数、臭氧日最大8小时滑动平均值的第90百分位数浓度超过《环境空气质量标准》（GB3095-20</w:t>
            </w:r>
            <w:r>
              <w:rPr>
                <w:rFonts w:hint="eastAsia" w:eastAsia="仿宋" w:cs="Times New Roman"/>
                <w:color w:val="auto"/>
                <w:kern w:val="0"/>
                <w:sz w:val="24"/>
                <w:lang w:val="en-US" w:eastAsia="zh-CN"/>
              </w:rPr>
              <w:t>26</w:t>
            </w:r>
            <w:r>
              <w:rPr>
                <w:rFonts w:hint="default" w:ascii="Times New Roman" w:hAnsi="Times New Roman" w:eastAsia="仿宋" w:cs="Times New Roman"/>
                <w:color w:val="auto"/>
                <w:kern w:val="0"/>
                <w:sz w:val="24"/>
              </w:rPr>
              <w:t>）二级标准，因此判定为非达标区。在贯彻落实</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2024年常州市生态环境状况公报</w:t>
            </w:r>
            <w:r>
              <w:rPr>
                <w:rFonts w:hint="default" w:ascii="Times New Roman" w:hAnsi="Times New Roman" w:eastAsia="仿宋" w:cs="Times New Roman"/>
                <w:bCs/>
                <w:color w:val="auto"/>
                <w:sz w:val="24"/>
              </w:rPr>
              <w:t>》</w:t>
            </w:r>
            <w:r>
              <w:rPr>
                <w:rFonts w:hint="default" w:ascii="Times New Roman" w:hAnsi="Times New Roman" w:eastAsia="仿宋" w:cs="Times New Roman"/>
                <w:color w:val="auto"/>
                <w:kern w:val="0"/>
                <w:sz w:val="24"/>
              </w:rPr>
              <w:t>文件要求的情况下，大气环境质量将得到进一步改善；项目所在地声环境质量满足《声环境质量标准》（GB3096-2008</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lang w:val="en-US" w:eastAsia="zh-CN"/>
              </w:rPr>
              <w:t>3</w:t>
            </w:r>
            <w:r>
              <w:rPr>
                <w:rFonts w:hint="default" w:ascii="Times New Roman" w:hAnsi="Times New Roman" w:eastAsia="仿宋" w:cs="Times New Roman"/>
                <w:color w:val="auto"/>
                <w:kern w:val="0"/>
                <w:sz w:val="24"/>
              </w:rPr>
              <w:t>类声环境功能区噪声要求。</w:t>
            </w:r>
          </w:p>
          <w:p w14:paraId="387BA5D3">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本项目废水、废气、固废均得到合理处置，噪声对周边影响较小，不会突破项目所在地环境质量底线，因此项目的建设符合环境质量底线标准。</w:t>
            </w:r>
          </w:p>
          <w:p w14:paraId="4CF568BD">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（3）资源利用上线</w:t>
            </w:r>
          </w:p>
          <w:p w14:paraId="1C329B95">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本项目利用已经建成的水、电等资源供应系统，项目对产生的污染物采取了全面的污染防治措施，确保项目三废达标排放。因此，本项目的资源利用、环境合理性等符合相关规定。</w:t>
            </w:r>
          </w:p>
          <w:p w14:paraId="36014FCD">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（4）环境准入负面清单</w:t>
            </w:r>
          </w:p>
          <w:p w14:paraId="72537E28">
            <w:pPr>
              <w:autoSpaceDE w:val="0"/>
              <w:autoSpaceDN w:val="0"/>
              <w:adjustRightInd w:val="0"/>
              <w:snapToGrid w:val="0"/>
              <w:spacing w:line="360" w:lineRule="auto"/>
              <w:ind w:firstLine="482" w:firstLineChars="200"/>
              <w:jc w:val="both"/>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①《长江经济带发展负面清单指南》（试行，2022年版）</w:t>
            </w:r>
          </w:p>
          <w:p w14:paraId="1A2A4560">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根据关于印发《</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长江经济带发展负面清单指南》（试行，2022年版）</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江苏省实施细则》的通知（苏长江办发</w:t>
            </w:r>
            <w:r>
              <w:rPr>
                <w:rFonts w:hint="default" w:ascii="Times New Roman" w:hAnsi="Times New Roman" w:eastAsia="仿宋" w:cs="Times New Roman"/>
                <w:color w:val="auto"/>
                <w:kern w:val="0"/>
                <w:sz w:val="24"/>
                <w:lang w:eastAsia="zh-CN"/>
              </w:rPr>
              <w:t>〔2022〕</w:t>
            </w:r>
            <w:r>
              <w:rPr>
                <w:rFonts w:hint="default" w:ascii="Times New Roman" w:hAnsi="Times New Roman" w:eastAsia="仿宋" w:cs="Times New Roman"/>
                <w:color w:val="auto"/>
                <w:kern w:val="0"/>
                <w:sz w:val="24"/>
              </w:rPr>
              <w:t>55号）中：</w:t>
            </w:r>
          </w:p>
          <w:p w14:paraId="1C63B2EC">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“一、河段利用与岸线开发</w:t>
            </w:r>
          </w:p>
          <w:p w14:paraId="5CAB371F">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1、禁止建设不符合国家港口布局规划和《江苏省沿江沿海港口布局规划（2015-2030年）》《江苏省内河港口布局规划</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2017-2035年）》以及我省有关港口总体规划的码头项目，禁止建设未纳入《长江干线过江通道布局规划》的过长江通道项目。</w:t>
            </w:r>
          </w:p>
          <w:p w14:paraId="1EB853AB">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p w14:paraId="1F61C4F4">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p w14:paraId="6FD3BAC5">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p w14:paraId="0032B9E7">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p w14:paraId="4D847175">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6、禁止未经许可在长江干支流及湖泊新设、改设或扩大排污口。</w:t>
            </w:r>
          </w:p>
          <w:p w14:paraId="4F629CFD">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二、区域活动</w:t>
            </w:r>
          </w:p>
          <w:p w14:paraId="10204961">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7、禁止长江干流、长江口、34个列入《率先全面禁捕的长江流域水生生物保护区名录》的水生生物保护区以及省规定的其它禁渔水域开展生产性捕捞。</w:t>
            </w:r>
          </w:p>
          <w:p w14:paraId="40B24143">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8、禁止在距离长江干支流岸线一公里范围内新建、扩建化工园区和化工项目。长江干支流一公里按照长江干支流岸线边界（即水利部门河道管理范围边界）向陆域纵深一公里执行。</w:t>
            </w:r>
          </w:p>
          <w:p w14:paraId="2BF20984">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9、禁止在长江干流岸线三公里范围内新建、改建、扩建尾矿库、冶炼渣库和磷石膏库，以提升安全、生态环境保护水平为目的的改建除外。</w:t>
            </w:r>
          </w:p>
          <w:p w14:paraId="0FC86A0A">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10、禁止在太湖流域一、二、三级保护区内开展《江苏省太湖水污染防治条例》禁止的投资建设活动。</w:t>
            </w:r>
          </w:p>
          <w:p w14:paraId="1C1C763C">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11、禁止在沿江地区新建、扩建未纳入国家和省布局规划的燃煤发电项目。</w:t>
            </w:r>
          </w:p>
          <w:p w14:paraId="24B8BD70">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12、禁止在合规园区外新建、扩建钢铁、石化、化工、焦化、建材、有色、制浆造纸等高污染项目。合规园区名录按照《〈长江经济带发展负面清单指南（试行，2022年版）〉江苏省实施细则合规园区名录》执行。</w:t>
            </w:r>
          </w:p>
          <w:p w14:paraId="436077D2">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13、禁止在取消化工定位的园区（集中区）内新建化工项目。</w:t>
            </w:r>
          </w:p>
          <w:p w14:paraId="7B266707">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14、禁止在化工企业周边建设不符合安全距离规定的劳动密集型的非化工项目和其他人员密集的公共设施项目。</w:t>
            </w:r>
          </w:p>
          <w:p w14:paraId="2279F257">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三、产业发展</w:t>
            </w:r>
          </w:p>
          <w:p w14:paraId="4955ECD4">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15、禁止新建、扩建不符合国家和省产业政策的尿素、磷</w:t>
            </w:r>
            <w:r>
              <w:rPr>
                <w:rFonts w:hint="default" w:ascii="Times New Roman" w:hAnsi="Times New Roman" w:eastAsia="仿宋" w:cs="Times New Roman"/>
                <w:color w:val="auto"/>
                <w:kern w:val="0"/>
                <w:sz w:val="24"/>
                <w:lang w:val="en-US" w:eastAsia="zh-CN"/>
              </w:rPr>
              <w:t>铵</w:t>
            </w:r>
            <w:r>
              <w:rPr>
                <w:rFonts w:hint="default" w:ascii="Times New Roman" w:hAnsi="Times New Roman" w:eastAsia="仿宋" w:cs="Times New Roman"/>
                <w:color w:val="auto"/>
                <w:kern w:val="0"/>
                <w:sz w:val="24"/>
              </w:rPr>
              <w:t>、电石、烧碱、聚氯乙烯、纯碱等行业新增产能项目。</w:t>
            </w:r>
          </w:p>
          <w:p w14:paraId="703D3593">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16、禁止新建、改建、扩建高毒、高残留以及对环境影响大的农药原药 （化学合成类）项目，禁止新建、扩建不符合国家和省产业政策的农药、医药和染料中间体化工项目 。</w:t>
            </w:r>
          </w:p>
          <w:p w14:paraId="14355B1A">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17、禁止新建</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扩建不符合国家石化、现代煤化工等产业布局规划的项目，禁止新建独立焦化项目。</w:t>
            </w:r>
          </w:p>
          <w:p w14:paraId="4FB92779">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4A9D2660">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19、禁止新建、扩建不符合国家产能置换要求的严重过剩产能行业的项目。禁止新建、扩建不符合要求的高耗能高排放项目。</w:t>
            </w:r>
          </w:p>
          <w:p w14:paraId="63DEAD5D">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20、法律法规及相关政策文件有更加严格规定的从其规定。”</w:t>
            </w:r>
          </w:p>
          <w:p w14:paraId="47BF3BEA">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lang w:val="en-US" w:eastAsia="zh-CN"/>
              </w:rPr>
              <w:t>本</w:t>
            </w:r>
            <w:r>
              <w:rPr>
                <w:rFonts w:hint="default" w:ascii="Times New Roman" w:hAnsi="Times New Roman" w:eastAsia="仿宋" w:cs="Times New Roman"/>
                <w:color w:val="auto"/>
                <w:kern w:val="0"/>
                <w:sz w:val="24"/>
              </w:rPr>
              <w:t>项目</w:t>
            </w:r>
            <w:r>
              <w:rPr>
                <w:rFonts w:hint="default" w:ascii="Times New Roman" w:hAnsi="Times New Roman" w:eastAsia="仿宋" w:cs="Times New Roman"/>
                <w:color w:val="auto"/>
                <w:kern w:val="0"/>
                <w:sz w:val="24"/>
                <w:lang w:val="en-US" w:eastAsia="zh-CN"/>
              </w:rPr>
              <w:t>为自有电子产品及生产配套需求提供实验及检测服务</w:t>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lang w:val="en-US" w:eastAsia="zh-CN"/>
              </w:rPr>
              <w:t>实验</w:t>
            </w:r>
            <w:r>
              <w:rPr>
                <w:rFonts w:hint="default" w:ascii="Times New Roman" w:hAnsi="Times New Roman" w:eastAsia="仿宋" w:cs="Times New Roman"/>
                <w:color w:val="auto"/>
                <w:kern w:val="0"/>
                <w:sz w:val="24"/>
              </w:rPr>
              <w:t>工艺、设备等未列入长江经济带发展负面清单。</w:t>
            </w:r>
          </w:p>
          <w:p w14:paraId="07A40840">
            <w:pPr>
              <w:autoSpaceDE w:val="0"/>
              <w:autoSpaceDN w:val="0"/>
              <w:adjustRightInd w:val="0"/>
              <w:snapToGrid w:val="0"/>
              <w:spacing w:line="360" w:lineRule="auto"/>
              <w:ind w:firstLine="482" w:firstLineChars="200"/>
              <w:jc w:val="left"/>
              <w:rPr>
                <w:rFonts w:hint="default" w:ascii="Times New Roman" w:hAnsi="Times New Roman" w:eastAsia="仿宋" w:cs="Times New Roman"/>
                <w:b/>
                <w:bCs/>
                <w:color w:val="auto"/>
                <w:kern w:val="0"/>
                <w:sz w:val="24"/>
              </w:rPr>
            </w:pPr>
            <w:r>
              <w:rPr>
                <w:rFonts w:hint="default" w:ascii="Times New Roman" w:hAnsi="Times New Roman" w:eastAsia="仿宋" w:cs="Times New Roman"/>
                <w:b/>
                <w:bCs/>
                <w:color w:val="auto"/>
                <w:kern w:val="0"/>
                <w:sz w:val="24"/>
              </w:rPr>
              <w:t>②</w:t>
            </w:r>
            <w:r>
              <w:rPr>
                <w:rFonts w:hint="default" w:ascii="Times New Roman" w:hAnsi="Times New Roman" w:eastAsia="仿宋" w:cs="Times New Roman"/>
                <w:b/>
                <w:bCs/>
                <w:color w:val="auto"/>
                <w:kern w:val="0"/>
                <w:sz w:val="24"/>
                <w:lang w:val="en-US" w:eastAsia="zh-CN"/>
              </w:rPr>
              <w:t>《外商投资准入特别管理措施（负面清单）（2024年版）》</w:t>
            </w:r>
          </w:p>
          <w:p w14:paraId="25CB872D">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lang w:val="en-US" w:eastAsia="zh-CN"/>
              </w:rPr>
              <w:t>本</w:t>
            </w:r>
            <w:r>
              <w:rPr>
                <w:rFonts w:hint="default" w:ascii="Times New Roman" w:hAnsi="Times New Roman" w:eastAsia="仿宋" w:cs="Times New Roman"/>
                <w:color w:val="auto"/>
                <w:kern w:val="0"/>
                <w:sz w:val="24"/>
              </w:rPr>
              <w:t>项目</w:t>
            </w:r>
            <w:r>
              <w:rPr>
                <w:rFonts w:hint="default" w:ascii="Times New Roman" w:hAnsi="Times New Roman" w:eastAsia="仿宋" w:cs="Times New Roman"/>
                <w:color w:val="auto"/>
                <w:kern w:val="0"/>
                <w:sz w:val="24"/>
                <w:lang w:val="en-US" w:eastAsia="zh-CN"/>
              </w:rPr>
              <w:t>为自有电子产品及生产配套需求提供实验及检测服务</w:t>
            </w:r>
            <w:r>
              <w:rPr>
                <w:rFonts w:hint="default" w:ascii="Times New Roman" w:hAnsi="Times New Roman" w:eastAsia="仿宋" w:cs="Times New Roman"/>
                <w:color w:val="auto"/>
                <w:kern w:val="0"/>
                <w:sz w:val="24"/>
              </w:rPr>
              <w:t>，</w:t>
            </w:r>
            <w:r>
              <w:rPr>
                <w:rFonts w:hint="eastAsia" w:eastAsia="仿宋" w:cs="Times New Roman"/>
                <w:color w:val="auto"/>
                <w:kern w:val="0"/>
                <w:sz w:val="24"/>
                <w:lang w:val="en-US" w:eastAsia="zh-CN"/>
              </w:rPr>
              <w:t>未列入</w:t>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lang w:val="en-US" w:eastAsia="zh-CN"/>
              </w:rPr>
              <w:t>外商投资准入特别管理措施（负面清单）（2024年版）》</w:t>
            </w:r>
            <w:r>
              <w:rPr>
                <w:rFonts w:hint="default" w:ascii="Times New Roman" w:hAnsi="Times New Roman" w:eastAsia="仿宋" w:cs="Times New Roman"/>
                <w:color w:val="auto"/>
                <w:kern w:val="0"/>
                <w:sz w:val="24"/>
              </w:rPr>
              <w:t>。</w:t>
            </w:r>
          </w:p>
          <w:p w14:paraId="259CD8B0">
            <w:pPr>
              <w:autoSpaceDE w:val="0"/>
              <w:autoSpaceDN w:val="0"/>
              <w:adjustRightInd w:val="0"/>
              <w:snapToGrid w:val="0"/>
              <w:spacing w:line="360" w:lineRule="auto"/>
              <w:ind w:firstLine="482" w:firstLineChars="200"/>
              <w:jc w:val="left"/>
              <w:rPr>
                <w:rFonts w:hint="default" w:ascii="Times New Roman" w:hAnsi="Times New Roman" w:eastAsia="仿宋" w:cs="Times New Roman"/>
                <w:b/>
                <w:bCs/>
                <w:color w:val="auto"/>
                <w:kern w:val="0"/>
                <w:sz w:val="24"/>
              </w:rPr>
            </w:pPr>
            <w:r>
              <w:rPr>
                <w:rFonts w:hint="default" w:ascii="Times New Roman" w:hAnsi="Times New Roman" w:eastAsia="仿宋" w:cs="Times New Roman"/>
                <w:b/>
                <w:bCs/>
                <w:color w:val="auto"/>
                <w:kern w:val="0"/>
                <w:sz w:val="24"/>
              </w:rPr>
              <w:t>③《市场准入负面清单》（202</w:t>
            </w:r>
            <w:r>
              <w:rPr>
                <w:rFonts w:hint="default" w:ascii="Times New Roman" w:hAnsi="Times New Roman" w:eastAsia="仿宋" w:cs="Times New Roman"/>
                <w:b/>
                <w:bCs/>
                <w:color w:val="auto"/>
                <w:kern w:val="0"/>
                <w:sz w:val="24"/>
                <w:lang w:val="en-US" w:eastAsia="zh-CN"/>
              </w:rPr>
              <w:t>5</w:t>
            </w:r>
            <w:r>
              <w:rPr>
                <w:rFonts w:hint="default" w:ascii="Times New Roman" w:hAnsi="Times New Roman" w:eastAsia="仿宋" w:cs="Times New Roman"/>
                <w:b/>
                <w:bCs/>
                <w:color w:val="auto"/>
                <w:kern w:val="0"/>
                <w:sz w:val="24"/>
              </w:rPr>
              <w:t>年版）</w:t>
            </w:r>
          </w:p>
          <w:p w14:paraId="7FBFAAEF">
            <w:pPr>
              <w:autoSpaceDE w:val="0"/>
              <w:autoSpaceDN w:val="0"/>
              <w:adjustRightInd w:val="0"/>
              <w:snapToGrid w:val="0"/>
              <w:spacing w:line="360" w:lineRule="auto"/>
              <w:ind w:firstLine="480" w:firstLineChars="200"/>
              <w:jc w:val="both"/>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lang w:val="en-US" w:eastAsia="zh-CN"/>
              </w:rPr>
              <w:t>本</w:t>
            </w:r>
            <w:r>
              <w:rPr>
                <w:rFonts w:hint="default" w:ascii="Times New Roman" w:hAnsi="Times New Roman" w:eastAsia="仿宋" w:cs="Times New Roman"/>
                <w:color w:val="auto"/>
                <w:kern w:val="0"/>
                <w:sz w:val="24"/>
              </w:rPr>
              <w:t>项目</w:t>
            </w:r>
            <w:r>
              <w:rPr>
                <w:rFonts w:hint="default" w:ascii="Times New Roman" w:hAnsi="Times New Roman" w:eastAsia="仿宋" w:cs="Times New Roman"/>
                <w:color w:val="auto"/>
                <w:kern w:val="0"/>
                <w:sz w:val="24"/>
                <w:lang w:val="en-US" w:eastAsia="zh-CN"/>
              </w:rPr>
              <w:t>为自有电子产品及生产配套需求提供实验及检测服务</w:t>
            </w:r>
            <w:r>
              <w:rPr>
                <w:rFonts w:hint="default" w:ascii="Times New Roman" w:hAnsi="Times New Roman" w:eastAsia="仿宋" w:cs="Times New Roman"/>
                <w:color w:val="auto"/>
                <w:kern w:val="0"/>
                <w:sz w:val="24"/>
              </w:rPr>
              <w:t>，不属于《市场准入负面清单》（202</w:t>
            </w:r>
            <w:r>
              <w:rPr>
                <w:rFonts w:hint="default" w:ascii="Times New Roman" w:hAnsi="Times New Roman" w:eastAsia="仿宋" w:cs="Times New Roman"/>
                <w:color w:val="auto"/>
                <w:kern w:val="0"/>
                <w:sz w:val="24"/>
                <w:lang w:val="en-US" w:eastAsia="zh-CN"/>
              </w:rPr>
              <w:t>5</w:t>
            </w:r>
            <w:r>
              <w:rPr>
                <w:rFonts w:hint="default" w:ascii="Times New Roman" w:hAnsi="Times New Roman" w:eastAsia="仿宋" w:cs="Times New Roman"/>
                <w:color w:val="auto"/>
                <w:kern w:val="0"/>
                <w:sz w:val="24"/>
              </w:rPr>
              <w:t>年版）中禁止准入类项目。</w:t>
            </w:r>
          </w:p>
          <w:p w14:paraId="689ADE57">
            <w:pPr>
              <w:autoSpaceDE w:val="0"/>
              <w:autoSpaceDN w:val="0"/>
              <w:adjustRightInd w:val="0"/>
              <w:snapToGrid w:val="0"/>
              <w:spacing w:line="360" w:lineRule="auto"/>
              <w:ind w:firstLine="482" w:firstLineChars="200"/>
              <w:jc w:val="left"/>
              <w:rPr>
                <w:rFonts w:hint="default" w:ascii="Times New Roman" w:hAnsi="Times New Roman" w:eastAsia="仿宋" w:cs="Times New Roman"/>
                <w:b/>
                <w:bCs/>
                <w:color w:val="auto"/>
                <w:kern w:val="0"/>
                <w:sz w:val="24"/>
                <w:highlight w:val="none"/>
              </w:rPr>
            </w:pPr>
            <w:r>
              <w:rPr>
                <w:rFonts w:hint="eastAsia" w:ascii="Times New Roman" w:hAnsi="Times New Roman" w:eastAsia="仿宋" w:cs="Times New Roman"/>
                <w:b/>
                <w:bCs/>
                <w:color w:val="auto"/>
                <w:kern w:val="0"/>
                <w:sz w:val="24"/>
                <w:highlight w:val="none"/>
              </w:rPr>
              <w:t>④</w:t>
            </w:r>
            <w:r>
              <w:rPr>
                <w:rFonts w:hint="eastAsia" w:ascii="仿宋" w:hAnsi="仿宋" w:eastAsia="仿宋"/>
                <w:b/>
                <w:bCs/>
                <w:color w:val="auto"/>
                <w:sz w:val="24"/>
                <w:highlight w:val="none"/>
              </w:rPr>
              <w:t>《江苏省“三线一单”生态环境分区管控方案》、《江苏省2023年度生态环境分区管控动态更新成果》</w:t>
            </w:r>
          </w:p>
          <w:p w14:paraId="2C591AEE">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highlight w:val="none"/>
              </w:rPr>
            </w:pPr>
            <w:r>
              <w:rPr>
                <w:rFonts w:hint="eastAsia" w:ascii="仿宋" w:hAnsi="仿宋" w:eastAsia="仿宋"/>
                <w:color w:val="auto"/>
                <w:kern w:val="0"/>
                <w:sz w:val="24"/>
                <w:highlight w:val="none"/>
              </w:rPr>
              <w:t>根据《江苏省“三线一单”生态环境分区管控方案》（苏政发</w:t>
            </w:r>
            <w:r>
              <w:rPr>
                <w:rFonts w:hint="eastAsia" w:ascii="仿宋" w:hAnsi="仿宋" w:eastAsia="仿宋"/>
                <w:color w:val="auto"/>
                <w:kern w:val="0"/>
                <w:sz w:val="24"/>
                <w:highlight w:val="none"/>
                <w:lang w:eastAsia="zh-CN"/>
              </w:rPr>
              <w:t>〔2020〕49号</w:t>
            </w:r>
            <w:r>
              <w:rPr>
                <w:rFonts w:hint="eastAsia" w:ascii="仿宋" w:hAnsi="仿宋" w:eastAsia="仿宋"/>
                <w:color w:val="auto"/>
                <w:kern w:val="0"/>
                <w:sz w:val="24"/>
                <w:highlight w:val="none"/>
              </w:rPr>
              <w:t>），本项目</w:t>
            </w:r>
            <w:r>
              <w:rPr>
                <w:rFonts w:hint="eastAsia" w:ascii="仿宋" w:hAnsi="仿宋" w:eastAsia="仿宋"/>
                <w:color w:val="auto"/>
                <w:kern w:val="0"/>
                <w:sz w:val="24"/>
                <w:highlight w:val="none"/>
                <w:lang w:val="en-US" w:eastAsia="zh-CN"/>
              </w:rPr>
              <w:t>所在地</w:t>
            </w:r>
            <w:r>
              <w:rPr>
                <w:rFonts w:hint="eastAsia" w:ascii="仿宋" w:hAnsi="仿宋" w:eastAsia="仿宋"/>
                <w:color w:val="auto"/>
                <w:kern w:val="0"/>
                <w:sz w:val="24"/>
                <w:highlight w:val="none"/>
              </w:rPr>
              <w:t>属于江苏省重点管控单元</w:t>
            </w:r>
            <w:r>
              <w:rPr>
                <w:rFonts w:hint="default" w:ascii="Times New Roman" w:hAnsi="Times New Roman" w:eastAsia="仿宋" w:cs="Times New Roman"/>
                <w:color w:val="auto"/>
                <w:kern w:val="0"/>
                <w:sz w:val="24"/>
                <w:highlight w:val="none"/>
                <w:lang w:val="en-US" w:eastAsia="zh-CN"/>
              </w:rPr>
              <w:t>。</w:t>
            </w:r>
            <w:r>
              <w:rPr>
                <w:rFonts w:hint="default" w:ascii="Times New Roman" w:hAnsi="Times New Roman" w:eastAsia="仿宋" w:cs="Times New Roman"/>
                <w:color w:val="auto"/>
                <w:kern w:val="0"/>
                <w:sz w:val="24"/>
                <w:highlight w:val="none"/>
              </w:rPr>
              <w:t>具体环境管控单元准入清单见下表。</w:t>
            </w:r>
          </w:p>
          <w:p w14:paraId="1003C56F">
            <w:pPr>
              <w:autoSpaceDE w:val="0"/>
              <w:autoSpaceDN w:val="0"/>
              <w:adjustRightInd w:val="0"/>
              <w:snapToGrid w:val="0"/>
              <w:jc w:val="center"/>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rPr>
              <w:t>表1-</w:t>
            </w:r>
            <w:r>
              <w:rPr>
                <w:rFonts w:hint="default" w:ascii="Times New Roman" w:hAnsi="Times New Roman" w:eastAsia="仿宋" w:cs="Times New Roman"/>
                <w:b/>
                <w:color w:val="auto"/>
                <w:kern w:val="0"/>
                <w:sz w:val="24"/>
                <w:highlight w:val="none"/>
                <w:lang w:val="en-US" w:eastAsia="zh-CN"/>
              </w:rPr>
              <w:t>5</w:t>
            </w:r>
            <w:r>
              <w:rPr>
                <w:rFonts w:hint="default" w:ascii="Times New Roman" w:hAnsi="Times New Roman" w:eastAsia="仿宋" w:cs="Times New Roman"/>
                <w:b/>
                <w:color w:val="auto"/>
                <w:kern w:val="0"/>
                <w:sz w:val="24"/>
                <w:highlight w:val="none"/>
              </w:rPr>
              <w:t xml:space="preserve">  </w:t>
            </w:r>
            <w:r>
              <w:rPr>
                <w:rFonts w:hint="default" w:ascii="Times New Roman" w:hAnsi="Times New Roman" w:eastAsia="仿宋" w:cs="Times New Roman"/>
                <w:b/>
                <w:color w:val="auto"/>
                <w:spacing w:val="-23"/>
                <w:kern w:val="0"/>
                <w:sz w:val="24"/>
                <w:highlight w:val="none"/>
              </w:rPr>
              <w:t>与《江苏省2023年度生态环境分区管控动态更新成果》相符性分析</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635"/>
              <w:gridCol w:w="2033"/>
            </w:tblGrid>
            <w:tr w14:paraId="01391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2F970C62">
                  <w:pPr>
                    <w:autoSpaceDE w:val="0"/>
                    <w:autoSpaceDN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管控</w:t>
                  </w:r>
                </w:p>
                <w:p w14:paraId="59505D99">
                  <w:pPr>
                    <w:autoSpaceDE w:val="0"/>
                    <w:autoSpaceDN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类别</w:t>
                  </w:r>
                </w:p>
              </w:tc>
              <w:tc>
                <w:tcPr>
                  <w:tcW w:w="3635" w:type="dxa"/>
                  <w:tcBorders>
                    <w:tl2br w:val="nil"/>
                    <w:tr2bl w:val="nil"/>
                  </w:tcBorders>
                  <w:vAlign w:val="center"/>
                </w:tcPr>
                <w:p w14:paraId="04F4E9BA">
                  <w:pPr>
                    <w:autoSpaceDE w:val="0"/>
                    <w:autoSpaceDN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重点管控要求</w:t>
                  </w:r>
                </w:p>
              </w:tc>
              <w:tc>
                <w:tcPr>
                  <w:tcW w:w="2033" w:type="dxa"/>
                  <w:tcBorders>
                    <w:tl2br w:val="nil"/>
                    <w:tr2bl w:val="nil"/>
                  </w:tcBorders>
                  <w:vAlign w:val="center"/>
                </w:tcPr>
                <w:p w14:paraId="3E0294DB">
                  <w:pPr>
                    <w:autoSpaceDE w:val="0"/>
                    <w:autoSpaceDN w:val="0"/>
                    <w:adjustRightInd w:val="0"/>
                    <w:snapToGrid w:val="0"/>
                    <w:spacing w:line="240" w:lineRule="auto"/>
                    <w:jc w:val="center"/>
                    <w:rPr>
                      <w:rFonts w:hint="default" w:ascii="Times New Roman" w:hAnsi="Times New Roman" w:eastAsia="仿宋" w:cs="Times New Roman"/>
                      <w:b/>
                      <w:bCs/>
                      <w:color w:val="auto"/>
                      <w:kern w:val="0"/>
                      <w:sz w:val="21"/>
                      <w:szCs w:val="21"/>
                      <w:highlight w:val="none"/>
                      <w:vertAlign w:val="baseline"/>
                      <w:lang w:val="en-US" w:eastAsia="zh-CN"/>
                    </w:rPr>
                  </w:pPr>
                  <w:r>
                    <w:rPr>
                      <w:rFonts w:hint="default" w:ascii="Times New Roman" w:hAnsi="Times New Roman" w:eastAsia="仿宋" w:cs="Times New Roman"/>
                      <w:b/>
                      <w:bCs/>
                      <w:color w:val="auto"/>
                      <w:kern w:val="0"/>
                      <w:sz w:val="21"/>
                      <w:szCs w:val="21"/>
                      <w:highlight w:val="none"/>
                      <w:vertAlign w:val="baseline"/>
                      <w:lang w:val="en-US" w:eastAsia="zh-CN"/>
                    </w:rPr>
                    <w:t>本项目情况</w:t>
                  </w:r>
                </w:p>
              </w:tc>
            </w:tr>
            <w:tr w14:paraId="4C938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86" w:type="dxa"/>
                  <w:gridSpan w:val="3"/>
                  <w:tcBorders>
                    <w:tl2br w:val="nil"/>
                    <w:tr2bl w:val="nil"/>
                  </w:tcBorders>
                </w:tcPr>
                <w:p w14:paraId="36682284">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eastAsia" w:eastAsia="仿宋" w:cs="Times New Roman"/>
                      <w:b w:val="0"/>
                      <w:bCs w:val="0"/>
                      <w:color w:val="auto"/>
                      <w:kern w:val="0"/>
                      <w:sz w:val="21"/>
                      <w:szCs w:val="21"/>
                      <w:highlight w:val="none"/>
                      <w:vertAlign w:val="baseline"/>
                      <w:lang w:val="en-US" w:eastAsia="zh-CN"/>
                    </w:rPr>
                    <w:t>一、长江流域</w:t>
                  </w:r>
                </w:p>
              </w:tc>
            </w:tr>
            <w:tr w14:paraId="5A4E7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01A5934B">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空间布局约束</w:t>
                  </w:r>
                </w:p>
              </w:tc>
              <w:tc>
                <w:tcPr>
                  <w:tcW w:w="3635" w:type="dxa"/>
                  <w:tcBorders>
                    <w:tl2br w:val="nil"/>
                    <w:tr2bl w:val="nil"/>
                  </w:tcBorders>
                </w:tcPr>
                <w:p w14:paraId="4B2F4AB1">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1.始终把长江生态修复放在首位，坚持共抓大保护、不搞大开发，引导长江流域产业转型升级和布局优化调整，实现科学发展、有序发展、高质量发展。</w:t>
                  </w:r>
                </w:p>
                <w:p w14:paraId="1C91FB7E">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541B4EBE">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3.禁止在沿江地区新建或扩建化学工业园区，禁止新建或扩建以大宗进口油气资源为原料的石油加工、石油化工</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基础有机无机化工、煤化工项目</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禁止在长江干流和主要支流岸线1公里范围内新建危化品码头。</w:t>
                  </w:r>
                </w:p>
                <w:p w14:paraId="0543D1F0">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4.强化港口布局优化，禁止建设不符合国家港口布局规划和《江苏省沿江沿海港口布局规划</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2015-2030年</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》《江苏省内河港口布局规划</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2017-2035年</w:t>
                  </w:r>
                  <w:r>
                    <w:rPr>
                      <w:rFonts w:hint="eastAsia" w:eastAsia="仿宋" w:cs="Times New Roman"/>
                      <w:b w:val="0"/>
                      <w:bCs w:val="0"/>
                      <w:color w:val="auto"/>
                      <w:kern w:val="0"/>
                      <w:sz w:val="21"/>
                      <w:szCs w:val="21"/>
                      <w:highlight w:val="none"/>
                      <w:vertAlign w:val="baseline"/>
                      <w:lang w:val="en-US" w:eastAsia="zh-CN"/>
                    </w:rPr>
                    <w:t>）</w:t>
                  </w:r>
                  <w:r>
                    <w:rPr>
                      <w:rFonts w:hint="default" w:ascii="Times New Roman" w:hAnsi="Times New Roman" w:eastAsia="仿宋" w:cs="Times New Roman"/>
                      <w:b w:val="0"/>
                      <w:bCs w:val="0"/>
                      <w:color w:val="auto"/>
                      <w:kern w:val="0"/>
                      <w:sz w:val="21"/>
                      <w:szCs w:val="21"/>
                      <w:highlight w:val="none"/>
                      <w:vertAlign w:val="baseline"/>
                      <w:lang w:val="en-US" w:eastAsia="zh-CN"/>
                    </w:rPr>
                    <w:t>》的码头项目，禁止建设未纳入《长江干线过江通道布局规划》的过江干线通道项目。</w:t>
                  </w:r>
                </w:p>
                <w:p w14:paraId="102B36C2">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5.禁止新建独立焦化项目。</w:t>
                  </w:r>
                </w:p>
              </w:tc>
              <w:tc>
                <w:tcPr>
                  <w:tcW w:w="2033" w:type="dxa"/>
                  <w:tcBorders>
                    <w:tl2br w:val="nil"/>
                    <w:tr2bl w:val="nil"/>
                  </w:tcBorders>
                </w:tcPr>
                <w:p w14:paraId="7EC931AD">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本项目位于江苏省常州市金坛区龙湖路86号，选址不在国家确定的生态保护红线和永久基本农田范围内；本项目为自有产品及生产配套需求提供实验及检测服务，不属于上述禁止建设的项目。</w:t>
                  </w:r>
                </w:p>
              </w:tc>
            </w:tr>
            <w:tr w14:paraId="58A87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7691622B">
                  <w:pPr>
                    <w:tabs>
                      <w:tab w:val="left" w:pos="1060"/>
                    </w:tabs>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污染物排放管控</w:t>
                  </w:r>
                </w:p>
              </w:tc>
              <w:tc>
                <w:tcPr>
                  <w:tcW w:w="3635" w:type="dxa"/>
                  <w:tcBorders>
                    <w:tl2br w:val="nil"/>
                    <w:tr2bl w:val="nil"/>
                  </w:tcBorders>
                </w:tcPr>
                <w:p w14:paraId="40FF843E">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1．根据《江苏省长江水污染防治条例》实施污染物总量控制制度。</w:t>
                  </w:r>
                </w:p>
                <w:p w14:paraId="1BE3FDD7">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2．全面加强和规范长江入河排污口管理，有效管控入河污染物排放，形成权责清晰、监控到位、管理规范的长江入河排污口监管体系，加快改善长江水环境质量。</w:t>
                  </w:r>
                </w:p>
              </w:tc>
              <w:tc>
                <w:tcPr>
                  <w:tcW w:w="2033" w:type="dxa"/>
                  <w:tcBorders>
                    <w:tl2br w:val="nil"/>
                    <w:tr2bl w:val="nil"/>
                  </w:tcBorders>
                </w:tcPr>
                <w:p w14:paraId="1CF67885">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本项目不新增生活污水，新增的制纯水弃水全部用于员工冲厕</w:t>
                  </w:r>
                  <w:r>
                    <w:rPr>
                      <w:rFonts w:hint="eastAsia" w:eastAsia="仿宋" w:cs="Times New Roman"/>
                      <w:b w:val="0"/>
                      <w:bCs w:val="0"/>
                      <w:color w:val="auto"/>
                      <w:kern w:val="0"/>
                      <w:sz w:val="21"/>
                      <w:szCs w:val="21"/>
                      <w:highlight w:val="none"/>
                      <w:vertAlign w:val="baseline"/>
                      <w:lang w:val="en-US" w:eastAsia="zh-CN"/>
                    </w:rPr>
                    <w:t>，不涉及长江入河排污口。</w:t>
                  </w:r>
                </w:p>
              </w:tc>
            </w:tr>
            <w:tr w14:paraId="1D528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7DCBA630">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环境风险防控</w:t>
                  </w:r>
                </w:p>
              </w:tc>
              <w:tc>
                <w:tcPr>
                  <w:tcW w:w="3635" w:type="dxa"/>
                  <w:tcBorders>
                    <w:tl2br w:val="nil"/>
                    <w:tr2bl w:val="nil"/>
                  </w:tcBorders>
                </w:tcPr>
                <w:p w14:paraId="509BBAD2">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1．防范沿江环境风险。深化沿江石化、化工、医药、纺织、印染、化纤、危化品和石油类仓储、涉重金属和危险废物处置等重点企业环境风险防控。</w:t>
                  </w:r>
                </w:p>
                <w:p w14:paraId="33BB8C5F">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2．加强饮用水水源保护。优化水源保护区划定，推动饮用水水源地规范化建设。</w:t>
                  </w:r>
                </w:p>
              </w:tc>
              <w:tc>
                <w:tcPr>
                  <w:tcW w:w="2033" w:type="dxa"/>
                  <w:tcBorders>
                    <w:tl2br w:val="nil"/>
                    <w:tr2bl w:val="nil"/>
                  </w:tcBorders>
                  <w:vAlign w:val="center"/>
                </w:tcPr>
                <w:p w14:paraId="72AF4A3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本项目为自有产品及生产配套需求提供实验及检测服务</w:t>
                  </w:r>
                  <w:r>
                    <w:rPr>
                      <w:rFonts w:hint="eastAsia" w:ascii="Times New Roman" w:hAnsi="Times New Roman" w:eastAsia="仿宋" w:cs="Times New Roman"/>
                      <w:b w:val="0"/>
                      <w:bCs w:val="0"/>
                      <w:color w:val="auto"/>
                      <w:kern w:val="0"/>
                      <w:sz w:val="21"/>
                      <w:szCs w:val="21"/>
                      <w:highlight w:val="none"/>
                      <w:vertAlign w:val="baseline"/>
                      <w:lang w:val="en-US" w:eastAsia="zh-CN"/>
                    </w:rPr>
                    <w:t>，不属于</w:t>
                  </w:r>
                  <w:r>
                    <w:rPr>
                      <w:rFonts w:hint="default" w:ascii="Times New Roman" w:hAnsi="Times New Roman" w:eastAsia="仿宋" w:cs="Times New Roman"/>
                      <w:b w:val="0"/>
                      <w:bCs w:val="0"/>
                      <w:color w:val="auto"/>
                      <w:kern w:val="0"/>
                      <w:sz w:val="21"/>
                      <w:szCs w:val="21"/>
                      <w:highlight w:val="none"/>
                      <w:vertAlign w:val="baseline"/>
                      <w:lang w:val="en-US" w:eastAsia="zh-CN"/>
                    </w:rPr>
                    <w:t>沿江石化、化工、医药、纺织、印染、化纤、危化品和石油类仓储、涉重金属和危险废物处置等重点企业</w:t>
                  </w:r>
                  <w:r>
                    <w:rPr>
                      <w:rFonts w:hint="eastAsia" w:ascii="Times New Roman" w:hAnsi="Times New Roman" w:eastAsia="仿宋" w:cs="Times New Roman"/>
                      <w:b w:val="0"/>
                      <w:bCs w:val="0"/>
                      <w:color w:val="auto"/>
                      <w:kern w:val="0"/>
                      <w:sz w:val="21"/>
                      <w:szCs w:val="21"/>
                      <w:highlight w:val="none"/>
                      <w:vertAlign w:val="baseline"/>
                      <w:lang w:val="en-US" w:eastAsia="zh-CN"/>
                    </w:rPr>
                    <w:t>。</w:t>
                  </w:r>
                </w:p>
              </w:tc>
            </w:tr>
            <w:tr w14:paraId="45BF2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108533CF">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资源利用效率要求</w:t>
                  </w:r>
                </w:p>
              </w:tc>
              <w:tc>
                <w:tcPr>
                  <w:tcW w:w="3635" w:type="dxa"/>
                  <w:tcBorders>
                    <w:tl2br w:val="nil"/>
                    <w:tr2bl w:val="nil"/>
                  </w:tcBorders>
                </w:tcPr>
                <w:p w14:paraId="21FDB23A">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033" w:type="dxa"/>
                  <w:tcBorders>
                    <w:tl2br w:val="nil"/>
                    <w:tr2bl w:val="nil"/>
                  </w:tcBorders>
                  <w:vAlign w:val="center"/>
                </w:tcPr>
                <w:p w14:paraId="491535C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本项目为自有产品及生产配套需求提供实验及检测服务</w:t>
                  </w:r>
                  <w:r>
                    <w:rPr>
                      <w:rFonts w:hint="eastAsia" w:ascii="Times New Roman" w:hAnsi="Times New Roman" w:eastAsia="仿宋" w:cs="Times New Roman"/>
                      <w:b w:val="0"/>
                      <w:bCs w:val="0"/>
                      <w:color w:val="auto"/>
                      <w:kern w:val="0"/>
                      <w:sz w:val="21"/>
                      <w:szCs w:val="21"/>
                      <w:highlight w:val="none"/>
                      <w:vertAlign w:val="baseline"/>
                      <w:lang w:val="en-US" w:eastAsia="zh-CN"/>
                    </w:rPr>
                    <w:t>，不属于</w:t>
                  </w:r>
                  <w:r>
                    <w:rPr>
                      <w:rFonts w:hint="default" w:ascii="Times New Roman" w:hAnsi="Times New Roman" w:eastAsia="仿宋" w:cs="Times New Roman"/>
                      <w:b w:val="0"/>
                      <w:bCs w:val="0"/>
                      <w:color w:val="auto"/>
                      <w:kern w:val="0"/>
                      <w:sz w:val="21"/>
                      <w:szCs w:val="21"/>
                      <w:highlight w:val="none"/>
                      <w:vertAlign w:val="baseline"/>
                      <w:lang w:val="en-US" w:eastAsia="zh-CN"/>
                    </w:rPr>
                    <w:t>化工项目和尾矿库项目。</w:t>
                  </w:r>
                </w:p>
              </w:tc>
            </w:tr>
            <w:tr w14:paraId="0E69B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86" w:type="dxa"/>
                  <w:gridSpan w:val="3"/>
                  <w:tcBorders>
                    <w:tl2br w:val="nil"/>
                    <w:tr2bl w:val="nil"/>
                  </w:tcBorders>
                </w:tcPr>
                <w:p w14:paraId="46842F5A">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二、太湖流域</w:t>
                  </w:r>
                </w:p>
              </w:tc>
            </w:tr>
            <w:tr w14:paraId="2ED3C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61F255F9">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空间布局约束</w:t>
                  </w:r>
                </w:p>
              </w:tc>
              <w:tc>
                <w:tcPr>
                  <w:tcW w:w="3635" w:type="dxa"/>
                  <w:tcBorders>
                    <w:tl2br w:val="nil"/>
                    <w:tr2bl w:val="nil"/>
                  </w:tcBorders>
                </w:tcPr>
                <w:p w14:paraId="7023B190">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5A0672AD">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2、在太湖流域一级保护区，禁止新建、扩建向水体排放污染物的建设项目，禁止新建、扩建畜禽养殖场，禁止新建、扩建高尔夫球场、水上游乐等开发项目以及设置水上餐饮经营设施。</w:t>
                  </w:r>
                </w:p>
                <w:p w14:paraId="1246C9D0">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3、在太湖流域二级保护区，禁止新建、扩建化工、医药生产项目，禁止新建、扩建污水集中处理设施排污口以外的排污口。</w:t>
                  </w:r>
                </w:p>
              </w:tc>
              <w:tc>
                <w:tcPr>
                  <w:tcW w:w="2033" w:type="dxa"/>
                  <w:tcBorders>
                    <w:tl2br w:val="nil"/>
                    <w:tr2bl w:val="nil"/>
                  </w:tcBorders>
                  <w:vAlign w:val="center"/>
                </w:tcPr>
                <w:p w14:paraId="2A5B1753">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4"/>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本项目位于太湖流域三级保护区内，为自有电子产品及生产配套需求提供实验及检测服务，不属于禁止建设的化学制浆造纸、制革、酿造、染料、印染、电镀等项目。</w:t>
                  </w:r>
                  <w:r>
                    <w:rPr>
                      <w:rFonts w:hint="default" w:ascii="Times New Roman" w:hAnsi="Times New Roman" w:eastAsia="仿宋" w:cs="Times New Roman"/>
                      <w:color w:val="auto"/>
                      <w:kern w:val="0"/>
                      <w:szCs w:val="21"/>
                      <w:highlight w:val="none"/>
                      <w:lang w:val="en-US" w:eastAsia="zh-CN"/>
                    </w:rPr>
                    <w:t>本项目不新增生活污水，新增的制纯水弃水全部用于员工冲厕</w:t>
                  </w:r>
                  <w:r>
                    <w:rPr>
                      <w:rFonts w:hint="default" w:ascii="Times New Roman" w:hAnsi="Times New Roman" w:eastAsia="仿宋" w:cs="Times New Roman"/>
                      <w:color w:val="auto"/>
                      <w:kern w:val="0"/>
                      <w:szCs w:val="21"/>
                      <w:highlight w:val="none"/>
                      <w:lang w:eastAsia="zh-CN"/>
                    </w:rPr>
                    <w:t>。</w:t>
                  </w:r>
                </w:p>
              </w:tc>
            </w:tr>
            <w:tr w14:paraId="22CD7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46FF790B">
                  <w:pPr>
                    <w:tabs>
                      <w:tab w:val="left" w:pos="1060"/>
                    </w:tabs>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污染物排放管控</w:t>
                  </w:r>
                </w:p>
              </w:tc>
              <w:tc>
                <w:tcPr>
                  <w:tcW w:w="3635" w:type="dxa"/>
                  <w:tcBorders>
                    <w:tl2br w:val="nil"/>
                    <w:tr2bl w:val="nil"/>
                  </w:tcBorders>
                  <w:vAlign w:val="center"/>
                </w:tcPr>
                <w:p w14:paraId="2E7AB364">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城镇污水处理厂、纺织工业、化学工业、造纸工业、钢铁工业、电镀工业和食品工业的污水处理设施执行《太湖地区城镇污水处理厂及重点工业行业主要水污染物排放限值》。</w:t>
                  </w:r>
                </w:p>
              </w:tc>
              <w:tc>
                <w:tcPr>
                  <w:tcW w:w="2033" w:type="dxa"/>
                  <w:tcBorders>
                    <w:tl2br w:val="nil"/>
                    <w:tr2bl w:val="nil"/>
                  </w:tcBorders>
                  <w:vAlign w:val="center"/>
                </w:tcPr>
                <w:p w14:paraId="0591FA80">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本项目不涉及</w:t>
                  </w:r>
                </w:p>
              </w:tc>
            </w:tr>
            <w:tr w14:paraId="2028E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681BF491">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环境风险防控</w:t>
                  </w:r>
                </w:p>
              </w:tc>
              <w:tc>
                <w:tcPr>
                  <w:tcW w:w="3635" w:type="dxa"/>
                  <w:tcBorders>
                    <w:tl2br w:val="nil"/>
                    <w:tr2bl w:val="nil"/>
                  </w:tcBorders>
                  <w:vAlign w:val="center"/>
                </w:tcPr>
                <w:p w14:paraId="1CEC0089">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1、运输剧毒物质、危险化学品的船舶不得进入太湖。</w:t>
                  </w:r>
                </w:p>
                <w:p w14:paraId="54D0F5B5">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2、禁止向太湖流域水体排放或者倾倒油类、酸液、碱液、剧毒废渣废液、含放射性废渣废液、含病原体污水、工业废渣以及其他废弃物。</w:t>
                  </w:r>
                </w:p>
                <w:p w14:paraId="144D1D69">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3、加强太湖流域生态环境风险应急管控，着力提高防控太湖蓝藻水华风险预警和应急处置能力。</w:t>
                  </w:r>
                </w:p>
              </w:tc>
              <w:tc>
                <w:tcPr>
                  <w:tcW w:w="2033" w:type="dxa"/>
                  <w:tcBorders>
                    <w:tl2br w:val="nil"/>
                    <w:tr2bl w:val="nil"/>
                  </w:tcBorders>
                  <w:vAlign w:val="center"/>
                </w:tcPr>
                <w:p w14:paraId="4932FBAF">
                  <w:pPr>
                    <w:autoSpaceDE w:val="0"/>
                    <w:autoSpaceDN w:val="0"/>
                    <w:adjustRightInd w:val="0"/>
                    <w:snapToGrid w:val="0"/>
                    <w:spacing w:line="240" w:lineRule="auto"/>
                    <w:jc w:val="center"/>
                    <w:rPr>
                      <w:rFonts w:hint="default" w:ascii="Times New Roman" w:hAnsi="Times New Roman" w:eastAsia="仿宋" w:cs="Times New Roman"/>
                      <w:b/>
                      <w:bCs/>
                      <w:color w:val="auto"/>
                      <w:kern w:val="0"/>
                      <w:sz w:val="24"/>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本项目不涉及船舶运输，各类危废委托有资质单位处置，并在项目投产前落实处置途径。</w:t>
                  </w:r>
                </w:p>
              </w:tc>
            </w:tr>
            <w:tr w14:paraId="2970D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8" w:type="dxa"/>
                  <w:tcBorders>
                    <w:tl2br w:val="nil"/>
                    <w:tr2bl w:val="nil"/>
                  </w:tcBorders>
                  <w:vAlign w:val="center"/>
                </w:tcPr>
                <w:p w14:paraId="7CC43B0A">
                  <w:pPr>
                    <w:autoSpaceDE w:val="0"/>
                    <w:autoSpaceDN w:val="0"/>
                    <w:adjustRightInd w:val="0"/>
                    <w:snapToGrid w:val="0"/>
                    <w:spacing w:line="240" w:lineRule="auto"/>
                    <w:jc w:val="center"/>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资源利用效率要求</w:t>
                  </w:r>
                </w:p>
              </w:tc>
              <w:tc>
                <w:tcPr>
                  <w:tcW w:w="3635" w:type="dxa"/>
                  <w:tcBorders>
                    <w:tl2br w:val="nil"/>
                    <w:tr2bl w:val="nil"/>
                  </w:tcBorders>
                  <w:vAlign w:val="center"/>
                </w:tcPr>
                <w:p w14:paraId="4D558410">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1、严格用水定额管理制度，推进取用水规范化管理，科学制定用水定额并动态调整，对超过用水定额标准的企业分类分步先期实施节水改造，鼓励重点用水企业、园区建立智慧用水管理系统。</w:t>
                  </w:r>
                </w:p>
                <w:p w14:paraId="382B691B">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default" w:ascii="Times New Roman" w:hAnsi="Times New Roman" w:eastAsia="仿宋" w:cs="Times New Roman"/>
                      <w:b w:val="0"/>
                      <w:bCs w:val="0"/>
                      <w:color w:val="auto"/>
                      <w:kern w:val="0"/>
                      <w:sz w:val="21"/>
                      <w:szCs w:val="21"/>
                      <w:highlight w:val="none"/>
                      <w:vertAlign w:val="baseline"/>
                      <w:lang w:val="en-US" w:eastAsia="zh-CN"/>
                    </w:rPr>
                    <w:t>2、推进新孟河、新沟河、望虞河、走马塘等河道联合调度，科学调控太湖水位。</w:t>
                  </w:r>
                </w:p>
              </w:tc>
              <w:tc>
                <w:tcPr>
                  <w:tcW w:w="2033" w:type="dxa"/>
                  <w:tcBorders>
                    <w:tl2br w:val="nil"/>
                    <w:tr2bl w:val="nil"/>
                  </w:tcBorders>
                  <w:vAlign w:val="center"/>
                </w:tcPr>
                <w:p w14:paraId="21515A3C">
                  <w:pPr>
                    <w:autoSpaceDE w:val="0"/>
                    <w:autoSpaceDN w:val="0"/>
                    <w:adjustRightInd w:val="0"/>
                    <w:snapToGrid w:val="0"/>
                    <w:spacing w:line="240" w:lineRule="auto"/>
                    <w:jc w:val="both"/>
                    <w:rPr>
                      <w:rFonts w:hint="default" w:ascii="Times New Roman" w:hAnsi="Times New Roman" w:eastAsia="仿宋" w:cs="Times New Roman"/>
                      <w:b w:val="0"/>
                      <w:bCs w:val="0"/>
                      <w:color w:val="auto"/>
                      <w:kern w:val="0"/>
                      <w:sz w:val="21"/>
                      <w:szCs w:val="21"/>
                      <w:highlight w:val="none"/>
                      <w:vertAlign w:val="baseline"/>
                      <w:lang w:val="en-US" w:eastAsia="zh-CN"/>
                    </w:rPr>
                  </w:pPr>
                  <w:r>
                    <w:rPr>
                      <w:rFonts w:hint="eastAsia" w:ascii="仿宋" w:hAnsi="仿宋" w:eastAsia="仿宋" w:cs="仿宋"/>
                      <w:color w:val="auto"/>
                      <w:szCs w:val="21"/>
                      <w:highlight w:val="none"/>
                      <w:lang w:val="en-US" w:eastAsia="zh-CN"/>
                    </w:rPr>
                    <w:t>本项目利用已建成的水资源供应系统，不涉及资源开发。</w:t>
                  </w:r>
                </w:p>
              </w:tc>
            </w:tr>
          </w:tbl>
          <w:p w14:paraId="427A694F">
            <w:pPr>
              <w:autoSpaceDE w:val="0"/>
              <w:autoSpaceDN w:val="0"/>
              <w:adjustRightInd w:val="0"/>
              <w:snapToGrid w:val="0"/>
              <w:spacing w:before="120" w:beforeLines="50" w:line="360" w:lineRule="auto"/>
              <w:ind w:firstLine="482" w:firstLineChars="200"/>
              <w:jc w:val="left"/>
              <w:rPr>
                <w:rFonts w:hint="eastAsia" w:ascii="仿宋" w:hAnsi="仿宋" w:eastAsia="仿宋"/>
                <w:color w:val="auto"/>
                <w:kern w:val="0"/>
                <w:sz w:val="24"/>
                <w:highlight w:val="none"/>
              </w:rPr>
            </w:pPr>
            <w:r>
              <w:rPr>
                <w:rFonts w:hint="default" w:ascii="Times New Roman" w:hAnsi="Times New Roman" w:eastAsia="仿宋" w:cs="Times New Roman"/>
                <w:b/>
                <w:bCs/>
                <w:color w:val="auto"/>
                <w:kern w:val="0"/>
                <w:sz w:val="24"/>
              </w:rPr>
              <w:t>④</w:t>
            </w:r>
            <w:r>
              <w:rPr>
                <w:rFonts w:ascii="仿宋" w:hAnsi="仿宋" w:eastAsia="仿宋"/>
                <w:b/>
                <w:bCs/>
                <w:color w:val="auto"/>
                <w:sz w:val="24"/>
                <w:highlight w:val="none"/>
              </w:rPr>
              <w:t>《常州市</w:t>
            </w:r>
            <w:r>
              <w:rPr>
                <w:rFonts w:ascii="仿宋" w:hAnsi="仿宋" w:eastAsia="仿宋"/>
                <w:b/>
                <w:color w:val="auto"/>
                <w:kern w:val="0"/>
                <w:sz w:val="24"/>
                <w:highlight w:val="none"/>
              </w:rPr>
              <w:t>“三线一单”生态环境分区管控实施方案》</w:t>
            </w:r>
            <w:r>
              <w:rPr>
                <w:rFonts w:hint="eastAsia" w:ascii="仿宋" w:hAnsi="仿宋" w:eastAsia="仿宋"/>
                <w:b/>
                <w:color w:val="auto"/>
                <w:kern w:val="0"/>
                <w:sz w:val="24"/>
                <w:highlight w:val="none"/>
              </w:rPr>
              <w:t>、《常州市生态环境分区管控动态更新成果》（2023年版）</w:t>
            </w:r>
          </w:p>
          <w:p w14:paraId="2569AFB9">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仿宋" w:cs="Times New Roman"/>
                <w:color w:val="auto"/>
                <w:sz w:val="24"/>
                <w:highlight w:val="none"/>
                <w:lang w:eastAsia="zh-CN"/>
              </w:rPr>
            </w:pPr>
            <w:r>
              <w:rPr>
                <w:rFonts w:hint="eastAsia" w:ascii="仿宋" w:hAnsi="仿宋" w:eastAsia="仿宋"/>
                <w:color w:val="auto"/>
                <w:sz w:val="24"/>
                <w:highlight w:val="none"/>
                <w:lang w:val="en-US" w:eastAsia="zh-CN"/>
              </w:rPr>
              <w:t>本项目</w:t>
            </w:r>
            <w:r>
              <w:rPr>
                <w:rFonts w:hint="default" w:ascii="Times New Roman" w:hAnsi="Times New Roman" w:eastAsia="仿宋" w:cs="Times New Roman"/>
                <w:color w:val="auto"/>
                <w:kern w:val="0"/>
                <w:sz w:val="24"/>
              </w:rPr>
              <w:t>位于</w:t>
            </w:r>
            <w:r>
              <w:rPr>
                <w:rFonts w:hint="eastAsia" w:ascii="Times New Roman" w:hAnsi="Times New Roman" w:eastAsia="仿宋" w:cs="Times New Roman"/>
                <w:color w:val="auto"/>
                <w:kern w:val="0"/>
                <w:sz w:val="24"/>
                <w:lang w:val="en-US" w:eastAsia="zh-CN"/>
              </w:rPr>
              <w:t>江苏省常州市金坛区龙湖路86号，位于</w:t>
            </w:r>
            <w:r>
              <w:rPr>
                <w:rFonts w:hint="default" w:ascii="Times New Roman" w:hAnsi="Times New Roman" w:eastAsia="仿宋" w:cs="Times New Roman"/>
                <w:color w:val="auto"/>
                <w:kern w:val="0"/>
                <w:sz w:val="24"/>
              </w:rPr>
              <w:t>江苏省金坛经济开发区</w:t>
            </w:r>
            <w:r>
              <w:rPr>
                <w:rFonts w:hint="eastAsia" w:ascii="Times New Roman" w:hAnsi="Times New Roman" w:eastAsia="仿宋" w:cs="Times New Roman"/>
                <w:color w:val="auto"/>
                <w:kern w:val="0"/>
                <w:sz w:val="24"/>
                <w:lang w:val="en-US" w:eastAsia="zh-CN"/>
              </w:rPr>
              <w:t>范围</w:t>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highlight w:val="none"/>
              </w:rPr>
              <w:t>根据《常州市“三线一单”生态环境分区管控实施方案》（常环〔2020〕95号）以及《常州市生态环境分区管控动态更新成果》（2023年版），该区域属于重点管控区</w:t>
            </w:r>
            <w:r>
              <w:rPr>
                <w:rFonts w:hint="default" w:ascii="Times New Roman" w:hAnsi="Times New Roman" w:eastAsia="仿宋" w:cs="Times New Roman"/>
                <w:color w:val="auto"/>
                <w:sz w:val="24"/>
                <w:highlight w:val="none"/>
              </w:rPr>
              <w:t>，具体环境管控单元准入清单见下表</w:t>
            </w:r>
            <w:r>
              <w:rPr>
                <w:rFonts w:hint="eastAsia" w:ascii="Times New Roman" w:hAnsi="Times New Roman" w:eastAsia="仿宋" w:cs="Times New Roman"/>
                <w:color w:val="auto"/>
                <w:sz w:val="24"/>
                <w:highlight w:val="none"/>
                <w:lang w:eastAsia="zh-CN"/>
              </w:rPr>
              <w:t>。</w:t>
            </w:r>
          </w:p>
          <w:p w14:paraId="09909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b/>
                <w:color w:val="auto"/>
                <w:sz w:val="24"/>
                <w:highlight w:val="none"/>
              </w:rPr>
            </w:pPr>
            <w:r>
              <w:rPr>
                <w:rFonts w:ascii="仿宋" w:hAnsi="仿宋" w:eastAsia="仿宋"/>
                <w:b/>
                <w:color w:val="auto"/>
                <w:sz w:val="24"/>
                <w:highlight w:val="none"/>
              </w:rPr>
              <w:t>表1-</w:t>
            </w:r>
            <w:r>
              <w:rPr>
                <w:rFonts w:hint="eastAsia" w:ascii="仿宋" w:hAnsi="仿宋" w:eastAsia="仿宋"/>
                <w:b/>
                <w:color w:val="auto"/>
                <w:sz w:val="24"/>
                <w:highlight w:val="none"/>
                <w:lang w:val="en-US" w:eastAsia="zh-CN"/>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与常州市生态环境管控</w:t>
            </w:r>
            <w:r>
              <w:rPr>
                <w:rFonts w:hint="eastAsia" w:ascii="仿宋" w:hAnsi="仿宋" w:eastAsia="仿宋"/>
                <w:b/>
                <w:color w:val="auto"/>
                <w:sz w:val="24"/>
                <w:highlight w:val="none"/>
                <w:lang w:val="en-US" w:eastAsia="zh-CN"/>
              </w:rPr>
              <w:t>总体</w:t>
            </w:r>
            <w:r>
              <w:rPr>
                <w:rFonts w:hint="eastAsia" w:ascii="仿宋" w:hAnsi="仿宋" w:eastAsia="仿宋"/>
                <w:b/>
                <w:color w:val="auto"/>
                <w:sz w:val="24"/>
                <w:highlight w:val="none"/>
              </w:rPr>
              <w:t>要求对照分析</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60"/>
              <w:gridCol w:w="3062"/>
              <w:gridCol w:w="2323"/>
              <w:gridCol w:w="645"/>
            </w:tblGrid>
            <w:tr w14:paraId="79E48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5FB0B4E1">
                  <w:pPr>
                    <w:adjustRightInd w:val="0"/>
                    <w:snapToGrid w:val="0"/>
                    <w:jc w:val="center"/>
                    <w:rPr>
                      <w:rFonts w:hint="eastAsia" w:ascii="仿宋" w:hAnsi="仿宋" w:eastAsia="仿宋"/>
                      <w:b/>
                      <w:color w:val="auto"/>
                      <w:szCs w:val="21"/>
                      <w:highlight w:val="none"/>
                      <w:lang w:eastAsia="zh-CN"/>
                    </w:rPr>
                  </w:pPr>
                  <w:r>
                    <w:rPr>
                      <w:rFonts w:hint="eastAsia" w:ascii="仿宋" w:hAnsi="仿宋" w:eastAsia="仿宋"/>
                      <w:b/>
                      <w:color w:val="auto"/>
                      <w:szCs w:val="21"/>
                      <w:highlight w:val="none"/>
                      <w:lang w:val="en-US" w:eastAsia="zh-CN"/>
                    </w:rPr>
                    <w:t>管控类别</w:t>
                  </w:r>
                </w:p>
              </w:tc>
              <w:tc>
                <w:tcPr>
                  <w:tcW w:w="2288" w:type="pct"/>
                  <w:noWrap w:val="0"/>
                  <w:vAlign w:val="center"/>
                </w:tcPr>
                <w:p w14:paraId="491CE14F">
                  <w:pPr>
                    <w:adjustRightInd w:val="0"/>
                    <w:snapToGrid w:val="0"/>
                    <w:jc w:val="center"/>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重点管控要求</w:t>
                  </w:r>
                </w:p>
              </w:tc>
              <w:tc>
                <w:tcPr>
                  <w:tcW w:w="1736" w:type="pct"/>
                  <w:noWrap w:val="0"/>
                  <w:vAlign w:val="center"/>
                </w:tcPr>
                <w:p w14:paraId="1851F59E">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对照分析</w:t>
                  </w:r>
                </w:p>
              </w:tc>
              <w:tc>
                <w:tcPr>
                  <w:tcW w:w="482" w:type="pct"/>
                  <w:noWrap w:val="0"/>
                  <w:vAlign w:val="center"/>
                </w:tcPr>
                <w:p w14:paraId="696B00A3">
                  <w:pPr>
                    <w:adjustRightInd w:val="0"/>
                    <w:snapToGrid w:val="0"/>
                    <w:jc w:val="center"/>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lang w:val="en-US" w:eastAsia="zh-CN"/>
                    </w:rPr>
                    <w:t>相符性分析</w:t>
                  </w:r>
                </w:p>
              </w:tc>
            </w:tr>
            <w:tr w14:paraId="0FF82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5D3349CE">
                  <w:pPr>
                    <w:adjustRightInd w:val="0"/>
                    <w:snapToGrid w:val="0"/>
                    <w:jc w:val="center"/>
                    <w:rPr>
                      <w:rFonts w:hint="eastAsia" w:ascii="仿宋" w:hAnsi="仿宋" w:eastAsia="仿宋"/>
                      <w:b/>
                      <w:color w:val="auto"/>
                      <w:szCs w:val="21"/>
                      <w:highlight w:val="none"/>
                      <w:lang w:val="en-US" w:eastAsia="zh-CN"/>
                    </w:rPr>
                  </w:pPr>
                  <w:r>
                    <w:rPr>
                      <w:rFonts w:ascii="仿宋" w:hAnsi="仿宋" w:eastAsia="仿宋"/>
                      <w:color w:val="auto"/>
                      <w:szCs w:val="21"/>
                      <w:highlight w:val="none"/>
                    </w:rPr>
                    <w:t>空间布局约束</w:t>
                  </w:r>
                </w:p>
              </w:tc>
              <w:tc>
                <w:tcPr>
                  <w:tcW w:w="2288" w:type="pct"/>
                  <w:noWrap w:val="0"/>
                  <w:vAlign w:val="center"/>
                </w:tcPr>
                <w:p w14:paraId="6650E17F">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（1）严格执行《江苏省“三线一单”生态环境分区管控方案》（苏政发〔2020〕49号）附件3江苏省省域生态环境管控要求中“空间布局约束”的相关要求。</w:t>
                  </w:r>
                </w:p>
                <w:p w14:paraId="1D507A6A">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（2）严格执行《关于印发各设区市2023年深入打好污染防治攻坚战目标任务书的通知》（苏污防攻坚指办〔2023〕53号）《2023年常州市生态文明建设工作方案》（常政发〔2023〕23号）等文件要求。</w:t>
                  </w:r>
                </w:p>
                <w:p w14:paraId="2132C73E">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2D1409FA">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736" w:type="pct"/>
                  <w:noWrap w:val="0"/>
                  <w:vAlign w:val="center"/>
                </w:tcPr>
                <w:p w14:paraId="4225DE2F">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lang w:val="en-US" w:eastAsia="zh-CN"/>
                    </w:rPr>
                    <w:t>1</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lang w:val="en-US" w:eastAsia="zh-CN"/>
                    </w:rPr>
                    <w:t>本项目位于江苏省常州市金坛区龙湖路86号</w:t>
                  </w:r>
                  <w:r>
                    <w:rPr>
                      <w:rFonts w:hint="eastAsia" w:ascii="仿宋" w:hAnsi="仿宋" w:eastAsia="仿宋"/>
                      <w:b w:val="0"/>
                      <w:bCs/>
                      <w:color w:val="auto"/>
                      <w:szCs w:val="21"/>
                      <w:highlight w:val="none"/>
                    </w:rPr>
                    <w:t>，距离最近的生态空间管控区钱资荡重要湿地距离为</w:t>
                  </w:r>
                  <w:r>
                    <w:rPr>
                      <w:rFonts w:hint="eastAsia" w:ascii="仿宋" w:hAnsi="仿宋" w:eastAsia="仿宋"/>
                      <w:b w:val="0"/>
                      <w:bCs/>
                      <w:color w:val="auto"/>
                      <w:szCs w:val="21"/>
                      <w:highlight w:val="none"/>
                      <w:lang w:val="en-US" w:eastAsia="zh-CN"/>
                    </w:rPr>
                    <w:t>5.2</w:t>
                  </w:r>
                  <w:r>
                    <w:rPr>
                      <w:rFonts w:hint="eastAsia" w:ascii="仿宋" w:hAnsi="仿宋" w:eastAsia="仿宋"/>
                      <w:b w:val="0"/>
                      <w:bCs/>
                      <w:color w:val="auto"/>
                      <w:szCs w:val="21"/>
                      <w:highlight w:val="none"/>
                    </w:rPr>
                    <w:t>km，符合《江苏省生态空间管控区域规划》中“空间布局约束”要求。</w:t>
                  </w:r>
                </w:p>
                <w:p w14:paraId="7D94A0AA">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rPr>
                    <w:t>（2）本项目建设严格执行《关于印发各设区市2023年深入打好污染防治攻坚战目标任务书的通知》（苏污防攻坚指办</w:t>
                  </w:r>
                  <w:r>
                    <w:rPr>
                      <w:rFonts w:hint="eastAsia" w:ascii="仿宋" w:hAnsi="仿宋" w:eastAsia="仿宋"/>
                      <w:b w:val="0"/>
                      <w:bCs/>
                      <w:color w:val="auto"/>
                      <w:szCs w:val="21"/>
                      <w:highlight w:val="none"/>
                      <w:lang w:eastAsia="zh-CN"/>
                    </w:rPr>
                    <w:t>〔2023〕53号</w:t>
                  </w:r>
                  <w:r>
                    <w:rPr>
                      <w:rFonts w:hint="eastAsia" w:ascii="仿宋" w:hAnsi="仿宋" w:eastAsia="仿宋"/>
                      <w:b w:val="0"/>
                      <w:bCs/>
                      <w:color w:val="auto"/>
                      <w:szCs w:val="21"/>
                      <w:highlight w:val="none"/>
                    </w:rPr>
                    <w:t>）《2023年常州市生态文明建设工作方案》（常政发</w:t>
                  </w:r>
                  <w:r>
                    <w:rPr>
                      <w:rFonts w:hint="eastAsia" w:ascii="仿宋" w:hAnsi="仿宋" w:eastAsia="仿宋"/>
                      <w:b w:val="0"/>
                      <w:bCs/>
                      <w:color w:val="auto"/>
                      <w:szCs w:val="21"/>
                      <w:highlight w:val="none"/>
                      <w:lang w:eastAsia="zh-CN"/>
                    </w:rPr>
                    <w:t>〔2023〕</w:t>
                  </w:r>
                  <w:r>
                    <w:rPr>
                      <w:rFonts w:hint="eastAsia" w:ascii="仿宋" w:hAnsi="仿宋" w:eastAsia="仿宋"/>
                      <w:b w:val="0"/>
                      <w:bCs/>
                      <w:color w:val="auto"/>
                      <w:szCs w:val="21"/>
                      <w:highlight w:val="none"/>
                    </w:rPr>
                    <w:t>23号）等文件要求。</w:t>
                  </w:r>
                </w:p>
                <w:p w14:paraId="563D6619">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rPr>
                    <w:t>（3）</w:t>
                  </w:r>
                  <w:r>
                    <w:rPr>
                      <w:rFonts w:hint="default" w:ascii="Times New Roman" w:hAnsi="Times New Roman" w:eastAsia="仿宋" w:cs="Times New Roman"/>
                      <w:color w:val="auto"/>
                      <w:sz w:val="21"/>
                      <w:szCs w:val="21"/>
                      <w:lang w:val="en-US" w:eastAsia="zh-CN"/>
                    </w:rPr>
                    <w:t>本</w:t>
                  </w:r>
                  <w:r>
                    <w:rPr>
                      <w:rFonts w:hint="default" w:ascii="Times New Roman" w:hAnsi="Times New Roman" w:eastAsia="仿宋" w:cs="Times New Roman"/>
                      <w:color w:val="auto"/>
                      <w:sz w:val="21"/>
                      <w:szCs w:val="21"/>
                    </w:rPr>
                    <w:t>项目</w:t>
                  </w:r>
                  <w:r>
                    <w:rPr>
                      <w:rFonts w:hint="default" w:ascii="Times New Roman" w:hAnsi="Times New Roman" w:eastAsia="仿宋" w:cs="Times New Roman"/>
                      <w:color w:val="auto"/>
                      <w:sz w:val="21"/>
                      <w:szCs w:val="21"/>
                      <w:lang w:val="en-US" w:eastAsia="zh-CN"/>
                    </w:rPr>
                    <w:t>为自有电子产品及生产配套需求提供实验及检测服务</w:t>
                  </w:r>
                  <w:r>
                    <w:rPr>
                      <w:rFonts w:hint="eastAsia" w:ascii="仿宋" w:hAnsi="仿宋" w:eastAsia="仿宋"/>
                      <w:b w:val="0"/>
                      <w:bCs/>
                      <w:color w:val="auto"/>
                      <w:szCs w:val="21"/>
                      <w:highlight w:val="none"/>
                    </w:rPr>
                    <w:t>，不属于《产业结构调整指导目录（2024年本）</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rPr>
                    <w:t>江苏省产业结构调整限制、淘汰和禁止目录》</w:t>
                  </w:r>
                  <w:r>
                    <w:rPr>
                      <w:rFonts w:hint="eastAsia" w:ascii="仿宋" w:hAnsi="仿宋" w:eastAsia="仿宋"/>
                      <w:b w:val="0"/>
                      <w:bCs/>
                      <w:color w:val="auto"/>
                      <w:szCs w:val="21"/>
                      <w:highlight w:val="none"/>
                      <w:lang w:val="en-US" w:eastAsia="zh-CN"/>
                    </w:rPr>
                    <w:t>限制、</w:t>
                  </w:r>
                  <w:r>
                    <w:rPr>
                      <w:rFonts w:hint="eastAsia" w:ascii="仿宋" w:hAnsi="仿宋" w:eastAsia="仿宋"/>
                      <w:b w:val="0"/>
                      <w:bCs/>
                      <w:color w:val="auto"/>
                      <w:szCs w:val="21"/>
                      <w:highlight w:val="none"/>
                    </w:rPr>
                    <w:t>淘汰、禁止类的产业</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lang w:val="en-US" w:eastAsia="zh-CN"/>
                    </w:rPr>
                    <w:t>未列入</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lang w:val="en-US" w:eastAsia="zh-CN"/>
                    </w:rPr>
                    <w:t>外商投资准入特别管理措施（负面清单）（2024年版）》</w:t>
                  </w:r>
                  <w:r>
                    <w:rPr>
                      <w:rFonts w:hint="eastAsia" w:ascii="仿宋" w:hAnsi="仿宋" w:eastAsia="仿宋"/>
                      <w:b w:val="0"/>
                      <w:bCs/>
                      <w:color w:val="auto"/>
                      <w:szCs w:val="21"/>
                      <w:highlight w:val="none"/>
                    </w:rPr>
                    <w:t>。</w:t>
                  </w:r>
                </w:p>
                <w:p w14:paraId="085A416F">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rPr>
                    <w:t>（4）本项目不在长江干流岸线三公里范围内，不属于高污染项目；不属于《长江经济带发展负面清单指南</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rPr>
                    <w:t>试行，2022年版</w:t>
                  </w:r>
                  <w:r>
                    <w:rPr>
                      <w:rFonts w:hint="eastAsia" w:ascii="仿宋" w:hAnsi="仿宋" w:eastAsia="仿宋"/>
                      <w:b w:val="0"/>
                      <w:bCs/>
                      <w:color w:val="auto"/>
                      <w:szCs w:val="21"/>
                      <w:highlight w:val="none"/>
                      <w:lang w:eastAsia="zh-CN"/>
                    </w:rPr>
                    <w:t>）</w:t>
                  </w:r>
                  <w:r>
                    <w:rPr>
                      <w:rFonts w:hint="eastAsia" w:ascii="仿宋" w:hAnsi="仿宋" w:eastAsia="仿宋"/>
                      <w:b w:val="0"/>
                      <w:bCs/>
                      <w:color w:val="auto"/>
                      <w:szCs w:val="21"/>
                      <w:highlight w:val="none"/>
                    </w:rPr>
                    <w:t>》江苏省实施细则及《江苏省太湖水污染防治条例》中禁止类项目。</w:t>
                  </w:r>
                </w:p>
              </w:tc>
              <w:tc>
                <w:tcPr>
                  <w:tcW w:w="482" w:type="pct"/>
                  <w:noWrap w:val="0"/>
                  <w:vAlign w:val="center"/>
                </w:tcPr>
                <w:p w14:paraId="7ADC8082">
                  <w:pPr>
                    <w:adjustRightInd w:val="0"/>
                    <w:snapToGrid w:val="0"/>
                    <w:jc w:val="center"/>
                    <w:rPr>
                      <w:rFonts w:hint="default"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相符</w:t>
                  </w:r>
                </w:p>
              </w:tc>
            </w:tr>
            <w:tr w14:paraId="123E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1D0B9BA4">
                  <w:pPr>
                    <w:adjustRightInd w:val="0"/>
                    <w:snapToGrid w:val="0"/>
                    <w:jc w:val="center"/>
                    <w:rPr>
                      <w:rFonts w:ascii="仿宋" w:hAnsi="仿宋" w:eastAsia="仿宋" w:cs="Times New Roman"/>
                      <w:color w:val="auto"/>
                      <w:szCs w:val="21"/>
                      <w:highlight w:val="none"/>
                    </w:rPr>
                  </w:pPr>
                  <w:r>
                    <w:rPr>
                      <w:rFonts w:ascii="仿宋" w:hAnsi="仿宋" w:eastAsia="仿宋" w:cs="Times New Roman"/>
                      <w:color w:val="auto"/>
                      <w:szCs w:val="21"/>
                      <w:highlight w:val="none"/>
                    </w:rPr>
                    <w:t>污染物排放管控</w:t>
                  </w:r>
                </w:p>
              </w:tc>
              <w:tc>
                <w:tcPr>
                  <w:tcW w:w="2288" w:type="pct"/>
                  <w:noWrap w:val="0"/>
                  <w:vAlign w:val="center"/>
                </w:tcPr>
                <w:p w14:paraId="13E64B35">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（1）坚持生态环境质量只能更好、不能变坏，实施污染物总量控制，以环境容量定产业、定项目、定规模，确保开发建设行为不突破生态环境承载力。</w:t>
                  </w:r>
                </w:p>
                <w:p w14:paraId="2BC2C8F9">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736" w:type="pct"/>
                  <w:noWrap w:val="0"/>
                  <w:vAlign w:val="center"/>
                </w:tcPr>
                <w:p w14:paraId="66353689">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rPr>
                    <w:t>本项目类型及其选址、布局、规模等符合环境保护法律法规和相关法定规划，</w:t>
                  </w:r>
                  <w:r>
                    <w:rPr>
                      <w:rFonts w:hint="eastAsia" w:ascii="仿宋" w:hAnsi="仿宋" w:eastAsia="仿宋"/>
                      <w:b w:val="0"/>
                      <w:bCs/>
                      <w:color w:val="auto"/>
                      <w:szCs w:val="21"/>
                      <w:highlight w:val="none"/>
                      <w:lang w:val="en-US" w:eastAsia="zh-CN"/>
                    </w:rPr>
                    <w:t>项目不新增生活污水，</w:t>
                  </w:r>
                  <w:r>
                    <w:rPr>
                      <w:rFonts w:hint="default" w:ascii="Times New Roman" w:hAnsi="Times New Roman" w:eastAsia="仿宋" w:cs="Times New Roman"/>
                      <w:b w:val="0"/>
                      <w:bCs w:val="0"/>
                      <w:color w:val="auto"/>
                      <w:kern w:val="0"/>
                      <w:sz w:val="21"/>
                      <w:szCs w:val="21"/>
                      <w:highlight w:val="none"/>
                      <w:vertAlign w:val="baseline"/>
                      <w:lang w:val="en-US" w:eastAsia="zh-CN"/>
                    </w:rPr>
                    <w:t>新增的制纯水弃水全部用于员工冲厕</w:t>
                  </w:r>
                  <w:r>
                    <w:rPr>
                      <w:rFonts w:hint="eastAsia" w:ascii="仿宋" w:hAnsi="仿宋" w:eastAsia="仿宋"/>
                      <w:b w:val="0"/>
                      <w:bCs/>
                      <w:color w:val="auto"/>
                      <w:szCs w:val="21"/>
                      <w:highlight w:val="none"/>
                    </w:rPr>
                    <w:t>，建设行为不会突破生态环境承载力。</w:t>
                  </w:r>
                </w:p>
              </w:tc>
              <w:tc>
                <w:tcPr>
                  <w:tcW w:w="482" w:type="pct"/>
                  <w:noWrap w:val="0"/>
                  <w:vAlign w:val="center"/>
                </w:tcPr>
                <w:p w14:paraId="60DC7684">
                  <w:pPr>
                    <w:adjustRightInd w:val="0"/>
                    <w:snapToGrid w:val="0"/>
                    <w:jc w:val="center"/>
                    <w:rPr>
                      <w:rFonts w:hint="eastAsia"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相符</w:t>
                  </w:r>
                </w:p>
              </w:tc>
            </w:tr>
            <w:tr w14:paraId="6E05F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1D933946">
                  <w:pPr>
                    <w:adjustRightInd w:val="0"/>
                    <w:snapToGrid w:val="0"/>
                    <w:jc w:val="center"/>
                    <w:rPr>
                      <w:rFonts w:ascii="仿宋" w:hAnsi="仿宋" w:eastAsia="仿宋" w:cs="Times New Roman"/>
                      <w:color w:val="auto"/>
                      <w:szCs w:val="21"/>
                      <w:highlight w:val="none"/>
                    </w:rPr>
                  </w:pPr>
                  <w:r>
                    <w:rPr>
                      <w:rFonts w:ascii="仿宋" w:hAnsi="仿宋" w:eastAsia="仿宋" w:cs="Times New Roman"/>
                      <w:color w:val="auto"/>
                      <w:szCs w:val="21"/>
                      <w:highlight w:val="none"/>
                    </w:rPr>
                    <w:t>环境风险</w:t>
                  </w:r>
                </w:p>
                <w:p w14:paraId="243695CC">
                  <w:pPr>
                    <w:adjustRightInd w:val="0"/>
                    <w:snapToGrid w:val="0"/>
                    <w:jc w:val="center"/>
                    <w:rPr>
                      <w:rFonts w:ascii="仿宋" w:hAnsi="仿宋" w:eastAsia="仿宋" w:cs="Times New Roman"/>
                      <w:color w:val="auto"/>
                      <w:szCs w:val="21"/>
                      <w:highlight w:val="none"/>
                    </w:rPr>
                  </w:pPr>
                  <w:r>
                    <w:rPr>
                      <w:rFonts w:ascii="仿宋" w:hAnsi="仿宋" w:eastAsia="仿宋" w:cs="Times New Roman"/>
                      <w:color w:val="auto"/>
                      <w:szCs w:val="21"/>
                      <w:highlight w:val="none"/>
                    </w:rPr>
                    <w:t>防控</w:t>
                  </w:r>
                </w:p>
              </w:tc>
              <w:tc>
                <w:tcPr>
                  <w:tcW w:w="2288" w:type="pct"/>
                  <w:noWrap w:val="0"/>
                  <w:vAlign w:val="center"/>
                </w:tcPr>
                <w:p w14:paraId="6EDF1936">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1）严格执行《江苏省“三线一单”生态环境分区管控方案》（苏政发〔2020〕49号）附件3江苏省省域生态环境管控要求中“环境风险防控”的相关要求。</w:t>
                  </w:r>
                </w:p>
                <w:p w14:paraId="59188273">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2）根据《常州市长江生态优先绿色发展三年行动计划（2019-2021年）》（常长江发〔2019〕3号），大幅压减沿江地区化工生产企业数量，沿江1公里范围内凡是与化工园区无产业链关联、安全和环保隐患大的企业2020 年底前依法关停退出。</w:t>
                  </w:r>
                </w:p>
                <w:p w14:paraId="2ADDEDF3">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（3）强化饮用水水源环境风险管控，建成应急水源工程。</w:t>
                  </w:r>
                </w:p>
                <w:p w14:paraId="08A1DFE5">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（4）完善废弃危险化学品等危险废物（以下简称“危险废物”）、</w:t>
                  </w:r>
                </w:p>
                <w:p w14:paraId="28A841A6">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重点环保设施和项目、可燃性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736" w:type="pct"/>
                  <w:noWrap w:val="0"/>
                  <w:vAlign w:val="center"/>
                </w:tcPr>
                <w:p w14:paraId="0771A3D0">
                  <w:pPr>
                    <w:adjustRightInd w:val="0"/>
                    <w:snapToGrid w:val="0"/>
                    <w:jc w:val="left"/>
                    <w:rPr>
                      <w:rFonts w:hint="eastAsia" w:ascii="仿宋" w:hAnsi="仿宋" w:eastAsia="仿宋"/>
                      <w:b w:val="0"/>
                      <w:bCs/>
                      <w:color w:val="auto"/>
                      <w:szCs w:val="21"/>
                      <w:highlight w:val="none"/>
                    </w:rPr>
                  </w:pPr>
                  <w:r>
                    <w:rPr>
                      <w:rFonts w:hint="eastAsia" w:ascii="仿宋" w:hAnsi="仿宋" w:eastAsia="仿宋"/>
                      <w:b w:val="0"/>
                      <w:bCs/>
                      <w:color w:val="auto"/>
                      <w:sz w:val="21"/>
                      <w:szCs w:val="21"/>
                      <w:highlight w:val="none"/>
                      <w:lang w:val="en-US" w:eastAsia="zh-CN"/>
                    </w:rPr>
                    <w:t>本项目</w:t>
                  </w:r>
                  <w:r>
                    <w:rPr>
                      <w:rFonts w:hint="eastAsia" w:ascii="仿宋" w:hAnsi="仿宋" w:eastAsia="仿宋"/>
                      <w:b w:val="0"/>
                      <w:bCs/>
                      <w:color w:val="auto"/>
                      <w:sz w:val="21"/>
                      <w:szCs w:val="21"/>
                      <w:highlight w:val="none"/>
                    </w:rPr>
                    <w:t>不在沿江</w:t>
                  </w:r>
                  <w:r>
                    <w:rPr>
                      <w:rFonts w:hint="eastAsia" w:ascii="仿宋" w:hAnsi="仿宋" w:eastAsia="仿宋"/>
                      <w:b w:val="0"/>
                      <w:bCs/>
                      <w:color w:val="auto"/>
                      <w:sz w:val="21"/>
                      <w:szCs w:val="21"/>
                      <w:highlight w:val="none"/>
                      <w:lang w:val="en-US" w:eastAsia="zh-CN"/>
                    </w:rPr>
                    <w:t>1</w:t>
                  </w:r>
                  <w:r>
                    <w:rPr>
                      <w:rFonts w:hint="eastAsia" w:ascii="仿宋" w:hAnsi="仿宋" w:eastAsia="仿宋"/>
                      <w:b w:val="0"/>
                      <w:bCs/>
                      <w:color w:val="auto"/>
                      <w:sz w:val="21"/>
                      <w:szCs w:val="21"/>
                      <w:highlight w:val="none"/>
                    </w:rPr>
                    <w:t>公里范围内，不涉及化工与化工产业链，不涉及大宗危化品使用，企业将积极与区域应急体系联动，做好危险废物风险防控措施。</w:t>
                  </w:r>
                </w:p>
              </w:tc>
              <w:tc>
                <w:tcPr>
                  <w:tcW w:w="482" w:type="pct"/>
                  <w:noWrap w:val="0"/>
                  <w:vAlign w:val="center"/>
                </w:tcPr>
                <w:p w14:paraId="2122B06C">
                  <w:pPr>
                    <w:adjustRightInd w:val="0"/>
                    <w:snapToGrid w:val="0"/>
                    <w:jc w:val="center"/>
                    <w:rPr>
                      <w:rFonts w:hint="eastAsia"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相符</w:t>
                  </w:r>
                </w:p>
              </w:tc>
            </w:tr>
            <w:tr w14:paraId="38C5E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93" w:type="pct"/>
                  <w:noWrap w:val="0"/>
                  <w:vAlign w:val="center"/>
                </w:tcPr>
                <w:p w14:paraId="190EB0C8">
                  <w:pPr>
                    <w:adjustRightInd w:val="0"/>
                    <w:snapToGrid w:val="0"/>
                    <w:jc w:val="center"/>
                    <w:rPr>
                      <w:rFonts w:ascii="仿宋" w:hAnsi="仿宋" w:eastAsia="仿宋" w:cs="Times New Roman"/>
                      <w:color w:val="auto"/>
                      <w:szCs w:val="21"/>
                      <w:highlight w:val="none"/>
                    </w:rPr>
                  </w:pPr>
                  <w:r>
                    <w:rPr>
                      <w:rFonts w:ascii="仿宋" w:hAnsi="仿宋" w:eastAsia="仿宋" w:cs="Times New Roman"/>
                      <w:color w:val="auto"/>
                      <w:szCs w:val="21"/>
                      <w:highlight w:val="none"/>
                    </w:rPr>
                    <w:t>资源</w:t>
                  </w:r>
                  <w:r>
                    <w:rPr>
                      <w:rFonts w:hint="eastAsia" w:ascii="仿宋" w:hAnsi="仿宋" w:eastAsia="仿宋" w:cs="Times New Roman"/>
                      <w:color w:val="auto"/>
                      <w:szCs w:val="21"/>
                      <w:highlight w:val="none"/>
                      <w:lang w:val="en-US" w:eastAsia="zh-CN"/>
                    </w:rPr>
                    <w:t>利用效率</w:t>
                  </w:r>
                  <w:r>
                    <w:rPr>
                      <w:rFonts w:ascii="仿宋" w:hAnsi="仿宋" w:eastAsia="仿宋" w:cs="Times New Roman"/>
                      <w:color w:val="auto"/>
                      <w:szCs w:val="21"/>
                      <w:highlight w:val="none"/>
                    </w:rPr>
                    <w:t>要求</w:t>
                  </w:r>
                </w:p>
              </w:tc>
              <w:tc>
                <w:tcPr>
                  <w:tcW w:w="2288" w:type="pct"/>
                  <w:noWrap w:val="0"/>
                  <w:vAlign w:val="center"/>
                </w:tcPr>
                <w:p w14:paraId="7439FF4F">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（1）《江苏省水利厅江苏省发展和改革委员会关于印发“十四五” 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31F467B1">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（2）根据《常州市国土空间总体规划（2021-2035年）（上报稿）》，永久基本农田实际划定是7.53万公顷，2035年任务量为7.66万公顷。</w:t>
                  </w:r>
                </w:p>
                <w:p w14:paraId="260B8A5C">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p>
                <w:p w14:paraId="1C7B9D58">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①“Ⅱ类”（较严），具体包括：除单台出力大于等于20蒸吨/小时锅炉以外燃用的煤炭及其制品；石油焦、油页岩、原油、重油、渣油、煤焦油。②“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0C89BA31">
                  <w:pPr>
                    <w:adjustRightInd w:val="0"/>
                    <w:snapToGrid w:val="0"/>
                    <w:jc w:val="both"/>
                    <w:rPr>
                      <w:rFonts w:hint="eastAsia" w:ascii="仿宋" w:hAnsi="仿宋" w:eastAsia="仿宋"/>
                      <w:b w:val="0"/>
                      <w:bCs/>
                      <w:color w:val="auto"/>
                      <w:szCs w:val="21"/>
                      <w:highlight w:val="none"/>
                      <w:lang w:val="en-US" w:eastAsia="zh-CN"/>
                    </w:rPr>
                  </w:pPr>
                  <w:r>
                    <w:rPr>
                      <w:rFonts w:hint="eastAsia" w:ascii="仿宋" w:hAnsi="仿宋" w:eastAsia="仿宋"/>
                      <w:b w:val="0"/>
                      <w:bCs/>
                      <w:color w:val="auto"/>
                      <w:szCs w:val="21"/>
                      <w:highlight w:val="none"/>
                      <w:lang w:val="en-US" w:eastAsia="zh-CN"/>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736" w:type="pct"/>
                  <w:noWrap w:val="0"/>
                  <w:vAlign w:val="center"/>
                </w:tcPr>
                <w:p w14:paraId="269C3A46">
                  <w:pPr>
                    <w:adjustRightInd w:val="0"/>
                    <w:snapToGrid w:val="0"/>
                    <w:jc w:val="both"/>
                    <w:rPr>
                      <w:rFonts w:hint="eastAsia" w:ascii="仿宋" w:hAnsi="仿宋" w:eastAsia="仿宋"/>
                      <w:b w:val="0"/>
                      <w:bCs/>
                      <w:color w:val="auto"/>
                      <w:szCs w:val="21"/>
                      <w:highlight w:val="none"/>
                    </w:rPr>
                  </w:pPr>
                  <w:r>
                    <w:rPr>
                      <w:rFonts w:hint="eastAsia" w:ascii="仿宋" w:hAnsi="仿宋" w:eastAsia="仿宋"/>
                      <w:b w:val="0"/>
                      <w:bCs/>
                      <w:color w:val="auto"/>
                      <w:szCs w:val="21"/>
                      <w:highlight w:val="none"/>
                    </w:rPr>
                    <w:t>本项目不涉及永久基本农田，主要使用水、电资源，为清洁能源，能耗较低，可满足《常州市“十四五”能源发展规划》（常政办发</w:t>
                  </w:r>
                  <w:r>
                    <w:rPr>
                      <w:rFonts w:hint="eastAsia" w:ascii="仿宋" w:hAnsi="仿宋" w:eastAsia="仿宋"/>
                      <w:b w:val="0"/>
                      <w:bCs/>
                      <w:color w:val="auto"/>
                      <w:szCs w:val="21"/>
                      <w:highlight w:val="none"/>
                      <w:lang w:eastAsia="zh-CN"/>
                    </w:rPr>
                    <w:t>〔2021〕</w:t>
                  </w:r>
                  <w:r>
                    <w:rPr>
                      <w:rFonts w:hint="eastAsia" w:ascii="仿宋" w:hAnsi="仿宋" w:eastAsia="仿宋"/>
                      <w:b w:val="0"/>
                      <w:bCs/>
                      <w:color w:val="auto"/>
                      <w:szCs w:val="21"/>
                      <w:highlight w:val="none"/>
                    </w:rPr>
                    <w:t>101号）中相应要求。</w:t>
                  </w:r>
                </w:p>
              </w:tc>
              <w:tc>
                <w:tcPr>
                  <w:tcW w:w="482" w:type="pct"/>
                  <w:noWrap w:val="0"/>
                  <w:vAlign w:val="center"/>
                </w:tcPr>
                <w:p w14:paraId="269C21DE">
                  <w:pPr>
                    <w:adjustRightInd w:val="0"/>
                    <w:snapToGrid w:val="0"/>
                    <w:jc w:val="center"/>
                    <w:rPr>
                      <w:rFonts w:hint="eastAsia" w:ascii="仿宋" w:hAnsi="仿宋" w:eastAsia="仿宋"/>
                      <w:b/>
                      <w:color w:val="auto"/>
                      <w:szCs w:val="21"/>
                      <w:highlight w:val="none"/>
                      <w:lang w:val="en-US" w:eastAsia="zh-CN"/>
                    </w:rPr>
                  </w:pPr>
                  <w:r>
                    <w:rPr>
                      <w:rFonts w:hint="eastAsia" w:ascii="仿宋" w:hAnsi="仿宋" w:eastAsia="仿宋"/>
                      <w:b w:val="0"/>
                      <w:bCs/>
                      <w:color w:val="auto"/>
                      <w:szCs w:val="21"/>
                      <w:highlight w:val="none"/>
                      <w:lang w:val="en-US" w:eastAsia="zh-CN"/>
                    </w:rPr>
                    <w:t>相符</w:t>
                  </w:r>
                </w:p>
              </w:tc>
            </w:tr>
          </w:tbl>
          <w:p w14:paraId="49DC4525">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仿宋" w:cs="Times New Roman"/>
                <w:color w:val="auto"/>
                <w:kern w:val="0"/>
                <w:sz w:val="24"/>
              </w:rPr>
            </w:pPr>
            <w:r>
              <w:rPr>
                <w:rFonts w:eastAsia="仿宋"/>
                <w:color w:val="auto"/>
                <w:kern w:val="0"/>
                <w:sz w:val="24"/>
                <w:highlight w:val="none"/>
              </w:rPr>
              <w:t>根据《关于印发常州市“三线一单”生态环境分区管控实施方案的通知》（常环</w:t>
            </w:r>
            <w:r>
              <w:rPr>
                <w:rFonts w:hint="eastAsia" w:eastAsia="仿宋"/>
                <w:color w:val="auto"/>
                <w:kern w:val="0"/>
                <w:sz w:val="24"/>
                <w:highlight w:val="none"/>
                <w:lang w:eastAsia="zh-CN"/>
              </w:rPr>
              <w:t>〔2020〕95号</w:t>
            </w:r>
            <w:r>
              <w:rPr>
                <w:rFonts w:eastAsia="仿宋"/>
                <w:color w:val="auto"/>
                <w:kern w:val="0"/>
                <w:sz w:val="24"/>
                <w:highlight w:val="none"/>
              </w:rPr>
              <w:t>），</w:t>
            </w:r>
            <w:r>
              <w:rPr>
                <w:rFonts w:hint="default" w:eastAsia="仿宋"/>
                <w:color w:val="auto"/>
                <w:kern w:val="0"/>
                <w:sz w:val="24"/>
                <w:highlight w:val="none"/>
              </w:rPr>
              <w:t>江苏金坛经济开发区</w:t>
            </w:r>
            <w:r>
              <w:rPr>
                <w:rFonts w:eastAsia="仿宋"/>
                <w:color w:val="auto"/>
                <w:kern w:val="0"/>
                <w:sz w:val="24"/>
                <w:highlight w:val="none"/>
              </w:rPr>
              <w:t>为重点管控单元</w:t>
            </w:r>
            <w:r>
              <w:rPr>
                <w:rFonts w:hint="default" w:ascii="Times New Roman" w:hAnsi="Times New Roman" w:eastAsia="仿宋" w:cs="Times New Roman"/>
                <w:color w:val="auto"/>
                <w:kern w:val="0"/>
                <w:sz w:val="24"/>
                <w:highlight w:val="none"/>
              </w:rPr>
              <w:t>，具体环境管控单元准入清单见</w:t>
            </w:r>
            <w:r>
              <w:rPr>
                <w:rFonts w:hint="eastAsia" w:ascii="Times New Roman" w:hAnsi="Times New Roman" w:eastAsia="仿宋" w:cs="Times New Roman"/>
                <w:color w:val="auto"/>
                <w:kern w:val="0"/>
                <w:sz w:val="24"/>
                <w:highlight w:val="none"/>
                <w:lang w:val="en-US" w:eastAsia="zh-CN"/>
              </w:rPr>
              <w:t>下表</w:t>
            </w:r>
            <w:r>
              <w:rPr>
                <w:rFonts w:hint="default" w:ascii="Times New Roman" w:hAnsi="Times New Roman" w:eastAsia="仿宋" w:cs="Times New Roman"/>
                <w:color w:val="auto"/>
                <w:kern w:val="0"/>
                <w:sz w:val="24"/>
                <w:highlight w:val="none"/>
              </w:rPr>
              <w:t>。</w:t>
            </w:r>
          </w:p>
          <w:p w14:paraId="1BDEFCCE">
            <w:pPr>
              <w:snapToGrid w:val="0"/>
              <w:spacing w:line="360" w:lineRule="auto"/>
              <w:ind w:firstLine="480" w:firstLineChars="200"/>
              <w:rPr>
                <w:rFonts w:hint="default" w:ascii="Times New Roman" w:hAnsi="Times New Roman" w:eastAsia="仿宋" w:cs="Times New Roman"/>
                <w:color w:val="auto"/>
                <w:kern w:val="0"/>
                <w:sz w:val="24"/>
              </w:rPr>
            </w:pPr>
          </w:p>
          <w:p w14:paraId="2657EFBE">
            <w:pPr>
              <w:snapToGrid w:val="0"/>
              <w:spacing w:line="360" w:lineRule="auto"/>
              <w:ind w:firstLine="480" w:firstLineChars="200"/>
              <w:rPr>
                <w:rFonts w:hint="default" w:ascii="Times New Roman" w:hAnsi="Times New Roman" w:eastAsia="仿宋" w:cs="Times New Roman"/>
                <w:color w:val="auto"/>
                <w:kern w:val="0"/>
                <w:sz w:val="24"/>
              </w:rPr>
            </w:pPr>
          </w:p>
          <w:p w14:paraId="31362D32">
            <w:pPr>
              <w:snapToGrid w:val="0"/>
              <w:spacing w:line="360" w:lineRule="auto"/>
              <w:ind w:firstLine="480" w:firstLineChars="200"/>
              <w:rPr>
                <w:rFonts w:hint="default" w:ascii="Times New Roman" w:hAnsi="Times New Roman" w:eastAsia="仿宋" w:cs="Times New Roman"/>
                <w:color w:val="auto"/>
                <w:kern w:val="0"/>
                <w:sz w:val="24"/>
              </w:rPr>
            </w:pPr>
          </w:p>
          <w:p w14:paraId="0A066272">
            <w:pPr>
              <w:snapToGrid w:val="0"/>
              <w:spacing w:line="360" w:lineRule="auto"/>
              <w:ind w:firstLine="480" w:firstLineChars="200"/>
              <w:rPr>
                <w:rFonts w:hint="default" w:ascii="Times New Roman" w:hAnsi="Times New Roman" w:eastAsia="仿宋" w:cs="Times New Roman"/>
                <w:color w:val="auto"/>
                <w:kern w:val="0"/>
                <w:sz w:val="24"/>
              </w:rPr>
            </w:pPr>
          </w:p>
          <w:p w14:paraId="45745B52">
            <w:pPr>
              <w:snapToGrid w:val="0"/>
              <w:spacing w:line="360" w:lineRule="auto"/>
              <w:ind w:firstLine="480" w:firstLineChars="200"/>
              <w:rPr>
                <w:rFonts w:hint="default" w:ascii="Times New Roman" w:hAnsi="Times New Roman" w:eastAsia="仿宋" w:cs="Times New Roman"/>
                <w:color w:val="auto"/>
                <w:kern w:val="0"/>
                <w:sz w:val="24"/>
              </w:rPr>
            </w:pPr>
          </w:p>
          <w:p w14:paraId="65657ED4">
            <w:pPr>
              <w:snapToGrid w:val="0"/>
              <w:spacing w:line="360" w:lineRule="auto"/>
              <w:rPr>
                <w:rFonts w:hint="default" w:ascii="Times New Roman" w:hAnsi="Times New Roman" w:eastAsia="仿宋" w:cs="Times New Roman"/>
                <w:color w:val="auto"/>
                <w:kern w:val="0"/>
                <w:sz w:val="24"/>
              </w:rPr>
            </w:pPr>
          </w:p>
        </w:tc>
      </w:tr>
    </w:tbl>
    <w:p w14:paraId="41D3ED44">
      <w:pPr>
        <w:rPr>
          <w:rFonts w:hint="default" w:ascii="Times New Roman" w:hAnsi="Times New Roman" w:eastAsia="仿宋" w:cs="Times New Roman"/>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196"/>
      </w:tblGrid>
      <w:tr w14:paraId="1CE8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7" w:hRule="atLeast"/>
        </w:trPr>
        <w:tc>
          <w:tcPr>
            <w:tcW w:w="456" w:type="dxa"/>
            <w:vAlign w:val="center"/>
          </w:tcPr>
          <w:p w14:paraId="3C627E05">
            <w:pPr>
              <w:spacing w:line="360" w:lineRule="auto"/>
              <w:jc w:val="center"/>
              <w:rPr>
                <w:rFonts w:hint="default" w:ascii="Times New Roman" w:hAnsi="Times New Roman" w:eastAsia="仿宋" w:cs="Times New Roman"/>
                <w:color w:val="auto"/>
              </w:rPr>
            </w:pPr>
            <w:r>
              <w:rPr>
                <w:rFonts w:hint="default" w:ascii="Times New Roman" w:hAnsi="Times New Roman" w:eastAsia="仿宋" w:cs="Times New Roman"/>
                <w:color w:val="auto"/>
                <w:kern w:val="0"/>
                <w:sz w:val="24"/>
              </w:rPr>
              <w:t>其他符合性分析</w:t>
            </w:r>
          </w:p>
        </w:tc>
        <w:tc>
          <w:tcPr>
            <w:tcW w:w="13196" w:type="dxa"/>
            <w:vAlign w:val="center"/>
          </w:tcPr>
          <w:p w14:paraId="1EB99D75">
            <w:pPr>
              <w:adjustRightInd w:val="0"/>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表1-</w:t>
            </w:r>
            <w:r>
              <w:rPr>
                <w:rFonts w:hint="eastAsia" w:eastAsia="仿宋" w:cs="Times New Roman"/>
                <w:b/>
                <w:color w:val="auto"/>
                <w:sz w:val="24"/>
                <w:lang w:val="en-US" w:eastAsia="zh-CN"/>
              </w:rPr>
              <w:t>7</w:t>
            </w:r>
            <w:r>
              <w:rPr>
                <w:rFonts w:hint="default" w:ascii="Times New Roman" w:hAnsi="Times New Roman" w:eastAsia="仿宋" w:cs="Times New Roman"/>
                <w:b/>
                <w:color w:val="auto"/>
                <w:sz w:val="24"/>
              </w:rPr>
              <w:t xml:space="preserve">  环境管控单元准入清单</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99"/>
              <w:gridCol w:w="567"/>
              <w:gridCol w:w="708"/>
              <w:gridCol w:w="1276"/>
              <w:gridCol w:w="7226"/>
              <w:gridCol w:w="2089"/>
            </w:tblGrid>
            <w:tr w14:paraId="5EE78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tcBorders>
                    <w:top w:val="single" w:color="auto" w:sz="12" w:space="0"/>
                    <w:left w:val="nil"/>
                    <w:bottom w:val="single" w:color="auto" w:sz="4" w:space="0"/>
                    <w:right w:val="single" w:color="auto" w:sz="4" w:space="0"/>
                  </w:tcBorders>
                  <w:vAlign w:val="center"/>
                </w:tcPr>
                <w:p w14:paraId="741501B3">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环境管控单元名称</w:t>
                  </w:r>
                </w:p>
              </w:tc>
              <w:tc>
                <w:tcPr>
                  <w:tcW w:w="567" w:type="dxa"/>
                  <w:tcBorders>
                    <w:top w:val="single" w:color="auto" w:sz="12" w:space="0"/>
                    <w:left w:val="single" w:color="auto" w:sz="4" w:space="0"/>
                    <w:bottom w:val="single" w:color="auto" w:sz="4" w:space="0"/>
                    <w:right w:val="single" w:color="auto" w:sz="4" w:space="0"/>
                  </w:tcBorders>
                  <w:vAlign w:val="center"/>
                </w:tcPr>
                <w:p w14:paraId="2E9B535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类型</w:t>
                  </w:r>
                </w:p>
              </w:tc>
              <w:tc>
                <w:tcPr>
                  <w:tcW w:w="9210" w:type="dxa"/>
                  <w:gridSpan w:val="3"/>
                  <w:tcBorders>
                    <w:top w:val="single" w:color="auto" w:sz="12" w:space="0"/>
                    <w:left w:val="single" w:color="auto" w:sz="4" w:space="0"/>
                    <w:bottom w:val="single" w:color="auto" w:sz="4" w:space="0"/>
                    <w:right w:val="single" w:color="auto" w:sz="4" w:space="0"/>
                  </w:tcBorders>
                  <w:vAlign w:val="center"/>
                </w:tcPr>
                <w:p w14:paraId="748E34B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环境管控要求</w:t>
                  </w:r>
                </w:p>
              </w:tc>
              <w:tc>
                <w:tcPr>
                  <w:tcW w:w="2089" w:type="dxa"/>
                  <w:tcBorders>
                    <w:top w:val="single" w:color="auto" w:sz="12" w:space="0"/>
                    <w:left w:val="single" w:color="auto" w:sz="4" w:space="0"/>
                    <w:bottom w:val="single" w:color="auto" w:sz="4" w:space="0"/>
                    <w:right w:val="nil"/>
                  </w:tcBorders>
                  <w:vAlign w:val="center"/>
                </w:tcPr>
                <w:p w14:paraId="6EB5098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本项目情况</w:t>
                  </w:r>
                </w:p>
              </w:tc>
            </w:tr>
            <w:tr w14:paraId="39FC9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vMerge w:val="restart"/>
                  <w:tcBorders>
                    <w:top w:val="single" w:color="auto" w:sz="4" w:space="0"/>
                    <w:left w:val="nil"/>
                    <w:bottom w:val="single" w:color="auto" w:sz="12" w:space="0"/>
                    <w:right w:val="single" w:color="auto" w:sz="4" w:space="0"/>
                  </w:tcBorders>
                  <w:vAlign w:val="center"/>
                </w:tcPr>
                <w:p w14:paraId="1FF5B83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江苏金坛经济开发区</w:t>
                  </w:r>
                </w:p>
              </w:tc>
              <w:tc>
                <w:tcPr>
                  <w:tcW w:w="567" w:type="dxa"/>
                  <w:vMerge w:val="restart"/>
                  <w:tcBorders>
                    <w:top w:val="single" w:color="auto" w:sz="4" w:space="0"/>
                    <w:left w:val="single" w:color="auto" w:sz="4" w:space="0"/>
                    <w:bottom w:val="single" w:color="auto" w:sz="12" w:space="0"/>
                    <w:right w:val="single" w:color="auto" w:sz="4" w:space="0"/>
                  </w:tcBorders>
                  <w:vAlign w:val="center"/>
                </w:tcPr>
                <w:p w14:paraId="1C09198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园区</w:t>
                  </w:r>
                </w:p>
              </w:tc>
              <w:tc>
                <w:tcPr>
                  <w:tcW w:w="708" w:type="dxa"/>
                  <w:vMerge w:val="restart"/>
                  <w:tcBorders>
                    <w:top w:val="single" w:color="auto" w:sz="4" w:space="0"/>
                    <w:left w:val="single" w:color="auto" w:sz="4" w:space="0"/>
                    <w:bottom w:val="single" w:color="auto" w:sz="12" w:space="0"/>
                    <w:right w:val="single" w:color="auto" w:sz="4" w:space="0"/>
                  </w:tcBorders>
                  <w:vAlign w:val="center"/>
                </w:tcPr>
                <w:p w14:paraId="399E49F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生态环境准入清单</w:t>
                  </w:r>
                </w:p>
              </w:tc>
              <w:tc>
                <w:tcPr>
                  <w:tcW w:w="1276" w:type="dxa"/>
                  <w:tcBorders>
                    <w:top w:val="single" w:color="auto" w:sz="4" w:space="0"/>
                    <w:left w:val="single" w:color="auto" w:sz="4" w:space="0"/>
                    <w:bottom w:val="single" w:color="auto" w:sz="4" w:space="0"/>
                    <w:right w:val="single" w:color="auto" w:sz="4" w:space="0"/>
                  </w:tcBorders>
                  <w:vAlign w:val="center"/>
                </w:tcPr>
                <w:p w14:paraId="65B2DA2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空间布局</w:t>
                  </w:r>
                </w:p>
                <w:p w14:paraId="4F01E9E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约束</w:t>
                  </w:r>
                </w:p>
              </w:tc>
              <w:tc>
                <w:tcPr>
                  <w:tcW w:w="7226" w:type="dxa"/>
                  <w:tcBorders>
                    <w:top w:val="single" w:color="auto" w:sz="4" w:space="0"/>
                    <w:left w:val="single" w:color="auto" w:sz="4" w:space="0"/>
                    <w:bottom w:val="single" w:color="auto" w:sz="4" w:space="0"/>
                    <w:right w:val="single" w:color="auto" w:sz="4" w:space="0"/>
                  </w:tcBorders>
                  <w:vAlign w:val="center"/>
                </w:tcPr>
                <w:p w14:paraId="0F336288">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（1）禁止引入纺织服装中废水排放量较大的纯印染和纯染整类企业（除金坛时尚织染集聚区）。</w:t>
                  </w:r>
                </w:p>
                <w:p w14:paraId="1CD1BEAF">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2CE7D22A">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（3）禁止引入化工中与盐化工及下游产品生产不相关的化工项目。</w:t>
                  </w:r>
                </w:p>
                <w:p w14:paraId="115DCCD8">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（4）禁止引入新材料产业中太阳能电池切片生产项目。</w:t>
                  </w:r>
                </w:p>
                <w:p w14:paraId="522D6B0A">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（5）禁止引入化工新材料中钢铁等传统型金属材料；水泥等传统型非金属材料。</w:t>
                  </w:r>
                </w:p>
                <w:p w14:paraId="71E0B34A">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（6）禁止引入新医药产业中不符合GMP要求的安瓿拉丝灌封机、劳动保护、安瓿灌装注射用无菌粉末、非易折安瓿等。</w:t>
                  </w:r>
                </w:p>
              </w:tc>
              <w:tc>
                <w:tcPr>
                  <w:tcW w:w="2089" w:type="dxa"/>
                  <w:tcBorders>
                    <w:top w:val="single" w:color="auto" w:sz="4" w:space="0"/>
                    <w:left w:val="single" w:color="auto" w:sz="4" w:space="0"/>
                    <w:bottom w:val="single" w:color="auto" w:sz="4" w:space="0"/>
                    <w:right w:val="nil"/>
                  </w:tcBorders>
                  <w:vAlign w:val="center"/>
                </w:tcPr>
                <w:p w14:paraId="4DC55687">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本项目为自有电子产品及生产配套需求提供实验及检测服务</w:t>
                  </w:r>
                  <w:r>
                    <w:rPr>
                      <w:rFonts w:hint="default" w:ascii="Times New Roman" w:hAnsi="Times New Roman" w:eastAsia="仿宋" w:cs="Times New Roman"/>
                      <w:color w:val="auto"/>
                      <w:szCs w:val="21"/>
                    </w:rPr>
                    <w:t>，不属于本区域禁止引入企业。</w:t>
                  </w:r>
                </w:p>
              </w:tc>
            </w:tr>
            <w:tr w14:paraId="2B2AE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vMerge w:val="continue"/>
                  <w:tcBorders>
                    <w:top w:val="single" w:color="auto" w:sz="4" w:space="0"/>
                    <w:left w:val="nil"/>
                    <w:bottom w:val="single" w:color="auto" w:sz="12" w:space="0"/>
                    <w:right w:val="single" w:color="auto" w:sz="4" w:space="0"/>
                  </w:tcBorders>
                  <w:vAlign w:val="center"/>
                </w:tcPr>
                <w:p w14:paraId="7F239A14">
                  <w:pPr>
                    <w:widowControl/>
                    <w:jc w:val="left"/>
                    <w:rPr>
                      <w:rFonts w:hint="default" w:ascii="Times New Roman" w:hAnsi="Times New Roman" w:eastAsia="仿宋" w:cs="Times New Roman"/>
                      <w:color w:val="auto"/>
                      <w:szCs w:val="21"/>
                    </w:rPr>
                  </w:pPr>
                </w:p>
              </w:tc>
              <w:tc>
                <w:tcPr>
                  <w:tcW w:w="567" w:type="dxa"/>
                  <w:vMerge w:val="continue"/>
                  <w:tcBorders>
                    <w:top w:val="single" w:color="auto" w:sz="4" w:space="0"/>
                    <w:left w:val="single" w:color="auto" w:sz="4" w:space="0"/>
                    <w:bottom w:val="single" w:color="auto" w:sz="12" w:space="0"/>
                    <w:right w:val="single" w:color="auto" w:sz="4" w:space="0"/>
                  </w:tcBorders>
                  <w:vAlign w:val="center"/>
                </w:tcPr>
                <w:p w14:paraId="208D36A4">
                  <w:pPr>
                    <w:widowControl/>
                    <w:jc w:val="left"/>
                    <w:rPr>
                      <w:rFonts w:hint="default" w:ascii="Times New Roman" w:hAnsi="Times New Roman" w:eastAsia="仿宋" w:cs="Times New Roman"/>
                      <w:color w:val="auto"/>
                      <w:szCs w:val="21"/>
                    </w:rPr>
                  </w:pPr>
                </w:p>
              </w:tc>
              <w:tc>
                <w:tcPr>
                  <w:tcW w:w="708" w:type="dxa"/>
                  <w:vMerge w:val="continue"/>
                  <w:tcBorders>
                    <w:top w:val="single" w:color="auto" w:sz="4" w:space="0"/>
                    <w:left w:val="single" w:color="auto" w:sz="4" w:space="0"/>
                    <w:bottom w:val="single" w:color="auto" w:sz="12" w:space="0"/>
                    <w:right w:val="single" w:color="auto" w:sz="4" w:space="0"/>
                  </w:tcBorders>
                  <w:vAlign w:val="center"/>
                </w:tcPr>
                <w:p w14:paraId="39AA6F5C">
                  <w:pPr>
                    <w:widowControl/>
                    <w:jc w:val="left"/>
                    <w:rPr>
                      <w:rFonts w:hint="default" w:ascii="Times New Roman" w:hAnsi="Times New Roman" w:eastAsia="仿宋" w:cs="Times New Roman"/>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28F55A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污染物</w:t>
                  </w:r>
                </w:p>
                <w:p w14:paraId="75E2BDA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排放管控</w:t>
                  </w:r>
                </w:p>
              </w:tc>
              <w:tc>
                <w:tcPr>
                  <w:tcW w:w="7226" w:type="dxa"/>
                  <w:tcBorders>
                    <w:top w:val="single" w:color="auto" w:sz="4" w:space="0"/>
                    <w:left w:val="single" w:color="auto" w:sz="4" w:space="0"/>
                    <w:bottom w:val="single" w:color="auto" w:sz="4" w:space="0"/>
                    <w:right w:val="single" w:color="auto" w:sz="4" w:space="0"/>
                  </w:tcBorders>
                  <w:vAlign w:val="center"/>
                </w:tcPr>
                <w:p w14:paraId="0B758B39">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（1）严格实施污染物总量控制制度，根据区域环境质量改善目标，采取有效措施减少主要污染物排放总量，确保区域环境质量持续改善。</w:t>
                  </w:r>
                </w:p>
                <w:p w14:paraId="64B5DA15">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（2）园区污染物排放总量不得突破环评报告及批复的总量。</w:t>
                  </w:r>
                </w:p>
              </w:tc>
              <w:tc>
                <w:tcPr>
                  <w:tcW w:w="2089" w:type="dxa"/>
                  <w:tcBorders>
                    <w:top w:val="single" w:color="auto" w:sz="4" w:space="0"/>
                    <w:left w:val="single" w:color="auto" w:sz="4" w:space="0"/>
                    <w:bottom w:val="single" w:color="auto" w:sz="4" w:space="0"/>
                    <w:right w:val="nil"/>
                  </w:tcBorders>
                  <w:vAlign w:val="center"/>
                </w:tcPr>
                <w:p w14:paraId="4DE26121">
                  <w:pPr>
                    <w:adjustRightInd w:val="0"/>
                    <w:snapToGrid w:val="0"/>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w:t>
                  </w:r>
                  <w:r>
                    <w:rPr>
                      <w:rFonts w:hint="eastAsia" w:eastAsia="仿宋" w:cs="Times New Roman"/>
                      <w:color w:val="auto"/>
                      <w:szCs w:val="21"/>
                      <w:lang w:val="en-US" w:eastAsia="zh-CN"/>
                    </w:rPr>
                    <w:t>不新增生活污水，</w:t>
                  </w:r>
                  <w:r>
                    <w:rPr>
                      <w:rFonts w:hint="default" w:ascii="Times New Roman" w:hAnsi="Times New Roman" w:eastAsia="仿宋" w:cs="Times New Roman"/>
                      <w:b w:val="0"/>
                      <w:bCs w:val="0"/>
                      <w:color w:val="auto"/>
                      <w:kern w:val="0"/>
                      <w:sz w:val="21"/>
                      <w:szCs w:val="21"/>
                      <w:vertAlign w:val="baseline"/>
                      <w:lang w:val="en-US" w:eastAsia="zh-CN"/>
                    </w:rPr>
                    <w:t>新增的制纯水弃水全部用于员工冲厕</w:t>
                  </w:r>
                  <w:r>
                    <w:rPr>
                      <w:rFonts w:hint="eastAsia" w:eastAsia="仿宋" w:cs="Times New Roman"/>
                      <w:b w:val="0"/>
                      <w:bCs w:val="0"/>
                      <w:color w:val="auto"/>
                      <w:kern w:val="0"/>
                      <w:sz w:val="21"/>
                      <w:szCs w:val="21"/>
                      <w:vertAlign w:val="baseline"/>
                      <w:lang w:val="en-US" w:eastAsia="zh-CN"/>
                    </w:rPr>
                    <w:t>。</w:t>
                  </w:r>
                  <w:r>
                    <w:rPr>
                      <w:rFonts w:hint="default" w:ascii="Times New Roman" w:hAnsi="Times New Roman" w:eastAsia="仿宋" w:cs="Times New Roman"/>
                      <w:color w:val="auto"/>
                      <w:szCs w:val="21"/>
                    </w:rPr>
                    <w:t>产生的废气均采取有效措施减少污染物排放总量。</w:t>
                  </w:r>
                </w:p>
              </w:tc>
            </w:tr>
            <w:tr w14:paraId="79247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vMerge w:val="continue"/>
                  <w:tcBorders>
                    <w:top w:val="single" w:color="auto" w:sz="4" w:space="0"/>
                    <w:left w:val="nil"/>
                    <w:bottom w:val="single" w:color="auto" w:sz="12" w:space="0"/>
                    <w:right w:val="single" w:color="auto" w:sz="4" w:space="0"/>
                  </w:tcBorders>
                  <w:vAlign w:val="center"/>
                </w:tcPr>
                <w:p w14:paraId="2E9E7DEC">
                  <w:pPr>
                    <w:widowControl/>
                    <w:jc w:val="left"/>
                    <w:rPr>
                      <w:rFonts w:hint="default" w:ascii="Times New Roman" w:hAnsi="Times New Roman" w:eastAsia="仿宋" w:cs="Times New Roman"/>
                      <w:color w:val="auto"/>
                      <w:szCs w:val="21"/>
                    </w:rPr>
                  </w:pPr>
                </w:p>
              </w:tc>
              <w:tc>
                <w:tcPr>
                  <w:tcW w:w="567" w:type="dxa"/>
                  <w:vMerge w:val="continue"/>
                  <w:tcBorders>
                    <w:top w:val="single" w:color="auto" w:sz="4" w:space="0"/>
                    <w:left w:val="single" w:color="auto" w:sz="4" w:space="0"/>
                    <w:bottom w:val="single" w:color="auto" w:sz="12" w:space="0"/>
                    <w:right w:val="single" w:color="auto" w:sz="4" w:space="0"/>
                  </w:tcBorders>
                  <w:vAlign w:val="center"/>
                </w:tcPr>
                <w:p w14:paraId="33099B27">
                  <w:pPr>
                    <w:widowControl/>
                    <w:jc w:val="left"/>
                    <w:rPr>
                      <w:rFonts w:hint="default" w:ascii="Times New Roman" w:hAnsi="Times New Roman" w:eastAsia="仿宋" w:cs="Times New Roman"/>
                      <w:color w:val="auto"/>
                      <w:szCs w:val="21"/>
                    </w:rPr>
                  </w:pPr>
                </w:p>
              </w:tc>
              <w:tc>
                <w:tcPr>
                  <w:tcW w:w="708" w:type="dxa"/>
                  <w:vMerge w:val="continue"/>
                  <w:tcBorders>
                    <w:top w:val="single" w:color="auto" w:sz="4" w:space="0"/>
                    <w:left w:val="single" w:color="auto" w:sz="4" w:space="0"/>
                    <w:bottom w:val="single" w:color="auto" w:sz="12" w:space="0"/>
                    <w:right w:val="single" w:color="auto" w:sz="4" w:space="0"/>
                  </w:tcBorders>
                  <w:vAlign w:val="center"/>
                </w:tcPr>
                <w:p w14:paraId="01D2B916">
                  <w:pPr>
                    <w:widowControl/>
                    <w:jc w:val="left"/>
                    <w:rPr>
                      <w:rFonts w:hint="default" w:ascii="Times New Roman" w:hAnsi="Times New Roman" w:eastAsia="仿宋" w:cs="Times New Roman"/>
                      <w:color w:val="auto"/>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3A36BB1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w:t>
                  </w:r>
                </w:p>
                <w:p w14:paraId="3696469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防控</w:t>
                  </w:r>
                </w:p>
              </w:tc>
              <w:tc>
                <w:tcPr>
                  <w:tcW w:w="7226" w:type="dxa"/>
                  <w:tcBorders>
                    <w:top w:val="single" w:color="auto" w:sz="4" w:space="0"/>
                    <w:left w:val="single" w:color="auto" w:sz="4" w:space="0"/>
                    <w:bottom w:val="single" w:color="auto" w:sz="4" w:space="0"/>
                    <w:right w:val="single" w:color="auto" w:sz="4" w:space="0"/>
                  </w:tcBorders>
                  <w:vAlign w:val="center"/>
                </w:tcPr>
                <w:p w14:paraId="5CEBCF7A">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（1）园区建立环境应急体系，完善事故应急救援体系，加强应急物资装备储备，编制突发环境事件应急预案，定期开展演练。</w:t>
                  </w:r>
                </w:p>
                <w:p w14:paraId="63B303E3">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（2）生产、使用、储存危险化学品或其他存在环境风险的企事业单位，应当制定风险防范措施，编制完善突发环境事件应急预案，防止发生环境污染事故。</w:t>
                  </w:r>
                </w:p>
                <w:p w14:paraId="56D7A12C">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（3）加强环境影响跟踪监测，建立健全各环境要素监控体系，完善并落实园区日常环境监测与污染源监控计划。</w:t>
                  </w:r>
                </w:p>
              </w:tc>
              <w:tc>
                <w:tcPr>
                  <w:tcW w:w="2089" w:type="dxa"/>
                  <w:tcBorders>
                    <w:top w:val="single" w:color="auto" w:sz="4" w:space="0"/>
                    <w:left w:val="single" w:color="auto" w:sz="4" w:space="0"/>
                    <w:bottom w:val="single" w:color="auto" w:sz="4" w:space="0"/>
                    <w:right w:val="nil"/>
                  </w:tcBorders>
                  <w:vAlign w:val="center"/>
                </w:tcPr>
                <w:p w14:paraId="4786714F">
                  <w:pPr>
                    <w:adjustRightInd w:val="0"/>
                    <w:snapToGrid w:val="0"/>
                    <w:jc w:val="both"/>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项目需完善</w:t>
                  </w:r>
                  <w:r>
                    <w:rPr>
                      <w:rFonts w:hint="eastAsia" w:eastAsia="仿宋" w:cs="Times New Roman"/>
                      <w:color w:val="auto"/>
                      <w:szCs w:val="21"/>
                      <w:lang w:val="en-US" w:eastAsia="zh-CN"/>
                    </w:rPr>
                    <w:t>现有</w:t>
                  </w:r>
                  <w:r>
                    <w:rPr>
                      <w:rFonts w:hint="default" w:ascii="Times New Roman" w:hAnsi="Times New Roman" w:eastAsia="仿宋" w:cs="Times New Roman"/>
                      <w:color w:val="auto"/>
                      <w:szCs w:val="21"/>
                    </w:rPr>
                    <w:t>风险防范措施，</w:t>
                  </w:r>
                  <w:r>
                    <w:rPr>
                      <w:rFonts w:hint="eastAsia" w:eastAsia="仿宋" w:cs="Times New Roman"/>
                      <w:color w:val="auto"/>
                      <w:szCs w:val="21"/>
                      <w:lang w:val="en-US" w:eastAsia="zh-CN"/>
                    </w:rPr>
                    <w:t>对现有</w:t>
                  </w:r>
                  <w:r>
                    <w:rPr>
                      <w:rFonts w:hint="default" w:ascii="Times New Roman" w:hAnsi="Times New Roman" w:eastAsia="仿宋" w:cs="Times New Roman"/>
                      <w:color w:val="auto"/>
                      <w:szCs w:val="21"/>
                    </w:rPr>
                    <w:t>突发环境事件应急预案</w:t>
                  </w:r>
                  <w:r>
                    <w:rPr>
                      <w:rFonts w:hint="eastAsia" w:eastAsia="仿宋" w:cs="Times New Roman"/>
                      <w:color w:val="auto"/>
                      <w:szCs w:val="21"/>
                      <w:lang w:val="en-US" w:eastAsia="zh-CN"/>
                    </w:rPr>
                    <w:t>进行修订并</w:t>
                  </w:r>
                  <w:r>
                    <w:rPr>
                      <w:rFonts w:hint="default" w:ascii="Times New Roman" w:hAnsi="Times New Roman" w:eastAsia="仿宋" w:cs="Times New Roman"/>
                      <w:color w:val="auto"/>
                      <w:szCs w:val="21"/>
                    </w:rPr>
                    <w:t>报相关部门备案</w:t>
                  </w:r>
                  <w:r>
                    <w:rPr>
                      <w:rFonts w:hint="eastAsia" w:eastAsia="仿宋" w:cs="Times New Roman"/>
                      <w:color w:val="auto"/>
                      <w:szCs w:val="21"/>
                      <w:lang w:eastAsia="zh-CN"/>
                    </w:rPr>
                    <w:t>，</w:t>
                  </w:r>
                  <w:r>
                    <w:rPr>
                      <w:rFonts w:hint="eastAsia" w:eastAsia="仿宋" w:cs="Times New Roman"/>
                      <w:color w:val="auto"/>
                      <w:szCs w:val="21"/>
                      <w:lang w:val="en-US" w:eastAsia="zh-CN"/>
                    </w:rPr>
                    <w:t>定期开展演练</w:t>
                  </w:r>
                  <w:r>
                    <w:rPr>
                      <w:rFonts w:hint="default" w:ascii="Times New Roman" w:hAnsi="Times New Roman" w:eastAsia="仿宋" w:cs="Times New Roman"/>
                      <w:color w:val="auto"/>
                      <w:szCs w:val="21"/>
                    </w:rPr>
                    <w:t>。</w:t>
                  </w:r>
                  <w:r>
                    <w:rPr>
                      <w:rFonts w:hint="eastAsia" w:eastAsia="仿宋" w:cs="Times New Roman"/>
                      <w:color w:val="auto"/>
                      <w:szCs w:val="21"/>
                      <w:lang w:val="en-US" w:eastAsia="zh-CN"/>
                    </w:rPr>
                    <w:t>本项目新增排放实验废气，需更新废气监测计划。</w:t>
                  </w:r>
                </w:p>
              </w:tc>
            </w:tr>
            <w:tr w14:paraId="5B5DC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vMerge w:val="continue"/>
                  <w:tcBorders>
                    <w:top w:val="single" w:color="auto" w:sz="4" w:space="0"/>
                    <w:left w:val="nil"/>
                    <w:bottom w:val="single" w:color="auto" w:sz="12" w:space="0"/>
                    <w:right w:val="single" w:color="auto" w:sz="4" w:space="0"/>
                  </w:tcBorders>
                  <w:vAlign w:val="center"/>
                </w:tcPr>
                <w:p w14:paraId="06D7455F">
                  <w:pPr>
                    <w:widowControl/>
                    <w:jc w:val="left"/>
                    <w:rPr>
                      <w:rFonts w:hint="default" w:ascii="Times New Roman" w:hAnsi="Times New Roman" w:eastAsia="仿宋" w:cs="Times New Roman"/>
                      <w:color w:val="auto"/>
                      <w:szCs w:val="21"/>
                    </w:rPr>
                  </w:pPr>
                </w:p>
              </w:tc>
              <w:tc>
                <w:tcPr>
                  <w:tcW w:w="567" w:type="dxa"/>
                  <w:vMerge w:val="continue"/>
                  <w:tcBorders>
                    <w:top w:val="single" w:color="auto" w:sz="4" w:space="0"/>
                    <w:left w:val="single" w:color="auto" w:sz="4" w:space="0"/>
                    <w:bottom w:val="single" w:color="auto" w:sz="12" w:space="0"/>
                    <w:right w:val="single" w:color="auto" w:sz="4" w:space="0"/>
                  </w:tcBorders>
                  <w:vAlign w:val="center"/>
                </w:tcPr>
                <w:p w14:paraId="55646D20">
                  <w:pPr>
                    <w:widowControl/>
                    <w:jc w:val="left"/>
                    <w:rPr>
                      <w:rFonts w:hint="default" w:ascii="Times New Roman" w:hAnsi="Times New Roman" w:eastAsia="仿宋" w:cs="Times New Roman"/>
                      <w:color w:val="auto"/>
                      <w:szCs w:val="21"/>
                    </w:rPr>
                  </w:pPr>
                </w:p>
              </w:tc>
              <w:tc>
                <w:tcPr>
                  <w:tcW w:w="708" w:type="dxa"/>
                  <w:vMerge w:val="continue"/>
                  <w:tcBorders>
                    <w:top w:val="single" w:color="auto" w:sz="4" w:space="0"/>
                    <w:left w:val="single" w:color="auto" w:sz="4" w:space="0"/>
                    <w:bottom w:val="single" w:color="auto" w:sz="12" w:space="0"/>
                    <w:right w:val="single" w:color="auto" w:sz="4" w:space="0"/>
                  </w:tcBorders>
                  <w:vAlign w:val="center"/>
                </w:tcPr>
                <w:p w14:paraId="2FA3408A">
                  <w:pPr>
                    <w:widowControl/>
                    <w:jc w:val="left"/>
                    <w:rPr>
                      <w:rFonts w:hint="default" w:ascii="Times New Roman" w:hAnsi="Times New Roman" w:eastAsia="仿宋" w:cs="Times New Roman"/>
                      <w:color w:val="auto"/>
                      <w:szCs w:val="21"/>
                    </w:rPr>
                  </w:pPr>
                </w:p>
              </w:tc>
              <w:tc>
                <w:tcPr>
                  <w:tcW w:w="1276" w:type="dxa"/>
                  <w:tcBorders>
                    <w:top w:val="single" w:color="auto" w:sz="4" w:space="0"/>
                    <w:left w:val="single" w:color="auto" w:sz="4" w:space="0"/>
                    <w:bottom w:val="single" w:color="auto" w:sz="12" w:space="0"/>
                    <w:right w:val="single" w:color="auto" w:sz="4" w:space="0"/>
                  </w:tcBorders>
                  <w:vAlign w:val="center"/>
                </w:tcPr>
                <w:p w14:paraId="54F5228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资源开发效率要求</w:t>
                  </w:r>
                </w:p>
              </w:tc>
              <w:tc>
                <w:tcPr>
                  <w:tcW w:w="7226" w:type="dxa"/>
                  <w:tcBorders>
                    <w:top w:val="single" w:color="auto" w:sz="4" w:space="0"/>
                    <w:left w:val="single" w:color="auto" w:sz="4" w:space="0"/>
                    <w:bottom w:val="single" w:color="auto" w:sz="12" w:space="0"/>
                    <w:right w:val="single" w:color="auto" w:sz="4" w:space="0"/>
                  </w:tcBorders>
                  <w:vAlign w:val="center"/>
                </w:tcPr>
                <w:p w14:paraId="48447F97">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（1）大力倡导使用清洁能源。</w:t>
                  </w:r>
                </w:p>
                <w:p w14:paraId="54E478C9">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（2）提升废水资源化技术，提高水资源回用率。</w:t>
                  </w:r>
                </w:p>
                <w:p w14:paraId="56AB65C6">
                  <w:pPr>
                    <w:adjustRightInd w:val="0"/>
                    <w:snapToGrid w:val="0"/>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（3）严禁自建燃煤设施。</w:t>
                  </w:r>
                </w:p>
              </w:tc>
              <w:tc>
                <w:tcPr>
                  <w:tcW w:w="2089" w:type="dxa"/>
                  <w:tcBorders>
                    <w:top w:val="single" w:color="auto" w:sz="4" w:space="0"/>
                    <w:left w:val="single" w:color="auto" w:sz="4" w:space="0"/>
                    <w:bottom w:val="single" w:color="auto" w:sz="12" w:space="0"/>
                    <w:right w:val="nil"/>
                  </w:tcBorders>
                  <w:vAlign w:val="center"/>
                </w:tcPr>
                <w:p w14:paraId="4CD5ABAA">
                  <w:pPr>
                    <w:adjustRightInd w:val="0"/>
                    <w:snapToGrid w:val="0"/>
                    <w:jc w:val="both"/>
                    <w:rPr>
                      <w:rFonts w:hint="eastAsia"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项目不使用高污染的燃料和设施</w:t>
                  </w:r>
                  <w:r>
                    <w:rPr>
                      <w:rFonts w:hint="eastAsia" w:eastAsia="仿宋" w:cs="Times New Roman"/>
                      <w:color w:val="auto"/>
                      <w:szCs w:val="21"/>
                      <w:lang w:eastAsia="zh-CN"/>
                    </w:rPr>
                    <w:t>。</w:t>
                  </w:r>
                </w:p>
              </w:tc>
            </w:tr>
          </w:tbl>
          <w:p w14:paraId="6877CB86">
            <w:pPr>
              <w:adjustRightInd w:val="0"/>
              <w:snapToGrid w:val="0"/>
              <w:spacing w:before="120" w:beforeLines="50"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综上</w:t>
            </w:r>
            <w:r>
              <w:rPr>
                <w:rFonts w:ascii="仿宋" w:hAnsi="仿宋" w:eastAsia="仿宋"/>
                <w:color w:val="auto"/>
                <w:sz w:val="24"/>
                <w:highlight w:val="none"/>
              </w:rPr>
              <w:t>，本项目符合“三线一单”（即生态保护红线、环境质量底线、资源利用上线、环境准入负面清单）相关要求，且满足《江苏省2023年度生态环境分区管控动态更新成果》、《常州市生态环境分区管控动态更新成果》（2023年版）相关要求。</w:t>
            </w:r>
          </w:p>
          <w:p w14:paraId="182012D5">
            <w:pPr>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3、与相关法律法规相符性分析</w:t>
            </w:r>
          </w:p>
          <w:p w14:paraId="77C13F27">
            <w:pPr>
              <w:spacing w:line="360" w:lineRule="auto"/>
              <w:ind w:firstLine="480" w:firstLineChars="200"/>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本项目与相关法律法规相符性分析见</w:t>
            </w:r>
            <w:r>
              <w:rPr>
                <w:rFonts w:hint="eastAsia" w:eastAsia="仿宋" w:cs="Times New Roman"/>
                <w:color w:val="auto"/>
                <w:kern w:val="0"/>
                <w:sz w:val="24"/>
                <w:lang w:val="en-US" w:eastAsia="zh-CN"/>
              </w:rPr>
              <w:t>下表</w:t>
            </w:r>
            <w:r>
              <w:rPr>
                <w:rFonts w:hint="default" w:ascii="Times New Roman" w:hAnsi="Times New Roman" w:eastAsia="仿宋" w:cs="Times New Roman"/>
                <w:color w:val="auto"/>
                <w:kern w:val="0"/>
                <w:sz w:val="24"/>
              </w:rPr>
              <w:t>。</w:t>
            </w:r>
          </w:p>
          <w:p w14:paraId="417D69CB">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b/>
                <w:color w:val="auto"/>
                <w:sz w:val="24"/>
              </w:rPr>
              <w:t>表1-</w:t>
            </w:r>
            <w:r>
              <w:rPr>
                <w:rFonts w:hint="eastAsia" w:eastAsia="仿宋" w:cs="Times New Roman"/>
                <w:b/>
                <w:color w:val="auto"/>
                <w:sz w:val="24"/>
                <w:lang w:val="en-US" w:eastAsia="zh-CN"/>
              </w:rPr>
              <w:t>8</w:t>
            </w:r>
            <w:r>
              <w:rPr>
                <w:rFonts w:hint="default" w:ascii="Times New Roman" w:hAnsi="Times New Roman" w:eastAsia="仿宋" w:cs="Times New Roman"/>
                <w:b/>
                <w:color w:val="auto"/>
                <w:sz w:val="24"/>
              </w:rPr>
              <w:t xml:space="preserve">  项目与相关法律法规相符性分析</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4"/>
              <w:gridCol w:w="1641"/>
              <w:gridCol w:w="6954"/>
              <w:gridCol w:w="2886"/>
              <w:gridCol w:w="940"/>
            </w:tblGrid>
            <w:tr w14:paraId="6E030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544" w:type="dxa"/>
                  <w:vAlign w:val="center"/>
                </w:tcPr>
                <w:p w14:paraId="18929553">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641" w:type="dxa"/>
                  <w:vAlign w:val="center"/>
                </w:tcPr>
                <w:p w14:paraId="1BB29E3C">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文件名称</w:t>
                  </w:r>
                </w:p>
              </w:tc>
              <w:tc>
                <w:tcPr>
                  <w:tcW w:w="6954" w:type="dxa"/>
                  <w:vAlign w:val="center"/>
                </w:tcPr>
                <w:p w14:paraId="32C903B8">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文件要求</w:t>
                  </w:r>
                </w:p>
              </w:tc>
              <w:tc>
                <w:tcPr>
                  <w:tcW w:w="2886" w:type="dxa"/>
                  <w:vAlign w:val="center"/>
                </w:tcPr>
                <w:p w14:paraId="16EC7DF8">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本项目情况</w:t>
                  </w:r>
                </w:p>
              </w:tc>
              <w:tc>
                <w:tcPr>
                  <w:tcW w:w="940" w:type="dxa"/>
                  <w:vAlign w:val="center"/>
                </w:tcPr>
                <w:p w14:paraId="0926A128">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是否符合</w:t>
                  </w:r>
                </w:p>
              </w:tc>
            </w:tr>
            <w:tr w14:paraId="72318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37CDE18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641" w:type="dxa"/>
                  <w:vAlign w:val="center"/>
                </w:tcPr>
                <w:p w14:paraId="6F5D004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《太湖流域管理条例》（国务院令第604号）</w:t>
                  </w:r>
                </w:p>
              </w:tc>
              <w:tc>
                <w:tcPr>
                  <w:tcW w:w="6954" w:type="dxa"/>
                  <w:vAlign w:val="center"/>
                </w:tcPr>
                <w:p w14:paraId="12EC70E6">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第二十八条  排污单位排放水污染物，不得超过经核定的水污染物排放总量，并应当按照规定设置便于检查、采样的规范化排污口，悬挂标志牌；不得私设暗管或者采取其他规避监管的方式排放水污染物。</w:t>
                  </w:r>
                </w:p>
                <w:p w14:paraId="2CDF6C72">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34AAF085">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第二十九条 新孟河、望虞河以外的其他主要入太湖河道，自河口1万米上溯至5万米河道岸线内及其岸线两侧各1000米范围内，禁止下列行为：</w:t>
                  </w:r>
                </w:p>
                <w:p w14:paraId="66E6DF93">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（一）新建、扩建化工、医药生产项目；</w:t>
                  </w:r>
                </w:p>
                <w:p w14:paraId="4D15A0EF">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（二）新建、扩建污水集中处理设施排污口以外的排污口；</w:t>
                  </w:r>
                </w:p>
                <w:p w14:paraId="36BC412E">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（三）扩大水产养殖规模。</w:t>
                  </w:r>
                </w:p>
                <w:p w14:paraId="250D9397">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第三十条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4799313F">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（一）设置剧毒物质、危险化学品的贮存、输送设施和废物回收场、垃圾场； </w:t>
                  </w:r>
                </w:p>
                <w:p w14:paraId="753D4A29">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（二）设置水上餐饮经营设施；</w:t>
                  </w:r>
                </w:p>
                <w:p w14:paraId="59FC364A">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（三）新建、扩建高尔夫球场；</w:t>
                  </w:r>
                </w:p>
                <w:p w14:paraId="6E2B022C">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（四）新建、扩建畜禽养殖场；</w:t>
                  </w:r>
                </w:p>
                <w:p w14:paraId="5D955044">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（五）新建、扩建向水体排放污染物的建设项目；</w:t>
                  </w:r>
                </w:p>
                <w:p w14:paraId="5B2E28DB">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（六）本条例第二十九条规定的行为。</w:t>
                  </w:r>
                </w:p>
              </w:tc>
              <w:tc>
                <w:tcPr>
                  <w:tcW w:w="2886" w:type="dxa"/>
                  <w:vAlign w:val="center"/>
                </w:tcPr>
                <w:p w14:paraId="49F3E04E">
                  <w:pPr>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本项目为自有电子产品及生产配套需求提供实验及检测服务</w:t>
                  </w:r>
                  <w:r>
                    <w:rPr>
                      <w:rFonts w:hint="default" w:ascii="Times New Roman" w:hAnsi="Times New Roman" w:eastAsia="仿宋" w:cs="Times New Roman"/>
                      <w:color w:val="auto"/>
                      <w:sz w:val="21"/>
                      <w:szCs w:val="21"/>
                    </w:rPr>
                    <w:t>，</w:t>
                  </w:r>
                  <w:r>
                    <w:rPr>
                      <w:rFonts w:hint="eastAsia" w:ascii="仿宋" w:hAnsi="仿宋" w:eastAsia="仿宋"/>
                      <w:color w:val="auto"/>
                      <w:szCs w:val="21"/>
                      <w:highlight w:val="none"/>
                    </w:rPr>
                    <w:t>不在该条例规定的禁止建设项目之列</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lang w:val="en-US" w:eastAsia="zh-CN"/>
                    </w:rPr>
                    <w:t>且</w:t>
                  </w:r>
                  <w:r>
                    <w:rPr>
                      <w:rFonts w:hint="default" w:ascii="Times New Roman" w:hAnsi="Times New Roman" w:eastAsia="仿宋" w:cs="Times New Roman"/>
                      <w:color w:val="auto"/>
                      <w:sz w:val="21"/>
                      <w:szCs w:val="21"/>
                    </w:rPr>
                    <w:t>不处于入太湖河道岸线内及两侧1000米范围内</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本项目</w:t>
                  </w:r>
                  <w:r>
                    <w:rPr>
                      <w:rFonts w:hint="default" w:ascii="Times New Roman" w:hAnsi="Times New Roman" w:eastAsia="仿宋" w:cs="Times New Roman"/>
                      <w:color w:val="auto"/>
                      <w:sz w:val="21"/>
                      <w:szCs w:val="21"/>
                      <w:highlight w:val="none"/>
                      <w:lang w:val="en-US" w:eastAsia="zh-CN"/>
                    </w:rPr>
                    <w:t>不新增生活污水，</w:t>
                  </w:r>
                  <w:r>
                    <w:rPr>
                      <w:rFonts w:hint="default" w:ascii="Times New Roman" w:hAnsi="Times New Roman" w:eastAsia="仿宋" w:cs="Times New Roman"/>
                      <w:b w:val="0"/>
                      <w:bCs w:val="0"/>
                      <w:color w:val="auto"/>
                      <w:kern w:val="0"/>
                      <w:sz w:val="21"/>
                      <w:szCs w:val="21"/>
                      <w:highlight w:val="none"/>
                      <w:vertAlign w:val="baseline"/>
                      <w:lang w:val="en-US" w:eastAsia="zh-CN"/>
                    </w:rPr>
                    <w:t>新增的制纯水弃水全部用于员工冲厕</w:t>
                  </w:r>
                  <w:r>
                    <w:rPr>
                      <w:rFonts w:hint="eastAsia" w:eastAsia="仿宋" w:cs="Times New Roman"/>
                      <w:b w:val="0"/>
                      <w:bCs w:val="0"/>
                      <w:color w:val="auto"/>
                      <w:kern w:val="0"/>
                      <w:sz w:val="21"/>
                      <w:szCs w:val="21"/>
                      <w:highlight w:val="none"/>
                      <w:vertAlign w:val="baseline"/>
                      <w:lang w:val="en-US" w:eastAsia="zh-CN"/>
                    </w:rPr>
                    <w:t>。</w:t>
                  </w:r>
                </w:p>
              </w:tc>
              <w:tc>
                <w:tcPr>
                  <w:tcW w:w="940" w:type="dxa"/>
                  <w:vAlign w:val="center"/>
                </w:tcPr>
                <w:p w14:paraId="7158D5E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74E4B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77A2FC5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641" w:type="dxa"/>
                  <w:vAlign w:val="center"/>
                </w:tcPr>
                <w:p w14:paraId="0A26097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《江苏省太湖水污染防治条例》（2021年修正）</w:t>
                  </w:r>
                </w:p>
              </w:tc>
              <w:tc>
                <w:tcPr>
                  <w:tcW w:w="6954" w:type="dxa"/>
                  <w:shd w:val="clear" w:color="auto" w:fill="auto"/>
                  <w:vAlign w:val="center"/>
                </w:tcPr>
                <w:p w14:paraId="18864FBE">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第四十三条  太湖流域一、二、三级保护区禁止下列行为：</w:t>
                  </w:r>
                </w:p>
                <w:p w14:paraId="71F62B4C">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①新建、改建、扩建化学制浆造纸、制革、酿造、染料、印染、电镀以及其他排放含磷、氮等污染物的企业和项目，城镇污水集中处理等环境基础设施项目和第四十六条规定的情形除外；</w:t>
                  </w:r>
                </w:p>
                <w:p w14:paraId="62A8F54A">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②销售、使用含磷洗涤用品；</w:t>
                  </w:r>
                </w:p>
                <w:p w14:paraId="1E4369E6">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③向水体排放或者倾倒油类、酸液、碱液、剧毒废渣废液、含放射性废渣废液、含病原体污水、工业废渣以及其他废弃物；</w:t>
                  </w:r>
                </w:p>
                <w:p w14:paraId="6616A8C1">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④在水体清洗装贮过油类或者有毒有害污染物的车辆、船舶和容器等；</w:t>
                  </w:r>
                </w:p>
                <w:p w14:paraId="5ECB6BEE">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⑤使用农药等有毒物毒杀水生生物；</w:t>
                  </w:r>
                </w:p>
                <w:p w14:paraId="11C3F899">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⑥向水体直接排放人畜粪便、倾倒垃圾；</w:t>
                  </w:r>
                </w:p>
                <w:p w14:paraId="0D3750BB">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⑦围湖造地；</w:t>
                  </w:r>
                </w:p>
                <w:p w14:paraId="0B7A8322">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⑧违法开山采石，或者进行破坏林木、植被、水生生物的活动；</w:t>
                  </w:r>
                </w:p>
                <w:p w14:paraId="58D2E6E2">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⑨法律、法规禁止的其他行为。</w:t>
                  </w:r>
                </w:p>
              </w:tc>
              <w:tc>
                <w:tcPr>
                  <w:tcW w:w="2886" w:type="dxa"/>
                  <w:shd w:val="clear" w:color="auto" w:fill="auto"/>
                  <w:vAlign w:val="center"/>
                </w:tcPr>
                <w:p w14:paraId="0FD7E071">
                  <w:pPr>
                    <w:jc w:val="both"/>
                    <w:rPr>
                      <w:rFonts w:hint="default" w:ascii="Times New Roman" w:hAnsi="Times New Roman" w:eastAsia="仿宋" w:cs="Times New Roman"/>
                      <w:color w:val="auto"/>
                      <w:sz w:val="21"/>
                      <w:szCs w:val="21"/>
                      <w:highlight w:val="yellow"/>
                    </w:rPr>
                  </w:pPr>
                  <w:r>
                    <w:rPr>
                      <w:rFonts w:hint="default" w:ascii="Times New Roman" w:hAnsi="Times New Roman" w:eastAsia="仿宋" w:cs="Times New Roman"/>
                      <w:color w:val="auto"/>
                      <w:sz w:val="21"/>
                      <w:szCs w:val="21"/>
                      <w:highlight w:val="none"/>
                    </w:rPr>
                    <w:t>本项目位于太湖流域三级保护区内，</w:t>
                  </w:r>
                  <w:r>
                    <w:rPr>
                      <w:rFonts w:hint="default" w:ascii="Times New Roman" w:hAnsi="Times New Roman" w:eastAsia="仿宋" w:cs="Times New Roman"/>
                      <w:color w:val="auto"/>
                      <w:sz w:val="21"/>
                      <w:szCs w:val="21"/>
                      <w:highlight w:val="none"/>
                      <w:lang w:val="en-US" w:eastAsia="zh-CN"/>
                    </w:rPr>
                    <w:t>为自有电子产品及生产配套需求提供实验及检测服务。本项目不新增生活污水，</w:t>
                  </w:r>
                  <w:r>
                    <w:rPr>
                      <w:rFonts w:hint="default" w:ascii="Times New Roman" w:hAnsi="Times New Roman" w:eastAsia="仿宋" w:cs="Times New Roman"/>
                      <w:b w:val="0"/>
                      <w:bCs w:val="0"/>
                      <w:color w:val="auto"/>
                      <w:kern w:val="0"/>
                      <w:sz w:val="21"/>
                      <w:szCs w:val="21"/>
                      <w:highlight w:val="none"/>
                      <w:vertAlign w:val="baseline"/>
                      <w:lang w:val="en-US" w:eastAsia="zh-CN"/>
                    </w:rPr>
                    <w:t>新增的制纯水弃水全部用于员工冲厕</w:t>
                  </w:r>
                  <w:r>
                    <w:rPr>
                      <w:rFonts w:hint="eastAsia" w:eastAsia="仿宋" w:cs="Times New Roman"/>
                      <w:b w:val="0"/>
                      <w:bCs w:val="0"/>
                      <w:color w:val="auto"/>
                      <w:kern w:val="0"/>
                      <w:sz w:val="21"/>
                      <w:szCs w:val="21"/>
                      <w:highlight w:val="none"/>
                      <w:vertAlign w:val="baseline"/>
                      <w:lang w:val="en-US" w:eastAsia="zh-CN"/>
                    </w:rPr>
                    <w:t>。</w:t>
                  </w:r>
                </w:p>
              </w:tc>
              <w:tc>
                <w:tcPr>
                  <w:tcW w:w="940" w:type="dxa"/>
                  <w:vAlign w:val="center"/>
                </w:tcPr>
                <w:p w14:paraId="3CD2CB7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18E84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6C02394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641" w:type="dxa"/>
                  <w:shd w:val="clear" w:color="auto" w:fill="auto"/>
                  <w:vAlign w:val="center"/>
                </w:tcPr>
                <w:p w14:paraId="6C4567B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《中华人民共和国大气污染防治法》（2018年修正）</w:t>
                  </w:r>
                </w:p>
              </w:tc>
              <w:tc>
                <w:tcPr>
                  <w:tcW w:w="6954" w:type="dxa"/>
                  <w:shd w:val="clear" w:color="auto" w:fill="auto"/>
                  <w:vAlign w:val="center"/>
                </w:tcPr>
                <w:p w14:paraId="0B7BC304">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4C5052AC">
                  <w:pPr>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第四十五条  产生含挥发性有机物废气的生产和服务活动，应当在密闭空间或者设备中进行，并按照规定安装、使用污染防治设施；无法密闭的，应当采取措施减少废气排放。</w:t>
                  </w:r>
                </w:p>
              </w:tc>
              <w:tc>
                <w:tcPr>
                  <w:tcW w:w="2886" w:type="dxa"/>
                  <w:vMerge w:val="restart"/>
                  <w:vAlign w:val="center"/>
                </w:tcPr>
                <w:p w14:paraId="775B26DA">
                  <w:pPr>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为自有电子产品及生产配套需求提供实验及检测服务</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lang w:val="en-US" w:eastAsia="zh-CN"/>
                    </w:rPr>
                    <w:t>实验</w:t>
                  </w:r>
                  <w:r>
                    <w:rPr>
                      <w:rFonts w:hint="default" w:ascii="Times New Roman" w:hAnsi="Times New Roman" w:eastAsia="仿宋" w:cs="Times New Roman"/>
                      <w:color w:val="auto"/>
                      <w:sz w:val="21"/>
                      <w:szCs w:val="21"/>
                      <w:highlight w:val="none"/>
                    </w:rPr>
                    <w:t>过程中产生的废气</w:t>
                  </w:r>
                  <w:r>
                    <w:rPr>
                      <w:rFonts w:hint="default" w:ascii="Times New Roman" w:hAnsi="Times New Roman" w:eastAsia="仿宋" w:cs="Times New Roman"/>
                      <w:color w:val="auto"/>
                      <w:sz w:val="21"/>
                      <w:szCs w:val="21"/>
                      <w:highlight w:val="none"/>
                      <w:lang w:val="en-US" w:eastAsia="zh-CN"/>
                    </w:rPr>
                    <w:t>经集气罩收集后，</w:t>
                  </w:r>
                  <w:r>
                    <w:rPr>
                      <w:rFonts w:hint="eastAsia" w:eastAsia="仿宋" w:cs="Times New Roman"/>
                      <w:color w:val="auto"/>
                      <w:sz w:val="21"/>
                      <w:szCs w:val="21"/>
                      <w:highlight w:val="none"/>
                      <w:lang w:val="en-US" w:eastAsia="zh-CN"/>
                    </w:rPr>
                    <w:t>与危废仓库废气一并</w:t>
                  </w:r>
                  <w:r>
                    <w:rPr>
                      <w:rFonts w:hint="default" w:ascii="Times New Roman" w:hAnsi="Times New Roman" w:eastAsia="仿宋" w:cs="Times New Roman"/>
                      <w:color w:val="auto"/>
                      <w:sz w:val="21"/>
                      <w:szCs w:val="21"/>
                      <w:highlight w:val="none"/>
                      <w:lang w:val="en-US" w:eastAsia="zh-CN"/>
                    </w:rPr>
                    <w:t>依托现有1套</w:t>
                  </w:r>
                  <w:r>
                    <w:rPr>
                      <w:rFonts w:hint="default" w:ascii="Times New Roman" w:hAnsi="Times New Roman" w:eastAsia="仿宋" w:cs="Times New Roman"/>
                      <w:color w:val="auto"/>
                      <w:szCs w:val="21"/>
                      <w:highlight w:val="none"/>
                      <w:lang w:val="en-US" w:eastAsia="zh-CN"/>
                    </w:rPr>
                    <w:t>碱液喷淋塔</w:t>
                  </w:r>
                  <w:r>
                    <w:rPr>
                      <w:rFonts w:hint="eastAsia" w:eastAsia="仿宋" w:cs="Times New Roman"/>
                      <w:color w:val="auto"/>
                      <w:szCs w:val="21"/>
                      <w:highlight w:val="none"/>
                      <w:lang w:val="en-US" w:eastAsia="zh-CN"/>
                    </w:rPr>
                    <w:t>（含吸水填料）</w:t>
                  </w:r>
                  <w:r>
                    <w:rPr>
                      <w:rFonts w:hint="default" w:ascii="Times New Roman" w:hAnsi="Times New Roman" w:eastAsia="仿宋" w:cs="Times New Roman"/>
                      <w:color w:val="auto"/>
                      <w:szCs w:val="21"/>
                      <w:highlight w:val="none"/>
                      <w:lang w:val="en-US" w:eastAsia="zh-CN"/>
                    </w:rPr>
                    <w:t>+3#两级活性炭吸附装置处理，最终通过1根25m高3#排气筒排放。本项目</w:t>
                  </w:r>
                  <w:r>
                    <w:rPr>
                      <w:rFonts w:hint="default" w:ascii="Times New Roman" w:hAnsi="Times New Roman" w:eastAsia="仿宋" w:cs="Times New Roman"/>
                      <w:color w:val="auto"/>
                      <w:sz w:val="21"/>
                      <w:szCs w:val="21"/>
                      <w:highlight w:val="none"/>
                    </w:rPr>
                    <w:t>采用有效的收集、治理措施，以减少废气排放量。</w:t>
                  </w:r>
                  <w:r>
                    <w:rPr>
                      <w:rFonts w:hint="default" w:ascii="Times New Roman" w:hAnsi="Times New Roman" w:eastAsia="仿宋" w:cs="Times New Roman"/>
                      <w:color w:val="auto"/>
                      <w:sz w:val="21"/>
                      <w:szCs w:val="21"/>
                      <w:highlight w:val="none"/>
                      <w:lang w:val="en-US" w:eastAsia="zh-CN"/>
                    </w:rPr>
                    <w:t>活性炭定期更换，</w:t>
                  </w:r>
                  <w:r>
                    <w:rPr>
                      <w:rFonts w:hint="default" w:ascii="Times New Roman" w:hAnsi="Times New Roman" w:eastAsia="仿宋" w:cs="Times New Roman"/>
                      <w:color w:val="auto"/>
                      <w:szCs w:val="21"/>
                    </w:rPr>
                    <w:t>委托有资质单位处置。</w:t>
                  </w:r>
                </w:p>
              </w:tc>
              <w:tc>
                <w:tcPr>
                  <w:tcW w:w="940" w:type="dxa"/>
                  <w:vMerge w:val="restart"/>
                  <w:vAlign w:val="center"/>
                </w:tcPr>
                <w:p w14:paraId="37D77B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6ACEF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6" w:hRule="atLeast"/>
              </w:trPr>
              <w:tc>
                <w:tcPr>
                  <w:tcW w:w="544" w:type="dxa"/>
                  <w:vAlign w:val="center"/>
                </w:tcPr>
                <w:p w14:paraId="1717A7E1">
                  <w:pPr>
                    <w:jc w:val="center"/>
                    <w:rPr>
                      <w:rFonts w:hint="eastAsia" w:ascii="Times New Roman" w:hAnsi="Times New Roman" w:eastAsia="仿宋" w:cs="Times New Roman"/>
                      <w:color w:val="auto"/>
                      <w:sz w:val="21"/>
                      <w:szCs w:val="21"/>
                      <w:lang w:eastAsia="zh-CN"/>
                    </w:rPr>
                  </w:pPr>
                  <w:r>
                    <w:rPr>
                      <w:rFonts w:hint="eastAsia" w:eastAsia="仿宋" w:cs="Times New Roman"/>
                      <w:color w:val="auto"/>
                      <w:sz w:val="21"/>
                      <w:szCs w:val="21"/>
                      <w:lang w:val="en-US" w:eastAsia="zh-CN"/>
                    </w:rPr>
                    <w:t>4</w:t>
                  </w:r>
                </w:p>
              </w:tc>
              <w:tc>
                <w:tcPr>
                  <w:tcW w:w="1641" w:type="dxa"/>
                  <w:shd w:val="clear" w:color="auto" w:fill="auto"/>
                  <w:vAlign w:val="center"/>
                </w:tcPr>
                <w:p w14:paraId="5341BE8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《江苏省大气污染防治条例》（2018年修正）</w:t>
                  </w:r>
                </w:p>
              </w:tc>
              <w:tc>
                <w:tcPr>
                  <w:tcW w:w="6954" w:type="dxa"/>
                  <w:shd w:val="clear" w:color="auto" w:fill="auto"/>
                  <w:vAlign w:val="center"/>
                </w:tcPr>
                <w:p w14:paraId="42241964">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第三十八条  在生产经营过程中产生有毒有害大气污染物的，排污单位应当安装收集净化装置或者采取其他措施，达到国家和省规定的排放标准或者其他相关要求。禁止直接排放有毒有害大气污染物。</w:t>
                  </w:r>
                </w:p>
                <w:p w14:paraId="21D423D7">
                  <w:pP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2886" w:type="dxa"/>
                  <w:vMerge w:val="continue"/>
                  <w:vAlign w:val="center"/>
                </w:tcPr>
                <w:p w14:paraId="640A6BE1">
                  <w:pPr>
                    <w:jc w:val="both"/>
                    <w:rPr>
                      <w:rFonts w:hint="default" w:ascii="Times New Roman" w:hAnsi="Times New Roman" w:eastAsia="仿宋" w:cs="Times New Roman"/>
                      <w:color w:val="auto"/>
                      <w:sz w:val="21"/>
                      <w:szCs w:val="21"/>
                      <w:lang w:val="en-US" w:eastAsia="zh-CN"/>
                    </w:rPr>
                  </w:pPr>
                </w:p>
              </w:tc>
              <w:tc>
                <w:tcPr>
                  <w:tcW w:w="940" w:type="dxa"/>
                  <w:vMerge w:val="continue"/>
                  <w:vAlign w:val="center"/>
                </w:tcPr>
                <w:p w14:paraId="64DF9ADE">
                  <w:pPr>
                    <w:jc w:val="center"/>
                    <w:rPr>
                      <w:rFonts w:hint="default" w:ascii="Times New Roman" w:hAnsi="Times New Roman" w:eastAsia="仿宋" w:cs="Times New Roman"/>
                      <w:color w:val="auto"/>
                      <w:sz w:val="21"/>
                      <w:szCs w:val="21"/>
                    </w:rPr>
                  </w:pPr>
                </w:p>
              </w:tc>
            </w:tr>
            <w:tr w14:paraId="21C44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4" w:hRule="atLeast"/>
              </w:trPr>
              <w:tc>
                <w:tcPr>
                  <w:tcW w:w="544" w:type="dxa"/>
                  <w:vAlign w:val="center"/>
                </w:tcPr>
                <w:p w14:paraId="0AABB3F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w:t>
                  </w:r>
                </w:p>
              </w:tc>
              <w:tc>
                <w:tcPr>
                  <w:tcW w:w="1641" w:type="dxa"/>
                  <w:vAlign w:val="center"/>
                </w:tcPr>
                <w:p w14:paraId="4083B26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《江苏省挥发性有机物污染防治管理办法》</w:t>
                  </w:r>
                  <w:r>
                    <w:rPr>
                      <w:rFonts w:hint="eastAsia"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省政府令第119号</w:t>
                  </w:r>
                  <w:r>
                    <w:rPr>
                      <w:rFonts w:hint="eastAsia" w:eastAsia="仿宋" w:cs="Times New Roman"/>
                      <w:color w:val="auto"/>
                      <w:szCs w:val="21"/>
                      <w:highlight w:val="none"/>
                      <w:lang w:eastAsia="zh-CN"/>
                    </w:rPr>
                    <w:t>）</w:t>
                  </w:r>
                </w:p>
              </w:tc>
              <w:tc>
                <w:tcPr>
                  <w:tcW w:w="6954" w:type="dxa"/>
                  <w:vAlign w:val="center"/>
                </w:tcPr>
                <w:p w14:paraId="71F90FC9">
                  <w:pPr>
                    <w:adjustRightInd w:val="0"/>
                    <w:snapToGrid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886" w:type="dxa"/>
                  <w:vMerge w:val="continue"/>
                  <w:vAlign w:val="center"/>
                </w:tcPr>
                <w:p w14:paraId="34EEB22B">
                  <w:pPr>
                    <w:jc w:val="both"/>
                    <w:rPr>
                      <w:rFonts w:hint="default" w:ascii="Times New Roman" w:hAnsi="Times New Roman" w:eastAsia="仿宋" w:cs="Times New Roman"/>
                      <w:color w:val="auto"/>
                      <w:sz w:val="21"/>
                      <w:szCs w:val="21"/>
                    </w:rPr>
                  </w:pPr>
                </w:p>
              </w:tc>
              <w:tc>
                <w:tcPr>
                  <w:tcW w:w="940" w:type="dxa"/>
                  <w:vAlign w:val="center"/>
                </w:tcPr>
                <w:p w14:paraId="2CEC348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是</w:t>
                  </w:r>
                </w:p>
              </w:tc>
            </w:tr>
            <w:tr w14:paraId="10773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4" w:hRule="atLeast"/>
              </w:trPr>
              <w:tc>
                <w:tcPr>
                  <w:tcW w:w="544" w:type="dxa"/>
                  <w:vAlign w:val="center"/>
                </w:tcPr>
                <w:p w14:paraId="5F1A026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6</w:t>
                  </w:r>
                </w:p>
              </w:tc>
              <w:tc>
                <w:tcPr>
                  <w:tcW w:w="1641" w:type="dxa"/>
                  <w:vAlign w:val="center"/>
                </w:tcPr>
                <w:p w14:paraId="2271BFF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 w:val="21"/>
                      <w:szCs w:val="21"/>
                    </w:rPr>
                    <w:t>《关于印发&lt;重点行业挥发性有机物综合治理方案</w:t>
                  </w:r>
                  <w:r>
                    <w:rPr>
                      <w:rFonts w:hint="default" w:ascii="Times New Roman" w:hAnsi="Times New Roman" w:eastAsia="仿宋" w:cs="Times New Roman"/>
                      <w:color w:val="auto"/>
                      <w:sz w:val="21"/>
                      <w:szCs w:val="21"/>
                      <w:lang w:eastAsia="zh-CN"/>
                    </w:rPr>
                    <w:t>〉的通知》</w:t>
                  </w:r>
                  <w:r>
                    <w:rPr>
                      <w:rFonts w:hint="default" w:ascii="Times New Roman" w:hAnsi="Times New Roman" w:eastAsia="仿宋" w:cs="Times New Roman"/>
                      <w:color w:val="auto"/>
                      <w:sz w:val="21"/>
                      <w:szCs w:val="21"/>
                    </w:rPr>
                    <w:t>（环大气</w:t>
                  </w:r>
                  <w:r>
                    <w:rPr>
                      <w:rFonts w:hint="eastAsia" w:eastAsia="仿宋" w:cs="Times New Roman"/>
                      <w:color w:val="auto"/>
                      <w:sz w:val="21"/>
                      <w:szCs w:val="21"/>
                      <w:lang w:eastAsia="zh-CN"/>
                    </w:rPr>
                    <w:t>〔2019〕53号</w:t>
                  </w:r>
                </w:p>
              </w:tc>
              <w:tc>
                <w:tcPr>
                  <w:tcW w:w="6954" w:type="dxa"/>
                  <w:vAlign w:val="center"/>
                </w:tcPr>
                <w:p w14:paraId="6557307D">
                  <w:pP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 w:val="21"/>
                      <w:szCs w:val="21"/>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2886" w:type="dxa"/>
                  <w:vMerge w:val="continue"/>
                  <w:vAlign w:val="center"/>
                </w:tcPr>
                <w:p w14:paraId="6CD54ECB">
                  <w:pPr>
                    <w:jc w:val="both"/>
                    <w:rPr>
                      <w:rFonts w:hint="default" w:ascii="Times New Roman" w:hAnsi="Times New Roman" w:eastAsia="仿宋" w:cs="Times New Roman"/>
                      <w:color w:val="auto"/>
                      <w:sz w:val="21"/>
                      <w:szCs w:val="21"/>
                    </w:rPr>
                  </w:pPr>
                </w:p>
              </w:tc>
              <w:tc>
                <w:tcPr>
                  <w:tcW w:w="940" w:type="dxa"/>
                  <w:vAlign w:val="center"/>
                </w:tcPr>
                <w:p w14:paraId="083A25E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w:t>
                  </w:r>
                </w:p>
              </w:tc>
            </w:tr>
            <w:tr w14:paraId="22B25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444E1A41">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7</w:t>
                  </w:r>
                </w:p>
              </w:tc>
              <w:tc>
                <w:tcPr>
                  <w:tcW w:w="1641" w:type="dxa"/>
                  <w:vAlign w:val="center"/>
                </w:tcPr>
                <w:p w14:paraId="6D5FAE13">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关于印发《江苏省挥发性有机物清洁原料替代工作方案》的通知（苏大气办</w:t>
                  </w:r>
                  <w:r>
                    <w:rPr>
                      <w:rFonts w:hint="default" w:ascii="Times New Roman" w:hAnsi="Times New Roman" w:eastAsia="仿宋" w:cs="Times New Roman"/>
                      <w:color w:val="auto"/>
                      <w:sz w:val="21"/>
                      <w:szCs w:val="21"/>
                      <w:lang w:eastAsia="zh-CN"/>
                    </w:rPr>
                    <w:t>〔2021〕2号</w:t>
                  </w:r>
                  <w:r>
                    <w:rPr>
                      <w:rFonts w:hint="default" w:ascii="Times New Roman" w:hAnsi="Times New Roman" w:eastAsia="仿宋" w:cs="Times New Roman"/>
                      <w:color w:val="auto"/>
                      <w:sz w:val="21"/>
                      <w:szCs w:val="21"/>
                    </w:rPr>
                    <w:t>）</w:t>
                  </w:r>
                </w:p>
              </w:tc>
              <w:tc>
                <w:tcPr>
                  <w:tcW w:w="6954" w:type="dxa"/>
                  <w:vAlign w:val="center"/>
                </w:tcPr>
                <w:p w14:paraId="2D4D3605">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以工业涂装、包装印刷、木材加工、纺织等行业为重点，分阶段推进3130家企业清洁原料替代工作，其他行业企业涉VOCs相关工序，要使用符合《低挥发性有机化合物含量涂料产品技术要求》（GB/T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p w14:paraId="3DAED835">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若确实无法达到上述要求，应提供相应的论证说明。使用的涂料、清洗剂、胶粘剂、油墨中VOCs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38508-2020）、《胶粘剂挥发性有机化合物限量》（GB33372-2020）、《油墨中可挥发性有机化合物（VOCs）含量的限值》（GB38507-2020）中的限值要求。</w:t>
                  </w:r>
                </w:p>
              </w:tc>
              <w:tc>
                <w:tcPr>
                  <w:tcW w:w="2886" w:type="dxa"/>
                  <w:vMerge w:val="restart"/>
                  <w:shd w:val="clear" w:color="auto" w:fill="auto"/>
                  <w:vAlign w:val="center"/>
                </w:tcPr>
                <w:p w14:paraId="62061FB5">
                  <w:pPr>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本项目使用</w:t>
                  </w:r>
                  <w:r>
                    <w:rPr>
                      <w:rFonts w:hint="default" w:ascii="Times New Roman" w:hAnsi="Times New Roman" w:eastAsia="仿宋" w:cs="Times New Roman"/>
                      <w:color w:val="auto"/>
                      <w:szCs w:val="21"/>
                      <w:lang w:val="en-US" w:eastAsia="zh-CN"/>
                    </w:rPr>
                    <w:t>酒石酸、ZESTRON FA+清洗剂清洁样品，使用碱性清洗剂清洁需要维修的设备</w:t>
                  </w:r>
                  <w:r>
                    <w:rPr>
                      <w:rFonts w:hint="default" w:ascii="Times New Roman" w:hAnsi="Times New Roman" w:eastAsia="仿宋" w:cs="Times New Roman"/>
                      <w:color w:val="auto"/>
                      <w:szCs w:val="21"/>
                    </w:rPr>
                    <w:t>，根据</w:t>
                  </w:r>
                  <w:r>
                    <w:rPr>
                      <w:rFonts w:hint="default" w:ascii="Times New Roman" w:hAnsi="Times New Roman" w:eastAsia="仿宋" w:cs="Times New Roman"/>
                      <w:color w:val="auto"/>
                      <w:szCs w:val="21"/>
                      <w:lang w:val="en-US" w:eastAsia="zh-CN"/>
                    </w:rPr>
                    <w:t>各清洗剂</w:t>
                  </w:r>
                  <w:r>
                    <w:rPr>
                      <w:rFonts w:hint="default" w:ascii="Times New Roman" w:hAnsi="Times New Roman" w:eastAsia="仿宋" w:cs="Times New Roman"/>
                      <w:color w:val="auto"/>
                      <w:szCs w:val="21"/>
                    </w:rPr>
                    <w:t>的MSDS组分，</w:t>
                  </w:r>
                  <w:r>
                    <w:rPr>
                      <w:rFonts w:hint="default" w:ascii="Times New Roman" w:hAnsi="Times New Roman" w:eastAsia="仿宋" w:cs="Times New Roman"/>
                      <w:color w:val="auto"/>
                      <w:szCs w:val="21"/>
                      <w:lang w:val="en-US" w:eastAsia="zh-CN"/>
                    </w:rPr>
                    <w:t>均</w:t>
                  </w:r>
                  <w:r>
                    <w:rPr>
                      <w:rFonts w:hint="default" w:ascii="Times New Roman" w:hAnsi="Times New Roman" w:eastAsia="仿宋" w:cs="Times New Roman"/>
                      <w:color w:val="auto"/>
                      <w:szCs w:val="21"/>
                    </w:rPr>
                    <w:t>属于水基清洗剂，</w:t>
                  </w:r>
                  <w:r>
                    <w:rPr>
                      <w:rFonts w:hint="eastAsia" w:eastAsia="仿宋" w:cs="Times New Roman"/>
                      <w:color w:val="auto"/>
                      <w:szCs w:val="21"/>
                      <w:lang w:val="en-US" w:eastAsia="zh-CN"/>
                    </w:rPr>
                    <w:t>清洗过程均为常温，使用过程中不会产生</w:t>
                  </w:r>
                  <w:r>
                    <w:rPr>
                      <w:rFonts w:hint="default" w:ascii="Times New Roman" w:hAnsi="Times New Roman" w:eastAsia="仿宋" w:cs="Times New Roman"/>
                      <w:color w:val="auto"/>
                      <w:szCs w:val="21"/>
                    </w:rPr>
                    <w:t>挥发</w:t>
                  </w:r>
                  <w:r>
                    <w:rPr>
                      <w:rFonts w:hint="eastAsia" w:eastAsia="仿宋" w:cs="Times New Roman"/>
                      <w:color w:val="auto"/>
                      <w:szCs w:val="21"/>
                      <w:lang w:val="en-US" w:eastAsia="zh-CN"/>
                    </w:rPr>
                    <w:t>性</w:t>
                  </w:r>
                  <w:r>
                    <w:rPr>
                      <w:rFonts w:hint="default" w:ascii="Times New Roman" w:hAnsi="Times New Roman" w:eastAsia="仿宋" w:cs="Times New Roman"/>
                      <w:color w:val="auto"/>
                      <w:szCs w:val="21"/>
                    </w:rPr>
                    <w:t>有机物。</w:t>
                  </w:r>
                </w:p>
              </w:tc>
              <w:tc>
                <w:tcPr>
                  <w:tcW w:w="940" w:type="dxa"/>
                  <w:vMerge w:val="restart"/>
                  <w:vAlign w:val="center"/>
                </w:tcPr>
                <w:p w14:paraId="25FACD8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54534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6E29B2D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641" w:type="dxa"/>
                  <w:vAlign w:val="center"/>
                </w:tcPr>
                <w:p w14:paraId="68052C8B">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《关于印发常州市挥发性有机物清洁原料替代工作方案的通知》（常污防攻坚指办</w:t>
                  </w:r>
                  <w:r>
                    <w:rPr>
                      <w:rFonts w:hint="default" w:ascii="Times New Roman" w:hAnsi="Times New Roman" w:eastAsia="仿宋" w:cs="Times New Roman"/>
                      <w:color w:val="auto"/>
                      <w:sz w:val="21"/>
                      <w:szCs w:val="21"/>
                      <w:lang w:eastAsia="zh-CN"/>
                    </w:rPr>
                    <w:t>〔2021〕32号</w:t>
                  </w:r>
                  <w:r>
                    <w:rPr>
                      <w:rFonts w:hint="default" w:ascii="Times New Roman" w:hAnsi="Times New Roman" w:eastAsia="仿宋" w:cs="Times New Roman"/>
                      <w:color w:val="auto"/>
                      <w:sz w:val="21"/>
                      <w:szCs w:val="21"/>
                    </w:rPr>
                    <w:t>）</w:t>
                  </w:r>
                </w:p>
              </w:tc>
              <w:tc>
                <w:tcPr>
                  <w:tcW w:w="6954" w:type="dxa"/>
                  <w:vAlign w:val="center"/>
                </w:tcPr>
                <w:p w14:paraId="2D1D110D">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明确替代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2886" w:type="dxa"/>
                  <w:vMerge w:val="continue"/>
                  <w:shd w:val="clear" w:color="auto" w:fill="auto"/>
                  <w:vAlign w:val="center"/>
                </w:tcPr>
                <w:p w14:paraId="4FFDDF2C">
                  <w:pPr>
                    <w:jc w:val="both"/>
                    <w:rPr>
                      <w:rFonts w:hint="default" w:ascii="Times New Roman" w:hAnsi="Times New Roman" w:eastAsia="仿宋" w:cs="Times New Roman"/>
                      <w:color w:val="auto"/>
                      <w:sz w:val="21"/>
                      <w:szCs w:val="21"/>
                    </w:rPr>
                  </w:pPr>
                </w:p>
              </w:tc>
              <w:tc>
                <w:tcPr>
                  <w:tcW w:w="940" w:type="dxa"/>
                  <w:vMerge w:val="continue"/>
                  <w:vAlign w:val="center"/>
                </w:tcPr>
                <w:p w14:paraId="7C34B767">
                  <w:pPr>
                    <w:jc w:val="center"/>
                    <w:rPr>
                      <w:rFonts w:hint="default" w:ascii="Times New Roman" w:hAnsi="Times New Roman" w:eastAsia="仿宋" w:cs="Times New Roman"/>
                      <w:color w:val="auto"/>
                      <w:sz w:val="21"/>
                      <w:szCs w:val="21"/>
                    </w:rPr>
                  </w:pPr>
                </w:p>
              </w:tc>
            </w:tr>
            <w:tr w14:paraId="23D71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53D497E3">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p>
              </w:tc>
              <w:tc>
                <w:tcPr>
                  <w:tcW w:w="1641" w:type="dxa"/>
                  <w:vAlign w:val="center"/>
                </w:tcPr>
                <w:p w14:paraId="6C7F905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关于印发《2020年挥发性有机物治理攻坚方案》的通知（环大气</w:t>
                  </w:r>
                  <w:r>
                    <w:rPr>
                      <w:rFonts w:hint="default" w:ascii="Times New Roman" w:hAnsi="Times New Roman" w:eastAsia="仿宋" w:cs="Times New Roman"/>
                      <w:color w:val="auto"/>
                      <w:sz w:val="21"/>
                      <w:szCs w:val="21"/>
                      <w:lang w:eastAsia="zh-CN"/>
                    </w:rPr>
                    <w:t>〔2020〕</w:t>
                  </w:r>
                  <w:r>
                    <w:rPr>
                      <w:rFonts w:hint="default" w:ascii="Times New Roman" w:hAnsi="Times New Roman" w:eastAsia="仿宋" w:cs="Times New Roman"/>
                      <w:color w:val="auto"/>
                      <w:sz w:val="21"/>
                      <w:szCs w:val="21"/>
                    </w:rPr>
                    <w:t>33号）</w:t>
                  </w:r>
                </w:p>
              </w:tc>
              <w:tc>
                <w:tcPr>
                  <w:tcW w:w="6954" w:type="dxa"/>
                  <w:vAlign w:val="center"/>
                </w:tcPr>
                <w:p w14:paraId="4A6D1029">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全面落实标准要求，强化无组织排放控制；全面执行《挥发性有机物无组织排放控制标准》，重点区域应落实无组织排放特别控制要求。在保证安全的前提下，加强含VOCs物料全方位、全链条、全环节密闭管理。</w:t>
                  </w:r>
                </w:p>
                <w:p w14:paraId="6A187786">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三、聚焦治污设施“三率”，提升综合治理效率：对达不到要求的VOCs收集、治理设施进行更换或升级改造，确保实现达标排放。按照“应收尽收”的原则提升废气收集率。</w:t>
                  </w:r>
                </w:p>
                <w:p w14:paraId="5BD05D7E">
                  <w:pP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四、深化园区和集群整治，促进产业绿色发展。</w:t>
                  </w:r>
                </w:p>
              </w:tc>
              <w:tc>
                <w:tcPr>
                  <w:tcW w:w="2886" w:type="dxa"/>
                  <w:vMerge w:val="restart"/>
                  <w:vAlign w:val="center"/>
                </w:tcPr>
                <w:p w14:paraId="4EE9AE2B">
                  <w:pPr>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有机</w:t>
                  </w:r>
                  <w:r>
                    <w:rPr>
                      <w:rFonts w:hint="default" w:ascii="Times New Roman" w:hAnsi="Times New Roman" w:eastAsia="仿宋" w:cs="Times New Roman"/>
                      <w:color w:val="auto"/>
                      <w:sz w:val="21"/>
                      <w:szCs w:val="21"/>
                      <w:highlight w:val="none"/>
                    </w:rPr>
                    <w:t>废气均采用有效的收集治理设施，涉及VOCs物料包装桶均密闭管理，使用完毕后均加盖密封。</w:t>
                  </w:r>
                </w:p>
              </w:tc>
              <w:tc>
                <w:tcPr>
                  <w:tcW w:w="940" w:type="dxa"/>
                  <w:vMerge w:val="restart"/>
                  <w:vAlign w:val="center"/>
                </w:tcPr>
                <w:p w14:paraId="0A2F490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1EB8A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01D1FA5E">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0</w:t>
                  </w:r>
                </w:p>
              </w:tc>
              <w:tc>
                <w:tcPr>
                  <w:tcW w:w="1641" w:type="dxa"/>
                  <w:vAlign w:val="center"/>
                </w:tcPr>
                <w:p w14:paraId="6A98988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《关于印发江苏省2020年挥发性有机物专项治理工作方案的通知》（苏大气办</w:t>
                  </w:r>
                  <w:r>
                    <w:rPr>
                      <w:rFonts w:hint="default" w:ascii="Times New Roman" w:hAnsi="Times New Roman" w:eastAsia="仿宋" w:cs="Times New Roman"/>
                      <w:color w:val="auto"/>
                      <w:sz w:val="21"/>
                      <w:szCs w:val="21"/>
                      <w:lang w:eastAsia="zh-CN"/>
                    </w:rPr>
                    <w:t>〔2020〕2号</w:t>
                  </w:r>
                  <w:r>
                    <w:rPr>
                      <w:rFonts w:hint="default" w:ascii="Times New Roman" w:hAnsi="Times New Roman" w:eastAsia="仿宋" w:cs="Times New Roman"/>
                      <w:color w:val="auto"/>
                      <w:sz w:val="21"/>
                      <w:szCs w:val="21"/>
                    </w:rPr>
                    <w:t>）</w:t>
                  </w:r>
                </w:p>
              </w:tc>
              <w:tc>
                <w:tcPr>
                  <w:tcW w:w="6954" w:type="dxa"/>
                  <w:vAlign w:val="center"/>
                </w:tcPr>
                <w:p w14:paraId="254567C7">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控制无组织排放：…开展物料储存、转移输送、工艺过程、设备与管线组件以及敞开液面等无组织排放环节排查整治。需进行设备升级、工艺改造的要排出年度重点工程项目，需提升管理水平的要制定整改落实措施…包装印刷行业</w:t>
                  </w:r>
                  <w:r>
                    <w:rPr>
                      <w:rFonts w:hint="default" w:ascii="Times New Roman" w:hAnsi="Times New Roman" w:eastAsia="仿宋" w:cs="Times New Roman"/>
                      <w:color w:val="auto"/>
                      <w:sz w:val="21"/>
                      <w:szCs w:val="21"/>
                      <w:lang w:val="en-US" w:eastAsia="zh-CN"/>
                    </w:rPr>
                    <w:t>重点</w:t>
                  </w:r>
                  <w:r>
                    <w:rPr>
                      <w:rFonts w:hint="default" w:ascii="Times New Roman" w:hAnsi="Times New Roman" w:eastAsia="仿宋" w:cs="Times New Roman"/>
                      <w:color w:val="auto"/>
                      <w:sz w:val="21"/>
                      <w:szCs w:val="21"/>
                    </w:rPr>
                    <w:t>要控制无组织逸散，加强物料储存、调配、输送、使用等工艺环节无组织逸散控制，涉VOCs排放车间应进行负压改造或局部围风改造。</w:t>
                  </w:r>
                </w:p>
              </w:tc>
              <w:tc>
                <w:tcPr>
                  <w:tcW w:w="2886" w:type="dxa"/>
                  <w:vMerge w:val="continue"/>
                  <w:vAlign w:val="center"/>
                </w:tcPr>
                <w:p w14:paraId="7E5E9E93">
                  <w:pPr>
                    <w:jc w:val="both"/>
                    <w:rPr>
                      <w:rFonts w:hint="default" w:ascii="Times New Roman" w:hAnsi="Times New Roman" w:eastAsia="仿宋" w:cs="Times New Roman"/>
                      <w:color w:val="auto"/>
                      <w:sz w:val="21"/>
                      <w:szCs w:val="21"/>
                    </w:rPr>
                  </w:pPr>
                </w:p>
              </w:tc>
              <w:tc>
                <w:tcPr>
                  <w:tcW w:w="940" w:type="dxa"/>
                  <w:vMerge w:val="continue"/>
                  <w:vAlign w:val="center"/>
                </w:tcPr>
                <w:p w14:paraId="5BA9B268">
                  <w:pPr>
                    <w:jc w:val="center"/>
                    <w:rPr>
                      <w:rFonts w:hint="default" w:ascii="Times New Roman" w:hAnsi="Times New Roman" w:eastAsia="仿宋" w:cs="Times New Roman"/>
                      <w:color w:val="auto"/>
                      <w:sz w:val="21"/>
                      <w:szCs w:val="21"/>
                    </w:rPr>
                  </w:pPr>
                </w:p>
              </w:tc>
            </w:tr>
            <w:tr w14:paraId="0CF22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4B92D767">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1</w:t>
                  </w:r>
                </w:p>
              </w:tc>
              <w:tc>
                <w:tcPr>
                  <w:tcW w:w="1641" w:type="dxa"/>
                  <w:vAlign w:val="center"/>
                </w:tcPr>
                <w:p w14:paraId="29280DF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《关于印发常州市2021年大气污染防治工作计划的通知》（常大气办</w:t>
                  </w:r>
                  <w:r>
                    <w:rPr>
                      <w:rFonts w:hint="default" w:ascii="Times New Roman" w:hAnsi="Times New Roman" w:eastAsia="仿宋" w:cs="Times New Roman"/>
                      <w:color w:val="auto"/>
                      <w:sz w:val="21"/>
                      <w:szCs w:val="21"/>
                      <w:lang w:eastAsia="zh-CN"/>
                    </w:rPr>
                    <w:t>〔2021〕9号</w:t>
                  </w:r>
                  <w:r>
                    <w:rPr>
                      <w:rFonts w:hint="default" w:ascii="Times New Roman" w:hAnsi="Times New Roman" w:eastAsia="仿宋" w:cs="Times New Roman"/>
                      <w:color w:val="auto"/>
                      <w:sz w:val="21"/>
                      <w:szCs w:val="21"/>
                    </w:rPr>
                    <w:t>）》</w:t>
                  </w:r>
                </w:p>
              </w:tc>
              <w:tc>
                <w:tcPr>
                  <w:tcW w:w="6954" w:type="dxa"/>
                  <w:vAlign w:val="center"/>
                </w:tcPr>
                <w:p w14:paraId="1BC6006D">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调整优化产业结构：1.强化生态环境空间管控…重点实施先进、高效、绿色项目。…2推进重点行业转型升级。坚持绿色发展和气候友好理念…依法依规关停退出能耗、环保、安全、技术不达标和生产不合格产品或淘汰类产能。…3.推动绿色产业发展。（二）持续优化能源结构4.煤炭总量控制与节能。5.加快发展清洁能源和新能源。坚持“宜电则电、宜气则气”。6.加大绿色建筑推广力度。（三）着力调整运输结构（四）不断优化用地结构（五）推进VOCs治理攻坚13.严格执行产品有害物质含量限值强制性标准。14.大力推进源头替代。15.强化重点行业VOCs治理减排。16.深化工业园区、企业集群综合治理。（六）深化重点行业、重点企业、重点区域污染治理。（七）实施精细化扬尘管控（八）全面推进生活源治理（九）强化移动源污染防治</w:t>
                  </w:r>
                </w:p>
              </w:tc>
              <w:tc>
                <w:tcPr>
                  <w:tcW w:w="2886" w:type="dxa"/>
                  <w:vMerge w:val="continue"/>
                  <w:vAlign w:val="center"/>
                </w:tcPr>
                <w:p w14:paraId="3DED8736">
                  <w:pPr>
                    <w:jc w:val="both"/>
                    <w:rPr>
                      <w:rFonts w:hint="default" w:ascii="Times New Roman" w:hAnsi="Times New Roman" w:eastAsia="仿宋" w:cs="Times New Roman"/>
                      <w:color w:val="auto"/>
                      <w:sz w:val="21"/>
                      <w:szCs w:val="21"/>
                    </w:rPr>
                  </w:pPr>
                </w:p>
              </w:tc>
              <w:tc>
                <w:tcPr>
                  <w:tcW w:w="940" w:type="dxa"/>
                  <w:vMerge w:val="continue"/>
                  <w:vAlign w:val="center"/>
                </w:tcPr>
                <w:p w14:paraId="161CF2F8">
                  <w:pPr>
                    <w:jc w:val="center"/>
                    <w:rPr>
                      <w:rFonts w:hint="default" w:ascii="Times New Roman" w:hAnsi="Times New Roman" w:eastAsia="仿宋" w:cs="Times New Roman"/>
                      <w:color w:val="auto"/>
                      <w:sz w:val="21"/>
                      <w:szCs w:val="21"/>
                    </w:rPr>
                  </w:pPr>
                </w:p>
              </w:tc>
            </w:tr>
            <w:tr w14:paraId="22E33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001C02E4">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2</w:t>
                  </w:r>
                </w:p>
              </w:tc>
              <w:tc>
                <w:tcPr>
                  <w:tcW w:w="1641" w:type="dxa"/>
                  <w:vAlign w:val="center"/>
                </w:tcPr>
                <w:p w14:paraId="481E132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常州市金坛区人民政府关于印发《2022年常州市金坛区深入打好污染防治攻坚战工作方案》的通知（坛政发〔2022〕54号）</w:t>
                  </w:r>
                </w:p>
              </w:tc>
              <w:tc>
                <w:tcPr>
                  <w:tcW w:w="6954" w:type="dxa"/>
                  <w:vAlign w:val="center"/>
                </w:tcPr>
                <w:p w14:paraId="36FBD847">
                  <w:pPr>
                    <w:jc w:val="left"/>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（二）深入打好蓝天保卫战</w:t>
                  </w:r>
                </w:p>
                <w:p w14:paraId="5A2D482F">
                  <w:pPr>
                    <w:jc w:val="left"/>
                    <w:rPr>
                      <w:rFonts w:hint="default" w:ascii="Times New Roman" w:hAnsi="Times New Roman" w:eastAsia="仿宋" w:cs="Times New Roman"/>
                      <w:b/>
                      <w:bCs/>
                      <w:color w:val="auto"/>
                      <w:spacing w:val="-2"/>
                      <w:sz w:val="21"/>
                      <w:szCs w:val="21"/>
                    </w:rPr>
                  </w:pPr>
                  <w:r>
                    <w:rPr>
                      <w:rFonts w:hint="default" w:ascii="Times New Roman" w:hAnsi="Times New Roman" w:eastAsia="仿宋" w:cs="Times New Roman"/>
                      <w:b/>
                      <w:bCs/>
                      <w:color w:val="auto"/>
                      <w:spacing w:val="-2"/>
                      <w:sz w:val="21"/>
                      <w:szCs w:val="21"/>
                    </w:rPr>
                    <w:t>9.着力打好臭氧污染防治攻坚战</w:t>
                  </w:r>
                </w:p>
                <w:p w14:paraId="1154B671">
                  <w:pPr>
                    <w:jc w:val="left"/>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（4）强化VOCs全流程、全环节综合治理。在确保安全等前提下，加强含VOCs物料全方位、全链条、全环节密闭管理。督促指导企业对照标准要求开展含VOCs物料储存、转移和输送、设备与管线组件</w:t>
                  </w:r>
                  <w:r>
                    <w:rPr>
                      <w:rFonts w:hint="eastAsia" w:eastAsia="仿宋" w:cs="Times New Roman"/>
                      <w:color w:val="auto"/>
                      <w:spacing w:val="-2"/>
                      <w:sz w:val="21"/>
                      <w:szCs w:val="21"/>
                      <w:lang w:eastAsia="zh-CN"/>
                    </w:rPr>
                    <w:t>泄漏</w:t>
                  </w:r>
                  <w:r>
                    <w:rPr>
                      <w:rFonts w:hint="default" w:ascii="Times New Roman" w:hAnsi="Times New Roman" w:eastAsia="仿宋" w:cs="Times New Roman"/>
                      <w:color w:val="auto"/>
                      <w:spacing w:val="-2"/>
                      <w:sz w:val="21"/>
                      <w:szCs w:val="21"/>
                    </w:rPr>
                    <w:t>、敞开液面逸散以及工艺过程等无组织排放环节排查整治。</w:t>
                  </w:r>
                </w:p>
              </w:tc>
              <w:tc>
                <w:tcPr>
                  <w:tcW w:w="2886" w:type="dxa"/>
                  <w:vMerge w:val="continue"/>
                  <w:vAlign w:val="center"/>
                </w:tcPr>
                <w:p w14:paraId="3C9D79F9">
                  <w:pPr>
                    <w:jc w:val="both"/>
                    <w:rPr>
                      <w:rFonts w:hint="default" w:ascii="Times New Roman" w:hAnsi="Times New Roman" w:eastAsia="仿宋" w:cs="Times New Roman"/>
                      <w:color w:val="auto"/>
                      <w:sz w:val="21"/>
                      <w:szCs w:val="21"/>
                    </w:rPr>
                  </w:pPr>
                </w:p>
              </w:tc>
              <w:tc>
                <w:tcPr>
                  <w:tcW w:w="940" w:type="dxa"/>
                  <w:vMerge w:val="continue"/>
                  <w:vAlign w:val="center"/>
                </w:tcPr>
                <w:p w14:paraId="57D2463E">
                  <w:pPr>
                    <w:jc w:val="center"/>
                    <w:rPr>
                      <w:rFonts w:hint="default" w:ascii="Times New Roman" w:hAnsi="Times New Roman" w:eastAsia="仿宋" w:cs="Times New Roman"/>
                      <w:color w:val="auto"/>
                      <w:sz w:val="21"/>
                      <w:szCs w:val="21"/>
                    </w:rPr>
                  </w:pPr>
                </w:p>
              </w:tc>
            </w:tr>
            <w:tr w14:paraId="65EB4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9" w:hRule="atLeast"/>
              </w:trPr>
              <w:tc>
                <w:tcPr>
                  <w:tcW w:w="544" w:type="dxa"/>
                  <w:shd w:val="clear" w:color="auto" w:fill="auto"/>
                  <w:vAlign w:val="center"/>
                </w:tcPr>
                <w:p w14:paraId="1C9C853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3</w:t>
                  </w:r>
                </w:p>
              </w:tc>
              <w:tc>
                <w:tcPr>
                  <w:tcW w:w="1641" w:type="dxa"/>
                  <w:vAlign w:val="center"/>
                </w:tcPr>
                <w:p w14:paraId="4ABD3781">
                  <w:pPr>
                    <w:jc w:val="center"/>
                    <w:rPr>
                      <w:rFonts w:hint="default" w:ascii="Times New Roman" w:hAnsi="Times New Roman" w:eastAsia="仿宋" w:cs="Times New Roman"/>
                      <w:color w:val="auto"/>
                      <w:sz w:val="21"/>
                      <w:szCs w:val="21"/>
                      <w:highlight w:val="none"/>
                    </w:rPr>
                  </w:pPr>
                  <w:r>
                    <w:rPr>
                      <w:rFonts w:eastAsia="仿宋"/>
                      <w:color w:val="auto"/>
                      <w:szCs w:val="21"/>
                      <w:highlight w:val="none"/>
                    </w:rPr>
                    <w:t>《省生态环境厅关于深入开展涉VOCs治理重点工作核查的通知》（苏环办</w:t>
                  </w:r>
                  <w:r>
                    <w:rPr>
                      <w:rFonts w:hint="eastAsia" w:eastAsia="仿宋"/>
                      <w:color w:val="auto"/>
                      <w:szCs w:val="21"/>
                      <w:highlight w:val="none"/>
                      <w:lang w:eastAsia="zh-CN"/>
                    </w:rPr>
                    <w:t>〔2022〕218号</w:t>
                  </w:r>
                  <w:r>
                    <w:rPr>
                      <w:rFonts w:eastAsia="仿宋"/>
                      <w:color w:val="auto"/>
                      <w:szCs w:val="21"/>
                      <w:highlight w:val="none"/>
                    </w:rPr>
                    <w:t>）</w:t>
                  </w:r>
                </w:p>
              </w:tc>
              <w:tc>
                <w:tcPr>
                  <w:tcW w:w="6954" w:type="dxa"/>
                  <w:vAlign w:val="center"/>
                </w:tcPr>
                <w:p w14:paraId="48A72691">
                  <w:pPr>
                    <w:jc w:val="left"/>
                    <w:rPr>
                      <w:rFonts w:hint="default" w:ascii="Times New Roman" w:hAnsi="Times New Roman" w:eastAsia="仿宋" w:cs="Times New Roman"/>
                      <w:color w:val="auto"/>
                      <w:spacing w:val="-2"/>
                      <w:sz w:val="21"/>
                      <w:szCs w:val="21"/>
                      <w:highlight w:val="none"/>
                    </w:rPr>
                  </w:pPr>
                  <w:r>
                    <w:rPr>
                      <w:rFonts w:eastAsia="仿宋"/>
                      <w:color w:val="auto"/>
                      <w:szCs w:val="21"/>
                      <w:highlight w:val="none"/>
                    </w:rPr>
                    <w:t>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tc>
              <w:tc>
                <w:tcPr>
                  <w:tcW w:w="2886" w:type="dxa"/>
                  <w:vAlign w:val="center"/>
                </w:tcPr>
                <w:p w14:paraId="1D875735">
                  <w:pPr>
                    <w:jc w:val="both"/>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有机</w:t>
                  </w:r>
                  <w:r>
                    <w:rPr>
                      <w:rFonts w:hint="default" w:ascii="Times New Roman" w:hAnsi="Times New Roman" w:eastAsia="仿宋" w:cs="Times New Roman"/>
                      <w:color w:val="auto"/>
                      <w:sz w:val="21"/>
                      <w:szCs w:val="21"/>
                      <w:highlight w:val="none"/>
                    </w:rPr>
                    <w:t>废气</w:t>
                  </w:r>
                  <w:r>
                    <w:rPr>
                      <w:rFonts w:hint="eastAsia" w:ascii="Times New Roman" w:hAnsi="Times New Roman" w:eastAsia="仿宋" w:cs="Times New Roman"/>
                      <w:color w:val="auto"/>
                      <w:sz w:val="21"/>
                      <w:szCs w:val="21"/>
                      <w:highlight w:val="none"/>
                      <w:lang w:val="en-US" w:eastAsia="zh-CN"/>
                    </w:rPr>
                    <w:t>经收集后</w:t>
                  </w:r>
                  <w:r>
                    <w:rPr>
                      <w:rFonts w:hint="default" w:ascii="Times New Roman" w:hAnsi="Times New Roman" w:eastAsia="仿宋" w:cs="Times New Roman"/>
                      <w:color w:val="auto"/>
                      <w:sz w:val="21"/>
                      <w:szCs w:val="21"/>
                      <w:highlight w:val="none"/>
                      <w:lang w:val="en-US" w:eastAsia="zh-CN"/>
                    </w:rPr>
                    <w:t>依托现有1套</w:t>
                  </w:r>
                  <w:r>
                    <w:rPr>
                      <w:rFonts w:hint="default" w:ascii="Times New Roman" w:hAnsi="Times New Roman" w:eastAsia="仿宋" w:cs="Times New Roman"/>
                      <w:color w:val="auto"/>
                      <w:szCs w:val="21"/>
                      <w:highlight w:val="none"/>
                      <w:lang w:val="en-US" w:eastAsia="zh-CN"/>
                    </w:rPr>
                    <w:t>碱液喷淋塔</w:t>
                  </w:r>
                  <w:r>
                    <w:rPr>
                      <w:rFonts w:hint="eastAsia" w:eastAsia="仿宋" w:cs="Times New Roman"/>
                      <w:color w:val="auto"/>
                      <w:szCs w:val="21"/>
                      <w:highlight w:val="none"/>
                      <w:lang w:val="en-US" w:eastAsia="zh-CN"/>
                    </w:rPr>
                    <w:t>（</w:t>
                  </w:r>
                  <w:r>
                    <w:rPr>
                      <w:rFonts w:hint="eastAsia" w:eastAsia="仿宋" w:cs="Times New Roman"/>
                      <w:color w:val="auto"/>
                      <w:vertAlign w:val="baseline"/>
                      <w:lang w:val="en-US" w:eastAsia="zh-CN"/>
                    </w:rPr>
                    <w:t>含吸水填料</w:t>
                  </w:r>
                  <w:r>
                    <w:rPr>
                      <w:rFonts w:hint="eastAsia" w:eastAsia="仿宋" w:cs="Times New Roman"/>
                      <w:color w:val="auto"/>
                      <w:szCs w:val="21"/>
                      <w:highlight w:val="none"/>
                      <w:lang w:val="en-US" w:eastAsia="zh-CN"/>
                    </w:rPr>
                    <w:t>）</w:t>
                  </w:r>
                  <w:r>
                    <w:rPr>
                      <w:rFonts w:hint="default" w:ascii="Times New Roman" w:hAnsi="Times New Roman" w:eastAsia="仿宋" w:cs="Times New Roman"/>
                      <w:color w:val="auto"/>
                      <w:szCs w:val="21"/>
                      <w:highlight w:val="none"/>
                      <w:lang w:val="en-US" w:eastAsia="zh-CN"/>
                    </w:rPr>
                    <w:t>+3#两级活性炭吸附装置处理</w:t>
                  </w:r>
                  <w:r>
                    <w:rPr>
                      <w:rFonts w:hint="eastAsia" w:ascii="Times New Roman" w:hAnsi="Times New Roman" w:eastAsia="仿宋" w:cs="Times New Roman"/>
                      <w:color w:val="auto"/>
                      <w:szCs w:val="21"/>
                      <w:highlight w:val="none"/>
                      <w:lang w:val="en-US" w:eastAsia="zh-CN"/>
                    </w:rPr>
                    <w:t>，废气设施为组合式治理工艺，不涉及</w:t>
                  </w:r>
                  <w:r>
                    <w:rPr>
                      <w:rFonts w:eastAsia="仿宋"/>
                      <w:color w:val="auto"/>
                      <w:szCs w:val="21"/>
                      <w:highlight w:val="none"/>
                    </w:rPr>
                    <w:t>单一低温等离子、光催化、光氧化、水喷淋等低效末端治理技术</w:t>
                  </w:r>
                  <w:r>
                    <w:rPr>
                      <w:rFonts w:hint="eastAsia" w:eastAsia="仿宋"/>
                      <w:color w:val="auto"/>
                      <w:szCs w:val="21"/>
                      <w:highlight w:val="none"/>
                      <w:lang w:eastAsia="zh-CN"/>
                    </w:rPr>
                    <w:t>。</w:t>
                  </w:r>
                </w:p>
              </w:tc>
              <w:tc>
                <w:tcPr>
                  <w:tcW w:w="940" w:type="dxa"/>
                  <w:vAlign w:val="center"/>
                </w:tcPr>
                <w:p w14:paraId="42FC9351">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是</w:t>
                  </w:r>
                </w:p>
              </w:tc>
            </w:tr>
            <w:tr w14:paraId="39B9F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shd w:val="clear" w:color="auto" w:fill="auto"/>
                  <w:vAlign w:val="center"/>
                </w:tcPr>
                <w:p w14:paraId="6CBBD8B3">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4</w:t>
                  </w:r>
                </w:p>
              </w:tc>
              <w:tc>
                <w:tcPr>
                  <w:tcW w:w="1641" w:type="dxa"/>
                  <w:vAlign w:val="center"/>
                </w:tcPr>
                <w:p w14:paraId="32A367B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《省生态环境厅关于报送高耗能、高排放项目清单的通知》</w:t>
                  </w:r>
                  <w:r>
                    <w:rPr>
                      <w:rFonts w:hint="default" w:ascii="Times New Roman" w:hAnsi="Times New Roman" w:eastAsia="仿宋" w:cs="Times New Roman"/>
                      <w:color w:val="auto"/>
                      <w:spacing w:val="-2"/>
                      <w:sz w:val="21"/>
                      <w:szCs w:val="21"/>
                    </w:rPr>
                    <w:t>（苏环便函</w:t>
                  </w:r>
                  <w:r>
                    <w:rPr>
                      <w:rFonts w:hint="default" w:ascii="Times New Roman" w:hAnsi="Times New Roman" w:eastAsia="仿宋" w:cs="Times New Roman"/>
                      <w:color w:val="auto"/>
                      <w:spacing w:val="-2"/>
                      <w:sz w:val="21"/>
                      <w:szCs w:val="21"/>
                      <w:lang w:eastAsia="zh-CN"/>
                    </w:rPr>
                    <w:t>〔2021〕903号</w:t>
                  </w:r>
                  <w:r>
                    <w:rPr>
                      <w:rFonts w:hint="default" w:ascii="Times New Roman" w:hAnsi="Times New Roman" w:eastAsia="仿宋" w:cs="Times New Roman"/>
                      <w:color w:val="auto"/>
                      <w:spacing w:val="-2"/>
                      <w:sz w:val="21"/>
                      <w:szCs w:val="21"/>
                    </w:rPr>
                    <w:t>）</w:t>
                  </w:r>
                </w:p>
              </w:tc>
              <w:tc>
                <w:tcPr>
                  <w:tcW w:w="6954" w:type="dxa"/>
                  <w:vAlign w:val="center"/>
                </w:tcPr>
                <w:p w14:paraId="0DE71EAA">
                  <w:pPr>
                    <w:jc w:val="left"/>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一、“两高”项目范围</w:t>
                  </w:r>
                </w:p>
                <w:p w14:paraId="29E9A716">
                  <w:pPr>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2"/>
                      <w:sz w:val="21"/>
                      <w:szCs w:val="21"/>
                    </w:rPr>
                    <w:t>两高（高耗能、高排放）项目范围包括煤电、石化化工、钢铁、有色金属冶炼、建材、造纸、纺织印染行业，根据附件1</w:t>
                  </w:r>
                  <w:r>
                    <w:rPr>
                      <w:rFonts w:hint="eastAsia" w:eastAsia="仿宋" w:cs="Times New Roman"/>
                      <w:color w:val="auto"/>
                      <w:spacing w:val="-2"/>
                      <w:sz w:val="21"/>
                      <w:szCs w:val="21"/>
                      <w:lang w:eastAsia="zh-CN"/>
                    </w:rPr>
                    <w:t>，</w:t>
                  </w:r>
                  <w:r>
                    <w:rPr>
                      <w:rFonts w:hint="default" w:ascii="Times New Roman" w:hAnsi="Times New Roman" w:eastAsia="仿宋" w:cs="Times New Roman"/>
                      <w:color w:val="auto"/>
                      <w:spacing w:val="-2"/>
                      <w:sz w:val="21"/>
                      <w:szCs w:val="21"/>
                    </w:rPr>
                    <w:t>建材项目报送范围为：3011水泥制造、3012石灰和石膏制造、3031粘土砖瓦及建筑砌块制造、3041平板玻璃制造、3061玻璃纤维及制品制造、3071建筑陶瓷制品制造、3089耐火陶瓷制品及其他耐火材料制造。</w:t>
                  </w:r>
                </w:p>
              </w:tc>
              <w:tc>
                <w:tcPr>
                  <w:tcW w:w="2886" w:type="dxa"/>
                  <w:vMerge w:val="restart"/>
                  <w:vAlign w:val="center"/>
                </w:tcPr>
                <w:p w14:paraId="791339A7">
                  <w:pPr>
                    <w:jc w:val="both"/>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本项目</w:t>
                  </w:r>
                  <w:r>
                    <w:rPr>
                      <w:rFonts w:hint="default" w:ascii="Times New Roman" w:hAnsi="Times New Roman" w:eastAsia="仿宋" w:cs="Times New Roman"/>
                      <w:color w:val="auto"/>
                      <w:spacing w:val="-2"/>
                      <w:sz w:val="21"/>
                      <w:szCs w:val="21"/>
                      <w:lang w:val="en-US" w:eastAsia="zh-CN"/>
                    </w:rPr>
                    <w:t>为厂区内产品及生产配套需求提供实验及检测服务</w:t>
                  </w:r>
                  <w:r>
                    <w:rPr>
                      <w:rFonts w:hint="default" w:ascii="Times New Roman" w:hAnsi="Times New Roman" w:eastAsia="仿宋" w:cs="Times New Roman"/>
                      <w:color w:val="auto"/>
                      <w:spacing w:val="-2"/>
                      <w:sz w:val="21"/>
                      <w:szCs w:val="21"/>
                    </w:rPr>
                    <w:t>，行业类别为</w:t>
                  </w:r>
                  <w:r>
                    <w:rPr>
                      <w:rFonts w:hint="default" w:ascii="Times New Roman" w:hAnsi="Times New Roman" w:eastAsia="仿宋" w:cs="Times New Roman"/>
                      <w:color w:val="auto"/>
                      <w:spacing w:val="-2"/>
                      <w:sz w:val="21"/>
                      <w:szCs w:val="21"/>
                      <w:lang w:val="en-US" w:eastAsia="zh-CN"/>
                    </w:rPr>
                    <w:t>M7320工程和技术研究和试验发展</w:t>
                  </w:r>
                  <w:r>
                    <w:rPr>
                      <w:rFonts w:hint="default" w:ascii="Times New Roman" w:hAnsi="Times New Roman" w:eastAsia="仿宋" w:cs="Times New Roman"/>
                      <w:color w:val="auto"/>
                      <w:spacing w:val="-2"/>
                      <w:sz w:val="21"/>
                      <w:szCs w:val="21"/>
                    </w:rPr>
                    <w:t>，不在《环境保护综合名录</w:t>
                  </w:r>
                  <w:r>
                    <w:rPr>
                      <w:rFonts w:hint="eastAsia" w:eastAsia="仿宋" w:cs="Times New Roman"/>
                      <w:color w:val="auto"/>
                      <w:spacing w:val="-2"/>
                      <w:sz w:val="21"/>
                      <w:szCs w:val="21"/>
                      <w:lang w:eastAsia="zh-CN"/>
                    </w:rPr>
                    <w:t>（</w:t>
                  </w:r>
                  <w:r>
                    <w:rPr>
                      <w:rFonts w:hint="default" w:ascii="Times New Roman" w:hAnsi="Times New Roman" w:eastAsia="仿宋" w:cs="Times New Roman"/>
                      <w:color w:val="auto"/>
                      <w:spacing w:val="-2"/>
                      <w:sz w:val="21"/>
                      <w:szCs w:val="21"/>
                    </w:rPr>
                    <w:t>2021</w:t>
                  </w:r>
                  <w:r>
                    <w:rPr>
                      <w:rFonts w:hint="eastAsia" w:eastAsia="仿宋" w:cs="Times New Roman"/>
                      <w:color w:val="auto"/>
                      <w:spacing w:val="-2"/>
                      <w:sz w:val="21"/>
                      <w:szCs w:val="21"/>
                      <w:lang w:eastAsia="zh-CN"/>
                    </w:rPr>
                    <w:t>）</w:t>
                  </w:r>
                  <w:r>
                    <w:rPr>
                      <w:rFonts w:hint="default" w:ascii="Times New Roman" w:hAnsi="Times New Roman" w:eastAsia="仿宋" w:cs="Times New Roman"/>
                      <w:color w:val="auto"/>
                      <w:spacing w:val="-2"/>
                      <w:sz w:val="21"/>
                      <w:szCs w:val="21"/>
                    </w:rPr>
                    <w:t>年版》的“高污染、高环境风险”产品名录中</w:t>
                  </w:r>
                  <w:r>
                    <w:rPr>
                      <w:rFonts w:hint="default" w:ascii="Times New Roman" w:hAnsi="Times New Roman" w:eastAsia="仿宋" w:cs="Times New Roman"/>
                      <w:color w:val="auto"/>
                      <w:spacing w:val="-2"/>
                      <w:sz w:val="21"/>
                      <w:szCs w:val="21"/>
                      <w:lang w:eastAsia="zh-CN"/>
                    </w:rPr>
                    <w:t>，</w:t>
                  </w:r>
                  <w:r>
                    <w:rPr>
                      <w:rFonts w:hint="default" w:ascii="Times New Roman" w:hAnsi="Times New Roman" w:eastAsia="仿宋" w:cs="Times New Roman"/>
                      <w:color w:val="auto"/>
                      <w:spacing w:val="-2"/>
                      <w:sz w:val="21"/>
                      <w:szCs w:val="21"/>
                      <w:lang w:val="en-US" w:eastAsia="zh-CN"/>
                    </w:rPr>
                    <w:t>也不在</w:t>
                  </w:r>
                  <w:r>
                    <w:rPr>
                      <w:rFonts w:hint="default" w:ascii="Times New Roman" w:hAnsi="Times New Roman" w:eastAsia="仿宋" w:cs="Times New Roman"/>
                      <w:color w:val="auto"/>
                      <w:spacing w:val="-2"/>
                      <w:sz w:val="21"/>
                      <w:szCs w:val="21"/>
                    </w:rPr>
                    <w:t>《江苏省“两高”项目管理目录（202</w:t>
                  </w:r>
                  <w:r>
                    <w:rPr>
                      <w:rFonts w:hint="default" w:ascii="Times New Roman" w:hAnsi="Times New Roman" w:eastAsia="仿宋" w:cs="Times New Roman"/>
                      <w:color w:val="auto"/>
                      <w:spacing w:val="-2"/>
                      <w:sz w:val="21"/>
                      <w:szCs w:val="21"/>
                      <w:lang w:val="en-US" w:eastAsia="zh-CN"/>
                    </w:rPr>
                    <w:t>5</w:t>
                  </w:r>
                  <w:r>
                    <w:rPr>
                      <w:rFonts w:hint="default" w:ascii="Times New Roman" w:hAnsi="Times New Roman" w:eastAsia="仿宋" w:cs="Times New Roman"/>
                      <w:color w:val="auto"/>
                      <w:spacing w:val="-2"/>
                      <w:sz w:val="21"/>
                      <w:szCs w:val="21"/>
                    </w:rPr>
                    <w:t>年版）》</w:t>
                  </w:r>
                  <w:r>
                    <w:rPr>
                      <w:rFonts w:hint="default" w:ascii="Times New Roman" w:hAnsi="Times New Roman" w:eastAsia="仿宋" w:cs="Times New Roman"/>
                      <w:color w:val="auto"/>
                      <w:spacing w:val="-2"/>
                      <w:sz w:val="21"/>
                      <w:szCs w:val="21"/>
                      <w:lang w:val="en-US" w:eastAsia="zh-CN"/>
                    </w:rPr>
                    <w:t>中</w:t>
                  </w:r>
                  <w:r>
                    <w:rPr>
                      <w:rFonts w:hint="default" w:ascii="Times New Roman" w:hAnsi="Times New Roman" w:eastAsia="仿宋" w:cs="Times New Roman"/>
                      <w:color w:val="auto"/>
                      <w:spacing w:val="-2"/>
                      <w:sz w:val="21"/>
                      <w:szCs w:val="21"/>
                    </w:rPr>
                    <w:t>，不属于两高行业。项目距离最近的金坛城区国控点直线距离约</w:t>
                  </w:r>
                  <w:r>
                    <w:rPr>
                      <w:rFonts w:hint="default" w:ascii="Times New Roman" w:hAnsi="Times New Roman" w:eastAsia="仿宋" w:cs="Times New Roman"/>
                      <w:color w:val="auto"/>
                      <w:spacing w:val="-2"/>
                      <w:sz w:val="21"/>
                      <w:szCs w:val="21"/>
                      <w:lang w:val="en-US" w:eastAsia="zh-CN"/>
                    </w:rPr>
                    <w:t>6</w:t>
                  </w:r>
                  <w:r>
                    <w:rPr>
                      <w:rFonts w:hint="default" w:ascii="Times New Roman" w:hAnsi="Times New Roman" w:eastAsia="仿宋" w:cs="Times New Roman"/>
                      <w:color w:val="auto"/>
                      <w:spacing w:val="-2"/>
                      <w:sz w:val="21"/>
                      <w:szCs w:val="21"/>
                    </w:rPr>
                    <w:t>.8km，不在重点区域3km范围内。</w:t>
                  </w:r>
                </w:p>
              </w:tc>
              <w:tc>
                <w:tcPr>
                  <w:tcW w:w="940" w:type="dxa"/>
                  <w:vAlign w:val="center"/>
                </w:tcPr>
                <w:p w14:paraId="65B80E99">
                  <w:pPr>
                    <w:jc w:val="center"/>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是</w:t>
                  </w:r>
                </w:p>
              </w:tc>
            </w:tr>
            <w:tr w14:paraId="6C000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shd w:val="clear" w:color="auto" w:fill="auto"/>
                  <w:vAlign w:val="center"/>
                </w:tcPr>
                <w:p w14:paraId="46C998B7">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5</w:t>
                  </w:r>
                </w:p>
              </w:tc>
              <w:tc>
                <w:tcPr>
                  <w:tcW w:w="1641" w:type="dxa"/>
                  <w:vAlign w:val="center"/>
                </w:tcPr>
                <w:p w14:paraId="0CDC0B0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《关于加强高耗能、高排放建设项目生态环境源头防控的指导意见》</w:t>
                  </w:r>
                  <w:r>
                    <w:rPr>
                      <w:rFonts w:hint="eastAsia"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环环评</w:t>
                  </w:r>
                  <w:r>
                    <w:rPr>
                      <w:rFonts w:hint="default" w:ascii="Times New Roman" w:hAnsi="Times New Roman" w:eastAsia="仿宋" w:cs="Times New Roman"/>
                      <w:color w:val="auto"/>
                      <w:szCs w:val="21"/>
                      <w:highlight w:val="none"/>
                      <w:lang w:eastAsia="zh-CN"/>
                    </w:rPr>
                    <w:t>〔2021〕45号</w:t>
                  </w:r>
                  <w:r>
                    <w:rPr>
                      <w:rFonts w:hint="eastAsia" w:eastAsia="仿宋" w:cs="Times New Roman"/>
                      <w:color w:val="auto"/>
                      <w:szCs w:val="21"/>
                      <w:highlight w:val="none"/>
                      <w:lang w:eastAsia="zh-CN"/>
                    </w:rPr>
                    <w:t>）</w:t>
                  </w:r>
                </w:p>
              </w:tc>
              <w:tc>
                <w:tcPr>
                  <w:tcW w:w="6954" w:type="dxa"/>
                  <w:vAlign w:val="center"/>
                </w:tcPr>
                <w:p w14:paraId="06777F9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二、严格“两高”项目环评审批</w:t>
                  </w:r>
                </w:p>
                <w:p w14:paraId="04255BA4">
                  <w:pPr>
                    <w:adjustRightInd w:val="0"/>
                    <w:snapToGrid w:val="0"/>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zCs w:val="21"/>
                      <w:highlight w:val="none"/>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2886" w:type="dxa"/>
                  <w:vMerge w:val="continue"/>
                  <w:vAlign w:val="center"/>
                </w:tcPr>
                <w:p w14:paraId="62EE15BE">
                  <w:pPr>
                    <w:jc w:val="left"/>
                    <w:rPr>
                      <w:rFonts w:hint="default" w:ascii="Times New Roman" w:hAnsi="Times New Roman" w:eastAsia="仿宋" w:cs="Times New Roman"/>
                      <w:color w:val="auto"/>
                      <w:spacing w:val="-2"/>
                      <w:sz w:val="21"/>
                      <w:szCs w:val="21"/>
                    </w:rPr>
                  </w:pPr>
                </w:p>
              </w:tc>
              <w:tc>
                <w:tcPr>
                  <w:tcW w:w="940" w:type="dxa"/>
                  <w:vAlign w:val="center"/>
                </w:tcPr>
                <w:p w14:paraId="63436FD3">
                  <w:pPr>
                    <w:jc w:val="center"/>
                    <w:rPr>
                      <w:rFonts w:hint="default" w:ascii="Times New Roman" w:hAnsi="Times New Roman" w:eastAsia="仿宋" w:cs="Times New Roman"/>
                      <w:color w:val="auto"/>
                      <w:spacing w:val="-2"/>
                      <w:sz w:val="21"/>
                      <w:szCs w:val="21"/>
                    </w:rPr>
                  </w:pPr>
                  <w:r>
                    <w:rPr>
                      <w:rFonts w:hint="default" w:ascii="Times New Roman" w:hAnsi="Times New Roman" w:eastAsia="仿宋" w:cs="Times New Roman"/>
                      <w:color w:val="auto"/>
                      <w:spacing w:val="-2"/>
                      <w:sz w:val="21"/>
                      <w:szCs w:val="21"/>
                    </w:rPr>
                    <w:t>是</w:t>
                  </w:r>
                </w:p>
              </w:tc>
            </w:tr>
            <w:tr w14:paraId="41155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shd w:val="clear" w:color="auto" w:fill="auto"/>
                  <w:vAlign w:val="center"/>
                </w:tcPr>
                <w:p w14:paraId="1725DB5F">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r>
                    <w:rPr>
                      <w:rFonts w:hint="eastAsia" w:eastAsia="仿宋" w:cs="Times New Roman"/>
                      <w:color w:val="auto"/>
                      <w:sz w:val="21"/>
                      <w:szCs w:val="21"/>
                      <w:lang w:val="en-US" w:eastAsia="zh-CN"/>
                    </w:rPr>
                    <w:t>6</w:t>
                  </w:r>
                </w:p>
              </w:tc>
              <w:tc>
                <w:tcPr>
                  <w:tcW w:w="1641" w:type="dxa"/>
                  <w:vAlign w:val="center"/>
                </w:tcPr>
                <w:p w14:paraId="6ECED6B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《常州市生态环境局关于建设项目的审批指导意见（试行）》</w:t>
                  </w:r>
                </w:p>
              </w:tc>
              <w:tc>
                <w:tcPr>
                  <w:tcW w:w="6954" w:type="dxa"/>
                  <w:vAlign w:val="center"/>
                </w:tcPr>
                <w:p w14:paraId="4D953D16">
                  <w:pPr>
                    <w:adjustRightInd w:val="0"/>
                    <w:snapToGrid w:val="0"/>
                    <w:rPr>
                      <w:rFonts w:hint="default" w:ascii="Times New Roman" w:hAnsi="Times New Roman" w:eastAsia="仿宋" w:cs="Times New Roman"/>
                      <w:color w:val="auto"/>
                      <w:spacing w:val="-2"/>
                      <w:kern w:val="2"/>
                      <w:sz w:val="21"/>
                      <w:szCs w:val="21"/>
                    </w:rPr>
                  </w:pPr>
                  <w:r>
                    <w:rPr>
                      <w:rFonts w:hint="default" w:ascii="Times New Roman" w:hAnsi="Times New Roman" w:eastAsia="仿宋" w:cs="Times New Roman"/>
                      <w:color w:val="auto"/>
                      <w:szCs w:val="21"/>
                      <w:highlight w:val="none"/>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2886" w:type="dxa"/>
                  <w:vMerge w:val="continue"/>
                  <w:vAlign w:val="center"/>
                </w:tcPr>
                <w:p w14:paraId="2499A8E1">
                  <w:pPr>
                    <w:jc w:val="left"/>
                    <w:rPr>
                      <w:rFonts w:hint="default" w:ascii="Times New Roman" w:hAnsi="Times New Roman" w:eastAsia="仿宋" w:cs="Times New Roman"/>
                      <w:color w:val="auto"/>
                      <w:sz w:val="21"/>
                      <w:szCs w:val="21"/>
                    </w:rPr>
                  </w:pPr>
                </w:p>
              </w:tc>
              <w:tc>
                <w:tcPr>
                  <w:tcW w:w="940" w:type="dxa"/>
                  <w:vAlign w:val="center"/>
                </w:tcPr>
                <w:p w14:paraId="6E9CE2C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3F17C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748099B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17</w:t>
                  </w:r>
                </w:p>
              </w:tc>
              <w:tc>
                <w:tcPr>
                  <w:tcW w:w="1641" w:type="dxa"/>
                  <w:vAlign w:val="center"/>
                </w:tcPr>
                <w:p w14:paraId="2698EC3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关于印发《环境保护综合名录（2021年版）》的通知</w:t>
                  </w:r>
                </w:p>
              </w:tc>
              <w:tc>
                <w:tcPr>
                  <w:tcW w:w="6954" w:type="dxa"/>
                  <w:vAlign w:val="center"/>
                </w:tcPr>
                <w:p w14:paraId="7913A384">
                  <w:pPr>
                    <w:adjustRightInd w:val="0"/>
                    <w:snapToGrid w:val="0"/>
                    <w:rPr>
                      <w:rFonts w:hint="default" w:ascii="Times New Roman" w:hAnsi="Times New Roman" w:eastAsia="仿宋" w:cs="Times New Roman"/>
                      <w:color w:val="auto"/>
                      <w:spacing w:val="-2"/>
                      <w:kern w:val="2"/>
                      <w:sz w:val="21"/>
                      <w:szCs w:val="21"/>
                    </w:rPr>
                  </w:pPr>
                  <w:r>
                    <w:rPr>
                      <w:rFonts w:hint="default" w:ascii="Times New Roman" w:hAnsi="Times New Roman" w:eastAsia="仿宋" w:cs="Times New Roman"/>
                      <w:color w:val="auto"/>
                      <w:szCs w:val="21"/>
                      <w:highlight w:val="none"/>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2886" w:type="dxa"/>
                  <w:vMerge w:val="continue"/>
                  <w:vAlign w:val="center"/>
                </w:tcPr>
                <w:p w14:paraId="0CE9520E">
                  <w:pPr>
                    <w:jc w:val="left"/>
                    <w:rPr>
                      <w:rFonts w:hint="default" w:ascii="Times New Roman" w:hAnsi="Times New Roman" w:eastAsia="仿宋" w:cs="Times New Roman"/>
                      <w:color w:val="auto"/>
                      <w:sz w:val="21"/>
                      <w:szCs w:val="21"/>
                    </w:rPr>
                  </w:pPr>
                </w:p>
              </w:tc>
              <w:tc>
                <w:tcPr>
                  <w:tcW w:w="940" w:type="dxa"/>
                  <w:vAlign w:val="center"/>
                </w:tcPr>
                <w:p w14:paraId="2E524198">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w:t>
                  </w:r>
                </w:p>
              </w:tc>
            </w:tr>
            <w:tr w14:paraId="255BC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7A5C327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18</w:t>
                  </w:r>
                </w:p>
              </w:tc>
              <w:tc>
                <w:tcPr>
                  <w:tcW w:w="1641" w:type="dxa"/>
                  <w:vAlign w:val="center"/>
                </w:tcPr>
                <w:p w14:paraId="536E04F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关于印发《江苏省“两高”项目管理目录（</w:t>
                  </w:r>
                  <w:r>
                    <w:rPr>
                      <w:rFonts w:hint="default" w:ascii="Times New Roman" w:hAnsi="Times New Roman" w:eastAsia="仿宋" w:cs="Times New Roman"/>
                      <w:color w:val="auto"/>
                      <w:szCs w:val="21"/>
                      <w:lang w:val="en-US" w:eastAsia="zh-CN"/>
                    </w:rPr>
                    <w:t>2025</w:t>
                  </w:r>
                  <w:r>
                    <w:rPr>
                      <w:rFonts w:hint="default" w:ascii="Times New Roman" w:hAnsi="Times New Roman" w:eastAsia="仿宋" w:cs="Times New Roman"/>
                      <w:color w:val="auto"/>
                      <w:szCs w:val="21"/>
                    </w:rPr>
                    <w:t>年版）》的通知</w:t>
                  </w:r>
                </w:p>
                <w:p w14:paraId="2EDA914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苏发改规发</w:t>
                  </w:r>
                  <w:r>
                    <w:rPr>
                      <w:rFonts w:hint="default" w:ascii="Times New Roman" w:hAnsi="Times New Roman" w:eastAsia="仿宋" w:cs="Times New Roman"/>
                      <w:color w:val="auto"/>
                      <w:szCs w:val="21"/>
                      <w:lang w:eastAsia="zh-CN"/>
                    </w:rPr>
                    <w:t>〔202</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lang w:eastAsia="zh-CN"/>
                    </w:rPr>
                    <w:t>〕4号</w:t>
                  </w:r>
                </w:p>
              </w:tc>
              <w:tc>
                <w:tcPr>
                  <w:tcW w:w="6954" w:type="dxa"/>
                  <w:vAlign w:val="center"/>
                </w:tcPr>
                <w:p w14:paraId="1857A408">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《江苏省“两高”项目管理目录（202</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年版）》自202</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年</w:t>
                  </w:r>
                  <w:r>
                    <w:rPr>
                      <w:rFonts w:hint="default" w:ascii="Times New Roman" w:hAnsi="Times New Roman" w:eastAsia="仿宋" w:cs="Times New Roman"/>
                      <w:color w:val="auto"/>
                      <w:szCs w:val="21"/>
                      <w:lang w:val="en-US" w:eastAsia="zh-CN"/>
                    </w:rPr>
                    <w:t>8</w:t>
                  </w:r>
                  <w:r>
                    <w:rPr>
                      <w:rFonts w:hint="default" w:ascii="Times New Roman" w:hAnsi="Times New Roman" w:eastAsia="仿宋" w:cs="Times New Roman"/>
                      <w:color w:val="auto"/>
                      <w:szCs w:val="21"/>
                    </w:rPr>
                    <w:t>月1</w:t>
                  </w:r>
                  <w:r>
                    <w:rPr>
                      <w:rFonts w:hint="default" w:ascii="Times New Roman" w:hAnsi="Times New Roman" w:eastAsia="仿宋" w:cs="Times New Roman"/>
                      <w:color w:val="auto"/>
                      <w:szCs w:val="21"/>
                      <w:lang w:val="en-US" w:eastAsia="zh-CN"/>
                    </w:rPr>
                    <w:t>7</w:t>
                  </w:r>
                  <w:r>
                    <w:rPr>
                      <w:rFonts w:hint="default" w:ascii="Times New Roman" w:hAnsi="Times New Roman" w:eastAsia="仿宋" w:cs="Times New Roman"/>
                      <w:color w:val="auto"/>
                      <w:szCs w:val="21"/>
                    </w:rPr>
                    <w:t>日起施行，有效期至20</w:t>
                  </w:r>
                  <w:r>
                    <w:rPr>
                      <w:rFonts w:hint="default" w:ascii="Times New Roman" w:hAnsi="Times New Roman" w:eastAsia="仿宋" w:cs="Times New Roman"/>
                      <w:color w:val="auto"/>
                      <w:szCs w:val="21"/>
                      <w:lang w:val="en-US" w:eastAsia="zh-CN"/>
                    </w:rPr>
                    <w:t>30</w:t>
                  </w:r>
                  <w:r>
                    <w:rPr>
                      <w:rFonts w:hint="default" w:ascii="Times New Roman" w:hAnsi="Times New Roman" w:eastAsia="仿宋" w:cs="Times New Roman"/>
                      <w:color w:val="auto"/>
                      <w:szCs w:val="21"/>
                    </w:rPr>
                    <w:t>年</w:t>
                  </w:r>
                  <w:r>
                    <w:rPr>
                      <w:rFonts w:hint="default" w:ascii="Times New Roman" w:hAnsi="Times New Roman" w:eastAsia="仿宋" w:cs="Times New Roman"/>
                      <w:color w:val="auto"/>
                      <w:szCs w:val="21"/>
                      <w:lang w:val="en-US" w:eastAsia="zh-CN"/>
                    </w:rPr>
                    <w:t>8</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16</w:t>
                  </w:r>
                  <w:r>
                    <w:rPr>
                      <w:rFonts w:hint="default" w:ascii="Times New Roman" w:hAnsi="Times New Roman" w:eastAsia="仿宋" w:cs="Times New Roman"/>
                      <w:color w:val="auto"/>
                      <w:szCs w:val="21"/>
                    </w:rPr>
                    <w:t>日，根据国家规定和我省实际动态</w:t>
                  </w:r>
                  <w:r>
                    <w:rPr>
                      <w:rFonts w:hint="default" w:ascii="Times New Roman" w:hAnsi="Times New Roman" w:eastAsia="仿宋" w:cs="Times New Roman"/>
                      <w:color w:val="auto"/>
                      <w:szCs w:val="21"/>
                      <w:lang w:val="en-US" w:eastAsia="zh-CN"/>
                    </w:rPr>
                    <w:t>修订</w:t>
                  </w:r>
                  <w:r>
                    <w:rPr>
                      <w:rFonts w:hint="default" w:ascii="Times New Roman" w:hAnsi="Times New Roman" w:eastAsia="仿宋" w:cs="Times New Roman"/>
                      <w:color w:val="auto"/>
                      <w:szCs w:val="21"/>
                    </w:rPr>
                    <w:t>调整。</w:t>
                  </w:r>
                </w:p>
                <w:p w14:paraId="7CAB29B4">
                  <w:pPr>
                    <w:jc w:val="both"/>
                    <w:rPr>
                      <w:rFonts w:hint="default" w:ascii="Times New Roman" w:hAnsi="Times New Roman" w:eastAsia="仿宋" w:cs="Times New Roman"/>
                      <w:color w:val="auto"/>
                      <w:spacing w:val="-2"/>
                      <w:kern w:val="2"/>
                      <w:sz w:val="21"/>
                      <w:szCs w:val="21"/>
                    </w:rPr>
                  </w:pPr>
                  <w:r>
                    <w:rPr>
                      <w:rFonts w:hint="default" w:ascii="Times New Roman" w:hAnsi="Times New Roman" w:eastAsia="仿宋" w:cs="Times New Roman"/>
                      <w:color w:val="auto"/>
                      <w:szCs w:val="21"/>
                    </w:rPr>
                    <w:t>附《江苏省“两高”项目管理目录（202</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年版）》</w:t>
                  </w:r>
                </w:p>
              </w:tc>
              <w:tc>
                <w:tcPr>
                  <w:tcW w:w="2886" w:type="dxa"/>
                  <w:vMerge w:val="continue"/>
                  <w:vAlign w:val="center"/>
                </w:tcPr>
                <w:p w14:paraId="0F6640A2">
                  <w:pPr>
                    <w:jc w:val="left"/>
                    <w:rPr>
                      <w:rFonts w:hint="default" w:ascii="Times New Roman" w:hAnsi="Times New Roman" w:eastAsia="仿宋" w:cs="Times New Roman"/>
                      <w:color w:val="auto"/>
                      <w:sz w:val="21"/>
                      <w:szCs w:val="21"/>
                    </w:rPr>
                  </w:pPr>
                </w:p>
              </w:tc>
              <w:tc>
                <w:tcPr>
                  <w:tcW w:w="940" w:type="dxa"/>
                  <w:vAlign w:val="center"/>
                </w:tcPr>
                <w:p w14:paraId="3C8F552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w:t>
                  </w:r>
                </w:p>
              </w:tc>
            </w:tr>
            <w:tr w14:paraId="6D2E5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641EE2EA">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19</w:t>
                  </w:r>
                </w:p>
              </w:tc>
              <w:tc>
                <w:tcPr>
                  <w:tcW w:w="1641" w:type="dxa"/>
                  <w:vAlign w:val="center"/>
                </w:tcPr>
                <w:p w14:paraId="754DE2E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lang w:eastAsia="zh-CN"/>
                    </w:rPr>
                    <w:t>《国务院办公厅关于印发新污染物治理行动方案的通知》（国办发〔2022〕15号）</w:t>
                  </w:r>
                </w:p>
              </w:tc>
              <w:tc>
                <w:tcPr>
                  <w:tcW w:w="6954" w:type="dxa"/>
                  <w:vAlign w:val="center"/>
                </w:tcPr>
                <w:p w14:paraId="0DFB444C">
                  <w:pPr>
                    <w:adjustRightInd w:val="0"/>
                    <w:snapToGrid w:val="0"/>
                    <w:rPr>
                      <w:rFonts w:hint="eastAsia" w:ascii="仿宋" w:hAnsi="仿宋" w:eastAsia="仿宋"/>
                      <w:color w:val="auto"/>
                      <w:szCs w:val="21"/>
                      <w:highlight w:val="none"/>
                      <w:lang w:eastAsia="zh-CN"/>
                    </w:rPr>
                  </w:pPr>
                  <w:r>
                    <w:rPr>
                      <w:rFonts w:hint="eastAsia" w:ascii="仿宋" w:hAnsi="仿宋" w:eastAsia="仿宋"/>
                      <w:color w:val="auto"/>
                      <w:szCs w:val="21"/>
                      <w:highlight w:val="none"/>
                      <w:lang w:val="en-US" w:eastAsia="zh-CN"/>
                    </w:rPr>
                    <w:t>严格源头管控，防范新污染物产生：</w:t>
                  </w:r>
                </w:p>
                <w:p w14:paraId="38E89359">
                  <w:pPr>
                    <w:adjustRightInd w:val="0"/>
                    <w:snapToGrid w:val="0"/>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严格实施淘汰或限用措施。按照重点管控新污染物清单要求，禁止、限制重点管控新污染物的生产、加工使用和进出口。</w:t>
                  </w:r>
                </w:p>
                <w:p w14:paraId="6A63AB27">
                  <w:pPr>
                    <w:adjustRightInd w:val="0"/>
                    <w:snapToGrid w:val="0"/>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深化末端治理，降低新污染物环境风险：</w:t>
                  </w:r>
                </w:p>
                <w:p w14:paraId="5939EB2A">
                  <w:pPr>
                    <w:adjustRightInd w:val="0"/>
                    <w:snapToGrid w:val="0"/>
                    <w:rPr>
                      <w:rFonts w:hint="default" w:ascii="Times New Roman" w:hAnsi="Times New Roman" w:eastAsia="仿宋" w:cs="Times New Roman"/>
                      <w:color w:val="auto"/>
                      <w:szCs w:val="21"/>
                    </w:rPr>
                  </w:pPr>
                  <w:r>
                    <w:rPr>
                      <w:rFonts w:hint="eastAsia" w:ascii="仿宋" w:hAnsi="仿宋" w:eastAsia="仿宋"/>
                      <w:color w:val="auto"/>
                      <w:szCs w:val="21"/>
                      <w:highlight w:val="none"/>
                      <w:lang w:val="en-US" w:eastAsia="zh-CN"/>
                    </w:rPr>
                    <w:t>排放重点管控新污染物的企事业单位应采取污染控制措施，达到相关污染物排放标准及环境质量目标要求；排放重点管控新污染物的企事业单位和其他生产经营者应按照相关法律法规要求，对排放（污）口及其周边环境定期开展环境监测，评估环境风险，排查整治环境安全隐患，依法公开新污染物信息，采取措施防范环境风险。</w:t>
                  </w:r>
                </w:p>
              </w:tc>
              <w:tc>
                <w:tcPr>
                  <w:tcW w:w="2886" w:type="dxa"/>
                  <w:vMerge w:val="restart"/>
                  <w:vAlign w:val="center"/>
                </w:tcPr>
                <w:p w14:paraId="14E23777">
                  <w:pPr>
                    <w:jc w:val="left"/>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本项目</w:t>
                  </w:r>
                  <w:r>
                    <w:rPr>
                      <w:rFonts w:hint="default" w:ascii="Times New Roman" w:hAnsi="Times New Roman" w:eastAsia="仿宋" w:cs="Times New Roman"/>
                      <w:color w:val="auto"/>
                      <w:spacing w:val="-2"/>
                      <w:sz w:val="21"/>
                      <w:szCs w:val="21"/>
                      <w:lang w:val="en-US" w:eastAsia="zh-CN"/>
                    </w:rPr>
                    <w:t>为厂区内产品及生产配套需求提供实验及检测服务</w:t>
                  </w:r>
                  <w:r>
                    <w:rPr>
                      <w:rFonts w:hint="eastAsia" w:ascii="Times New Roman" w:hAnsi="Times New Roman" w:eastAsia="仿宋" w:cs="Times New Roman"/>
                      <w:color w:val="auto"/>
                      <w:spacing w:val="-2"/>
                      <w:sz w:val="21"/>
                      <w:szCs w:val="21"/>
                      <w:lang w:val="en-US" w:eastAsia="zh-CN"/>
                    </w:rPr>
                    <w:t>，</w:t>
                  </w:r>
                  <w:r>
                    <w:rPr>
                      <w:rFonts w:hint="default" w:ascii="Times New Roman" w:hAnsi="Times New Roman" w:eastAsia="仿宋" w:cs="Times New Roman"/>
                      <w:color w:val="auto"/>
                      <w:szCs w:val="21"/>
                      <w:highlight w:val="none"/>
                      <w:lang w:val="en-US" w:eastAsia="zh-CN"/>
                    </w:rPr>
                    <w:t>不属于</w:t>
                  </w:r>
                  <w:r>
                    <w:rPr>
                      <w:rFonts w:hint="default" w:ascii="Times New Roman" w:hAnsi="Times New Roman" w:eastAsia="仿宋" w:cs="Times New Roman"/>
                      <w:color w:val="auto"/>
                      <w:szCs w:val="21"/>
                    </w:rPr>
                    <w:t>石化、涂料、纺织印染、橡胶、农药、医药等重点行业建设项目</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不涉及清单中的新污染物。</w:t>
                  </w:r>
                </w:p>
              </w:tc>
              <w:tc>
                <w:tcPr>
                  <w:tcW w:w="940" w:type="dxa"/>
                  <w:vAlign w:val="center"/>
                </w:tcPr>
                <w:p w14:paraId="55551E2A">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是</w:t>
                  </w:r>
                </w:p>
              </w:tc>
            </w:tr>
            <w:tr w14:paraId="0D8C2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20632090">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20</w:t>
                  </w:r>
                </w:p>
              </w:tc>
              <w:tc>
                <w:tcPr>
                  <w:tcW w:w="1641" w:type="dxa"/>
                  <w:shd w:val="clear" w:color="auto" w:fill="auto"/>
                  <w:vAlign w:val="center"/>
                </w:tcPr>
                <w:p w14:paraId="1EE7008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仿宋" w:hAnsi="仿宋" w:eastAsia="仿宋"/>
                      <w:color w:val="auto"/>
                      <w:szCs w:val="21"/>
                      <w:highlight w:val="none"/>
                    </w:rPr>
                    <w:t>《关于加强重点行业涉新污染物建设项目环境影响评价工作的意见》</w:t>
                  </w: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环环评〔2025〕28号</w:t>
                  </w:r>
                  <w:r>
                    <w:rPr>
                      <w:rFonts w:hint="eastAsia" w:ascii="仿宋" w:hAnsi="仿宋" w:eastAsia="仿宋"/>
                      <w:color w:val="auto"/>
                      <w:szCs w:val="21"/>
                      <w:highlight w:val="none"/>
                      <w:lang w:eastAsia="zh-CN"/>
                    </w:rPr>
                    <w:t>）</w:t>
                  </w:r>
                </w:p>
              </w:tc>
              <w:tc>
                <w:tcPr>
                  <w:tcW w:w="6954" w:type="dxa"/>
                  <w:shd w:val="clear" w:color="auto" w:fill="auto"/>
                  <w:vAlign w:val="center"/>
                </w:tcPr>
                <w:p w14:paraId="66DBB615">
                  <w:pPr>
                    <w:numPr>
                      <w:ilvl w:val="0"/>
                      <w:numId w:val="2"/>
                    </w:numPr>
                    <w:adjustRightInd w:val="0"/>
                    <w:snapToGrid w:val="0"/>
                    <w:rPr>
                      <w:rFonts w:hint="eastAsia" w:ascii="仿宋" w:hAnsi="仿宋" w:eastAsia="仿宋"/>
                      <w:color w:val="auto"/>
                      <w:kern w:val="0"/>
                      <w:szCs w:val="21"/>
                      <w:highlight w:val="none"/>
                    </w:rPr>
                  </w:pPr>
                  <w:r>
                    <w:rPr>
                      <w:rFonts w:hint="eastAsia" w:ascii="仿宋" w:hAnsi="仿宋" w:eastAsia="仿宋"/>
                      <w:color w:val="auto"/>
                      <w:kern w:val="0"/>
                      <w:szCs w:val="21"/>
                      <w:highlight w:val="none"/>
                    </w:rPr>
                    <w:t>突出管理重点</w:t>
                  </w:r>
                </w:p>
                <w:p w14:paraId="4419F903">
                  <w:pPr>
                    <w:adjustRightInd w:val="0"/>
                    <w:snapToGrid w:val="0"/>
                    <w:rPr>
                      <w:rFonts w:hint="eastAsia" w:ascii="仿宋" w:hAnsi="仿宋" w:eastAsia="仿宋"/>
                      <w:color w:val="auto"/>
                      <w:kern w:val="0"/>
                      <w:szCs w:val="21"/>
                      <w:highlight w:val="none"/>
                    </w:rPr>
                  </w:pPr>
                  <w:r>
                    <w:rPr>
                      <w:rFonts w:hint="eastAsia" w:ascii="仿宋" w:hAnsi="仿宋" w:eastAsia="仿宋"/>
                      <w:color w:val="auto"/>
                      <w:kern w:val="0"/>
                      <w:szCs w:val="21"/>
                      <w:highlight w:val="none"/>
                    </w:rPr>
                    <w:t>重点关注重点管控新污染物清单、有毒有害污染物名录、优先控制化学品名录以及《关于持久性有机污染物的斯德哥尔摩公约》</w:t>
                  </w:r>
                  <w:r>
                    <w:rPr>
                      <w:rFonts w:hint="eastAsia" w:ascii="仿宋" w:hAnsi="仿宋" w:eastAsia="仿宋"/>
                      <w:color w:val="auto"/>
                      <w:kern w:val="0"/>
                      <w:szCs w:val="21"/>
                      <w:highlight w:val="none"/>
                      <w:lang w:eastAsia="zh-CN"/>
                    </w:rPr>
                    <w:t>（</w:t>
                  </w:r>
                  <w:r>
                    <w:rPr>
                      <w:rFonts w:hint="eastAsia" w:ascii="仿宋" w:hAnsi="仿宋" w:eastAsia="仿宋"/>
                      <w:color w:val="auto"/>
                      <w:kern w:val="0"/>
                      <w:szCs w:val="21"/>
                      <w:highlight w:val="none"/>
                    </w:rPr>
                    <w:t>简称《斯德哥尔摩公约》</w:t>
                  </w:r>
                  <w:r>
                    <w:rPr>
                      <w:rFonts w:hint="eastAsia" w:ascii="仿宋" w:hAnsi="仿宋" w:eastAsia="仿宋"/>
                      <w:color w:val="auto"/>
                      <w:kern w:val="0"/>
                      <w:szCs w:val="21"/>
                      <w:highlight w:val="none"/>
                      <w:lang w:eastAsia="zh-CN"/>
                    </w:rPr>
                    <w:t>）</w:t>
                  </w:r>
                  <w:r>
                    <w:rPr>
                      <w:rFonts w:hint="eastAsia" w:ascii="仿宋" w:hAnsi="仿宋" w:eastAsia="仿宋"/>
                      <w:color w:val="auto"/>
                      <w:kern w:val="0"/>
                      <w:szCs w:val="21"/>
                      <w:highlight w:val="none"/>
                    </w:rPr>
                    <w:t>附件中已发布环境质量标准、污染物排放标准、环境监测方法标准或其他具有污染治理技术的污染物。重点关注石化、涂料、纺织印染、胶、农药、医药等重点行业建设项目，在建设项目环评工作中做好上述新污染物识别，涉及上述新污染物的，执行本意见要求</w:t>
                  </w:r>
                  <w:r>
                    <w:rPr>
                      <w:rFonts w:hint="eastAsia" w:ascii="仿宋" w:hAnsi="仿宋" w:eastAsia="仿宋"/>
                      <w:color w:val="auto"/>
                      <w:kern w:val="0"/>
                      <w:szCs w:val="21"/>
                      <w:highlight w:val="none"/>
                      <w:lang w:val="en-US" w:eastAsia="zh-CN"/>
                    </w:rPr>
                    <w:t>;</w:t>
                  </w:r>
                  <w:r>
                    <w:rPr>
                      <w:rFonts w:hint="eastAsia" w:ascii="仿宋" w:hAnsi="仿宋" w:eastAsia="仿宋"/>
                      <w:color w:val="auto"/>
                      <w:kern w:val="0"/>
                      <w:szCs w:val="21"/>
                      <w:highlight w:val="none"/>
                    </w:rPr>
                    <w:t>不涉及新污染物的，无需开展相关工作。</w:t>
                  </w:r>
                </w:p>
                <w:p w14:paraId="457970A0">
                  <w:pPr>
                    <w:adjustRightInd w:val="0"/>
                    <w:snapToGrid w:val="0"/>
                    <w:rPr>
                      <w:rFonts w:ascii="仿宋" w:hAnsi="仿宋" w:eastAsia="仿宋"/>
                      <w:color w:val="auto"/>
                      <w:kern w:val="0"/>
                      <w:szCs w:val="21"/>
                      <w:highlight w:val="none"/>
                    </w:rPr>
                  </w:pPr>
                  <w:r>
                    <w:rPr>
                      <w:rFonts w:hint="eastAsia" w:ascii="仿宋" w:hAnsi="仿宋" w:eastAsia="仿宋"/>
                      <w:color w:val="auto"/>
                      <w:kern w:val="0"/>
                      <w:szCs w:val="21"/>
                      <w:highlight w:val="none"/>
                    </w:rPr>
                    <w:t>二、禁止审批不符合新污染物管控要求的建设项目</w:t>
                  </w:r>
                </w:p>
                <w:p w14:paraId="7A55A78E">
                  <w:pPr>
                    <w:adjustRightInd w:val="0"/>
                    <w:snapToGrid w:val="0"/>
                    <w:rPr>
                      <w:rFonts w:hint="default" w:ascii="Times New Roman" w:hAnsi="Times New Roman" w:eastAsia="仿宋" w:cs="Times New Roman"/>
                      <w:color w:val="auto"/>
                      <w:kern w:val="2"/>
                      <w:sz w:val="21"/>
                      <w:szCs w:val="21"/>
                      <w:lang w:val="en-US" w:eastAsia="zh-CN" w:bidi="ar-SA"/>
                    </w:rPr>
                  </w:pPr>
                  <w:r>
                    <w:rPr>
                      <w:rFonts w:ascii="仿宋" w:hAnsi="仿宋" w:eastAsia="仿宋"/>
                      <w:color w:val="auto"/>
                      <w:kern w:val="0"/>
                      <w:szCs w:val="21"/>
                      <w:highlight w:val="none"/>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w:t>
                  </w:r>
                  <w:r>
                    <w:rPr>
                      <w:rFonts w:hint="eastAsia" w:ascii="仿宋" w:hAnsi="仿宋" w:eastAsia="仿宋"/>
                      <w:color w:val="auto"/>
                      <w:kern w:val="0"/>
                      <w:szCs w:val="21"/>
                      <w:highlight w:val="none"/>
                      <w:lang w:eastAsia="zh-CN"/>
                    </w:rPr>
                    <w:t>（</w:t>
                  </w:r>
                  <w:r>
                    <w:rPr>
                      <w:rFonts w:ascii="仿宋" w:hAnsi="仿宋" w:eastAsia="仿宋"/>
                      <w:color w:val="auto"/>
                      <w:kern w:val="0"/>
                      <w:szCs w:val="21"/>
                      <w:highlight w:val="none"/>
                    </w:rPr>
                    <w:t>见附表</w:t>
                  </w:r>
                  <w:r>
                    <w:rPr>
                      <w:rFonts w:hint="eastAsia" w:ascii="仿宋" w:hAnsi="仿宋" w:eastAsia="仿宋"/>
                      <w:color w:val="auto"/>
                      <w:kern w:val="0"/>
                      <w:szCs w:val="21"/>
                      <w:highlight w:val="none"/>
                      <w:lang w:eastAsia="zh-CN"/>
                    </w:rPr>
                    <w:t>）</w:t>
                  </w:r>
                  <w:r>
                    <w:rPr>
                      <w:rFonts w:ascii="仿宋" w:hAnsi="仿宋" w:eastAsia="仿宋"/>
                      <w:color w:val="auto"/>
                      <w:kern w:val="0"/>
                      <w:szCs w:val="21"/>
                      <w:highlight w:val="none"/>
                    </w:rPr>
                    <w:t>，严格审核建设项目原辅材料和产品，对于以禁止生产、加工使用的新污染物作为</w:t>
                  </w:r>
                  <w:r>
                    <w:rPr>
                      <w:rFonts w:hint="eastAsia" w:ascii="仿宋" w:hAnsi="仿宋" w:eastAsia="仿宋"/>
                      <w:color w:val="auto"/>
                      <w:kern w:val="0"/>
                      <w:szCs w:val="21"/>
                      <w:highlight w:val="none"/>
                    </w:rPr>
                    <w:t>原辅材料</w:t>
                  </w:r>
                  <w:r>
                    <w:rPr>
                      <w:rFonts w:ascii="仿宋" w:hAnsi="仿宋" w:eastAsia="仿宋"/>
                      <w:color w:val="auto"/>
                      <w:kern w:val="0"/>
                      <w:szCs w:val="21"/>
                      <w:highlight w:val="none"/>
                    </w:rPr>
                    <w:t>或产品的建设项目，依法不予审批。</w:t>
                  </w:r>
                </w:p>
              </w:tc>
              <w:tc>
                <w:tcPr>
                  <w:tcW w:w="2886" w:type="dxa"/>
                  <w:vMerge w:val="continue"/>
                  <w:vAlign w:val="center"/>
                </w:tcPr>
                <w:p w14:paraId="015DAD4D">
                  <w:pPr>
                    <w:jc w:val="left"/>
                    <w:rPr>
                      <w:rFonts w:hint="default" w:ascii="Times New Roman" w:hAnsi="Times New Roman" w:eastAsia="仿宋" w:cs="Times New Roman"/>
                      <w:color w:val="auto"/>
                      <w:sz w:val="21"/>
                      <w:szCs w:val="21"/>
                    </w:rPr>
                  </w:pPr>
                </w:p>
              </w:tc>
              <w:tc>
                <w:tcPr>
                  <w:tcW w:w="940" w:type="dxa"/>
                  <w:vAlign w:val="center"/>
                </w:tcPr>
                <w:p w14:paraId="4F46364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是</w:t>
                  </w:r>
                </w:p>
              </w:tc>
            </w:tr>
            <w:tr w14:paraId="064B4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44" w:type="dxa"/>
                  <w:vAlign w:val="center"/>
                </w:tcPr>
                <w:p w14:paraId="320B6453">
                  <w:pPr>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21</w:t>
                  </w:r>
                </w:p>
              </w:tc>
              <w:tc>
                <w:tcPr>
                  <w:tcW w:w="1641" w:type="dxa"/>
                  <w:vAlign w:val="center"/>
                </w:tcPr>
                <w:p w14:paraId="1DEBEC1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lang w:eastAsia="zh-CN"/>
                    </w:rPr>
                    <w:t>《重点管控新污染物清单》（2023年版）</w:t>
                  </w:r>
                </w:p>
              </w:tc>
              <w:tc>
                <w:tcPr>
                  <w:tcW w:w="6954" w:type="dxa"/>
                  <w:vAlign w:val="center"/>
                </w:tcPr>
                <w:p w14:paraId="36D43974">
                  <w:pPr>
                    <w:jc w:val="both"/>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第三条 对列入本清单的新污染物，应当按照国家有关规定采取禁止、限制、限排等环境风险管控措施。</w:t>
                  </w:r>
                </w:p>
              </w:tc>
              <w:tc>
                <w:tcPr>
                  <w:tcW w:w="2886" w:type="dxa"/>
                  <w:vMerge w:val="continue"/>
                  <w:vAlign w:val="center"/>
                </w:tcPr>
                <w:p w14:paraId="4CD8158A">
                  <w:pPr>
                    <w:jc w:val="left"/>
                    <w:rPr>
                      <w:rFonts w:hint="default" w:ascii="Times New Roman" w:hAnsi="Times New Roman" w:eastAsia="仿宋" w:cs="Times New Roman"/>
                      <w:color w:val="auto"/>
                      <w:sz w:val="21"/>
                      <w:szCs w:val="21"/>
                    </w:rPr>
                  </w:pPr>
                </w:p>
              </w:tc>
              <w:tc>
                <w:tcPr>
                  <w:tcW w:w="940" w:type="dxa"/>
                  <w:vAlign w:val="center"/>
                </w:tcPr>
                <w:p w14:paraId="58659C01">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是</w:t>
                  </w:r>
                </w:p>
              </w:tc>
            </w:tr>
          </w:tbl>
          <w:p w14:paraId="575E309F">
            <w:pPr>
              <w:widowControl/>
              <w:adjustRightInd w:val="0"/>
              <w:snapToGrid w:val="0"/>
              <w:spacing w:line="360" w:lineRule="auto"/>
              <w:ind w:firstLine="200" w:firstLineChars="200"/>
              <w:jc w:val="left"/>
              <w:rPr>
                <w:rFonts w:hint="default" w:ascii="Times New Roman" w:hAnsi="Times New Roman" w:eastAsia="仿宋" w:cs="Times New Roman"/>
                <w:bCs/>
                <w:color w:val="auto"/>
                <w:sz w:val="10"/>
                <w:szCs w:val="10"/>
              </w:rPr>
            </w:pPr>
          </w:p>
          <w:p w14:paraId="12E6F19E">
            <w:pPr>
              <w:widowControl/>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综上所述，本项目符合国家及地方相关产业政策及法律法规要求。</w:t>
            </w:r>
          </w:p>
          <w:p w14:paraId="641C67D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4、</w:t>
            </w:r>
            <w:r>
              <w:rPr>
                <w:rFonts w:hint="default" w:ascii="Times New Roman" w:hAnsi="Times New Roman" w:eastAsia="仿宋" w:cs="Times New Roman"/>
                <w:bCs/>
                <w:color w:val="auto"/>
                <w:sz w:val="24"/>
              </w:rPr>
              <w:t>与《省生态环境厅关于进一步做好建设项目环评审批工作的通知》（苏环办</w:t>
            </w:r>
            <w:r>
              <w:rPr>
                <w:rFonts w:hint="default" w:ascii="Times New Roman" w:hAnsi="Times New Roman" w:eastAsia="仿宋" w:cs="Times New Roman"/>
                <w:bCs/>
                <w:color w:val="auto"/>
                <w:sz w:val="24"/>
                <w:lang w:eastAsia="zh-CN"/>
              </w:rPr>
              <w:t>〔2019〕36号</w:t>
            </w:r>
            <w:r>
              <w:rPr>
                <w:rFonts w:hint="default" w:ascii="Times New Roman" w:hAnsi="Times New Roman" w:eastAsia="仿宋" w:cs="Times New Roman"/>
                <w:bCs/>
                <w:color w:val="auto"/>
                <w:sz w:val="24"/>
              </w:rPr>
              <w:t>）相符性分析</w:t>
            </w:r>
          </w:p>
          <w:p w14:paraId="1B20DC3E">
            <w:pPr>
              <w:kinsoku w:val="0"/>
              <w:overflowPunct w:val="0"/>
              <w:autoSpaceDE w:val="0"/>
              <w:autoSpaceDN w:val="0"/>
              <w:adjustRightInd w:val="0"/>
              <w:jc w:val="center"/>
              <w:rPr>
                <w:rFonts w:hint="default" w:ascii="Times New Roman" w:hAnsi="Times New Roman" w:eastAsia="仿宋" w:cs="Times New Roman"/>
                <w:color w:val="auto"/>
                <w:kern w:val="0"/>
                <w:sz w:val="20"/>
                <w:szCs w:val="20"/>
              </w:rPr>
            </w:pPr>
            <w:r>
              <w:rPr>
                <w:rFonts w:hint="default" w:ascii="Times New Roman" w:hAnsi="Times New Roman" w:eastAsia="仿宋" w:cs="Times New Roman"/>
                <w:b/>
                <w:color w:val="auto"/>
                <w:sz w:val="24"/>
              </w:rPr>
              <w:t>表1-</w:t>
            </w:r>
            <w:r>
              <w:rPr>
                <w:rFonts w:hint="eastAsia" w:eastAsia="仿宋" w:cs="Times New Roman"/>
                <w:b/>
                <w:color w:val="auto"/>
                <w:sz w:val="24"/>
                <w:lang w:val="en-US" w:eastAsia="zh-CN"/>
              </w:rPr>
              <w:t>9</w:t>
            </w:r>
            <w:r>
              <w:rPr>
                <w:rFonts w:hint="default" w:ascii="Times New Roman" w:hAnsi="Times New Roman" w:eastAsia="仿宋" w:cs="Times New Roman"/>
                <w:b/>
                <w:color w:val="auto"/>
                <w:sz w:val="24"/>
              </w:rPr>
              <w:t xml:space="preserve">  与苏环办</w:t>
            </w:r>
            <w:r>
              <w:rPr>
                <w:rFonts w:hint="default" w:ascii="Times New Roman" w:hAnsi="Times New Roman" w:eastAsia="仿宋" w:cs="Times New Roman"/>
                <w:b/>
                <w:color w:val="auto"/>
                <w:sz w:val="24"/>
                <w:lang w:eastAsia="zh-CN"/>
              </w:rPr>
              <w:t>〔2019〕36号</w:t>
            </w:r>
            <w:r>
              <w:rPr>
                <w:rFonts w:hint="default" w:ascii="Times New Roman" w:hAnsi="Times New Roman" w:eastAsia="仿宋" w:cs="Times New Roman"/>
                <w:b/>
                <w:color w:val="auto"/>
                <w:sz w:val="24"/>
              </w:rPr>
              <w:t>文对照分析</w:t>
            </w:r>
          </w:p>
          <w:tbl>
            <w:tblPr>
              <w:tblStyle w:val="2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5957"/>
              <w:gridCol w:w="3687"/>
              <w:gridCol w:w="656"/>
            </w:tblGrid>
            <w:tr w14:paraId="5700A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5" w:type="dxa"/>
                  <w:vAlign w:val="center"/>
                </w:tcPr>
                <w:p w14:paraId="251485D4">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类别</w:t>
                  </w:r>
                </w:p>
              </w:tc>
              <w:tc>
                <w:tcPr>
                  <w:tcW w:w="5957" w:type="dxa"/>
                  <w:vAlign w:val="center"/>
                </w:tcPr>
                <w:p w14:paraId="14EF613F">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文件要求（建设项目环评审批要点）</w:t>
                  </w:r>
                </w:p>
              </w:tc>
              <w:tc>
                <w:tcPr>
                  <w:tcW w:w="3687" w:type="dxa"/>
                  <w:vAlign w:val="center"/>
                </w:tcPr>
                <w:p w14:paraId="397C6938">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本项目情况</w:t>
                  </w:r>
                </w:p>
              </w:tc>
              <w:tc>
                <w:tcPr>
                  <w:tcW w:w="656" w:type="dxa"/>
                  <w:vAlign w:val="center"/>
                </w:tcPr>
                <w:p w14:paraId="008C6569">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是否相符</w:t>
                  </w:r>
                </w:p>
              </w:tc>
            </w:tr>
            <w:tr w14:paraId="284F1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1953E7E4">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《建设项目环境保护管理条例》</w:t>
                  </w:r>
                </w:p>
              </w:tc>
              <w:tc>
                <w:tcPr>
                  <w:tcW w:w="5957" w:type="dxa"/>
                  <w:vAlign w:val="center"/>
                </w:tcPr>
                <w:p w14:paraId="5F905AD6">
                  <w:pPr>
                    <w:rPr>
                      <w:rFonts w:hint="eastAsia" w:ascii="仿宋" w:hAnsi="仿宋" w:eastAsia="仿宋" w:cs="仿宋"/>
                      <w:b/>
                      <w:color w:val="auto"/>
                      <w:sz w:val="21"/>
                      <w:szCs w:val="21"/>
                    </w:rPr>
                  </w:pPr>
                  <w:r>
                    <w:rPr>
                      <w:rFonts w:hint="eastAsia" w:ascii="仿宋" w:hAnsi="仿宋" w:eastAsia="仿宋" w:cs="仿宋"/>
                      <w:color w:val="auto"/>
                      <w:kern w:val="0"/>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w:t>
                  </w:r>
                  <w:r>
                    <w:rPr>
                      <w:rFonts w:hint="eastAsia" w:ascii="仿宋" w:hAnsi="仿宋" w:eastAsia="仿宋" w:cs="仿宋"/>
                      <w:color w:val="auto"/>
                      <w:kern w:val="0"/>
                      <w:sz w:val="21"/>
                      <w:szCs w:val="21"/>
                      <w:lang w:eastAsia="zh-CN"/>
                    </w:rPr>
                    <w:t>防治措施</w:t>
                  </w:r>
                  <w:r>
                    <w:rPr>
                      <w:rFonts w:hint="eastAsia" w:ascii="仿宋" w:hAnsi="仿宋" w:eastAsia="仿宋" w:cs="仿宋"/>
                      <w:color w:val="auto"/>
                      <w:kern w:val="0"/>
                      <w:sz w:val="21"/>
                      <w:szCs w:val="21"/>
                    </w:rPr>
                    <w:t>；（5）建设项目的环境影响报告书、环境影响报告表的基础资料数据明显不实，内容存在重大缺陷、遗漏，或者环境影响评价结论不明确、不合理。</w:t>
                  </w:r>
                </w:p>
              </w:tc>
              <w:tc>
                <w:tcPr>
                  <w:tcW w:w="3687" w:type="dxa"/>
                  <w:vAlign w:val="center"/>
                </w:tcPr>
                <w:p w14:paraId="31A38456">
                  <w:pPr>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rPr>
                    <w:t>（1）本项目</w:t>
                  </w:r>
                  <w:r>
                    <w:rPr>
                      <w:rFonts w:hint="eastAsia" w:ascii="仿宋" w:hAnsi="仿宋" w:eastAsia="仿宋" w:cs="仿宋"/>
                      <w:color w:val="auto"/>
                      <w:kern w:val="0"/>
                      <w:sz w:val="21"/>
                      <w:szCs w:val="21"/>
                      <w:highlight w:val="none"/>
                      <w:lang w:val="en-US" w:eastAsia="zh-CN"/>
                    </w:rPr>
                    <w:t>为厂区内产品及生产配套需求提供实验及检测服务</w:t>
                  </w:r>
                  <w:r>
                    <w:rPr>
                      <w:rFonts w:hint="eastAsia" w:ascii="仿宋" w:hAnsi="仿宋" w:eastAsia="仿宋" w:cs="仿宋"/>
                      <w:color w:val="auto"/>
                      <w:kern w:val="0"/>
                      <w:sz w:val="21"/>
                      <w:szCs w:val="21"/>
                      <w:highlight w:val="none"/>
                    </w:rPr>
                    <w:t>，项目类型及其选址、布局、规模等、符合环境保护法律法规和相关法定规划；（2）项目所在地为环境质量不达标区，拟采取的措施满足现有环保要求，确保污染物稳定达标，区域已制定限期达标规划，项目建设满足区域环境质量改善目标管理要求；（3）本项目采取的污染防治措施确保污染物排放达到国家和地方排放标准；（4）本项目</w:t>
                  </w:r>
                  <w:r>
                    <w:rPr>
                      <w:rFonts w:hint="eastAsia" w:ascii="仿宋" w:hAnsi="仿宋" w:eastAsia="仿宋" w:cs="仿宋"/>
                      <w:color w:val="auto"/>
                      <w:kern w:val="0"/>
                      <w:sz w:val="21"/>
                      <w:szCs w:val="21"/>
                      <w:highlight w:val="none"/>
                      <w:lang w:val="en-US" w:eastAsia="zh-CN"/>
                    </w:rPr>
                    <w:t>为扩建</w:t>
                  </w:r>
                  <w:r>
                    <w:rPr>
                      <w:rFonts w:hint="eastAsia" w:ascii="仿宋" w:hAnsi="仿宋" w:eastAsia="仿宋" w:cs="仿宋"/>
                      <w:color w:val="auto"/>
                      <w:kern w:val="0"/>
                      <w:sz w:val="21"/>
                      <w:szCs w:val="21"/>
                      <w:highlight w:val="none"/>
                    </w:rPr>
                    <w:t>项目，</w:t>
                  </w:r>
                  <w:r>
                    <w:rPr>
                      <w:rFonts w:hint="eastAsia" w:ascii="仿宋" w:hAnsi="仿宋" w:eastAsia="仿宋" w:cs="仿宋"/>
                      <w:color w:val="auto"/>
                      <w:kern w:val="0"/>
                      <w:sz w:val="21"/>
                      <w:szCs w:val="21"/>
                      <w:highlight w:val="none"/>
                      <w:lang w:val="en-US" w:eastAsia="zh-CN"/>
                    </w:rPr>
                    <w:t>现有项目已建成部分通过自主竣工环保验收；</w:t>
                  </w:r>
                  <w:r>
                    <w:rPr>
                      <w:rFonts w:hint="eastAsia" w:ascii="仿宋" w:hAnsi="仿宋" w:eastAsia="仿宋" w:cs="仿宋"/>
                      <w:color w:val="auto"/>
                      <w:kern w:val="0"/>
                      <w:sz w:val="21"/>
                      <w:szCs w:val="21"/>
                      <w:highlight w:val="none"/>
                    </w:rPr>
                    <w:t>（5）项目基础数据真实有效，评价结论合理可信，不存在不予批准的情形</w:t>
                  </w:r>
                </w:p>
              </w:tc>
              <w:tc>
                <w:tcPr>
                  <w:tcW w:w="656" w:type="dxa"/>
                  <w:vAlign w:val="center"/>
                </w:tcPr>
                <w:p w14:paraId="42A154AC">
                  <w:pPr>
                    <w:jc w:val="center"/>
                    <w:rPr>
                      <w:rFonts w:hint="eastAsia" w:ascii="仿宋" w:hAnsi="仿宋" w:eastAsia="仿宋" w:cs="仿宋"/>
                      <w:b/>
                      <w:color w:val="auto"/>
                      <w:sz w:val="21"/>
                      <w:szCs w:val="21"/>
                      <w:lang w:eastAsia="zh-CN"/>
                    </w:rPr>
                  </w:pPr>
                  <w:r>
                    <w:rPr>
                      <w:rFonts w:hint="eastAsia" w:ascii="仿宋" w:hAnsi="仿宋" w:eastAsia="仿宋" w:cs="仿宋"/>
                      <w:color w:val="auto"/>
                      <w:kern w:val="0"/>
                      <w:sz w:val="21"/>
                      <w:szCs w:val="21"/>
                    </w:rPr>
                    <w:t>符合</w:t>
                  </w:r>
                </w:p>
              </w:tc>
            </w:tr>
            <w:tr w14:paraId="5AC6E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73161C2B">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《关于印发&lt;建设项目主要污染物排放总量指标审核及管理暂行办法&gt;的通知》（环发</w:t>
                  </w:r>
                  <w:r>
                    <w:rPr>
                      <w:rFonts w:hint="eastAsia" w:ascii="仿宋" w:hAnsi="仿宋" w:eastAsia="仿宋" w:cs="仿宋"/>
                      <w:color w:val="auto"/>
                      <w:kern w:val="0"/>
                      <w:sz w:val="21"/>
                      <w:szCs w:val="21"/>
                      <w:lang w:eastAsia="zh-CN"/>
                    </w:rPr>
                    <w:t>〔2014〕197号</w:t>
                  </w:r>
                  <w:r>
                    <w:rPr>
                      <w:rFonts w:hint="eastAsia" w:ascii="仿宋" w:hAnsi="仿宋" w:eastAsia="仿宋" w:cs="仿宋"/>
                      <w:color w:val="auto"/>
                      <w:kern w:val="0"/>
                      <w:sz w:val="21"/>
                      <w:szCs w:val="21"/>
                    </w:rPr>
                    <w:t>）</w:t>
                  </w:r>
                </w:p>
              </w:tc>
              <w:tc>
                <w:tcPr>
                  <w:tcW w:w="5957" w:type="dxa"/>
                  <w:vAlign w:val="center"/>
                </w:tcPr>
                <w:p w14:paraId="518DD6FA">
                  <w:pPr>
                    <w:rPr>
                      <w:rFonts w:hint="eastAsia" w:ascii="仿宋" w:hAnsi="仿宋" w:eastAsia="仿宋" w:cs="仿宋"/>
                      <w:b/>
                      <w:color w:val="auto"/>
                      <w:sz w:val="21"/>
                      <w:szCs w:val="21"/>
                    </w:rPr>
                  </w:pPr>
                  <w:r>
                    <w:rPr>
                      <w:rFonts w:hint="eastAsia" w:ascii="仿宋" w:hAnsi="仿宋" w:eastAsia="仿宋" w:cs="仿宋"/>
                      <w:color w:val="auto"/>
                      <w:kern w:val="0"/>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3687" w:type="dxa"/>
                  <w:vAlign w:val="center"/>
                </w:tcPr>
                <w:p w14:paraId="04E261D9">
                  <w:pPr>
                    <w:rPr>
                      <w:rFonts w:hint="eastAsia" w:ascii="仿宋" w:hAnsi="仿宋" w:eastAsia="仿宋" w:cs="仿宋"/>
                      <w:b/>
                      <w:color w:val="auto"/>
                      <w:sz w:val="21"/>
                      <w:szCs w:val="21"/>
                    </w:rPr>
                  </w:pPr>
                  <w:r>
                    <w:rPr>
                      <w:rFonts w:hint="eastAsia" w:ascii="仿宋" w:hAnsi="仿宋" w:eastAsia="仿宋" w:cs="仿宋"/>
                      <w:color w:val="auto"/>
                      <w:kern w:val="0"/>
                      <w:sz w:val="21"/>
                      <w:szCs w:val="21"/>
                    </w:rPr>
                    <w:t>本项目拟在环境影响评价文件审批前，取得主要污染物排放总量指标</w:t>
                  </w:r>
                </w:p>
              </w:tc>
              <w:tc>
                <w:tcPr>
                  <w:tcW w:w="656" w:type="dxa"/>
                  <w:vAlign w:val="center"/>
                </w:tcPr>
                <w:p w14:paraId="62E71164">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符合</w:t>
                  </w:r>
                </w:p>
              </w:tc>
            </w:tr>
            <w:tr w14:paraId="758F8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0D944515">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《关于以改善环境质量为核心加强环境影响评价管理的通知》（环环评</w:t>
                  </w:r>
                  <w:r>
                    <w:rPr>
                      <w:rFonts w:hint="eastAsia" w:ascii="仿宋" w:hAnsi="仿宋" w:eastAsia="仿宋" w:cs="仿宋"/>
                      <w:color w:val="auto"/>
                      <w:kern w:val="0"/>
                      <w:sz w:val="21"/>
                      <w:szCs w:val="21"/>
                      <w:lang w:eastAsia="zh-CN"/>
                    </w:rPr>
                    <w:t>〔2016〕150号</w:t>
                  </w:r>
                  <w:r>
                    <w:rPr>
                      <w:rFonts w:hint="eastAsia" w:ascii="仿宋" w:hAnsi="仿宋" w:eastAsia="仿宋" w:cs="仿宋"/>
                      <w:color w:val="auto"/>
                      <w:kern w:val="0"/>
                      <w:sz w:val="21"/>
                      <w:szCs w:val="21"/>
                    </w:rPr>
                    <w:t>）</w:t>
                  </w:r>
                </w:p>
              </w:tc>
              <w:tc>
                <w:tcPr>
                  <w:tcW w:w="5957" w:type="dxa"/>
                  <w:vAlign w:val="center"/>
                </w:tcPr>
                <w:p w14:paraId="2E8A599A">
                  <w:pPr>
                    <w:rPr>
                      <w:rFonts w:hint="eastAsia" w:ascii="仿宋" w:hAnsi="仿宋" w:eastAsia="仿宋" w:cs="仿宋"/>
                      <w:b/>
                      <w:color w:val="auto"/>
                      <w:sz w:val="21"/>
                      <w:szCs w:val="21"/>
                    </w:rPr>
                  </w:pPr>
                  <w:r>
                    <w:rPr>
                      <w:rFonts w:hint="eastAsia" w:ascii="仿宋" w:hAnsi="仿宋" w:eastAsia="仿宋" w:cs="仿宋"/>
                      <w:color w:val="auto"/>
                      <w:kern w:val="0"/>
                      <w:sz w:val="21"/>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687" w:type="dxa"/>
                  <w:vAlign w:val="center"/>
                </w:tcPr>
                <w:p w14:paraId="6CF4212A">
                  <w:pPr>
                    <w:kinsoku w:val="0"/>
                    <w:overflowPunct w:val="0"/>
                    <w:autoSpaceDE w:val="0"/>
                    <w:autoSpaceDN w:val="0"/>
                    <w:adjustRightInd w:val="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（1）本项目位于江苏省常州市金坛区龙湖路86号，</w:t>
                  </w:r>
                  <w:r>
                    <w:rPr>
                      <w:rFonts w:hint="eastAsia" w:ascii="仿宋" w:hAnsi="仿宋" w:eastAsia="仿宋" w:cs="仿宋"/>
                      <w:color w:val="auto"/>
                      <w:kern w:val="0"/>
                      <w:sz w:val="21"/>
                      <w:szCs w:val="21"/>
                      <w:highlight w:val="none"/>
                      <w:lang w:val="en-US" w:eastAsia="zh-CN"/>
                    </w:rPr>
                    <w:t>为厂区内产品及生产配套需求提供实验及检测服务，</w:t>
                  </w:r>
                  <w:r>
                    <w:rPr>
                      <w:rFonts w:hint="eastAsia" w:ascii="仿宋" w:hAnsi="仿宋" w:eastAsia="仿宋" w:cs="仿宋"/>
                      <w:color w:val="auto"/>
                      <w:kern w:val="0"/>
                      <w:sz w:val="21"/>
                      <w:szCs w:val="21"/>
                    </w:rPr>
                    <w:t>与金坛经济开发区规划相符。</w:t>
                  </w:r>
                </w:p>
                <w:p w14:paraId="2D15D65D">
                  <w:pPr>
                    <w:autoSpaceDE w:val="0"/>
                    <w:autoSpaceDN w:val="0"/>
                    <w:adjustRightInd w:val="0"/>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rPr>
                    <w:t>（2）项目选址不在国家级生态保护红线及省级生态空间管控区域范围内，地区内现有同类型项目未对环境或生态造成严重污染</w:t>
                  </w:r>
                  <w:r>
                    <w:rPr>
                      <w:rFonts w:hint="eastAsia" w:ascii="仿宋" w:hAnsi="仿宋" w:eastAsia="仿宋" w:cs="仿宋"/>
                      <w:color w:val="auto"/>
                      <w:kern w:val="0"/>
                      <w:sz w:val="21"/>
                      <w:szCs w:val="21"/>
                      <w:lang w:eastAsia="zh-CN"/>
                    </w:rPr>
                    <w:t>。</w:t>
                  </w:r>
                </w:p>
                <w:p w14:paraId="6AE16ADD">
                  <w:pPr>
                    <w:autoSpaceDE w:val="0"/>
                    <w:autoSpaceDN w:val="0"/>
                    <w:adjustRightInd w:val="0"/>
                    <w:rPr>
                      <w:rFonts w:hint="eastAsia" w:ascii="仿宋" w:hAnsi="仿宋" w:eastAsia="仿宋" w:cs="仿宋"/>
                      <w:b/>
                      <w:color w:val="auto"/>
                      <w:sz w:val="21"/>
                      <w:szCs w:val="21"/>
                    </w:rPr>
                  </w:pP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lang w:val="en-US" w:eastAsia="zh-CN"/>
                    </w:rPr>
                    <w:t>3</w:t>
                  </w:r>
                  <w:r>
                    <w:rPr>
                      <w:rFonts w:hint="eastAsia" w:ascii="仿宋" w:hAnsi="仿宋" w:eastAsia="仿宋" w:cs="仿宋"/>
                      <w:color w:val="auto"/>
                      <w:kern w:val="0"/>
                      <w:sz w:val="21"/>
                      <w:szCs w:val="21"/>
                      <w:lang w:eastAsia="zh-CN"/>
                    </w:rPr>
                    <w:t>）</w:t>
                  </w:r>
                  <w:r>
                    <w:rPr>
                      <w:rFonts w:hint="eastAsia" w:ascii="仿宋" w:hAnsi="仿宋" w:eastAsia="仿宋" w:cs="仿宋"/>
                      <w:color w:val="auto"/>
                      <w:kern w:val="0"/>
                      <w:sz w:val="21"/>
                      <w:szCs w:val="21"/>
                    </w:rPr>
                    <w:t>项目所在区域属于环境空气不达标区，根据大气环境质量改善方案，大气环境质量状况可以得到进一步改善。本项目产生的污染物经采取相应污染物防治措施后均能达标排放，对周边环境影响较小。</w:t>
                  </w:r>
                </w:p>
              </w:tc>
              <w:tc>
                <w:tcPr>
                  <w:tcW w:w="656" w:type="dxa"/>
                  <w:vAlign w:val="center"/>
                </w:tcPr>
                <w:p w14:paraId="71CF86FE">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符合</w:t>
                  </w:r>
                </w:p>
              </w:tc>
            </w:tr>
            <w:tr w14:paraId="10A19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1D10475C">
                  <w:pPr>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《关于全面加强生态环境保护坚决打好污染防治攻坚战的实施意见》（苏发</w:t>
                  </w:r>
                  <w:r>
                    <w:rPr>
                      <w:rFonts w:hint="eastAsia" w:ascii="仿宋" w:hAnsi="仿宋" w:eastAsia="仿宋" w:cs="仿宋"/>
                      <w:color w:val="auto"/>
                      <w:kern w:val="0"/>
                      <w:sz w:val="21"/>
                      <w:szCs w:val="21"/>
                      <w:lang w:eastAsia="zh-CN"/>
                    </w:rPr>
                    <w:t>〔2018〕24号</w:t>
                  </w:r>
                  <w:r>
                    <w:rPr>
                      <w:rFonts w:hint="eastAsia" w:ascii="仿宋" w:hAnsi="仿宋" w:eastAsia="仿宋" w:cs="仿宋"/>
                      <w:color w:val="auto"/>
                      <w:kern w:val="0"/>
                      <w:sz w:val="21"/>
                      <w:szCs w:val="21"/>
                    </w:rPr>
                    <w:t>）</w:t>
                  </w:r>
                </w:p>
              </w:tc>
              <w:tc>
                <w:tcPr>
                  <w:tcW w:w="5957" w:type="dxa"/>
                  <w:vAlign w:val="center"/>
                </w:tcPr>
                <w:p w14:paraId="750DE24C">
                  <w:pPr>
                    <w:widowControl/>
                    <w:rPr>
                      <w:rFonts w:hint="eastAsia" w:ascii="仿宋" w:hAnsi="仿宋" w:eastAsia="仿宋" w:cs="仿宋"/>
                      <w:color w:val="auto"/>
                      <w:kern w:val="0"/>
                      <w:sz w:val="21"/>
                      <w:szCs w:val="21"/>
                    </w:rPr>
                  </w:pPr>
                  <w:r>
                    <w:rPr>
                      <w:rFonts w:hint="default" w:ascii="Times New Roman" w:hAnsi="Times New Roman" w:eastAsia="仿宋" w:cs="Times New Roman"/>
                      <w:color w:val="auto"/>
                      <w:kern w:val="0"/>
                      <w:szCs w:val="21"/>
                      <w:highlight w:val="none"/>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3687" w:type="dxa"/>
                  <w:vAlign w:val="center"/>
                </w:tcPr>
                <w:p w14:paraId="2B0EFC6A">
                  <w:pPr>
                    <w:widowControl/>
                    <w:jc w:val="left"/>
                    <w:rPr>
                      <w:rFonts w:hint="eastAsia" w:ascii="仿宋" w:hAnsi="仿宋" w:eastAsia="仿宋" w:cs="仿宋"/>
                      <w:color w:val="auto"/>
                      <w:kern w:val="0"/>
                      <w:sz w:val="21"/>
                      <w:szCs w:val="21"/>
                      <w:lang w:eastAsia="zh-CN"/>
                    </w:rPr>
                  </w:pPr>
                  <w:r>
                    <w:rPr>
                      <w:rFonts w:hint="default" w:ascii="Times New Roman" w:hAnsi="Times New Roman" w:eastAsia="仿宋" w:cs="Times New Roman"/>
                      <w:color w:val="auto"/>
                      <w:kern w:val="0"/>
                      <w:szCs w:val="21"/>
                      <w:highlight w:val="none"/>
                    </w:rPr>
                    <w:t>本项目位于江苏省常州市金坛区龙湖路86号，不属于化工企业，不从事化工项目，不在长江干流及主要支流岸线1公里范围内。</w:t>
                  </w:r>
                </w:p>
              </w:tc>
              <w:tc>
                <w:tcPr>
                  <w:tcW w:w="656" w:type="dxa"/>
                  <w:vAlign w:val="center"/>
                </w:tcPr>
                <w:p w14:paraId="0D5DD370">
                  <w:pPr>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符合</w:t>
                  </w:r>
                </w:p>
              </w:tc>
            </w:tr>
            <w:tr w14:paraId="284C2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13B32AFF">
                  <w:pPr>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t>《省政府关于印发江苏省国家级生态保护红线规划的通知》（苏政发〔2018〕74号）</w:t>
                  </w:r>
                </w:p>
              </w:tc>
              <w:tc>
                <w:tcPr>
                  <w:tcW w:w="5957" w:type="dxa"/>
                  <w:vAlign w:val="center"/>
                </w:tcPr>
                <w:p w14:paraId="2B7F123C">
                  <w:pPr>
                    <w:rPr>
                      <w:rFonts w:hint="eastAsia" w:ascii="仿宋" w:hAnsi="仿宋" w:eastAsia="仿宋" w:cs="仿宋"/>
                      <w:color w:val="auto"/>
                      <w:kern w:val="0"/>
                      <w:sz w:val="21"/>
                      <w:szCs w:val="21"/>
                    </w:rPr>
                  </w:pPr>
                  <w:r>
                    <w:rPr>
                      <w:rFonts w:hint="eastAsia" w:ascii="仿宋" w:hAnsi="仿宋" w:eastAsia="仿宋" w:cs="仿宋"/>
                      <w:color w:val="auto"/>
                      <w:sz w:val="21"/>
                      <w:szCs w:val="21"/>
                    </w:rPr>
                    <w:t>生态保护红线原则上按禁止开发区域的要求进行管理，严禁不符合主体功能定位的各类开发活动，严禁任意改变用途。</w:t>
                  </w:r>
                </w:p>
              </w:tc>
              <w:tc>
                <w:tcPr>
                  <w:tcW w:w="3687" w:type="dxa"/>
                  <w:vAlign w:val="center"/>
                </w:tcPr>
                <w:p w14:paraId="011F808F">
                  <w:pPr>
                    <w:kinsoku w:val="0"/>
                    <w:overflowPunct w:val="0"/>
                    <w:autoSpaceDE w:val="0"/>
                    <w:autoSpaceDN w:val="0"/>
                    <w:adjustRightInd w:val="0"/>
                    <w:rPr>
                      <w:rFonts w:hint="eastAsia" w:ascii="仿宋" w:hAnsi="仿宋" w:eastAsia="仿宋" w:cs="仿宋"/>
                      <w:color w:val="auto"/>
                      <w:kern w:val="0"/>
                      <w:sz w:val="21"/>
                      <w:szCs w:val="21"/>
                    </w:rPr>
                  </w:pPr>
                  <w:r>
                    <w:rPr>
                      <w:rFonts w:hint="eastAsia" w:ascii="仿宋" w:hAnsi="仿宋" w:eastAsia="仿宋" w:cs="仿宋"/>
                      <w:color w:val="auto"/>
                      <w:sz w:val="21"/>
                      <w:szCs w:val="21"/>
                    </w:rPr>
                    <w:t>本项目不涉及生态保护红线。</w:t>
                  </w:r>
                </w:p>
              </w:tc>
              <w:tc>
                <w:tcPr>
                  <w:tcW w:w="656" w:type="dxa"/>
                  <w:vAlign w:val="center"/>
                </w:tcPr>
                <w:p w14:paraId="07FD5552">
                  <w:pPr>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符合</w:t>
                  </w:r>
                </w:p>
              </w:tc>
            </w:tr>
            <w:tr w14:paraId="32F2C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5" w:type="dxa"/>
                  <w:vAlign w:val="center"/>
                </w:tcPr>
                <w:p w14:paraId="29F5AFC5">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《省政府办公厅关于加强危险废物污染防治工作的意见》（苏政办发</w:t>
                  </w:r>
                  <w:r>
                    <w:rPr>
                      <w:rFonts w:hint="eastAsia" w:ascii="仿宋" w:hAnsi="仿宋" w:eastAsia="仿宋" w:cs="仿宋"/>
                      <w:color w:val="auto"/>
                      <w:kern w:val="0"/>
                      <w:sz w:val="21"/>
                      <w:szCs w:val="21"/>
                      <w:lang w:eastAsia="zh-CN"/>
                    </w:rPr>
                    <w:t>〔2018〕91号</w:t>
                  </w:r>
                  <w:r>
                    <w:rPr>
                      <w:rFonts w:hint="eastAsia" w:ascii="仿宋" w:hAnsi="仿宋" w:eastAsia="仿宋" w:cs="仿宋"/>
                      <w:color w:val="auto"/>
                      <w:kern w:val="0"/>
                      <w:sz w:val="21"/>
                      <w:szCs w:val="21"/>
                    </w:rPr>
                    <w:t>）</w:t>
                  </w:r>
                </w:p>
              </w:tc>
              <w:tc>
                <w:tcPr>
                  <w:tcW w:w="5957" w:type="dxa"/>
                  <w:vAlign w:val="center"/>
                </w:tcPr>
                <w:p w14:paraId="7B69232C">
                  <w:pPr>
                    <w:rPr>
                      <w:rFonts w:hint="eastAsia" w:ascii="仿宋" w:hAnsi="仿宋" w:eastAsia="仿宋" w:cs="仿宋"/>
                      <w:b/>
                      <w:color w:val="auto"/>
                      <w:sz w:val="21"/>
                      <w:szCs w:val="21"/>
                    </w:rPr>
                  </w:pPr>
                  <w:r>
                    <w:rPr>
                      <w:rFonts w:hint="eastAsia" w:ascii="仿宋" w:hAnsi="仿宋" w:eastAsia="仿宋" w:cs="仿宋"/>
                      <w:color w:val="auto"/>
                      <w:kern w:val="0"/>
                      <w:sz w:val="21"/>
                      <w:szCs w:val="21"/>
                    </w:rPr>
                    <w:t>禁止审批无法落实危险废物利用、处置途径的项目，从严审批危险废物产生量大、本地无配套利用处置能力、且需设区市统筹解决的项目。</w:t>
                  </w:r>
                </w:p>
              </w:tc>
              <w:tc>
                <w:tcPr>
                  <w:tcW w:w="3687" w:type="dxa"/>
                  <w:vAlign w:val="center"/>
                </w:tcPr>
                <w:p w14:paraId="37153E70">
                  <w:pPr>
                    <w:rPr>
                      <w:rFonts w:hint="eastAsia" w:ascii="仿宋" w:hAnsi="仿宋" w:eastAsia="仿宋" w:cs="仿宋"/>
                      <w:b/>
                      <w:color w:val="auto"/>
                      <w:sz w:val="21"/>
                      <w:szCs w:val="21"/>
                    </w:rPr>
                  </w:pPr>
                  <w:r>
                    <w:rPr>
                      <w:rFonts w:hint="eastAsia" w:ascii="仿宋" w:hAnsi="仿宋" w:eastAsia="仿宋" w:cs="仿宋"/>
                      <w:color w:val="auto"/>
                      <w:kern w:val="0"/>
                      <w:sz w:val="21"/>
                      <w:szCs w:val="21"/>
                    </w:rPr>
                    <w:t>本项目危险废物按照要求暂存于危废仓库内，定期委托有资质单位进行处置。</w:t>
                  </w:r>
                </w:p>
              </w:tc>
              <w:tc>
                <w:tcPr>
                  <w:tcW w:w="656" w:type="dxa"/>
                  <w:vAlign w:val="center"/>
                </w:tcPr>
                <w:p w14:paraId="4F38745E">
                  <w:pPr>
                    <w:jc w:val="center"/>
                    <w:rPr>
                      <w:rFonts w:hint="eastAsia" w:ascii="仿宋" w:hAnsi="仿宋" w:eastAsia="仿宋" w:cs="仿宋"/>
                      <w:b/>
                      <w:color w:val="auto"/>
                      <w:sz w:val="21"/>
                      <w:szCs w:val="21"/>
                    </w:rPr>
                  </w:pPr>
                  <w:r>
                    <w:rPr>
                      <w:rFonts w:hint="eastAsia" w:ascii="仿宋" w:hAnsi="仿宋" w:eastAsia="仿宋" w:cs="仿宋"/>
                      <w:color w:val="auto"/>
                      <w:kern w:val="0"/>
                      <w:sz w:val="21"/>
                      <w:szCs w:val="21"/>
                    </w:rPr>
                    <w:t>符合</w:t>
                  </w:r>
                </w:p>
              </w:tc>
            </w:tr>
          </w:tbl>
          <w:p w14:paraId="17526D70">
            <w:pPr>
              <w:rPr>
                <w:rFonts w:hint="default" w:ascii="Times New Roman" w:hAnsi="Times New Roman" w:eastAsia="仿宋" w:cs="Times New Roman"/>
                <w:b/>
                <w:color w:val="auto"/>
                <w:sz w:val="10"/>
                <w:szCs w:val="10"/>
              </w:rPr>
            </w:pPr>
          </w:p>
          <w:p w14:paraId="5320AE30">
            <w:pPr>
              <w:widowControl/>
              <w:adjustRightInd w:val="0"/>
              <w:snapToGrid w:val="0"/>
              <w:spacing w:line="360" w:lineRule="auto"/>
              <w:ind w:firstLine="480" w:firstLineChars="200"/>
              <w:jc w:val="left"/>
              <w:rPr>
                <w:rFonts w:hint="eastAsia" w:ascii="Times New Roman" w:hAnsi="Times New Roman" w:eastAsia="仿宋" w:cs="Times New Roman"/>
                <w:b/>
                <w:color w:val="auto"/>
                <w:sz w:val="24"/>
                <w:lang w:val="en-US" w:eastAsia="zh-CN"/>
              </w:rPr>
            </w:pPr>
            <w:r>
              <w:rPr>
                <w:rFonts w:hint="default" w:ascii="Times New Roman" w:hAnsi="Times New Roman" w:eastAsia="仿宋" w:cs="Times New Roman"/>
                <w:color w:val="auto"/>
                <w:sz w:val="24"/>
                <w:highlight w:val="none"/>
              </w:rPr>
              <w:t>综上所述，本项目符合国家及地方相关产业政策及法律法规要求</w:t>
            </w:r>
            <w:r>
              <w:rPr>
                <w:rFonts w:hint="default" w:ascii="Times New Roman" w:hAnsi="Times New Roman" w:eastAsia="仿宋" w:cs="Times New Roman"/>
                <w:color w:val="auto"/>
                <w:sz w:val="24"/>
              </w:rPr>
              <w:t>。</w:t>
            </w:r>
          </w:p>
        </w:tc>
      </w:tr>
    </w:tbl>
    <w:p w14:paraId="260C76D1">
      <w:pPr>
        <w:rPr>
          <w:rFonts w:hint="default" w:ascii="Times New Roman" w:hAnsi="Times New Roman" w:eastAsia="仿宋" w:cs="Times New Roman"/>
          <w:color w:val="auto"/>
        </w:rPr>
      </w:pPr>
      <w:r>
        <w:rPr>
          <w:rFonts w:hint="default" w:ascii="Times New Roman" w:hAnsi="Times New Roman" w:eastAsia="仿宋" w:cs="Times New Roman"/>
          <w:color w:val="auto"/>
        </w:rPr>
        <w:br w:type="page"/>
      </w:r>
    </w:p>
    <w:p w14:paraId="13BADA36">
      <w:pPr>
        <w:rPr>
          <w:rFonts w:hint="default" w:ascii="Times New Roman" w:hAnsi="Times New Roman" w:eastAsia="仿宋" w:cs="Times New Roman"/>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574"/>
      </w:tblGrid>
      <w:tr w14:paraId="7434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3" w:hRule="atLeast"/>
        </w:trPr>
        <w:tc>
          <w:tcPr>
            <w:tcW w:w="486" w:type="dxa"/>
            <w:vAlign w:val="center"/>
          </w:tcPr>
          <w:p w14:paraId="6C767A2D">
            <w:pPr>
              <w:jc w:val="center"/>
              <w:rPr>
                <w:rFonts w:hint="default" w:ascii="Times New Roman" w:hAnsi="Times New Roman" w:eastAsia="仿宋" w:cs="Times New Roman"/>
                <w:color w:val="auto"/>
                <w:vertAlign w:val="baseline"/>
              </w:rPr>
            </w:pPr>
            <w:r>
              <w:rPr>
                <w:rFonts w:hint="default" w:ascii="Times New Roman" w:hAnsi="Times New Roman" w:eastAsia="仿宋" w:cs="Times New Roman"/>
                <w:color w:val="auto"/>
                <w:kern w:val="0"/>
                <w:sz w:val="24"/>
              </w:rPr>
              <w:t>其他符合性分析</w:t>
            </w:r>
          </w:p>
        </w:tc>
        <w:tc>
          <w:tcPr>
            <w:tcW w:w="8574" w:type="dxa"/>
          </w:tcPr>
          <w:p w14:paraId="1B7B05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eastAsia="仿宋" w:cs="Times New Roman"/>
                <w:bCs/>
                <w:color w:val="FF0000"/>
                <w:sz w:val="24"/>
                <w:lang w:val="en-US" w:eastAsia="zh-CN"/>
              </w:rPr>
            </w:pPr>
            <w:r>
              <w:rPr>
                <w:rFonts w:hint="eastAsia" w:eastAsia="仿宋" w:cs="Times New Roman"/>
                <w:color w:val="FF0000"/>
                <w:sz w:val="24"/>
                <w:lang w:val="en-US" w:eastAsia="zh-CN"/>
              </w:rPr>
              <w:t>5、</w:t>
            </w:r>
            <w:r>
              <w:rPr>
                <w:rFonts w:hint="eastAsia" w:eastAsia="仿宋" w:cs="Times New Roman"/>
                <w:bCs/>
                <w:color w:val="FF0000"/>
                <w:sz w:val="24"/>
                <w:lang w:val="en-US" w:eastAsia="zh-CN"/>
              </w:rPr>
              <w:t>与《实验室废气污染控制技术规范》（DB32/T 4455-2023）相符性分析</w:t>
            </w:r>
          </w:p>
          <w:p w14:paraId="372785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color w:val="FF0000"/>
                <w:sz w:val="24"/>
              </w:rPr>
            </w:pPr>
            <w:r>
              <w:rPr>
                <w:rFonts w:hint="default" w:ascii="Times New Roman" w:hAnsi="Times New Roman" w:eastAsia="仿宋" w:cs="Times New Roman"/>
                <w:b/>
                <w:color w:val="FF0000"/>
                <w:sz w:val="24"/>
              </w:rPr>
              <w:t>表1-</w:t>
            </w:r>
            <w:r>
              <w:rPr>
                <w:rFonts w:hint="eastAsia" w:eastAsia="仿宋" w:cs="Times New Roman"/>
                <w:b/>
                <w:color w:val="FF0000"/>
                <w:sz w:val="24"/>
                <w:lang w:val="en-US" w:eastAsia="zh-CN"/>
              </w:rPr>
              <w:t>10</w:t>
            </w:r>
            <w:r>
              <w:rPr>
                <w:rFonts w:hint="default" w:ascii="Times New Roman" w:hAnsi="Times New Roman" w:eastAsia="仿宋" w:cs="Times New Roman"/>
                <w:b/>
                <w:color w:val="FF0000"/>
                <w:sz w:val="24"/>
              </w:rPr>
              <w:t xml:space="preserve">  与</w:t>
            </w:r>
            <w:r>
              <w:rPr>
                <w:rFonts w:hint="eastAsia" w:eastAsia="仿宋" w:cs="Times New Roman"/>
                <w:bCs/>
                <w:color w:val="FF0000"/>
                <w:sz w:val="24"/>
                <w:lang w:val="en-US" w:eastAsia="zh-CN"/>
              </w:rPr>
              <w:t>DB32/T 4455-2023</w:t>
            </w:r>
            <w:r>
              <w:rPr>
                <w:rFonts w:hint="default" w:ascii="Times New Roman" w:hAnsi="Times New Roman" w:eastAsia="仿宋" w:cs="Times New Roman"/>
                <w:b/>
                <w:color w:val="FF0000"/>
                <w:sz w:val="24"/>
              </w:rPr>
              <w:t>对照分析</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776"/>
              <w:gridCol w:w="4515"/>
              <w:gridCol w:w="2400"/>
              <w:gridCol w:w="657"/>
            </w:tblGrid>
            <w:tr w14:paraId="6C8ECD14">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tcBorders>
                    <w:tl2br w:val="nil"/>
                    <w:tr2bl w:val="nil"/>
                  </w:tcBorders>
                  <w:vAlign w:val="center"/>
                </w:tcPr>
                <w:p w14:paraId="698FC9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FF0000"/>
                      <w:sz w:val="21"/>
                      <w:szCs w:val="21"/>
                      <w:highlight w:val="none"/>
                      <w:lang w:val="en-US" w:eastAsia="zh-CN"/>
                    </w:rPr>
                  </w:pPr>
                  <w:r>
                    <w:rPr>
                      <w:rFonts w:hint="eastAsia" w:ascii="仿宋" w:hAnsi="仿宋" w:eastAsia="仿宋" w:cs="仿宋"/>
                      <w:b/>
                      <w:color w:val="FF0000"/>
                      <w:sz w:val="21"/>
                      <w:szCs w:val="21"/>
                      <w:highlight w:val="none"/>
                      <w:lang w:val="en-US" w:eastAsia="zh-CN"/>
                    </w:rPr>
                    <w:t>类别</w:t>
                  </w:r>
                </w:p>
              </w:tc>
              <w:tc>
                <w:tcPr>
                  <w:tcW w:w="4515" w:type="dxa"/>
                  <w:tcBorders>
                    <w:tl2br w:val="nil"/>
                    <w:tr2bl w:val="nil"/>
                  </w:tcBorders>
                  <w:vAlign w:val="center"/>
                </w:tcPr>
                <w:p w14:paraId="1BC9FE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color w:val="FF0000"/>
                      <w:sz w:val="21"/>
                      <w:szCs w:val="21"/>
                      <w:highlight w:val="none"/>
                      <w:lang w:val="en-US" w:eastAsia="zh-CN"/>
                    </w:rPr>
                  </w:pPr>
                  <w:r>
                    <w:rPr>
                      <w:rFonts w:hint="eastAsia" w:ascii="仿宋" w:hAnsi="仿宋" w:eastAsia="仿宋" w:cs="仿宋"/>
                      <w:b/>
                      <w:color w:val="FF0000"/>
                      <w:sz w:val="21"/>
                      <w:szCs w:val="21"/>
                      <w:highlight w:val="none"/>
                      <w:lang w:val="en-US" w:eastAsia="zh-CN"/>
                    </w:rPr>
                    <w:t>相关要求</w:t>
                  </w:r>
                </w:p>
              </w:tc>
              <w:tc>
                <w:tcPr>
                  <w:tcW w:w="2400" w:type="dxa"/>
                  <w:tcBorders>
                    <w:tl2br w:val="nil"/>
                    <w:tr2bl w:val="nil"/>
                  </w:tcBorders>
                  <w:vAlign w:val="center"/>
                </w:tcPr>
                <w:p w14:paraId="7F3046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FF0000"/>
                      <w:vertAlign w:val="baseline"/>
                    </w:rPr>
                  </w:pPr>
                  <w:r>
                    <w:rPr>
                      <w:rFonts w:hint="eastAsia" w:ascii="仿宋" w:hAnsi="仿宋" w:eastAsia="仿宋" w:cs="仿宋"/>
                      <w:b/>
                      <w:color w:val="FF0000"/>
                      <w:sz w:val="21"/>
                      <w:szCs w:val="21"/>
                      <w:highlight w:val="none"/>
                    </w:rPr>
                    <w:t>本项目情况</w:t>
                  </w:r>
                </w:p>
              </w:tc>
              <w:tc>
                <w:tcPr>
                  <w:tcW w:w="657" w:type="dxa"/>
                  <w:tcBorders>
                    <w:tl2br w:val="nil"/>
                    <w:tr2bl w:val="nil"/>
                  </w:tcBorders>
                  <w:vAlign w:val="center"/>
                </w:tcPr>
                <w:p w14:paraId="608762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FF0000"/>
                      <w:vertAlign w:val="baseline"/>
                    </w:rPr>
                  </w:pPr>
                  <w:r>
                    <w:rPr>
                      <w:rFonts w:hint="eastAsia" w:ascii="仿宋" w:hAnsi="仿宋" w:eastAsia="仿宋" w:cs="仿宋"/>
                      <w:b/>
                      <w:color w:val="FF0000"/>
                      <w:sz w:val="21"/>
                      <w:szCs w:val="21"/>
                    </w:rPr>
                    <w:t>是否相符</w:t>
                  </w:r>
                </w:p>
              </w:tc>
            </w:tr>
            <w:tr w14:paraId="0921DEA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restart"/>
                  <w:tcBorders>
                    <w:tl2br w:val="nil"/>
                    <w:tr2bl w:val="nil"/>
                  </w:tcBorders>
                  <w:vAlign w:val="center"/>
                </w:tcPr>
                <w:p w14:paraId="6A10B4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总体要求</w:t>
                  </w:r>
                </w:p>
              </w:tc>
              <w:tc>
                <w:tcPr>
                  <w:tcW w:w="4515" w:type="dxa"/>
                  <w:tcBorders>
                    <w:tl2br w:val="nil"/>
                    <w:tr2bl w:val="nil"/>
                  </w:tcBorders>
                </w:tcPr>
                <w:p w14:paraId="27652324">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4.1实验室单位产生的废气应经过排风柜或排风罩等方式收集，按照相关工程技术规范对净化工艺和设备进行科学设计和施工，排出室外的有机、无机废气应符合GB14554和DB32/4041的规定</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国家或地方行业污染物排放标准中对实验室废气已作规定的，按相应行业排放标准规定执行</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w:t>
                  </w:r>
                </w:p>
              </w:tc>
              <w:tc>
                <w:tcPr>
                  <w:tcW w:w="2400" w:type="dxa"/>
                  <w:tcBorders>
                    <w:tl2br w:val="nil"/>
                    <w:tr2bl w:val="nil"/>
                  </w:tcBorders>
                  <w:vAlign w:val="center"/>
                </w:tcPr>
                <w:p w14:paraId="03CC7EF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lang w:val="en-US" w:eastAsia="zh-CN"/>
                    </w:rPr>
                    <w:t>实验</w:t>
                  </w:r>
                  <w:r>
                    <w:rPr>
                      <w:rFonts w:hint="default" w:ascii="Times New Roman" w:hAnsi="Times New Roman" w:eastAsia="仿宋" w:cs="Times New Roman"/>
                      <w:color w:val="FF0000"/>
                      <w:vertAlign w:val="baseline"/>
                    </w:rPr>
                    <w:t>过程中产生的废气</w:t>
                  </w:r>
                  <w:r>
                    <w:rPr>
                      <w:rFonts w:hint="default" w:ascii="Times New Roman" w:hAnsi="Times New Roman" w:eastAsia="仿宋" w:cs="Times New Roman"/>
                      <w:color w:val="FF0000"/>
                      <w:vertAlign w:val="baseline"/>
                      <w:lang w:val="en-US" w:eastAsia="zh-CN"/>
                    </w:rPr>
                    <w:t>经集气罩收集后，与危废仓库废气一并依托现有1套碱液喷淋塔</w:t>
                  </w:r>
                  <w:r>
                    <w:rPr>
                      <w:rFonts w:hint="eastAsia" w:eastAsia="仿宋" w:cs="Times New Roman"/>
                      <w:color w:val="FF0000"/>
                      <w:vertAlign w:val="baseline"/>
                      <w:lang w:val="en-US" w:eastAsia="zh-CN"/>
                    </w:rPr>
                    <w:t>（含吸水填料）</w:t>
                  </w:r>
                  <w:r>
                    <w:rPr>
                      <w:rFonts w:hint="default" w:ascii="Times New Roman" w:hAnsi="Times New Roman" w:eastAsia="仿宋" w:cs="Times New Roman"/>
                      <w:color w:val="FF0000"/>
                      <w:vertAlign w:val="baseline"/>
                      <w:lang w:val="en-US" w:eastAsia="zh-CN"/>
                    </w:rPr>
                    <w:t>+3#两级活性炭吸附装置处理，最终通过</w:t>
                  </w:r>
                  <w:r>
                    <w:rPr>
                      <w:rFonts w:hint="eastAsia" w:eastAsia="仿宋" w:cs="Times New Roman"/>
                      <w:color w:val="FF0000"/>
                      <w:vertAlign w:val="baseline"/>
                      <w:lang w:val="en-US" w:eastAsia="zh-CN"/>
                    </w:rPr>
                    <w:t>现有</w:t>
                  </w:r>
                  <w:r>
                    <w:rPr>
                      <w:rFonts w:hint="default" w:ascii="Times New Roman" w:hAnsi="Times New Roman" w:eastAsia="仿宋" w:cs="Times New Roman"/>
                      <w:color w:val="FF0000"/>
                      <w:vertAlign w:val="baseline"/>
                      <w:lang w:val="en-US" w:eastAsia="zh-CN"/>
                    </w:rPr>
                    <w:t>1根25m高3#排气筒排放。</w:t>
                  </w:r>
                </w:p>
              </w:tc>
              <w:tc>
                <w:tcPr>
                  <w:tcW w:w="657" w:type="dxa"/>
                  <w:tcBorders>
                    <w:tl2br w:val="nil"/>
                    <w:tr2bl w:val="nil"/>
                  </w:tcBorders>
                  <w:vAlign w:val="center"/>
                </w:tcPr>
                <w:p w14:paraId="766B8F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30DFBD9E">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487A919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42B9B996">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仿宋" w:cs="Times New Roman"/>
                      <w:color w:val="FF0000"/>
                      <w:vertAlign w:val="baseline"/>
                      <w:lang w:eastAsia="zh-CN"/>
                    </w:rPr>
                  </w:pPr>
                  <w:r>
                    <w:rPr>
                      <w:rFonts w:hint="default" w:ascii="Times New Roman" w:hAnsi="Times New Roman" w:eastAsia="仿宋" w:cs="Times New Roman"/>
                      <w:color w:val="FF0000"/>
                      <w:vertAlign w:val="baseline"/>
                    </w:rPr>
                    <w:t>4.2收集废气中NMHC初始排放速率大于或等于2kg/h的实验室单元，废气净化效率不低于80%</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收集废气中NMHC初始排放速率在0.2kg/b~2kg/h</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含0.2kg/h</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范围内的实验室单元，废气净化效率不低于60%</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收集废气中NMHC初始排放速率在0.02kg/h~0.2kg/h</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含0.02kg/h</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范围内的实验室单元，废气净化效率不低于50%。对于同一建筑物内多间实验室或多个实验室单位，NMHC初始排放速率按实验室单元合并计算</w:t>
                  </w:r>
                  <w:r>
                    <w:rPr>
                      <w:rFonts w:hint="eastAsia" w:eastAsia="仿宋" w:cs="Times New Roman"/>
                      <w:color w:val="FF0000"/>
                      <w:vertAlign w:val="baseline"/>
                      <w:lang w:eastAsia="zh-CN"/>
                    </w:rPr>
                    <w:t>。</w:t>
                  </w:r>
                </w:p>
              </w:tc>
              <w:tc>
                <w:tcPr>
                  <w:tcW w:w="2400" w:type="dxa"/>
                  <w:tcBorders>
                    <w:tl2br w:val="nil"/>
                    <w:tr2bl w:val="nil"/>
                  </w:tcBorders>
                </w:tcPr>
                <w:p w14:paraId="081E0434">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本项目有机废气初始排放速率为0.02kg/h，经</w:t>
                  </w:r>
                  <w:r>
                    <w:rPr>
                      <w:rFonts w:hint="default" w:ascii="Times New Roman" w:hAnsi="Times New Roman" w:eastAsia="仿宋" w:cs="Times New Roman"/>
                      <w:color w:val="FF0000"/>
                      <w:vertAlign w:val="baseline"/>
                      <w:lang w:val="en-US" w:eastAsia="zh-CN"/>
                    </w:rPr>
                    <w:t>3#两级活性炭吸附装置处理</w:t>
                  </w:r>
                  <w:r>
                    <w:rPr>
                      <w:rFonts w:hint="eastAsia" w:eastAsia="仿宋" w:cs="Times New Roman"/>
                      <w:color w:val="FF0000"/>
                      <w:vertAlign w:val="baseline"/>
                      <w:lang w:val="en-US" w:eastAsia="zh-CN"/>
                    </w:rPr>
                    <w:t>，对有机废气的去除效率为90%。</w:t>
                  </w:r>
                </w:p>
              </w:tc>
              <w:tc>
                <w:tcPr>
                  <w:tcW w:w="657" w:type="dxa"/>
                  <w:tcBorders>
                    <w:tl2br w:val="nil"/>
                    <w:tr2bl w:val="nil"/>
                  </w:tcBorders>
                  <w:vAlign w:val="center"/>
                </w:tcPr>
                <w:p w14:paraId="7998F8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22C4603B">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restart"/>
                  <w:tcBorders>
                    <w:tl2br w:val="nil"/>
                    <w:tr2bl w:val="nil"/>
                  </w:tcBorders>
                  <w:vAlign w:val="center"/>
                </w:tcPr>
                <w:p w14:paraId="43631FF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废气收集</w:t>
                  </w:r>
                </w:p>
              </w:tc>
              <w:tc>
                <w:tcPr>
                  <w:tcW w:w="4515" w:type="dxa"/>
                  <w:tcBorders>
                    <w:tl2br w:val="nil"/>
                    <w:tr2bl w:val="nil"/>
                  </w:tcBorders>
                </w:tcPr>
                <w:p w14:paraId="7E35F20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5.1应根据实验室单元易挥发物质的产生和使用情况，统筹设置废气收集装置，实验室门窗或通风口等排放口外废气无组织排放监控点浓度限值和监测应符合GB37822和DB32/4041的要求。</w:t>
                  </w:r>
                </w:p>
              </w:tc>
              <w:tc>
                <w:tcPr>
                  <w:tcW w:w="2400" w:type="dxa"/>
                  <w:vMerge w:val="restart"/>
                  <w:tcBorders>
                    <w:tl2br w:val="nil"/>
                    <w:tr2bl w:val="nil"/>
                  </w:tcBorders>
                </w:tcPr>
                <w:p w14:paraId="07B5789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lang w:val="en-US"/>
                    </w:rPr>
                  </w:pPr>
                  <w:r>
                    <w:rPr>
                      <w:rFonts w:hint="default" w:ascii="Times New Roman" w:hAnsi="Times New Roman" w:eastAsia="仿宋" w:cs="Times New Roman"/>
                      <w:color w:val="FF0000"/>
                      <w:vertAlign w:val="baseline"/>
                      <w:lang w:val="en-US" w:eastAsia="zh-CN"/>
                    </w:rPr>
                    <w:t>实验台上方</w:t>
                  </w:r>
                  <w:r>
                    <w:rPr>
                      <w:rFonts w:hint="eastAsia" w:eastAsia="仿宋" w:cs="Times New Roman"/>
                      <w:color w:val="FF0000"/>
                      <w:vertAlign w:val="baseline"/>
                      <w:lang w:val="en-US" w:eastAsia="zh-CN"/>
                    </w:rPr>
                    <w:t>设1个</w:t>
                  </w:r>
                  <w:r>
                    <w:rPr>
                      <w:rFonts w:hint="default" w:ascii="Times New Roman" w:hAnsi="Times New Roman" w:eastAsia="仿宋" w:cs="Times New Roman"/>
                      <w:color w:val="FF0000"/>
                      <w:vertAlign w:val="baseline"/>
                      <w:lang w:val="en-US" w:eastAsia="zh-CN"/>
                    </w:rPr>
                    <w:t>集气罩</w:t>
                  </w:r>
                  <w:r>
                    <w:rPr>
                      <w:rFonts w:hint="eastAsia" w:eastAsia="仿宋" w:cs="Times New Roman"/>
                      <w:color w:val="FF0000"/>
                      <w:vertAlign w:val="baseline"/>
                      <w:lang w:val="en-US" w:eastAsia="zh-CN"/>
                    </w:rPr>
                    <w:t>，实验废气经</w:t>
                  </w:r>
                  <w:r>
                    <w:rPr>
                      <w:rFonts w:hint="default" w:ascii="Times New Roman" w:hAnsi="Times New Roman" w:eastAsia="仿宋" w:cs="Times New Roman"/>
                      <w:color w:val="FF0000"/>
                      <w:vertAlign w:val="baseline"/>
                      <w:lang w:val="en-US" w:eastAsia="zh-CN"/>
                    </w:rPr>
                    <w:t>收集</w:t>
                  </w:r>
                  <w:r>
                    <w:rPr>
                      <w:rFonts w:hint="eastAsia" w:eastAsia="仿宋" w:cs="Times New Roman"/>
                      <w:color w:val="FF0000"/>
                      <w:vertAlign w:val="baseline"/>
                      <w:lang w:val="en-US" w:eastAsia="zh-CN"/>
                    </w:rPr>
                    <w:t>送入</w:t>
                  </w:r>
                  <w:r>
                    <w:rPr>
                      <w:rFonts w:hint="default" w:ascii="Times New Roman" w:hAnsi="Times New Roman" w:eastAsia="仿宋" w:cs="Times New Roman"/>
                      <w:color w:val="FF0000"/>
                      <w:vertAlign w:val="baseline"/>
                      <w:lang w:val="en-US" w:eastAsia="zh-CN"/>
                    </w:rPr>
                    <w:t>现有1套碱液喷淋塔</w:t>
                  </w:r>
                  <w:r>
                    <w:rPr>
                      <w:rFonts w:hint="eastAsia" w:eastAsia="仿宋" w:cs="Times New Roman"/>
                      <w:color w:val="FF0000"/>
                      <w:vertAlign w:val="baseline"/>
                      <w:lang w:val="en-US" w:eastAsia="zh-CN"/>
                    </w:rPr>
                    <w:t>（含吸水填料）</w:t>
                  </w:r>
                  <w:r>
                    <w:rPr>
                      <w:rFonts w:hint="default" w:ascii="Times New Roman" w:hAnsi="Times New Roman" w:eastAsia="仿宋" w:cs="Times New Roman"/>
                      <w:color w:val="FF0000"/>
                      <w:vertAlign w:val="baseline"/>
                      <w:lang w:val="en-US" w:eastAsia="zh-CN"/>
                    </w:rPr>
                    <w:t>+3#两级活性炭吸附装置处理，</w:t>
                  </w:r>
                  <w:r>
                    <w:rPr>
                      <w:rFonts w:hint="eastAsia" w:eastAsia="仿宋" w:cs="Times New Roman"/>
                      <w:color w:val="FF0000"/>
                      <w:vertAlign w:val="baseline"/>
                      <w:lang w:val="en-US" w:eastAsia="zh-CN"/>
                    </w:rPr>
                    <w:t>集气罩罩口风速不低于0.5m/s。</w:t>
                  </w:r>
                </w:p>
              </w:tc>
              <w:tc>
                <w:tcPr>
                  <w:tcW w:w="657" w:type="dxa"/>
                  <w:vMerge w:val="restart"/>
                  <w:tcBorders>
                    <w:tl2br w:val="nil"/>
                    <w:tr2bl w:val="nil"/>
                  </w:tcBorders>
                  <w:vAlign w:val="center"/>
                </w:tcPr>
                <w:p w14:paraId="5EE83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2E96A8F9">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5695034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2517057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5.2根据易挥发物质的产生和使用情况、废气特征等因素，在条件允许的情况下，进行分质收集处理。同类废气宜集中收集处理。</w:t>
                  </w:r>
                </w:p>
              </w:tc>
              <w:tc>
                <w:tcPr>
                  <w:tcW w:w="2400" w:type="dxa"/>
                  <w:vMerge w:val="continue"/>
                  <w:tcBorders>
                    <w:tl2br w:val="nil"/>
                    <w:tr2bl w:val="nil"/>
                  </w:tcBorders>
                </w:tcPr>
                <w:p w14:paraId="08B6891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657" w:type="dxa"/>
                  <w:vMerge w:val="continue"/>
                  <w:tcBorders>
                    <w:tl2br w:val="nil"/>
                    <w:tr2bl w:val="nil"/>
                  </w:tcBorders>
                  <w:vAlign w:val="center"/>
                </w:tcPr>
                <w:p w14:paraId="4F2299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p>
              </w:tc>
            </w:tr>
            <w:tr w14:paraId="50AD4F17">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35321904">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7813CFF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5.3有废气产生的实验设备和操作工位宜设置在排风柜中，进行实验操作时排风柜应正常开启，操作口平均面风速不宜低于0.4m/s。排风柜应符合JB/T6412的要求，变风量排风柜应符合JG/T222的要求</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可在排风柜出口选配活性炭过滤器。</w:t>
                  </w:r>
                </w:p>
              </w:tc>
              <w:tc>
                <w:tcPr>
                  <w:tcW w:w="2400" w:type="dxa"/>
                  <w:vMerge w:val="continue"/>
                  <w:tcBorders>
                    <w:tl2br w:val="nil"/>
                    <w:tr2bl w:val="nil"/>
                  </w:tcBorders>
                </w:tcPr>
                <w:p w14:paraId="53BA083F">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657" w:type="dxa"/>
                  <w:vMerge w:val="continue"/>
                  <w:tcBorders>
                    <w:tl2br w:val="nil"/>
                    <w:tr2bl w:val="nil"/>
                  </w:tcBorders>
                  <w:vAlign w:val="center"/>
                </w:tcPr>
                <w:p w14:paraId="4F95CE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p>
              </w:tc>
            </w:tr>
            <w:tr w14:paraId="32D260E5">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3FB04783">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15A15543">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5.4产生和使用易挥发物质的仪器或操作工位，以及其他产生废气的实验室设备，未在排风柜中进行的</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应在其上方安装废气收集排风罩，排风罩设置应符合GB/T16758的规定。距排风罩开口面最远处废气无组织排放位置控制风速不应低于0.3m/s</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控制风速的测量按照GB/T16758、WS/T757执行。</w:t>
                  </w:r>
                </w:p>
              </w:tc>
              <w:tc>
                <w:tcPr>
                  <w:tcW w:w="2400" w:type="dxa"/>
                  <w:vMerge w:val="continue"/>
                  <w:tcBorders>
                    <w:tl2br w:val="nil"/>
                    <w:tr2bl w:val="nil"/>
                  </w:tcBorders>
                </w:tcPr>
                <w:p w14:paraId="08058B4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657" w:type="dxa"/>
                  <w:vMerge w:val="continue"/>
                  <w:tcBorders>
                    <w:tl2br w:val="nil"/>
                    <w:tr2bl w:val="nil"/>
                  </w:tcBorders>
                  <w:vAlign w:val="center"/>
                </w:tcPr>
                <w:p w14:paraId="6B85AA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p>
              </w:tc>
            </w:tr>
            <w:tr w14:paraId="4A2999FF">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2342EFE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300BC832">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5.5含易挥发物质的试剂库应设置废气收集装置，换气次数不应低于6次/h。</w:t>
                  </w:r>
                </w:p>
              </w:tc>
              <w:tc>
                <w:tcPr>
                  <w:tcW w:w="2400" w:type="dxa"/>
                  <w:tcBorders>
                    <w:tl2br w:val="nil"/>
                    <w:tr2bl w:val="nil"/>
                  </w:tcBorders>
                </w:tcPr>
                <w:p w14:paraId="69B0A4D3">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本项目实验试剂均加盖密封存放于1#实验室内的防爆柜内，防爆柜已设置废气收集系统，并接入现有碱液喷淋塔（含吸水填料）+3#两级活性炭吸附装置，换气次数为6次/h。</w:t>
                  </w:r>
                </w:p>
              </w:tc>
              <w:tc>
                <w:tcPr>
                  <w:tcW w:w="657" w:type="dxa"/>
                  <w:tcBorders>
                    <w:tl2br w:val="nil"/>
                    <w:tr2bl w:val="nil"/>
                  </w:tcBorders>
                  <w:vAlign w:val="center"/>
                </w:tcPr>
                <w:p w14:paraId="02D2C6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0B25B507">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restart"/>
                  <w:tcBorders>
                    <w:tl2br w:val="nil"/>
                    <w:tr2bl w:val="nil"/>
                  </w:tcBorders>
                  <w:vAlign w:val="center"/>
                </w:tcPr>
                <w:p w14:paraId="326444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FF0000"/>
                      <w:vertAlign w:val="baseline"/>
                      <w:lang w:val="en-US" w:eastAsia="zh-CN"/>
                    </w:rPr>
                  </w:pPr>
                  <w:r>
                    <w:rPr>
                      <w:rFonts w:hint="eastAsia" w:eastAsia="仿宋" w:cs="Times New Roman"/>
                      <w:color w:val="FF0000"/>
                      <w:vertAlign w:val="baseline"/>
                      <w:lang w:val="en-US" w:eastAsia="zh-CN"/>
                    </w:rPr>
                    <w:t>废气净化</w:t>
                  </w:r>
                </w:p>
              </w:tc>
              <w:tc>
                <w:tcPr>
                  <w:tcW w:w="4515" w:type="dxa"/>
                  <w:tcBorders>
                    <w:tl2br w:val="nil"/>
                    <w:tr2bl w:val="nil"/>
                  </w:tcBorders>
                </w:tcPr>
                <w:p w14:paraId="63A7977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6.1实验室单位应根据废气特性选用适用的净化技术，常见的有吸附法、吸收法等。有机废气可采用吸附法进行处理，采用吸附法时，宜采用原位再生等废吸附剂产生量较低的技术</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无机废气可采用吸收法或吸附法进行处理</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混合废气宜采取组合式净化技术。根据技术发展鼓励采用更加高效的技术手段，并根据实际情况采取适当的预处理措施，符合HJ2000的要求。</w:t>
                  </w:r>
                </w:p>
              </w:tc>
              <w:tc>
                <w:tcPr>
                  <w:tcW w:w="2400" w:type="dxa"/>
                  <w:tcBorders>
                    <w:tl2br w:val="nil"/>
                    <w:tr2bl w:val="nil"/>
                  </w:tcBorders>
                </w:tcPr>
                <w:p w14:paraId="794F5327">
                  <w:pPr>
                    <w:keepNext w:val="0"/>
                    <w:keepLines w:val="0"/>
                    <w:pageBreakBefore w:val="0"/>
                    <w:widowControl w:val="0"/>
                    <w:kinsoku/>
                    <w:wordWrap/>
                    <w:overflowPunct/>
                    <w:topLinePunct w:val="0"/>
                    <w:autoSpaceDE/>
                    <w:autoSpaceDN/>
                    <w:bidi w:val="0"/>
                    <w:adjustRightInd w:val="0"/>
                    <w:snapToGrid w:val="0"/>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本项目实验废气主要为有机废气和无机废气（氯化氢、锡及其化合物），依托现有碱液喷淋塔（含吸水填料）+3#两级活性炭吸附装置处理，属于组合式净化技术。</w:t>
                  </w:r>
                </w:p>
              </w:tc>
              <w:tc>
                <w:tcPr>
                  <w:tcW w:w="657" w:type="dxa"/>
                  <w:tcBorders>
                    <w:tl2br w:val="nil"/>
                    <w:tr2bl w:val="nil"/>
                  </w:tcBorders>
                  <w:vAlign w:val="center"/>
                </w:tcPr>
                <w:p w14:paraId="0C22DD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16CCE70A">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115E18D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0CD7684B">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6.2净化装置采样口的设置应符合HJ/T1、HJ/T397和GB/T16157的要求。自行监测应符合HJ819的要求，排放同类实验室废气的排气筒宜合并。</w:t>
                  </w:r>
                </w:p>
              </w:tc>
              <w:tc>
                <w:tcPr>
                  <w:tcW w:w="2400" w:type="dxa"/>
                  <w:tcBorders>
                    <w:tl2br w:val="nil"/>
                    <w:tr2bl w:val="nil"/>
                  </w:tcBorders>
                </w:tcPr>
                <w:p w14:paraId="0608A289">
                  <w:pPr>
                    <w:keepNext w:val="0"/>
                    <w:keepLines w:val="0"/>
                    <w:pageBreakBefore w:val="0"/>
                    <w:widowControl w:val="0"/>
                    <w:kinsoku/>
                    <w:wordWrap/>
                    <w:overflowPunct/>
                    <w:topLinePunct w:val="0"/>
                    <w:autoSpaceDE/>
                    <w:autoSpaceDN/>
                    <w:bidi w:val="0"/>
                    <w:adjustRightInd w:val="0"/>
                    <w:snapToGrid w:val="0"/>
                    <w:textAlignment w:val="auto"/>
                    <w:rPr>
                      <w:rFonts w:hint="eastAsia" w:eastAsia="仿宋" w:cs="Times New Roman"/>
                      <w:color w:val="FF0000"/>
                      <w:vertAlign w:val="baseline"/>
                      <w:lang w:val="en-US" w:eastAsia="zh-CN"/>
                    </w:rPr>
                  </w:pPr>
                  <w:r>
                    <w:rPr>
                      <w:rFonts w:hint="eastAsia" w:eastAsia="仿宋" w:cs="Times New Roman"/>
                      <w:color w:val="FF0000"/>
                      <w:vertAlign w:val="baseline"/>
                      <w:lang w:val="en-US" w:eastAsia="zh-CN"/>
                    </w:rPr>
                    <w:t>本项目废气依托现有排气筒排放，采样口</w:t>
                  </w:r>
                  <w:r>
                    <w:rPr>
                      <w:rFonts w:hint="default" w:ascii="Times New Roman" w:hAnsi="Times New Roman" w:eastAsia="仿宋" w:cs="Times New Roman"/>
                      <w:color w:val="FF0000"/>
                      <w:vertAlign w:val="baseline"/>
                    </w:rPr>
                    <w:t>的设置符合HJ/T1、HJ/T397和GB/T16157的要求</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自行监测符合HJ819的要求</w:t>
                  </w:r>
                  <w:r>
                    <w:rPr>
                      <w:rFonts w:hint="eastAsia" w:eastAsia="仿宋" w:cs="Times New Roman"/>
                      <w:color w:val="FF0000"/>
                      <w:vertAlign w:val="baseline"/>
                      <w:lang w:eastAsia="zh-CN"/>
                    </w:rPr>
                    <w:t>。</w:t>
                  </w:r>
                </w:p>
              </w:tc>
              <w:tc>
                <w:tcPr>
                  <w:tcW w:w="657" w:type="dxa"/>
                  <w:tcBorders>
                    <w:tl2br w:val="nil"/>
                    <w:tr2bl w:val="nil"/>
                  </w:tcBorders>
                  <w:vAlign w:val="center"/>
                </w:tcPr>
                <w:p w14:paraId="54059B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4759C674">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204B53C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7D1B396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6.3吸附法处理有机废气可采用活性炭、活性炭纤维等作为吸附介质，并满足以下要求。</w:t>
                  </w:r>
                </w:p>
                <w:p w14:paraId="66F09C9F">
                  <w:pPr>
                    <w:keepNext w:val="0"/>
                    <w:keepLines w:val="0"/>
                    <w:pageBreakBefore w:val="0"/>
                    <w:widowControl w:val="0"/>
                    <w:numPr>
                      <w:ilvl w:val="0"/>
                      <w:numId w:val="3"/>
                    </w:numPr>
                    <w:kinsoku/>
                    <w:wordWrap/>
                    <w:overflowPunct/>
                    <w:topLinePunct w:val="0"/>
                    <w:autoSpaceDE/>
                    <w:autoSpaceDN/>
                    <w:bidi w:val="0"/>
                    <w:adjustRightInd w:val="0"/>
                    <w:snapToGrid w:val="0"/>
                    <w:textAlignment w:val="auto"/>
                    <w:rPr>
                      <w:rFonts w:hint="eastAsia" w:eastAsia="仿宋" w:cs="Times New Roman"/>
                      <w:color w:val="FF0000"/>
                      <w:vertAlign w:val="baseline"/>
                      <w:lang w:eastAsia="zh-CN"/>
                    </w:rPr>
                  </w:pPr>
                  <w:r>
                    <w:rPr>
                      <w:rFonts w:hint="default" w:ascii="Times New Roman" w:hAnsi="Times New Roman" w:eastAsia="仿宋" w:cs="Times New Roman"/>
                      <w:color w:val="FF0000"/>
                      <w:vertAlign w:val="baseline"/>
                    </w:rPr>
                    <w:t>选用的颗粒活性炭碘值不应低于800mg/g，四氯化碳吸附率不应低于50%</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选用的蜂窝活性炭碘值不应低于650mg/g</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四氯化碳吸附率不应低于35%</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其他性能指标应符合GB/T</w:t>
                  </w:r>
                  <w:r>
                    <w:rPr>
                      <w:rFonts w:hint="eastAsia" w:eastAsia="仿宋" w:cs="Times New Roman"/>
                      <w:color w:val="FF0000"/>
                      <w:vertAlign w:val="baseline"/>
                      <w:lang w:val="en-US" w:eastAsia="zh-CN"/>
                    </w:rPr>
                    <w:t xml:space="preserve"> </w:t>
                  </w:r>
                  <w:r>
                    <w:rPr>
                      <w:rFonts w:hint="default" w:ascii="Times New Roman" w:hAnsi="Times New Roman" w:eastAsia="仿宋" w:cs="Times New Roman"/>
                      <w:color w:val="FF0000"/>
                      <w:vertAlign w:val="baseline"/>
                    </w:rPr>
                    <w:t>7701.1的要求。选用的活性炭纤维比表面积不应低于1100m</w:t>
                  </w:r>
                  <w:r>
                    <w:rPr>
                      <w:rFonts w:hint="default" w:ascii="Times New Roman" w:hAnsi="Times New Roman" w:eastAsia="仿宋" w:cs="Times New Roman"/>
                      <w:color w:val="FF0000"/>
                      <w:vertAlign w:val="superscript"/>
                    </w:rPr>
                    <w:t>2</w:t>
                  </w:r>
                  <w:r>
                    <w:rPr>
                      <w:rFonts w:hint="default" w:ascii="Times New Roman" w:hAnsi="Times New Roman" w:eastAsia="仿宋" w:cs="Times New Roman"/>
                      <w:color w:val="FF0000"/>
                      <w:vertAlign w:val="baseline"/>
                    </w:rPr>
                    <w:t>/g</w:t>
                  </w:r>
                  <w:r>
                    <w:rPr>
                      <w:rFonts w:hint="eastAsia" w:eastAsia="仿宋" w:cs="Times New Roman"/>
                      <w:color w:val="FF0000"/>
                      <w:vertAlign w:val="baseline"/>
                      <w:lang w:eastAsia="zh-CN"/>
                    </w:rPr>
                    <w:t>，</w:t>
                  </w:r>
                  <w:r>
                    <w:rPr>
                      <w:rFonts w:hint="default" w:ascii="Times New Roman" w:hAnsi="Times New Roman" w:eastAsia="仿宋" w:cs="Times New Roman"/>
                      <w:color w:val="FF0000"/>
                      <w:vertAlign w:val="baseline"/>
                    </w:rPr>
                    <w:t>其他性能指标应符合HG/T</w:t>
                  </w:r>
                  <w:r>
                    <w:rPr>
                      <w:rFonts w:hint="eastAsia" w:eastAsia="仿宋" w:cs="Times New Roman"/>
                      <w:color w:val="FF0000"/>
                      <w:vertAlign w:val="baseline"/>
                      <w:lang w:val="en-US" w:eastAsia="zh-CN"/>
                    </w:rPr>
                    <w:t xml:space="preserve"> </w:t>
                  </w:r>
                  <w:r>
                    <w:rPr>
                      <w:rFonts w:hint="default" w:ascii="Times New Roman" w:hAnsi="Times New Roman" w:eastAsia="仿宋" w:cs="Times New Roman"/>
                      <w:color w:val="FF0000"/>
                      <w:vertAlign w:val="baseline"/>
                    </w:rPr>
                    <w:t>3922的要求。其他吸附剂的选择应符合HJ</w:t>
                  </w:r>
                  <w:r>
                    <w:rPr>
                      <w:rFonts w:hint="eastAsia" w:eastAsia="仿宋" w:cs="Times New Roman"/>
                      <w:color w:val="FF0000"/>
                      <w:vertAlign w:val="baseline"/>
                      <w:lang w:val="en-US" w:eastAsia="zh-CN"/>
                    </w:rPr>
                    <w:t xml:space="preserve"> </w:t>
                  </w:r>
                  <w:r>
                    <w:rPr>
                      <w:rFonts w:hint="default" w:ascii="Times New Roman" w:hAnsi="Times New Roman" w:eastAsia="仿宋" w:cs="Times New Roman"/>
                      <w:color w:val="FF0000"/>
                      <w:vertAlign w:val="baseline"/>
                    </w:rPr>
                    <w:t>2026的相关规定</w:t>
                  </w:r>
                  <w:r>
                    <w:rPr>
                      <w:rFonts w:hint="eastAsia" w:eastAsia="仿宋" w:cs="Times New Roman"/>
                      <w:color w:val="FF0000"/>
                      <w:vertAlign w:val="baseline"/>
                      <w:lang w:eastAsia="zh-CN"/>
                    </w:rPr>
                    <w:t>。</w:t>
                  </w:r>
                </w:p>
                <w:p w14:paraId="1DDA9BC6">
                  <w:pPr>
                    <w:keepNext w:val="0"/>
                    <w:keepLines w:val="0"/>
                    <w:pageBreakBefore w:val="0"/>
                    <w:widowControl w:val="0"/>
                    <w:numPr>
                      <w:ilvl w:val="0"/>
                      <w:numId w:val="3"/>
                    </w:numPr>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吸附法处理有机废气的工艺设计应符合HJ</w:t>
                  </w:r>
                  <w:r>
                    <w:rPr>
                      <w:rFonts w:hint="eastAsia" w:eastAsia="仿宋" w:cs="Times New Roman"/>
                      <w:color w:val="FF0000"/>
                      <w:vertAlign w:val="baseline"/>
                      <w:lang w:val="en-US" w:eastAsia="zh-CN"/>
                    </w:rPr>
                    <w:t xml:space="preserve"> </w:t>
                  </w:r>
                  <w:r>
                    <w:rPr>
                      <w:rFonts w:hint="default" w:ascii="Times New Roman" w:hAnsi="Times New Roman" w:eastAsia="仿宋" w:cs="Times New Roman"/>
                      <w:color w:val="FF0000"/>
                      <w:vertAlign w:val="baseline"/>
                    </w:rPr>
                    <w:t>2026和HJ/T</w:t>
                  </w:r>
                  <w:r>
                    <w:rPr>
                      <w:rFonts w:hint="eastAsia" w:eastAsia="仿宋" w:cs="Times New Roman"/>
                      <w:color w:val="FF0000"/>
                      <w:vertAlign w:val="baseline"/>
                      <w:lang w:val="en-US" w:eastAsia="zh-CN"/>
                    </w:rPr>
                    <w:t xml:space="preserve"> </w:t>
                  </w:r>
                  <w:r>
                    <w:rPr>
                      <w:rFonts w:hint="default" w:ascii="Times New Roman" w:hAnsi="Times New Roman" w:eastAsia="仿宋" w:cs="Times New Roman"/>
                      <w:color w:val="FF0000"/>
                      <w:vertAlign w:val="baseline"/>
                    </w:rPr>
                    <w:t>386的相关规定，废气在吸附装置中应有足够的停留时间，应大于0.3s。</w:t>
                  </w:r>
                </w:p>
                <w:p w14:paraId="2E2846DB">
                  <w:pPr>
                    <w:keepNext w:val="0"/>
                    <w:keepLines w:val="0"/>
                    <w:pageBreakBefore w:val="0"/>
                    <w:widowControl w:val="0"/>
                    <w:numPr>
                      <w:ilvl w:val="0"/>
                      <w:numId w:val="3"/>
                    </w:numPr>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应根据废气排放特征，明确吸附剂更换周期，不宜超过6个月，有环境影响评价或者排污许可证等法定文件的，可按其核定的更换周期执行，具有原位再生功能的吸附剂可根据再生后吸附性能情况适当延长更换周期</w:t>
                  </w:r>
                  <w:r>
                    <w:rPr>
                      <w:rFonts w:hint="eastAsia" w:eastAsia="仿宋" w:cs="Times New Roman"/>
                      <w:color w:val="FF0000"/>
                      <w:vertAlign w:val="baseline"/>
                      <w:lang w:eastAsia="zh-CN"/>
                    </w:rPr>
                    <w:t>。</w:t>
                  </w:r>
                </w:p>
              </w:tc>
              <w:tc>
                <w:tcPr>
                  <w:tcW w:w="2400" w:type="dxa"/>
                  <w:tcBorders>
                    <w:tl2br w:val="nil"/>
                    <w:tr2bl w:val="nil"/>
                  </w:tcBorders>
                </w:tcPr>
                <w:p w14:paraId="4CC6DB2A">
                  <w:pPr>
                    <w:keepNext w:val="0"/>
                    <w:keepLines w:val="0"/>
                    <w:pageBreakBefore w:val="0"/>
                    <w:widowControl w:val="0"/>
                    <w:kinsoku/>
                    <w:wordWrap/>
                    <w:overflowPunct/>
                    <w:topLinePunct w:val="0"/>
                    <w:autoSpaceDE/>
                    <w:autoSpaceDN/>
                    <w:bidi w:val="0"/>
                    <w:adjustRightInd w:val="0"/>
                    <w:snapToGrid w:val="0"/>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本项目实验有机废气采用蜂窝活性炭吸附，碘吸附值</w:t>
                  </w:r>
                  <w:r>
                    <w:rPr>
                      <w:rFonts w:hint="default" w:ascii="Times New Roman" w:hAnsi="Times New Roman" w:eastAsia="仿宋" w:cs="Times New Roman"/>
                      <w:bCs/>
                      <w:color w:val="FF0000"/>
                      <w:szCs w:val="21"/>
                    </w:rPr>
                    <w:t>≥800mg/g</w:t>
                  </w:r>
                  <w:r>
                    <w:rPr>
                      <w:rFonts w:hint="eastAsia" w:eastAsia="仿宋" w:cs="Times New Roman"/>
                      <w:bCs/>
                      <w:color w:val="FF0000"/>
                      <w:szCs w:val="21"/>
                      <w:lang w:eastAsia="zh-CN"/>
                    </w:rPr>
                    <w:t>，</w:t>
                  </w:r>
                  <w:r>
                    <w:rPr>
                      <w:rFonts w:hint="default" w:ascii="Times New Roman" w:hAnsi="Times New Roman" w:eastAsia="仿宋" w:cs="Times New Roman"/>
                      <w:color w:val="FF0000"/>
                      <w:highlight w:val="none"/>
                      <w:vertAlign w:val="baseline"/>
                    </w:rPr>
                    <w:t>四氯化碳吸附率</w:t>
                  </w:r>
                  <w:r>
                    <w:rPr>
                      <w:rFonts w:hint="eastAsia" w:eastAsia="仿宋" w:cs="Times New Roman"/>
                      <w:color w:val="FF0000"/>
                      <w:highlight w:val="none"/>
                      <w:vertAlign w:val="baseline"/>
                      <w:lang w:val="en-US" w:eastAsia="zh-CN"/>
                    </w:rPr>
                    <w:t>为40</w:t>
                  </w:r>
                  <w:r>
                    <w:rPr>
                      <w:rFonts w:hint="default" w:ascii="Times New Roman" w:hAnsi="Times New Roman" w:eastAsia="仿宋" w:cs="Times New Roman"/>
                      <w:color w:val="FF0000"/>
                      <w:highlight w:val="none"/>
                      <w:vertAlign w:val="baseline"/>
                    </w:rPr>
                    <w:t>%</w:t>
                  </w:r>
                  <w:r>
                    <w:rPr>
                      <w:rFonts w:hint="eastAsia" w:eastAsia="仿宋" w:cs="Times New Roman"/>
                      <w:color w:val="FF0000"/>
                      <w:highlight w:val="none"/>
                      <w:vertAlign w:val="baseline"/>
                      <w:lang w:eastAsia="zh-CN"/>
                    </w:rPr>
                    <w:t>，</w:t>
                  </w:r>
                  <w:r>
                    <w:rPr>
                      <w:rFonts w:hint="eastAsia" w:eastAsia="仿宋" w:cs="Times New Roman"/>
                      <w:color w:val="FF0000"/>
                      <w:highlight w:val="none"/>
                      <w:vertAlign w:val="baseline"/>
                      <w:lang w:val="en-US" w:eastAsia="zh-CN"/>
                    </w:rPr>
                    <w:t>废气停留时间为0.6s。根据计算活性炭更换周期为42天，未超过6个月。</w:t>
                  </w:r>
                </w:p>
              </w:tc>
              <w:tc>
                <w:tcPr>
                  <w:tcW w:w="657" w:type="dxa"/>
                  <w:tcBorders>
                    <w:tl2br w:val="nil"/>
                    <w:tr2bl w:val="nil"/>
                  </w:tcBorders>
                  <w:vAlign w:val="center"/>
                </w:tcPr>
                <w:p w14:paraId="1CF409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r w14:paraId="2C2D2AE1">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776" w:type="dxa"/>
                  <w:vMerge w:val="continue"/>
                  <w:tcBorders>
                    <w:tl2br w:val="nil"/>
                    <w:tr2bl w:val="nil"/>
                  </w:tcBorders>
                </w:tcPr>
                <w:p w14:paraId="5B7489F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p>
              </w:tc>
              <w:tc>
                <w:tcPr>
                  <w:tcW w:w="4515" w:type="dxa"/>
                  <w:tcBorders>
                    <w:tl2br w:val="nil"/>
                    <w:tr2bl w:val="nil"/>
                  </w:tcBorders>
                </w:tcPr>
                <w:p w14:paraId="402D7931">
                  <w:pPr>
                    <w:keepNext w:val="0"/>
                    <w:keepLines w:val="0"/>
                    <w:pageBreakBefore w:val="0"/>
                    <w:widowControl w:val="0"/>
                    <w:kinsoku/>
                    <w:wordWrap/>
                    <w:overflowPunct/>
                    <w:topLinePunct w:val="0"/>
                    <w:autoSpaceDE/>
                    <w:autoSpaceDN/>
                    <w:bidi w:val="0"/>
                    <w:adjustRightInd w:val="0"/>
                    <w:snapToGrid w:val="0"/>
                    <w:textAlignment w:val="auto"/>
                    <w:rPr>
                      <w:rFonts w:hint="eastAsia" w:eastAsia="仿宋" w:cs="Times New Roman"/>
                      <w:color w:val="FF0000"/>
                      <w:vertAlign w:val="baseline"/>
                      <w:lang w:eastAsia="zh-CN"/>
                    </w:rPr>
                  </w:pPr>
                  <w:r>
                    <w:rPr>
                      <w:rFonts w:hint="default" w:ascii="Times New Roman" w:hAnsi="Times New Roman" w:eastAsia="仿宋" w:cs="Times New Roman"/>
                      <w:color w:val="FF0000"/>
                      <w:vertAlign w:val="baseline"/>
                    </w:rPr>
                    <w:t>6.5吸收法技术要求应符合HJ/T 387的相关规定，并满足以下要求</w:t>
                  </w:r>
                  <w:r>
                    <w:rPr>
                      <w:rFonts w:hint="eastAsia" w:eastAsia="仿宋" w:cs="Times New Roman"/>
                      <w:color w:val="FF0000"/>
                      <w:vertAlign w:val="baseline"/>
                      <w:lang w:eastAsia="zh-CN"/>
                    </w:rPr>
                    <w:t>：</w:t>
                  </w:r>
                </w:p>
                <w:p w14:paraId="30519A57">
                  <w:pPr>
                    <w:keepNext w:val="0"/>
                    <w:keepLines w:val="0"/>
                    <w:pageBreakBefore w:val="0"/>
                    <w:widowControl w:val="0"/>
                    <w:numPr>
                      <w:ilvl w:val="0"/>
                      <w:numId w:val="4"/>
                    </w:numPr>
                    <w:kinsoku/>
                    <w:wordWrap/>
                    <w:overflowPunct/>
                    <w:topLinePunct w:val="0"/>
                    <w:autoSpaceDE/>
                    <w:autoSpaceDN/>
                    <w:bidi w:val="0"/>
                    <w:adjustRightInd w:val="0"/>
                    <w:snapToGrid w:val="0"/>
                    <w:textAlignment w:val="auto"/>
                    <w:rPr>
                      <w:rFonts w:hint="eastAsia" w:eastAsia="仿宋" w:cs="Times New Roman"/>
                      <w:color w:val="FF0000"/>
                      <w:vertAlign w:val="baseline"/>
                      <w:lang w:eastAsia="zh-CN"/>
                    </w:rPr>
                  </w:pPr>
                  <w:r>
                    <w:rPr>
                      <w:rFonts w:hint="default" w:ascii="Times New Roman" w:hAnsi="Times New Roman" w:eastAsia="仿宋" w:cs="Times New Roman"/>
                      <w:color w:val="FF0000"/>
                      <w:vertAlign w:val="baseline"/>
                    </w:rPr>
                    <w:t>采用酸性、碱性或者强氧化性吸收液时，宜配有自动加药系统和自动给排水系统</w:t>
                  </w:r>
                  <w:r>
                    <w:rPr>
                      <w:rFonts w:hint="eastAsia" w:eastAsia="仿宋" w:cs="Times New Roman"/>
                      <w:color w:val="FF0000"/>
                      <w:vertAlign w:val="baseline"/>
                      <w:lang w:eastAsia="zh-CN"/>
                    </w:rPr>
                    <w:t>；</w:t>
                  </w:r>
                </w:p>
                <w:p w14:paraId="67AE3AFA">
                  <w:pPr>
                    <w:keepNext w:val="0"/>
                    <w:keepLines w:val="0"/>
                    <w:pageBreakBefore w:val="0"/>
                    <w:widowControl w:val="0"/>
                    <w:numPr>
                      <w:ilvl w:val="0"/>
                      <w:numId w:val="4"/>
                    </w:numPr>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吸收净化装置空塔气速不宜高于2m/s，停留时间不宜低于2s</w:t>
                  </w:r>
                  <w:r>
                    <w:rPr>
                      <w:rFonts w:hint="eastAsia" w:eastAsia="仿宋" w:cs="Times New Roman"/>
                      <w:color w:val="FF0000"/>
                      <w:vertAlign w:val="baseline"/>
                      <w:lang w:eastAsia="zh-CN"/>
                    </w:rPr>
                    <w:t>；</w:t>
                  </w:r>
                </w:p>
                <w:p w14:paraId="79312F97">
                  <w:pPr>
                    <w:keepNext w:val="0"/>
                    <w:keepLines w:val="0"/>
                    <w:pageBreakBefore w:val="0"/>
                    <w:widowControl w:val="0"/>
                    <w:numPr>
                      <w:ilvl w:val="0"/>
                      <w:numId w:val="4"/>
                    </w:numPr>
                    <w:kinsoku/>
                    <w:wordWrap/>
                    <w:overflowPunct/>
                    <w:topLinePunct w:val="0"/>
                    <w:autoSpaceDE/>
                    <w:autoSpaceDN/>
                    <w:bidi w:val="0"/>
                    <w:adjustRightInd w:val="0"/>
                    <w:snapToGrid w:val="0"/>
                    <w:textAlignment w:val="auto"/>
                    <w:rPr>
                      <w:rFonts w:hint="default" w:ascii="Times New Roman" w:hAnsi="Times New Roman" w:eastAsia="仿宋" w:cs="Times New Roman"/>
                      <w:color w:val="FF0000"/>
                      <w:vertAlign w:val="baseline"/>
                    </w:rPr>
                  </w:pPr>
                  <w:r>
                    <w:rPr>
                      <w:rFonts w:hint="default" w:ascii="Times New Roman" w:hAnsi="Times New Roman" w:eastAsia="仿宋" w:cs="Times New Roman"/>
                      <w:color w:val="FF0000"/>
                      <w:vertAlign w:val="baseline"/>
                    </w:rPr>
                    <w:t>吸收装置末端应增设除雾装置。</w:t>
                  </w:r>
                </w:p>
              </w:tc>
              <w:tc>
                <w:tcPr>
                  <w:tcW w:w="2400" w:type="dxa"/>
                  <w:tcBorders>
                    <w:tl2br w:val="nil"/>
                    <w:tr2bl w:val="nil"/>
                  </w:tcBorders>
                </w:tcPr>
                <w:p w14:paraId="340CE002">
                  <w:pPr>
                    <w:keepNext w:val="0"/>
                    <w:keepLines w:val="0"/>
                    <w:pageBreakBefore w:val="0"/>
                    <w:widowControl w:val="0"/>
                    <w:kinsoku/>
                    <w:wordWrap/>
                    <w:overflowPunct/>
                    <w:topLinePunct w:val="0"/>
                    <w:autoSpaceDE/>
                    <w:autoSpaceDN/>
                    <w:bidi w:val="0"/>
                    <w:adjustRightInd w:val="0"/>
                    <w:snapToGrid w:val="0"/>
                    <w:textAlignment w:val="auto"/>
                    <w:rPr>
                      <w:rFonts w:hint="default" w:eastAsia="仿宋" w:cs="Times New Roman"/>
                      <w:color w:val="FF0000"/>
                      <w:vertAlign w:val="baseline"/>
                      <w:lang w:val="en-US" w:eastAsia="zh-CN"/>
                    </w:rPr>
                  </w:pPr>
                  <w:r>
                    <w:rPr>
                      <w:rFonts w:hint="eastAsia" w:eastAsia="仿宋" w:cs="Times New Roman"/>
                      <w:color w:val="FF0000"/>
                      <w:highlight w:val="none"/>
                      <w:vertAlign w:val="baseline"/>
                      <w:lang w:val="en-US" w:eastAsia="zh-CN"/>
                    </w:rPr>
                    <w:t>本项目实验酸雾采用碱喷淋塔吸收，喷淋塔配有</w:t>
                  </w:r>
                  <w:r>
                    <w:rPr>
                      <w:rFonts w:hint="default" w:ascii="Times New Roman" w:hAnsi="Times New Roman" w:eastAsia="仿宋" w:cs="Times New Roman"/>
                      <w:color w:val="FF0000"/>
                      <w:highlight w:val="none"/>
                      <w:vertAlign w:val="baseline"/>
                    </w:rPr>
                    <w:t>自动加药系统和自动给排水系统</w:t>
                  </w:r>
                  <w:r>
                    <w:rPr>
                      <w:rFonts w:hint="eastAsia" w:eastAsia="仿宋" w:cs="Times New Roman"/>
                      <w:color w:val="FF0000"/>
                      <w:highlight w:val="none"/>
                      <w:vertAlign w:val="baseline"/>
                      <w:lang w:eastAsia="zh-CN"/>
                    </w:rPr>
                    <w:t>，</w:t>
                  </w:r>
                  <w:r>
                    <w:rPr>
                      <w:rFonts w:hint="eastAsia" w:eastAsia="仿宋" w:cs="Times New Roman"/>
                      <w:color w:val="FF0000"/>
                      <w:highlight w:val="none"/>
                      <w:vertAlign w:val="baseline"/>
                      <w:lang w:val="en-US" w:eastAsia="zh-CN"/>
                    </w:rPr>
                    <w:t>空塔气速为1.5m/s，停留时间为4s。喷淋塔顶填充吸水填料以吸附水汽。</w:t>
                  </w:r>
                </w:p>
              </w:tc>
              <w:tc>
                <w:tcPr>
                  <w:tcW w:w="657" w:type="dxa"/>
                  <w:tcBorders>
                    <w:tl2br w:val="nil"/>
                    <w:tr2bl w:val="nil"/>
                  </w:tcBorders>
                  <w:vAlign w:val="center"/>
                </w:tcPr>
                <w:p w14:paraId="034CB5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 w:cs="Times New Roman"/>
                      <w:color w:val="FF0000"/>
                      <w:vertAlign w:val="baseline"/>
                      <w:lang w:val="en-US" w:eastAsia="zh-CN"/>
                    </w:rPr>
                  </w:pPr>
                  <w:r>
                    <w:rPr>
                      <w:rFonts w:hint="eastAsia" w:eastAsia="仿宋" w:cs="Times New Roman"/>
                      <w:color w:val="FF0000"/>
                      <w:vertAlign w:val="baseline"/>
                      <w:lang w:val="en-US" w:eastAsia="zh-CN"/>
                    </w:rPr>
                    <w:t>是</w:t>
                  </w:r>
                </w:p>
              </w:tc>
            </w:tr>
          </w:tbl>
          <w:p w14:paraId="1615DA59">
            <w:pPr>
              <w:rPr>
                <w:rFonts w:hint="default" w:ascii="Times New Roman" w:hAnsi="Times New Roman" w:eastAsia="仿宋" w:cs="Times New Roman"/>
                <w:color w:val="auto"/>
                <w:vertAlign w:val="baseline"/>
              </w:rPr>
            </w:pPr>
          </w:p>
        </w:tc>
      </w:tr>
    </w:tbl>
    <w:p w14:paraId="307E39C2">
      <w:pPr>
        <w:rPr>
          <w:rFonts w:hint="default" w:ascii="Times New Roman" w:hAnsi="Times New Roman" w:eastAsia="仿宋" w:cs="Times New Roman"/>
          <w:color w:val="auto"/>
        </w:rPr>
      </w:pPr>
    </w:p>
    <w:p w14:paraId="601673A7">
      <w:pPr>
        <w:rPr>
          <w:rFonts w:hint="default" w:ascii="Times New Roman" w:hAnsi="Times New Roman" w:eastAsia="仿宋" w:cs="Times New Roman"/>
          <w:color w:val="auto"/>
        </w:rPr>
      </w:pPr>
    </w:p>
    <w:p w14:paraId="22DFA0DA">
      <w:pPr>
        <w:rPr>
          <w:rFonts w:hint="default" w:ascii="Times New Roman" w:hAnsi="Times New Roman" w:eastAsia="仿宋" w:cs="Times New Roman"/>
          <w:color w:val="auto"/>
        </w:rPr>
      </w:pPr>
    </w:p>
    <w:p w14:paraId="4ED9A589">
      <w:pPr>
        <w:pStyle w:val="21"/>
        <w:numPr>
          <w:ilvl w:val="0"/>
          <w:numId w:val="5"/>
        </w:numPr>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bookmarkStart w:id="6" w:name="_Toc2054"/>
      <w:r>
        <w:rPr>
          <w:rFonts w:hint="default" w:ascii="Times New Roman" w:hAnsi="Times New Roman" w:eastAsia="仿宋" w:cs="Times New Roman"/>
          <w:snapToGrid w:val="0"/>
          <w:color w:val="auto"/>
          <w:sz w:val="30"/>
          <w:szCs w:val="30"/>
        </w:rPr>
        <w:t>建设项目工程分析</w:t>
      </w:r>
      <w:bookmarkEnd w:id="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60"/>
      </w:tblGrid>
      <w:tr w14:paraId="12D83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09" w:hRule="atLeast"/>
          <w:jc w:val="center"/>
        </w:trPr>
        <w:tc>
          <w:tcPr>
            <w:tcW w:w="456" w:type="dxa"/>
            <w:vAlign w:val="center"/>
          </w:tcPr>
          <w:p w14:paraId="1FCB229E">
            <w:pPr>
              <w:pStyle w:val="21"/>
              <w:adjustRightInd w:val="0"/>
              <w:snapToGrid w:val="0"/>
              <w:spacing w:before="0" w:beforeAutospacing="0" w:after="0" w:afterAutospacing="0"/>
              <w:jc w:val="center"/>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建设内容</w:t>
            </w:r>
          </w:p>
        </w:tc>
        <w:tc>
          <w:tcPr>
            <w:tcW w:w="8360" w:type="dxa"/>
            <w:vAlign w:val="center"/>
          </w:tcPr>
          <w:p w14:paraId="374D7AE3">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一、主体工程</w:t>
            </w:r>
          </w:p>
          <w:p w14:paraId="0E9137DC">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伊莎贝棱辉特（常州）电子科技有限公司成立于2022年1月10日，公司类型为有限责任公司（外国法人独资）。</w:t>
            </w:r>
          </w:p>
          <w:p w14:paraId="7F4A2619">
            <w:pPr>
              <w:spacing w:after="0" w:line="360" w:lineRule="auto"/>
              <w:ind w:firstLine="480" w:firstLineChars="200"/>
              <w:jc w:val="both"/>
              <w:rPr>
                <w:rFonts w:hint="default" w:ascii="Times New Roman" w:hAnsi="Times New Roman" w:eastAsia="仿宋" w:cs="Times New Roman"/>
                <w:color w:val="auto"/>
                <w:sz w:val="24"/>
                <w:szCs w:val="24"/>
                <w:highlight w:val="none"/>
              </w:rPr>
            </w:pPr>
            <w:bookmarkStart w:id="7" w:name="_Hlk186134634"/>
            <w:r>
              <w:rPr>
                <w:rFonts w:hint="default" w:ascii="Times New Roman" w:hAnsi="Times New Roman" w:eastAsia="仿宋" w:cs="Times New Roman"/>
                <w:bCs/>
                <w:color w:val="auto"/>
                <w:sz w:val="24"/>
                <w:highlight w:val="none"/>
              </w:rPr>
              <w:t>企业于202</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月报批了《</w:t>
            </w:r>
            <w:r>
              <w:rPr>
                <w:rFonts w:hint="default" w:ascii="Times New Roman" w:hAnsi="Times New Roman" w:eastAsia="仿宋" w:cs="Times New Roman"/>
                <w:bCs/>
                <w:color w:val="auto"/>
                <w:sz w:val="24"/>
                <w:highlight w:val="none"/>
                <w:lang w:eastAsia="zh-CN"/>
              </w:rPr>
              <w:t>新型电子元器件开发与制造项目</w:t>
            </w:r>
            <w:r>
              <w:rPr>
                <w:rFonts w:hint="default" w:ascii="Times New Roman" w:hAnsi="Times New Roman" w:eastAsia="仿宋" w:cs="Times New Roman"/>
                <w:bCs/>
                <w:color w:val="auto"/>
                <w:sz w:val="24"/>
                <w:highlight w:val="none"/>
              </w:rPr>
              <w:t>环境影响报告表》，并于2024年4月9日</w:t>
            </w:r>
            <w:r>
              <w:rPr>
                <w:rFonts w:hint="default" w:ascii="Times New Roman" w:hAnsi="Times New Roman" w:eastAsia="仿宋" w:cs="Times New Roman"/>
                <w:bCs/>
                <w:color w:val="auto"/>
                <w:sz w:val="24"/>
                <w:highlight w:val="none"/>
                <w:lang w:val="en-US" w:eastAsia="zh-CN"/>
              </w:rPr>
              <w:t>取得了</w:t>
            </w:r>
            <w:r>
              <w:rPr>
                <w:rFonts w:hint="default" w:ascii="Times New Roman" w:hAnsi="Times New Roman" w:eastAsia="仿宋" w:cs="Times New Roman"/>
                <w:bCs/>
                <w:color w:val="auto"/>
                <w:sz w:val="24"/>
                <w:highlight w:val="none"/>
              </w:rPr>
              <w:t>常州市</w:t>
            </w:r>
            <w:r>
              <w:rPr>
                <w:rFonts w:hint="default" w:ascii="Times New Roman" w:hAnsi="Times New Roman" w:eastAsia="仿宋" w:cs="Times New Roman"/>
                <w:bCs/>
                <w:color w:val="auto"/>
                <w:sz w:val="24"/>
                <w:highlight w:val="none"/>
                <w:lang w:val="en-US" w:eastAsia="zh-CN"/>
              </w:rPr>
              <w:t>生态环境局</w:t>
            </w:r>
            <w:r>
              <w:rPr>
                <w:rFonts w:hint="default" w:ascii="Times New Roman" w:hAnsi="Times New Roman" w:eastAsia="仿宋" w:cs="Times New Roman"/>
                <w:bCs/>
                <w:color w:val="auto"/>
                <w:sz w:val="24"/>
                <w:highlight w:val="none"/>
              </w:rPr>
              <w:t>审批意见（常金环审〔2024〕48号），设计产能为年产</w:t>
            </w:r>
            <w:bookmarkStart w:id="8" w:name="_Hlk186445160"/>
            <w:r>
              <w:rPr>
                <w:rFonts w:hint="default" w:ascii="Times New Roman" w:hAnsi="Times New Roman" w:eastAsia="仿宋" w:cs="Times New Roman"/>
                <w:bCs/>
                <w:color w:val="auto"/>
                <w:sz w:val="24"/>
                <w:highlight w:val="none"/>
              </w:rPr>
              <w:t>传感器300万片/年、片式元器件14000万片/年</w:t>
            </w:r>
            <w:bookmarkEnd w:id="8"/>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该项目于2024年</w:t>
            </w:r>
            <w:r>
              <w:rPr>
                <w:rFonts w:hint="default" w:ascii="Times New Roman" w:hAnsi="Times New Roman"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月开工建设，</w:t>
            </w:r>
            <w:r>
              <w:rPr>
                <w:rFonts w:hint="default" w:ascii="Times New Roman" w:hAnsi="Times New Roman" w:eastAsia="仿宋" w:cs="Times New Roman"/>
                <w:bCs/>
                <w:color w:val="auto"/>
                <w:sz w:val="24"/>
                <w:highlight w:val="none"/>
                <w:lang w:val="en-US" w:eastAsia="zh-CN"/>
              </w:rPr>
              <w:t>于2025</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9</w:t>
            </w:r>
            <w:r>
              <w:rPr>
                <w:rFonts w:hint="default" w:ascii="Times New Roman" w:hAnsi="Times New Roman" w:eastAsia="仿宋" w:cs="Times New Roman"/>
                <w:bCs/>
                <w:color w:val="auto"/>
                <w:sz w:val="24"/>
                <w:highlight w:val="none"/>
              </w:rPr>
              <w:t>月建成片式元器件生产线</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打孔、研磨、测试工段委外</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实际产能为</w:t>
            </w:r>
            <w:r>
              <w:rPr>
                <w:rFonts w:hint="default" w:ascii="Times New Roman" w:hAnsi="Times New Roman" w:eastAsia="仿宋" w:cs="Times New Roman"/>
                <w:bCs/>
                <w:color w:val="auto"/>
                <w:sz w:val="24"/>
                <w:highlight w:val="none"/>
              </w:rPr>
              <w:t>年产片式元器件</w:t>
            </w:r>
            <w:r>
              <w:rPr>
                <w:rFonts w:hint="default" w:ascii="Times New Roman" w:hAnsi="Times New Roman" w:eastAsia="仿宋" w:cs="Times New Roman"/>
                <w:bCs/>
                <w:color w:val="auto"/>
                <w:sz w:val="24"/>
                <w:highlight w:val="none"/>
                <w:lang w:val="en-US" w:eastAsia="zh-CN"/>
              </w:rPr>
              <w:t>7</w:t>
            </w:r>
            <w:r>
              <w:rPr>
                <w:rFonts w:hint="default" w:ascii="Times New Roman" w:hAnsi="Times New Roman" w:eastAsia="仿宋" w:cs="Times New Roman"/>
                <w:bCs/>
                <w:color w:val="auto"/>
                <w:sz w:val="24"/>
                <w:highlight w:val="none"/>
              </w:rPr>
              <w:t>000万片/年</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已于2025年9月28日通过竣工环境保护验收（自主验收）</w:t>
            </w:r>
            <w:r>
              <w:rPr>
                <w:rFonts w:hint="default" w:ascii="Times New Roman" w:hAnsi="Times New Roman" w:eastAsia="仿宋" w:cs="Times New Roman"/>
                <w:bCs/>
                <w:color w:val="auto"/>
                <w:sz w:val="24"/>
                <w:highlight w:val="none"/>
              </w:rPr>
              <w:t>。</w:t>
            </w:r>
            <w:bookmarkEnd w:id="7"/>
            <w:r>
              <w:rPr>
                <w:rFonts w:hint="default" w:ascii="Times New Roman" w:hAnsi="Times New Roman" w:eastAsia="仿宋" w:cs="Times New Roman"/>
                <w:bCs/>
                <w:color w:val="auto"/>
                <w:sz w:val="24"/>
                <w:highlight w:val="none"/>
                <w:lang w:val="en-US" w:eastAsia="zh-CN"/>
              </w:rPr>
              <w:t>企业已于</w:t>
            </w:r>
            <w:bookmarkStart w:id="9" w:name="_Hlk186134648"/>
            <w:r>
              <w:rPr>
                <w:rFonts w:hint="default" w:ascii="Times New Roman" w:hAnsi="Times New Roman" w:eastAsia="仿宋" w:cs="Times New Roman"/>
                <w:bCs/>
                <w:color w:val="auto"/>
                <w:sz w:val="24"/>
                <w:szCs w:val="24"/>
                <w:highlight w:val="none"/>
              </w:rPr>
              <w:t>202</w:t>
            </w:r>
            <w:r>
              <w:rPr>
                <w:rFonts w:hint="default" w:ascii="Times New Roman" w:hAnsi="Times New Roman" w:eastAsia="仿宋" w:cs="Times New Roman"/>
                <w:bCs/>
                <w:color w:val="auto"/>
                <w:sz w:val="24"/>
                <w:szCs w:val="24"/>
                <w:highlight w:val="none"/>
                <w:lang w:val="en-US" w:eastAsia="zh-CN"/>
              </w:rPr>
              <w:t>5</w:t>
            </w:r>
            <w:r>
              <w:rPr>
                <w:rFonts w:hint="default" w:ascii="Times New Roman" w:hAnsi="Times New Roman" w:eastAsia="仿宋" w:cs="Times New Roman"/>
                <w:bCs/>
                <w:color w:val="auto"/>
                <w:sz w:val="24"/>
                <w:szCs w:val="24"/>
                <w:highlight w:val="none"/>
              </w:rPr>
              <w:t>年</w:t>
            </w:r>
            <w:r>
              <w:rPr>
                <w:rFonts w:hint="default" w:ascii="Times New Roman" w:hAnsi="Times New Roman" w:eastAsia="仿宋" w:cs="Times New Roman"/>
                <w:bCs/>
                <w:color w:val="auto"/>
                <w:sz w:val="24"/>
                <w:szCs w:val="24"/>
                <w:highlight w:val="none"/>
                <w:lang w:val="en-US" w:eastAsia="zh-CN"/>
              </w:rPr>
              <w:t>9</w:t>
            </w:r>
            <w:r>
              <w:rPr>
                <w:rFonts w:hint="default" w:ascii="Times New Roman" w:hAnsi="Times New Roman" w:eastAsia="仿宋" w:cs="Times New Roman"/>
                <w:bCs/>
                <w:color w:val="auto"/>
                <w:sz w:val="24"/>
                <w:szCs w:val="24"/>
                <w:highlight w:val="none"/>
              </w:rPr>
              <w:t>月</w:t>
            </w:r>
            <w:r>
              <w:rPr>
                <w:rFonts w:hint="default" w:ascii="Times New Roman" w:hAnsi="Times New Roman" w:eastAsia="仿宋" w:cs="Times New Roman"/>
                <w:bCs/>
                <w:color w:val="auto"/>
                <w:sz w:val="24"/>
                <w:szCs w:val="24"/>
                <w:highlight w:val="none"/>
                <w:lang w:val="en-US" w:eastAsia="zh-CN"/>
              </w:rPr>
              <w:t>1</w:t>
            </w:r>
            <w:r>
              <w:rPr>
                <w:rFonts w:hint="default" w:ascii="Times New Roman" w:hAnsi="Times New Roman" w:eastAsia="仿宋" w:cs="Times New Roman"/>
                <w:bCs/>
                <w:color w:val="auto"/>
                <w:sz w:val="24"/>
                <w:szCs w:val="24"/>
                <w:highlight w:val="none"/>
              </w:rPr>
              <w:t>日</w:t>
            </w:r>
            <w:r>
              <w:rPr>
                <w:rFonts w:hint="default" w:ascii="Times New Roman" w:hAnsi="Times New Roman" w:eastAsia="仿宋" w:cs="Times New Roman"/>
                <w:color w:val="auto"/>
                <w:sz w:val="24"/>
                <w:szCs w:val="24"/>
                <w:highlight w:val="none"/>
              </w:rPr>
              <w:t>进行了首次排污登记，登记编号为91320413MA7EQLYD4G001Y。</w:t>
            </w:r>
          </w:p>
          <w:bookmarkEnd w:id="9"/>
          <w:p w14:paraId="324271D6">
            <w:pPr>
              <w:adjustRightInd w:val="0"/>
              <w:snapToGrid w:val="0"/>
              <w:spacing w:line="360" w:lineRule="auto"/>
              <w:ind w:firstLine="480" w:firstLineChars="200"/>
              <w:jc w:val="both"/>
              <w:rPr>
                <w:rFonts w:hint="eastAsia"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企业拟增资400万元，利用厂区现有建筑面积为164m</w:t>
            </w:r>
            <w:r>
              <w:rPr>
                <w:rFonts w:hint="default" w:ascii="Times New Roman" w:hAnsi="Times New Roman" w:eastAsia="仿宋" w:cs="Times New Roman"/>
                <w:bCs/>
                <w:color w:val="auto"/>
                <w:sz w:val="24"/>
                <w:highlight w:val="none"/>
                <w:vertAlign w:val="superscript"/>
                <w:lang w:val="en-US" w:eastAsia="zh-CN"/>
              </w:rPr>
              <w:t>2</w:t>
            </w:r>
            <w:r>
              <w:rPr>
                <w:rFonts w:hint="default" w:ascii="Times New Roman" w:hAnsi="Times New Roman" w:eastAsia="仿宋" w:cs="Times New Roman"/>
                <w:bCs/>
                <w:color w:val="auto"/>
                <w:sz w:val="24"/>
                <w:highlight w:val="none"/>
                <w:lang w:val="en-US" w:eastAsia="zh-CN"/>
              </w:rPr>
              <w:t>的闲置厂房，购置自动电位滴定仪、pH测量仪、电导率测量仪、分光光度计、研磨机等设备，为自有电子产品及生产配套需求提供实验及检测服务</w:t>
            </w:r>
            <w:r>
              <w:rPr>
                <w:rFonts w:hint="eastAsia" w:eastAsia="仿宋" w:cs="Times New Roman"/>
                <w:bCs/>
                <w:color w:val="auto"/>
                <w:sz w:val="24"/>
                <w:highlight w:val="none"/>
                <w:lang w:val="en-US" w:eastAsia="zh-CN"/>
              </w:rPr>
              <w:t>。</w:t>
            </w:r>
          </w:p>
          <w:p w14:paraId="461CCC36">
            <w:pPr>
              <w:adjustRightInd w:val="0"/>
              <w:snapToGrid w:val="0"/>
              <w:spacing w:line="360" w:lineRule="auto"/>
              <w:ind w:firstLine="480" w:firstLineChars="200"/>
              <w:jc w:val="both"/>
              <w:rPr>
                <w:rFonts w:hint="eastAsia"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本项目包括生产配套化学检测、样品质量检测和设备保养维修：</w:t>
            </w:r>
          </w:p>
          <w:p w14:paraId="1303B0AC">
            <w:pPr>
              <w:numPr>
                <w:ilvl w:val="0"/>
                <w:numId w:val="6"/>
              </w:numPr>
              <w:adjustRightInd w:val="0"/>
              <w:snapToGrid w:val="0"/>
              <w:spacing w:line="360" w:lineRule="auto"/>
              <w:ind w:firstLine="480" w:firstLineChars="200"/>
              <w:jc w:val="both"/>
              <w:rPr>
                <w:rFonts w:hint="eastAsia"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生产配套化学检测对象为厂区内生产使用的原辅料（包括铜分流器、清洗液）、清洗产生的废水，目的是从源头把控原料品质，监控生产过程，确保产品质量。</w:t>
            </w:r>
            <w:r>
              <w:rPr>
                <w:rFonts w:hint="default" w:ascii="Times New Roman" w:hAnsi="Times New Roman" w:eastAsia="仿宋" w:cs="Times New Roman"/>
                <w:bCs/>
                <w:color w:val="auto"/>
                <w:sz w:val="24"/>
                <w:highlight w:val="none"/>
                <w:lang w:val="en-US" w:eastAsia="zh-CN"/>
              </w:rPr>
              <w:t>检测内容包括检测生产过程</w:t>
            </w:r>
            <w:r>
              <w:rPr>
                <w:rFonts w:hint="eastAsia" w:eastAsia="仿宋" w:cs="Times New Roman"/>
                <w:bCs/>
                <w:color w:val="auto"/>
                <w:sz w:val="24"/>
                <w:highlight w:val="none"/>
                <w:lang w:val="en-US" w:eastAsia="zh-CN"/>
              </w:rPr>
              <w:t>中使用的</w:t>
            </w:r>
            <w:r>
              <w:rPr>
                <w:rFonts w:hint="default" w:ascii="Times New Roman" w:hAnsi="Times New Roman" w:eastAsia="仿宋" w:cs="Times New Roman"/>
                <w:bCs/>
                <w:color w:val="auto"/>
                <w:sz w:val="24"/>
                <w:highlight w:val="none"/>
                <w:lang w:val="en-US" w:eastAsia="zh-CN"/>
              </w:rPr>
              <w:t>清洗液含量</w:t>
            </w:r>
            <w:r>
              <w:rPr>
                <w:rFonts w:hint="eastAsia" w:eastAsia="仿宋" w:cs="Times New Roman"/>
                <w:bCs/>
                <w:color w:val="auto"/>
                <w:sz w:val="24"/>
                <w:highlight w:val="none"/>
                <w:lang w:val="en-US" w:eastAsia="zh-CN"/>
              </w:rPr>
              <w:t>（滴定实验）</w:t>
            </w:r>
            <w:r>
              <w:rPr>
                <w:rFonts w:hint="default" w:ascii="Times New Roman" w:hAnsi="Times New Roman" w:eastAsia="仿宋" w:cs="Times New Roman"/>
                <w:bCs/>
                <w:color w:val="auto"/>
                <w:sz w:val="24"/>
                <w:highlight w:val="none"/>
                <w:lang w:val="en-US" w:eastAsia="zh-CN"/>
              </w:rPr>
              <w:t>、清洗液表面张力</w:t>
            </w:r>
            <w:r>
              <w:rPr>
                <w:rFonts w:hint="eastAsia" w:eastAsia="仿宋" w:cs="Times New Roman"/>
                <w:bCs/>
                <w:color w:val="auto"/>
                <w:sz w:val="24"/>
                <w:highlight w:val="none"/>
                <w:lang w:val="en-US" w:eastAsia="zh-CN"/>
              </w:rPr>
              <w:t>测试</w:t>
            </w:r>
            <w:r>
              <w:rPr>
                <w:rFonts w:hint="default" w:ascii="Times New Roman" w:hAnsi="Times New Roman" w:eastAsia="仿宋" w:cs="Times New Roman"/>
                <w:bCs/>
                <w:color w:val="auto"/>
                <w:sz w:val="24"/>
                <w:highlight w:val="none"/>
                <w:lang w:val="en-US" w:eastAsia="zh-CN"/>
              </w:rPr>
              <w:t>、铜分流器的表面张力</w:t>
            </w:r>
            <w:r>
              <w:rPr>
                <w:rFonts w:hint="eastAsia" w:eastAsia="仿宋" w:cs="Times New Roman"/>
                <w:bCs/>
                <w:color w:val="auto"/>
                <w:sz w:val="24"/>
                <w:highlight w:val="none"/>
                <w:lang w:val="en-US" w:eastAsia="zh-CN"/>
              </w:rPr>
              <w:t>测试</w:t>
            </w:r>
            <w:r>
              <w:rPr>
                <w:rFonts w:hint="default" w:ascii="Times New Roman" w:hAnsi="Times New Roman" w:eastAsia="仿宋" w:cs="Times New Roman"/>
                <w:bCs/>
                <w:color w:val="auto"/>
                <w:sz w:val="24"/>
                <w:highlight w:val="none"/>
                <w:lang w:val="en-US" w:eastAsia="zh-CN"/>
              </w:rPr>
              <w:t>、</w:t>
            </w:r>
            <w:r>
              <w:rPr>
                <w:rFonts w:hint="eastAsia" w:eastAsia="仿宋" w:cs="Times New Roman"/>
                <w:bCs/>
                <w:color w:val="auto"/>
                <w:sz w:val="24"/>
                <w:highlight w:val="none"/>
                <w:lang w:val="en-US" w:eastAsia="zh-CN"/>
              </w:rPr>
              <w:t>检测</w:t>
            </w:r>
            <w:r>
              <w:rPr>
                <w:rFonts w:hint="default" w:ascii="Times New Roman" w:hAnsi="Times New Roman" w:eastAsia="仿宋" w:cs="Times New Roman"/>
                <w:bCs/>
                <w:color w:val="auto"/>
                <w:sz w:val="24"/>
                <w:highlight w:val="none"/>
                <w:lang w:val="en-US" w:eastAsia="zh-CN"/>
              </w:rPr>
              <w:t>清洗液或</w:t>
            </w:r>
            <w:r>
              <w:rPr>
                <w:rFonts w:hint="eastAsia" w:eastAsia="仿宋" w:cs="Times New Roman"/>
                <w:bCs/>
                <w:color w:val="auto"/>
                <w:sz w:val="24"/>
                <w:highlight w:val="none"/>
                <w:lang w:val="en-US" w:eastAsia="zh-CN"/>
              </w:rPr>
              <w:t>生产</w:t>
            </w:r>
            <w:r>
              <w:rPr>
                <w:rFonts w:hint="default" w:ascii="Times New Roman" w:hAnsi="Times New Roman" w:eastAsia="仿宋" w:cs="Times New Roman"/>
                <w:bCs/>
                <w:color w:val="auto"/>
                <w:sz w:val="24"/>
                <w:highlight w:val="none"/>
                <w:lang w:val="en-US" w:eastAsia="zh-CN"/>
              </w:rPr>
              <w:t>废水中铜和镍含量。</w:t>
            </w:r>
          </w:p>
          <w:p w14:paraId="3DFDAE54">
            <w:pPr>
              <w:numPr>
                <w:ilvl w:val="0"/>
                <w:numId w:val="6"/>
              </w:numPr>
              <w:adjustRightInd w:val="0"/>
              <w:snapToGrid w:val="0"/>
              <w:spacing w:line="360" w:lineRule="auto"/>
              <w:ind w:firstLine="480" w:firstLineChars="200"/>
              <w:jc w:val="both"/>
              <w:rPr>
                <w:rFonts w:hint="eastAsia"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样品质量检测对象为产品片式元器件及生产传感器所用的</w:t>
            </w:r>
            <w:r>
              <w:rPr>
                <w:rFonts w:hint="default" w:ascii="Times New Roman" w:hAnsi="Times New Roman" w:eastAsia="仿宋" w:cs="Times New Roman"/>
                <w:bCs/>
                <w:color w:val="auto"/>
                <w:sz w:val="24"/>
                <w:highlight w:val="none"/>
                <w:lang w:val="en-US" w:eastAsia="zh-CN"/>
              </w:rPr>
              <w:t>PCB板</w:t>
            </w:r>
            <w:r>
              <w:rPr>
                <w:rFonts w:hint="eastAsia" w:eastAsia="仿宋" w:cs="Times New Roman"/>
                <w:bCs/>
                <w:color w:val="auto"/>
                <w:sz w:val="24"/>
                <w:highlight w:val="none"/>
                <w:lang w:val="en-US" w:eastAsia="zh-CN"/>
              </w:rPr>
              <w:t>和分流器样品，</w:t>
            </w:r>
            <w:r>
              <w:rPr>
                <w:rFonts w:hint="default" w:ascii="Times New Roman" w:hAnsi="Times New Roman" w:eastAsia="仿宋" w:cs="Times New Roman"/>
                <w:bCs/>
                <w:color w:val="auto"/>
                <w:sz w:val="24"/>
                <w:highlight w:val="none"/>
                <w:lang w:val="en-US" w:eastAsia="zh-CN"/>
              </w:rPr>
              <w:t>检测内容包括</w:t>
            </w:r>
            <w:r>
              <w:rPr>
                <w:rFonts w:hint="eastAsia" w:eastAsia="仿宋" w:cs="Times New Roman"/>
                <w:bCs/>
                <w:color w:val="auto"/>
                <w:sz w:val="24"/>
                <w:highlight w:val="none"/>
                <w:lang w:val="en-US" w:eastAsia="zh-CN"/>
              </w:rPr>
              <w:t>（1）测试产品片式元器件的耐腐蚀性能（制样测试）；（2）测试产品片式元器件焊接性能，</w:t>
            </w:r>
            <w:r>
              <w:rPr>
                <w:rFonts w:hint="default" w:ascii="Times New Roman" w:hAnsi="Times New Roman" w:eastAsia="仿宋" w:cs="Times New Roman"/>
                <w:bCs/>
                <w:color w:val="auto"/>
                <w:sz w:val="24"/>
                <w:highlight w:val="none"/>
                <w:lang w:val="en-US" w:eastAsia="zh-CN"/>
              </w:rPr>
              <w:t>PCB板</w:t>
            </w:r>
            <w:r>
              <w:rPr>
                <w:rFonts w:hint="eastAsia" w:eastAsia="仿宋" w:cs="Times New Roman"/>
                <w:bCs/>
                <w:color w:val="auto"/>
                <w:sz w:val="24"/>
                <w:highlight w:val="none"/>
                <w:lang w:val="en-US" w:eastAsia="zh-CN"/>
              </w:rPr>
              <w:t>、分流器样品的可焊性测试（焊接测试）；（3）对产品片式元器件样品进行物理检测（物理测试）。</w:t>
            </w:r>
          </w:p>
          <w:p w14:paraId="0A82C729">
            <w:pPr>
              <w:numPr>
                <w:ilvl w:val="0"/>
                <w:numId w:val="6"/>
              </w:numPr>
              <w:adjustRightInd w:val="0"/>
              <w:snapToGrid w:val="0"/>
              <w:spacing w:line="360" w:lineRule="auto"/>
              <w:ind w:firstLine="480" w:firstLineChars="200"/>
              <w:jc w:val="both"/>
              <w:rPr>
                <w:rFonts w:hint="eastAsia"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为生产设备</w:t>
            </w:r>
            <w:r>
              <w:rPr>
                <w:rFonts w:hint="eastAsia" w:eastAsia="仿宋" w:cs="Times New Roman"/>
                <w:bCs/>
                <w:color w:val="auto"/>
                <w:sz w:val="24"/>
                <w:highlight w:val="none"/>
                <w:lang w:val="en-US" w:eastAsia="zh-CN"/>
              </w:rPr>
              <w:t>提供</w:t>
            </w:r>
            <w:r>
              <w:rPr>
                <w:rFonts w:hint="default" w:ascii="Times New Roman" w:hAnsi="Times New Roman" w:eastAsia="仿宋" w:cs="Times New Roman"/>
                <w:bCs/>
                <w:color w:val="auto"/>
                <w:sz w:val="24"/>
                <w:highlight w:val="none"/>
                <w:lang w:val="en-US" w:eastAsia="zh-CN"/>
              </w:rPr>
              <w:t>维修</w:t>
            </w:r>
            <w:r>
              <w:rPr>
                <w:rFonts w:hint="eastAsia" w:eastAsia="仿宋" w:cs="Times New Roman"/>
                <w:bCs/>
                <w:color w:val="auto"/>
                <w:sz w:val="24"/>
                <w:highlight w:val="none"/>
                <w:lang w:val="en-US" w:eastAsia="zh-CN"/>
              </w:rPr>
              <w:t>保养。</w:t>
            </w:r>
          </w:p>
          <w:p w14:paraId="0FFE049A">
            <w:pPr>
              <w:adjustRightInd w:val="0"/>
              <w:snapToGrid w:val="0"/>
              <w:spacing w:line="360" w:lineRule="auto"/>
              <w:ind w:firstLine="482" w:firstLineChars="200"/>
              <w:jc w:val="both"/>
              <w:rPr>
                <w:rFonts w:hint="default" w:ascii="Times New Roman" w:hAnsi="Times New Roman" w:eastAsia="仿宋" w:cs="Times New Roman"/>
                <w:b/>
                <w:bCs w:val="0"/>
                <w:color w:val="auto"/>
                <w:sz w:val="24"/>
                <w:highlight w:val="none"/>
                <w:lang w:val="en-US" w:eastAsia="zh-CN"/>
              </w:rPr>
            </w:pPr>
            <w:r>
              <w:rPr>
                <w:rFonts w:hint="default" w:ascii="Times New Roman" w:hAnsi="Times New Roman" w:eastAsia="仿宋" w:cs="Times New Roman"/>
                <w:b/>
                <w:bCs w:val="0"/>
                <w:color w:val="auto"/>
                <w:sz w:val="24"/>
                <w:highlight w:val="none"/>
                <w:lang w:val="en-US" w:eastAsia="zh-CN"/>
              </w:rPr>
              <w:t>本项目建成后，现有</w:t>
            </w:r>
            <w:r>
              <w:rPr>
                <w:rFonts w:hint="eastAsia" w:eastAsia="仿宋" w:cs="Times New Roman"/>
                <w:b/>
                <w:bCs w:val="0"/>
                <w:color w:val="auto"/>
                <w:sz w:val="24"/>
                <w:highlight w:val="none"/>
                <w:lang w:val="en-US" w:eastAsia="zh-CN"/>
              </w:rPr>
              <w:t>设计</w:t>
            </w:r>
            <w:r>
              <w:rPr>
                <w:rFonts w:hint="default" w:ascii="Times New Roman" w:hAnsi="Times New Roman" w:eastAsia="仿宋" w:cs="Times New Roman"/>
                <w:b/>
                <w:bCs w:val="0"/>
                <w:color w:val="auto"/>
                <w:sz w:val="24"/>
                <w:highlight w:val="none"/>
                <w:lang w:val="en-US" w:eastAsia="zh-CN"/>
              </w:rPr>
              <w:t>生产能力不发生变化</w:t>
            </w:r>
            <w:r>
              <w:rPr>
                <w:rFonts w:hint="eastAsia" w:eastAsia="仿宋" w:cs="Times New Roman"/>
                <w:b/>
                <w:bCs w:val="0"/>
                <w:color w:val="auto"/>
                <w:sz w:val="24"/>
                <w:highlight w:val="none"/>
                <w:lang w:val="en-US" w:eastAsia="zh-CN"/>
              </w:rPr>
              <w:t>，仍为年产传感器300万片/年、片式元器件14000万片/年。</w:t>
            </w:r>
          </w:p>
          <w:p w14:paraId="749192EA">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中华人民共和国环境保护法》（2014年修订）、《中华人民共和国环境影响评价法》（2018年修正）、《建设项目环境保护管理条例》（国务院第682号令）等相关法律法规要求，建设过程中或者建成投产后可能对环境产生影响的新建、扩建、改建、迁建、技术改造项目及区域开发建设项目，必须进行环境影响评价。对照《建设项目环境影响评价分类管理名录》（2021年版），本项目属于“四十五、研究和试验发展</w:t>
            </w:r>
            <w:r>
              <w:rPr>
                <w:rFonts w:hint="default" w:ascii="Times New Roman" w:hAnsi="Times New Roman" w:eastAsia="仿宋" w:cs="Times New Roman"/>
                <w:color w:val="auto"/>
                <w:sz w:val="24"/>
                <w:lang w:val="en-US" w:eastAsia="zh-CN"/>
              </w:rPr>
              <w:t>-98、专业实验室、研发（试验）基地</w:t>
            </w:r>
            <w:r>
              <w:rPr>
                <w:rFonts w:hint="default" w:ascii="Times New Roman" w:hAnsi="Times New Roman" w:eastAsia="仿宋" w:cs="Times New Roman"/>
                <w:color w:val="auto"/>
                <w:sz w:val="24"/>
              </w:rPr>
              <w:t>中</w:t>
            </w:r>
            <w:r>
              <w:rPr>
                <w:rFonts w:hint="default" w:ascii="Times New Roman" w:hAnsi="Times New Roman" w:eastAsia="仿宋" w:cs="Times New Roman"/>
                <w:color w:val="auto"/>
                <w:sz w:val="24"/>
                <w:lang w:val="en-US" w:eastAsia="zh-CN"/>
              </w:rPr>
              <w:t>其他（不产生实验废气、废水、危险废物的除外）</w:t>
            </w:r>
            <w:r>
              <w:rPr>
                <w:rFonts w:hint="default" w:ascii="Times New Roman" w:hAnsi="Times New Roman" w:eastAsia="仿宋" w:cs="Times New Roman"/>
                <w:color w:val="auto"/>
                <w:sz w:val="24"/>
              </w:rPr>
              <w:t>”，应编制环境影响报告表。</w:t>
            </w:r>
            <w:r>
              <w:rPr>
                <w:rFonts w:hint="default" w:ascii="Times New Roman" w:hAnsi="Times New Roman" w:eastAsia="仿宋" w:cs="Times New Roman"/>
                <w:bCs/>
                <w:color w:val="auto"/>
                <w:sz w:val="24"/>
              </w:rPr>
              <w:t>伊莎贝棱辉特（常州）电子科技有限公司</w:t>
            </w:r>
            <w:r>
              <w:rPr>
                <w:rFonts w:hint="default" w:ascii="Times New Roman" w:hAnsi="Times New Roman" w:eastAsia="仿宋" w:cs="Times New Roman"/>
                <w:color w:val="auto"/>
                <w:sz w:val="24"/>
              </w:rPr>
              <w:t>现委托江苏冠晟环境科技有限公司对</w:t>
            </w:r>
            <w:r>
              <w:rPr>
                <w:rFonts w:hint="default" w:ascii="Times New Roman" w:hAnsi="Times New Roman" w:eastAsia="仿宋" w:cs="Times New Roman"/>
                <w:color w:val="auto"/>
                <w:sz w:val="24"/>
                <w:u w:val="single"/>
              </w:rPr>
              <w:t>“</w:t>
            </w:r>
            <w:r>
              <w:rPr>
                <w:rFonts w:hint="default" w:ascii="Times New Roman" w:hAnsi="Times New Roman" w:eastAsia="仿宋" w:cs="Times New Roman"/>
                <w:bCs/>
                <w:color w:val="auto"/>
                <w:sz w:val="24"/>
                <w:u w:val="single"/>
                <w:lang w:eastAsia="zh-CN"/>
              </w:rPr>
              <w:t>扩建实验室项目</w:t>
            </w:r>
            <w:r>
              <w:rPr>
                <w:rFonts w:hint="default" w:ascii="Times New Roman" w:hAnsi="Times New Roman" w:eastAsia="仿宋" w:cs="Times New Roman"/>
                <w:color w:val="auto"/>
                <w:sz w:val="24"/>
                <w:u w:val="single"/>
              </w:rPr>
              <w:t>”</w:t>
            </w:r>
            <w:r>
              <w:rPr>
                <w:rFonts w:hint="default" w:ascii="Times New Roman" w:hAnsi="Times New Roman" w:eastAsia="仿宋" w:cs="Times New Roman"/>
                <w:color w:val="auto"/>
                <w:sz w:val="24"/>
              </w:rPr>
              <w:t>进行环境影响评价，编制环境影响报告表，提交生态环境主管部门审批作为项目环境管理依据。</w:t>
            </w:r>
          </w:p>
          <w:p w14:paraId="35C3D34B">
            <w:pPr>
              <w:numPr>
                <w:ilvl w:val="0"/>
                <w:numId w:val="7"/>
              </w:num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产品方案</w:t>
            </w:r>
          </w:p>
          <w:p w14:paraId="6F2DA28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lang w:val="en-US" w:eastAsia="zh-CN"/>
              </w:rPr>
              <w:t>本</w:t>
            </w:r>
            <w:r>
              <w:rPr>
                <w:rFonts w:hint="default" w:ascii="Times New Roman" w:hAnsi="Times New Roman" w:eastAsia="仿宋" w:cs="Times New Roman"/>
                <w:color w:val="auto"/>
                <w:sz w:val="24"/>
              </w:rPr>
              <w:t>项目</w:t>
            </w:r>
            <w:r>
              <w:rPr>
                <w:rFonts w:hint="default" w:ascii="Times New Roman" w:hAnsi="Times New Roman" w:eastAsia="仿宋" w:cs="Times New Roman"/>
                <w:color w:val="auto"/>
                <w:sz w:val="24"/>
                <w:lang w:val="en-US" w:eastAsia="zh-CN"/>
              </w:rPr>
              <w:t>为自有产品及生产配套需求提供实验及检测服务</w:t>
            </w:r>
            <w:r>
              <w:rPr>
                <w:rFonts w:hint="default" w:ascii="Times New Roman" w:hAnsi="Times New Roman" w:eastAsia="仿宋" w:cs="Times New Roman"/>
                <w:bCs/>
                <w:color w:val="auto"/>
                <w:sz w:val="24"/>
              </w:rPr>
              <w:t>，</w:t>
            </w:r>
            <w:r>
              <w:rPr>
                <w:rFonts w:hint="eastAsia" w:eastAsia="仿宋" w:cs="Times New Roman"/>
                <w:bCs/>
                <w:color w:val="auto"/>
                <w:sz w:val="24"/>
                <w:lang w:val="en-US" w:eastAsia="zh-CN"/>
              </w:rPr>
              <w:t>属于</w:t>
            </w:r>
            <w:r>
              <w:rPr>
                <w:rFonts w:hint="default" w:ascii="Times New Roman" w:hAnsi="Times New Roman" w:eastAsia="仿宋" w:cs="Times New Roman"/>
                <w:bCs/>
                <w:color w:val="auto"/>
                <w:sz w:val="24"/>
              </w:rPr>
              <w:t>非生产型项目，主体工程及检测方案详见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2517B4D1">
            <w:pPr>
              <w:widowControl/>
              <w:adjustRightInd w:val="0"/>
              <w:snapToGrid w:val="0"/>
              <w:spacing w:line="240" w:lineRule="auto"/>
              <w:jc w:val="center"/>
              <w:rPr>
                <w:rFonts w:hint="default" w:ascii="Times New Roman" w:hAnsi="Times New Roman" w:eastAsia="仿宋" w:cs="Times New Roman"/>
                <w:b/>
                <w:bCs/>
                <w:color w:val="auto"/>
                <w:sz w:val="24"/>
                <w:szCs w:val="20"/>
              </w:rPr>
            </w:pPr>
            <w:r>
              <w:rPr>
                <w:rFonts w:hint="default" w:ascii="Times New Roman" w:hAnsi="Times New Roman" w:eastAsia="仿宋" w:cs="Times New Roman"/>
                <w:b/>
                <w:color w:val="auto"/>
                <w:sz w:val="24"/>
                <w:szCs w:val="20"/>
              </w:rPr>
              <w:t xml:space="preserve">表2-1  </w:t>
            </w:r>
            <w:r>
              <w:rPr>
                <w:rFonts w:hint="default" w:ascii="Times New Roman" w:hAnsi="Times New Roman" w:eastAsia="仿宋" w:cs="Times New Roman"/>
                <w:b/>
                <w:bCs/>
                <w:color w:val="auto"/>
                <w:sz w:val="24"/>
                <w:szCs w:val="20"/>
              </w:rPr>
              <w:t>主体工程及检测方案</w:t>
            </w:r>
          </w:p>
          <w:tbl>
            <w:tblPr>
              <w:tblStyle w:val="26"/>
              <w:tblpPr w:leftFromText="180" w:rightFromText="180" w:vertAnchor="text" w:tblpXSpec="center" w:tblpY="1"/>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03"/>
              <w:gridCol w:w="1125"/>
              <w:gridCol w:w="3194"/>
              <w:gridCol w:w="1197"/>
              <w:gridCol w:w="922"/>
            </w:tblGrid>
            <w:tr w14:paraId="4890A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533" w:hRule="atLeast"/>
              </w:trPr>
              <w:tc>
                <w:tcPr>
                  <w:tcW w:w="1046" w:type="pct"/>
                  <w:vAlign w:val="center"/>
                </w:tcPr>
                <w:p w14:paraId="36E16871">
                  <w:pPr>
                    <w:widowControl/>
                    <w:spacing w:line="240" w:lineRule="atLeas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主体工程名称（车间、生产装置或生产线）</w:t>
                  </w:r>
                </w:p>
              </w:tc>
              <w:tc>
                <w:tcPr>
                  <w:tcW w:w="691" w:type="pct"/>
                  <w:tcBorders>
                    <w:right w:val="single" w:color="auto" w:sz="4" w:space="0"/>
                  </w:tcBorders>
                  <w:vAlign w:val="center"/>
                </w:tcPr>
                <w:p w14:paraId="65D7A303">
                  <w:pPr>
                    <w:widowControl/>
                    <w:spacing w:line="240" w:lineRule="atLeast"/>
                    <w:jc w:val="center"/>
                    <w:rPr>
                      <w:rFonts w:hint="default" w:ascii="Times New Roman" w:hAnsi="Times New Roman" w:eastAsia="仿宋" w:cs="Times New Roman"/>
                      <w:b/>
                      <w:color w:val="auto"/>
                      <w:sz w:val="21"/>
                      <w:szCs w:val="21"/>
                      <w:lang w:val="en-US" w:eastAsia="zh-CN"/>
                    </w:rPr>
                  </w:pPr>
                  <w:r>
                    <w:rPr>
                      <w:rFonts w:hint="eastAsia" w:eastAsia="仿宋" w:cs="Times New Roman"/>
                      <w:b/>
                      <w:color w:val="auto"/>
                      <w:sz w:val="21"/>
                      <w:szCs w:val="21"/>
                      <w:lang w:val="en-US" w:eastAsia="zh-CN"/>
                    </w:rPr>
                    <w:t>实验类型</w:t>
                  </w:r>
                </w:p>
              </w:tc>
              <w:tc>
                <w:tcPr>
                  <w:tcW w:w="1961" w:type="pct"/>
                  <w:tcBorders>
                    <w:right w:val="single" w:color="auto" w:sz="4" w:space="0"/>
                  </w:tcBorders>
                  <w:vAlign w:val="center"/>
                </w:tcPr>
                <w:p w14:paraId="79B289A7">
                  <w:pPr>
                    <w:widowControl/>
                    <w:spacing w:line="240" w:lineRule="atLeas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检测项目</w:t>
                  </w:r>
                </w:p>
              </w:tc>
              <w:tc>
                <w:tcPr>
                  <w:tcW w:w="733" w:type="pct"/>
                  <w:vAlign w:val="center"/>
                </w:tcPr>
                <w:p w14:paraId="5157BD7C">
                  <w:pPr>
                    <w:widowControl/>
                    <w:spacing w:line="240" w:lineRule="atLeas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检测量</w:t>
                  </w:r>
                </w:p>
              </w:tc>
              <w:tc>
                <w:tcPr>
                  <w:tcW w:w="566" w:type="pct"/>
                  <w:vAlign w:val="center"/>
                </w:tcPr>
                <w:p w14:paraId="2E0D1FFB">
                  <w:pPr>
                    <w:widowControl/>
                    <w:spacing w:line="240" w:lineRule="atLeas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年运行时数</w:t>
                  </w:r>
                  <w:r>
                    <w:rPr>
                      <w:rFonts w:hint="default" w:ascii="Times New Roman" w:hAnsi="Times New Roman" w:eastAsia="仿宋" w:cs="Times New Roman"/>
                      <w:b/>
                      <w:color w:val="auto"/>
                      <w:sz w:val="21"/>
                      <w:szCs w:val="21"/>
                      <w:vertAlign w:val="superscript"/>
                    </w:rPr>
                    <w:t>*</w:t>
                  </w:r>
                </w:p>
              </w:tc>
            </w:tr>
            <w:tr w14:paraId="6650F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19" w:hRule="atLeast"/>
              </w:trPr>
              <w:tc>
                <w:tcPr>
                  <w:tcW w:w="1046" w:type="pct"/>
                  <w:vMerge w:val="restart"/>
                  <w:vAlign w:val="center"/>
                </w:tcPr>
                <w:p w14:paraId="4A381EBF">
                  <w:pPr>
                    <w:widowControl/>
                    <w:spacing w:line="240" w:lineRule="atLeas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实验</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维修</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highlight w:val="none"/>
                      <w:lang w:val="en-US" w:eastAsia="zh-CN"/>
                    </w:rPr>
                    <w:t>依托现有</w:t>
                  </w:r>
                  <w:r>
                    <w:rPr>
                      <w:rFonts w:hint="default" w:ascii="Times New Roman" w:hAnsi="Times New Roman" w:eastAsia="仿宋" w:cs="Times New Roman"/>
                      <w:color w:val="auto"/>
                      <w:sz w:val="21"/>
                      <w:szCs w:val="21"/>
                      <w:highlight w:val="none"/>
                    </w:rPr>
                    <w:t>建筑面积</w:t>
                  </w:r>
                  <w:r>
                    <w:rPr>
                      <w:rFonts w:hint="default" w:ascii="Times New Roman" w:hAnsi="Times New Roman" w:eastAsia="仿宋" w:cs="Times New Roman"/>
                      <w:color w:val="auto"/>
                      <w:sz w:val="21"/>
                      <w:szCs w:val="21"/>
                      <w:highlight w:val="none"/>
                      <w:lang w:val="en-US" w:eastAsia="zh-CN"/>
                    </w:rPr>
                    <w:t>164</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lang w:val="en-US" w:eastAsia="zh-CN"/>
                    </w:rPr>
                    <w:t>闲置厂房</w:t>
                  </w:r>
                  <w:r>
                    <w:rPr>
                      <w:rFonts w:hint="default" w:ascii="Times New Roman" w:hAnsi="Times New Roman" w:eastAsia="仿宋" w:cs="Times New Roman"/>
                      <w:color w:val="auto"/>
                      <w:sz w:val="21"/>
                      <w:szCs w:val="21"/>
                    </w:rPr>
                    <w:t>）</w:t>
                  </w:r>
                </w:p>
              </w:tc>
              <w:tc>
                <w:tcPr>
                  <w:tcW w:w="691" w:type="pct"/>
                  <w:vMerge w:val="restart"/>
                  <w:tcBorders>
                    <w:right w:val="single" w:color="auto" w:sz="4" w:space="0"/>
                  </w:tcBorders>
                  <w:vAlign w:val="center"/>
                </w:tcPr>
                <w:p w14:paraId="0CFC26A6">
                  <w:pPr>
                    <w:widowControl/>
                    <w:spacing w:line="240" w:lineRule="atLeast"/>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生产配套化学检测</w:t>
                  </w:r>
                </w:p>
              </w:tc>
              <w:tc>
                <w:tcPr>
                  <w:tcW w:w="1961" w:type="pct"/>
                  <w:tcBorders>
                    <w:right w:val="single" w:color="auto" w:sz="4" w:space="0"/>
                  </w:tcBorders>
                  <w:vAlign w:val="center"/>
                </w:tcPr>
                <w:p w14:paraId="660071A8">
                  <w:pPr>
                    <w:widowControl/>
                    <w:spacing w:line="240" w:lineRule="atLeas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检测清洗液含量</w:t>
                  </w:r>
                </w:p>
              </w:tc>
              <w:tc>
                <w:tcPr>
                  <w:tcW w:w="733" w:type="pct"/>
                  <w:vAlign w:val="center"/>
                </w:tcPr>
                <w:p w14:paraId="4EDAA634">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180kg/a</w:t>
                  </w:r>
                </w:p>
              </w:tc>
              <w:tc>
                <w:tcPr>
                  <w:tcW w:w="566" w:type="pct"/>
                  <w:vMerge w:val="restart"/>
                  <w:vAlign w:val="center"/>
                </w:tcPr>
                <w:p w14:paraId="175300C3">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lang w:val="en-US" w:eastAsia="zh-CN"/>
                    </w:rPr>
                    <w:t>3600h</w:t>
                  </w:r>
                </w:p>
              </w:tc>
            </w:tr>
            <w:tr w14:paraId="0368E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1E556623">
                  <w:pPr>
                    <w:widowControl/>
                    <w:spacing w:line="240" w:lineRule="atLeast"/>
                    <w:jc w:val="center"/>
                    <w:rPr>
                      <w:rFonts w:hint="default" w:ascii="Times New Roman" w:hAnsi="Times New Roman" w:eastAsia="仿宋" w:cs="Times New Roman"/>
                      <w:color w:val="auto"/>
                      <w:sz w:val="21"/>
                      <w:szCs w:val="21"/>
                    </w:rPr>
                  </w:pPr>
                </w:p>
              </w:tc>
              <w:tc>
                <w:tcPr>
                  <w:tcW w:w="691" w:type="pct"/>
                  <w:vMerge w:val="continue"/>
                  <w:tcBorders>
                    <w:right w:val="single" w:color="auto" w:sz="4" w:space="0"/>
                  </w:tcBorders>
                  <w:vAlign w:val="center"/>
                </w:tcPr>
                <w:p w14:paraId="7B5619F1">
                  <w:pPr>
                    <w:widowControl/>
                    <w:spacing w:line="240" w:lineRule="atLeast"/>
                    <w:jc w:val="center"/>
                    <w:rPr>
                      <w:rFonts w:hint="default" w:ascii="Times New Roman" w:hAnsi="Times New Roman" w:eastAsia="仿宋" w:cs="Times New Roman"/>
                      <w:color w:val="auto"/>
                      <w:sz w:val="21"/>
                      <w:szCs w:val="21"/>
                    </w:rPr>
                  </w:pPr>
                </w:p>
              </w:tc>
              <w:tc>
                <w:tcPr>
                  <w:tcW w:w="1961" w:type="pct"/>
                  <w:tcBorders>
                    <w:right w:val="single" w:color="auto" w:sz="4" w:space="0"/>
                  </w:tcBorders>
                  <w:vAlign w:val="center"/>
                </w:tcPr>
                <w:p w14:paraId="4D3C1FF6">
                  <w:pPr>
                    <w:widowControl/>
                    <w:spacing w:line="240" w:lineRule="atLeast"/>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清洗液</w:t>
                  </w:r>
                  <w:r>
                    <w:rPr>
                      <w:rFonts w:hint="default" w:ascii="Times New Roman" w:hAnsi="Times New Roman" w:eastAsia="仿宋" w:cs="Times New Roman"/>
                      <w:b w:val="0"/>
                      <w:bCs/>
                      <w:color w:val="auto"/>
                      <w:sz w:val="21"/>
                      <w:szCs w:val="21"/>
                      <w:lang w:val="en-US" w:eastAsia="zh-CN"/>
                    </w:rPr>
                    <w:t>表面张力</w:t>
                  </w:r>
                  <w:r>
                    <w:rPr>
                      <w:rFonts w:hint="eastAsia" w:eastAsia="仿宋" w:cs="Times New Roman"/>
                      <w:b w:val="0"/>
                      <w:bCs/>
                      <w:color w:val="auto"/>
                      <w:sz w:val="21"/>
                      <w:szCs w:val="21"/>
                      <w:lang w:val="en-US" w:eastAsia="zh-CN"/>
                    </w:rPr>
                    <w:t>测试</w:t>
                  </w:r>
                </w:p>
              </w:tc>
              <w:tc>
                <w:tcPr>
                  <w:tcW w:w="733" w:type="pct"/>
                  <w:vAlign w:val="center"/>
                </w:tcPr>
                <w:p w14:paraId="044341FE">
                  <w:pPr>
                    <w:widowControl/>
                    <w:spacing w:line="240" w:lineRule="atLeast"/>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90</w:t>
                  </w:r>
                  <w:r>
                    <w:rPr>
                      <w:rFonts w:hint="default" w:ascii="Times New Roman" w:hAnsi="Times New Roman" w:eastAsia="仿宋" w:cs="Times New Roman"/>
                      <w:color w:val="auto"/>
                      <w:sz w:val="21"/>
                      <w:szCs w:val="21"/>
                      <w:lang w:val="en-US" w:eastAsia="zh-CN"/>
                    </w:rPr>
                    <w:t>kg/a</w:t>
                  </w:r>
                </w:p>
              </w:tc>
              <w:tc>
                <w:tcPr>
                  <w:tcW w:w="566" w:type="pct"/>
                  <w:vMerge w:val="continue"/>
                  <w:vAlign w:val="center"/>
                </w:tcPr>
                <w:p w14:paraId="23475A88">
                  <w:pPr>
                    <w:widowControl/>
                    <w:spacing w:line="240" w:lineRule="atLeast"/>
                    <w:jc w:val="center"/>
                    <w:rPr>
                      <w:rFonts w:hint="default" w:ascii="Times New Roman" w:hAnsi="Times New Roman" w:eastAsia="仿宋" w:cs="Times New Roman"/>
                      <w:color w:val="auto"/>
                      <w:sz w:val="21"/>
                      <w:szCs w:val="21"/>
                    </w:rPr>
                  </w:pPr>
                </w:p>
              </w:tc>
            </w:tr>
            <w:tr w14:paraId="4CFB0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555DF1B3">
                  <w:pPr>
                    <w:widowControl/>
                    <w:spacing w:line="240" w:lineRule="atLeast"/>
                    <w:jc w:val="center"/>
                    <w:rPr>
                      <w:rFonts w:hint="default" w:ascii="Times New Roman" w:hAnsi="Times New Roman" w:eastAsia="仿宋" w:cs="Times New Roman"/>
                      <w:color w:val="auto"/>
                      <w:sz w:val="21"/>
                      <w:szCs w:val="21"/>
                    </w:rPr>
                  </w:pPr>
                </w:p>
              </w:tc>
              <w:tc>
                <w:tcPr>
                  <w:tcW w:w="691" w:type="pct"/>
                  <w:vMerge w:val="continue"/>
                  <w:tcBorders>
                    <w:right w:val="single" w:color="auto" w:sz="4" w:space="0"/>
                  </w:tcBorders>
                  <w:vAlign w:val="center"/>
                </w:tcPr>
                <w:p w14:paraId="2CF7BCD4">
                  <w:pPr>
                    <w:widowControl/>
                    <w:spacing w:line="240" w:lineRule="atLeast"/>
                    <w:jc w:val="center"/>
                    <w:rPr>
                      <w:rFonts w:hint="default" w:ascii="Times New Roman" w:hAnsi="Times New Roman" w:eastAsia="仿宋" w:cs="Times New Roman"/>
                      <w:color w:val="auto"/>
                      <w:sz w:val="21"/>
                      <w:szCs w:val="21"/>
                    </w:rPr>
                  </w:pPr>
                </w:p>
              </w:tc>
              <w:tc>
                <w:tcPr>
                  <w:tcW w:w="1961" w:type="pct"/>
                  <w:tcBorders>
                    <w:right w:val="single" w:color="auto" w:sz="4" w:space="0"/>
                  </w:tcBorders>
                  <w:vAlign w:val="center"/>
                </w:tcPr>
                <w:p w14:paraId="100E4808">
                  <w:pPr>
                    <w:widowControl/>
                    <w:spacing w:line="240" w:lineRule="atLeast"/>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Cs/>
                      <w:color w:val="auto"/>
                      <w:sz w:val="21"/>
                      <w:szCs w:val="21"/>
                      <w:lang w:val="en-US" w:eastAsia="zh-CN"/>
                    </w:rPr>
                    <w:t>铜分流器的表面张力</w:t>
                  </w:r>
                  <w:r>
                    <w:rPr>
                      <w:rFonts w:hint="eastAsia" w:eastAsia="仿宋" w:cs="Times New Roman"/>
                      <w:bCs/>
                      <w:color w:val="auto"/>
                      <w:sz w:val="21"/>
                      <w:szCs w:val="21"/>
                      <w:lang w:val="en-US" w:eastAsia="zh-CN"/>
                    </w:rPr>
                    <w:t>测试</w:t>
                  </w:r>
                </w:p>
              </w:tc>
              <w:tc>
                <w:tcPr>
                  <w:tcW w:w="733" w:type="pct"/>
                  <w:vAlign w:val="center"/>
                </w:tcPr>
                <w:p w14:paraId="0EEE12E2">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20000件/a</w:t>
                  </w:r>
                </w:p>
              </w:tc>
              <w:tc>
                <w:tcPr>
                  <w:tcW w:w="566" w:type="pct"/>
                  <w:vMerge w:val="continue"/>
                  <w:vAlign w:val="center"/>
                </w:tcPr>
                <w:p w14:paraId="5E570F83">
                  <w:pPr>
                    <w:widowControl/>
                    <w:spacing w:line="240" w:lineRule="atLeast"/>
                    <w:jc w:val="center"/>
                    <w:rPr>
                      <w:rFonts w:hint="default" w:ascii="Times New Roman" w:hAnsi="Times New Roman" w:eastAsia="仿宋" w:cs="Times New Roman"/>
                      <w:color w:val="auto"/>
                      <w:sz w:val="21"/>
                      <w:szCs w:val="21"/>
                    </w:rPr>
                  </w:pPr>
                </w:p>
              </w:tc>
            </w:tr>
            <w:tr w14:paraId="160C7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59CB54D2">
                  <w:pPr>
                    <w:widowControl/>
                    <w:spacing w:line="240" w:lineRule="atLeast"/>
                    <w:jc w:val="center"/>
                    <w:rPr>
                      <w:rFonts w:hint="default" w:ascii="Times New Roman" w:hAnsi="Times New Roman" w:eastAsia="仿宋" w:cs="Times New Roman"/>
                      <w:color w:val="auto"/>
                      <w:sz w:val="21"/>
                      <w:szCs w:val="21"/>
                    </w:rPr>
                  </w:pPr>
                </w:p>
              </w:tc>
              <w:tc>
                <w:tcPr>
                  <w:tcW w:w="691" w:type="pct"/>
                  <w:vMerge w:val="continue"/>
                  <w:tcBorders>
                    <w:right w:val="single" w:color="auto" w:sz="4" w:space="0"/>
                  </w:tcBorders>
                  <w:vAlign w:val="center"/>
                </w:tcPr>
                <w:p w14:paraId="33E0CBBA">
                  <w:pPr>
                    <w:widowControl/>
                    <w:spacing w:line="240" w:lineRule="atLeast"/>
                    <w:jc w:val="center"/>
                    <w:rPr>
                      <w:rFonts w:hint="default" w:ascii="Times New Roman" w:hAnsi="Times New Roman" w:eastAsia="仿宋" w:cs="Times New Roman"/>
                      <w:color w:val="auto"/>
                      <w:sz w:val="21"/>
                      <w:szCs w:val="21"/>
                    </w:rPr>
                  </w:pPr>
                </w:p>
              </w:tc>
              <w:tc>
                <w:tcPr>
                  <w:tcW w:w="1961" w:type="pct"/>
                  <w:tcBorders>
                    <w:right w:val="single" w:color="auto" w:sz="4" w:space="0"/>
                  </w:tcBorders>
                  <w:vAlign w:val="center"/>
                </w:tcPr>
                <w:p w14:paraId="61680524">
                  <w:pPr>
                    <w:widowControl/>
                    <w:spacing w:line="240" w:lineRule="atLeast"/>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检测</w:t>
                  </w:r>
                  <w:r>
                    <w:rPr>
                      <w:rFonts w:hint="default" w:ascii="Times New Roman" w:hAnsi="Times New Roman" w:eastAsia="仿宋" w:cs="Times New Roman"/>
                      <w:bCs/>
                      <w:color w:val="auto"/>
                      <w:sz w:val="21"/>
                      <w:szCs w:val="21"/>
                      <w:lang w:val="en-US" w:eastAsia="zh-CN"/>
                    </w:rPr>
                    <w:t>清洗液或废水中铜和镍含量</w:t>
                  </w:r>
                </w:p>
              </w:tc>
              <w:tc>
                <w:tcPr>
                  <w:tcW w:w="733" w:type="pct"/>
                  <w:vAlign w:val="center"/>
                </w:tcPr>
                <w:p w14:paraId="4DC1DDCA">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0.12kg/a</w:t>
                  </w:r>
                </w:p>
              </w:tc>
              <w:tc>
                <w:tcPr>
                  <w:tcW w:w="566" w:type="pct"/>
                  <w:vMerge w:val="continue"/>
                  <w:vAlign w:val="center"/>
                </w:tcPr>
                <w:p w14:paraId="5B8E74B1">
                  <w:pPr>
                    <w:widowControl/>
                    <w:spacing w:line="240" w:lineRule="atLeast"/>
                    <w:jc w:val="center"/>
                    <w:rPr>
                      <w:rFonts w:hint="default" w:ascii="Times New Roman" w:hAnsi="Times New Roman" w:eastAsia="仿宋" w:cs="Times New Roman"/>
                      <w:color w:val="auto"/>
                      <w:sz w:val="21"/>
                      <w:szCs w:val="21"/>
                    </w:rPr>
                  </w:pPr>
                </w:p>
              </w:tc>
            </w:tr>
            <w:tr w14:paraId="7F4D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26AB41DC">
                  <w:pPr>
                    <w:widowControl/>
                    <w:spacing w:line="240" w:lineRule="atLeast"/>
                    <w:jc w:val="center"/>
                    <w:rPr>
                      <w:rFonts w:hint="default" w:ascii="Times New Roman" w:hAnsi="Times New Roman" w:eastAsia="仿宋" w:cs="Times New Roman"/>
                      <w:color w:val="auto"/>
                      <w:sz w:val="21"/>
                      <w:szCs w:val="21"/>
                    </w:rPr>
                  </w:pPr>
                </w:p>
              </w:tc>
              <w:tc>
                <w:tcPr>
                  <w:tcW w:w="691" w:type="pct"/>
                  <w:vMerge w:val="restart"/>
                  <w:tcBorders>
                    <w:right w:val="single" w:color="auto" w:sz="4" w:space="0"/>
                  </w:tcBorders>
                  <w:vAlign w:val="center"/>
                </w:tcPr>
                <w:p w14:paraId="1A468C86">
                  <w:pPr>
                    <w:widowControl/>
                    <w:spacing w:line="240" w:lineRule="atLeas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样品质量检测</w:t>
                  </w:r>
                </w:p>
              </w:tc>
              <w:tc>
                <w:tcPr>
                  <w:tcW w:w="1961" w:type="pct"/>
                  <w:tcBorders>
                    <w:right w:val="single" w:color="auto" w:sz="4" w:space="0"/>
                  </w:tcBorders>
                  <w:vAlign w:val="center"/>
                </w:tcPr>
                <w:p w14:paraId="49AEB049">
                  <w:pPr>
                    <w:widowControl/>
                    <w:spacing w:line="240" w:lineRule="atLeast"/>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制样测试</w:t>
                  </w:r>
                </w:p>
              </w:tc>
              <w:tc>
                <w:tcPr>
                  <w:tcW w:w="733" w:type="pct"/>
                  <w:vAlign w:val="center"/>
                </w:tcPr>
                <w:p w14:paraId="3952109A">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6000个/a</w:t>
                  </w:r>
                </w:p>
              </w:tc>
              <w:tc>
                <w:tcPr>
                  <w:tcW w:w="566" w:type="pct"/>
                  <w:vMerge w:val="continue"/>
                  <w:vAlign w:val="center"/>
                </w:tcPr>
                <w:p w14:paraId="0345873C">
                  <w:pPr>
                    <w:widowControl/>
                    <w:spacing w:line="240" w:lineRule="atLeast"/>
                    <w:jc w:val="center"/>
                    <w:rPr>
                      <w:rFonts w:hint="default" w:ascii="Times New Roman" w:hAnsi="Times New Roman" w:eastAsia="仿宋" w:cs="Times New Roman"/>
                      <w:color w:val="auto"/>
                      <w:sz w:val="21"/>
                      <w:szCs w:val="21"/>
                    </w:rPr>
                  </w:pPr>
                </w:p>
              </w:tc>
            </w:tr>
            <w:tr w14:paraId="6D903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02FA4603">
                  <w:pPr>
                    <w:widowControl/>
                    <w:spacing w:line="240" w:lineRule="atLeast"/>
                    <w:jc w:val="center"/>
                    <w:rPr>
                      <w:rFonts w:hint="default" w:ascii="Times New Roman" w:hAnsi="Times New Roman" w:eastAsia="仿宋" w:cs="Times New Roman"/>
                      <w:color w:val="auto"/>
                      <w:sz w:val="21"/>
                      <w:szCs w:val="21"/>
                    </w:rPr>
                  </w:pPr>
                </w:p>
              </w:tc>
              <w:tc>
                <w:tcPr>
                  <w:tcW w:w="691" w:type="pct"/>
                  <w:vMerge w:val="continue"/>
                  <w:tcBorders>
                    <w:right w:val="single" w:color="auto" w:sz="4" w:space="0"/>
                  </w:tcBorders>
                  <w:vAlign w:val="center"/>
                </w:tcPr>
                <w:p w14:paraId="7D3C04D0">
                  <w:pPr>
                    <w:widowControl/>
                    <w:spacing w:line="240" w:lineRule="atLeast"/>
                    <w:jc w:val="center"/>
                    <w:rPr>
                      <w:rFonts w:hint="default" w:ascii="Times New Roman" w:hAnsi="Times New Roman" w:eastAsia="仿宋" w:cs="Times New Roman"/>
                      <w:color w:val="auto"/>
                      <w:sz w:val="21"/>
                      <w:szCs w:val="21"/>
                    </w:rPr>
                  </w:pPr>
                </w:p>
              </w:tc>
              <w:tc>
                <w:tcPr>
                  <w:tcW w:w="1961" w:type="pct"/>
                  <w:tcBorders>
                    <w:right w:val="single" w:color="auto" w:sz="4" w:space="0"/>
                  </w:tcBorders>
                  <w:vAlign w:val="center"/>
                </w:tcPr>
                <w:p w14:paraId="2D114811">
                  <w:pPr>
                    <w:widowControl/>
                    <w:spacing w:line="240" w:lineRule="atLeast"/>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焊接测试</w:t>
                  </w:r>
                </w:p>
              </w:tc>
              <w:tc>
                <w:tcPr>
                  <w:tcW w:w="733" w:type="pct"/>
                  <w:vAlign w:val="center"/>
                </w:tcPr>
                <w:p w14:paraId="53D5337C">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3000次/a</w:t>
                  </w:r>
                </w:p>
              </w:tc>
              <w:tc>
                <w:tcPr>
                  <w:tcW w:w="566" w:type="pct"/>
                  <w:vMerge w:val="continue"/>
                  <w:vAlign w:val="center"/>
                </w:tcPr>
                <w:p w14:paraId="313AF428">
                  <w:pPr>
                    <w:widowControl/>
                    <w:spacing w:line="240" w:lineRule="atLeast"/>
                    <w:jc w:val="center"/>
                    <w:rPr>
                      <w:rFonts w:hint="default" w:ascii="Times New Roman" w:hAnsi="Times New Roman" w:eastAsia="仿宋" w:cs="Times New Roman"/>
                      <w:color w:val="auto"/>
                      <w:sz w:val="21"/>
                      <w:szCs w:val="21"/>
                    </w:rPr>
                  </w:pPr>
                </w:p>
              </w:tc>
            </w:tr>
            <w:tr w14:paraId="556A5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1B9DEBD5">
                  <w:pPr>
                    <w:widowControl/>
                    <w:spacing w:line="240" w:lineRule="atLeast"/>
                    <w:jc w:val="center"/>
                    <w:rPr>
                      <w:rFonts w:hint="default" w:ascii="Times New Roman" w:hAnsi="Times New Roman" w:eastAsia="仿宋" w:cs="Times New Roman"/>
                      <w:color w:val="auto"/>
                      <w:sz w:val="21"/>
                      <w:szCs w:val="21"/>
                    </w:rPr>
                  </w:pPr>
                </w:p>
              </w:tc>
              <w:tc>
                <w:tcPr>
                  <w:tcW w:w="691" w:type="pct"/>
                  <w:vMerge w:val="continue"/>
                  <w:tcBorders>
                    <w:right w:val="single" w:color="auto" w:sz="4" w:space="0"/>
                  </w:tcBorders>
                  <w:vAlign w:val="center"/>
                </w:tcPr>
                <w:p w14:paraId="0E8CABF3">
                  <w:pPr>
                    <w:widowControl/>
                    <w:spacing w:line="240" w:lineRule="atLeast"/>
                    <w:jc w:val="center"/>
                    <w:rPr>
                      <w:rFonts w:hint="default" w:ascii="Times New Roman" w:hAnsi="Times New Roman" w:eastAsia="仿宋" w:cs="Times New Roman"/>
                      <w:color w:val="auto"/>
                      <w:sz w:val="21"/>
                      <w:szCs w:val="21"/>
                    </w:rPr>
                  </w:pPr>
                </w:p>
              </w:tc>
              <w:tc>
                <w:tcPr>
                  <w:tcW w:w="1961" w:type="pct"/>
                  <w:tcBorders>
                    <w:right w:val="single" w:color="auto" w:sz="4" w:space="0"/>
                  </w:tcBorders>
                  <w:vAlign w:val="center"/>
                </w:tcPr>
                <w:p w14:paraId="5C8FA005">
                  <w:pPr>
                    <w:widowControl/>
                    <w:spacing w:line="240" w:lineRule="atLeast"/>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物理测试</w:t>
                  </w:r>
                </w:p>
              </w:tc>
              <w:tc>
                <w:tcPr>
                  <w:tcW w:w="733" w:type="pct"/>
                  <w:vAlign w:val="center"/>
                </w:tcPr>
                <w:p w14:paraId="7172D808">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3000次/a</w:t>
                  </w:r>
                </w:p>
              </w:tc>
              <w:tc>
                <w:tcPr>
                  <w:tcW w:w="566" w:type="pct"/>
                  <w:vMerge w:val="continue"/>
                  <w:vAlign w:val="center"/>
                </w:tcPr>
                <w:p w14:paraId="0B1477F2">
                  <w:pPr>
                    <w:widowControl/>
                    <w:spacing w:line="240" w:lineRule="atLeast"/>
                    <w:jc w:val="center"/>
                    <w:rPr>
                      <w:rFonts w:hint="default" w:ascii="Times New Roman" w:hAnsi="Times New Roman" w:eastAsia="仿宋" w:cs="Times New Roman"/>
                      <w:color w:val="auto"/>
                      <w:sz w:val="21"/>
                      <w:szCs w:val="21"/>
                    </w:rPr>
                  </w:pPr>
                </w:p>
              </w:tc>
            </w:tr>
            <w:tr w14:paraId="23F2C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1046" w:type="pct"/>
                  <w:vMerge w:val="continue"/>
                  <w:vAlign w:val="center"/>
                </w:tcPr>
                <w:p w14:paraId="7A162A98">
                  <w:pPr>
                    <w:widowControl/>
                    <w:spacing w:line="240" w:lineRule="atLeast"/>
                    <w:jc w:val="center"/>
                    <w:rPr>
                      <w:rFonts w:hint="default" w:ascii="Times New Roman" w:hAnsi="Times New Roman" w:eastAsia="仿宋" w:cs="Times New Roman"/>
                      <w:color w:val="auto"/>
                      <w:sz w:val="21"/>
                      <w:szCs w:val="21"/>
                    </w:rPr>
                  </w:pPr>
                </w:p>
              </w:tc>
              <w:tc>
                <w:tcPr>
                  <w:tcW w:w="3387" w:type="pct"/>
                  <w:gridSpan w:val="3"/>
                  <w:vAlign w:val="center"/>
                </w:tcPr>
                <w:p w14:paraId="7FA4D4BF">
                  <w:pPr>
                    <w:widowControl/>
                    <w:spacing w:line="240" w:lineRule="atLeas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为生产设备提供维修保养</w:t>
                  </w:r>
                </w:p>
              </w:tc>
              <w:tc>
                <w:tcPr>
                  <w:tcW w:w="566" w:type="pct"/>
                  <w:vMerge w:val="continue"/>
                  <w:vAlign w:val="center"/>
                </w:tcPr>
                <w:p w14:paraId="274ADDFA">
                  <w:pPr>
                    <w:widowControl/>
                    <w:spacing w:line="240" w:lineRule="atLeast"/>
                    <w:jc w:val="center"/>
                    <w:rPr>
                      <w:rFonts w:hint="default" w:ascii="Times New Roman" w:hAnsi="Times New Roman" w:eastAsia="仿宋" w:cs="Times New Roman"/>
                      <w:color w:val="auto"/>
                      <w:sz w:val="21"/>
                      <w:szCs w:val="21"/>
                    </w:rPr>
                  </w:pPr>
                </w:p>
              </w:tc>
            </w:tr>
          </w:tbl>
          <w:p w14:paraId="2F9B7CB9">
            <w:pPr>
              <w:adjustRightInd w:val="0"/>
              <w:snapToGrid w:val="0"/>
              <w:spacing w:line="360" w:lineRule="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注*：指</w:t>
            </w:r>
            <w:r>
              <w:rPr>
                <w:rFonts w:hint="default" w:ascii="Times New Roman" w:hAnsi="Times New Roman" w:eastAsia="仿宋" w:cs="Times New Roman"/>
                <w:color w:val="auto"/>
                <w:sz w:val="21"/>
                <w:szCs w:val="21"/>
                <w:lang w:val="en-US" w:eastAsia="zh-CN"/>
              </w:rPr>
              <w:t>实验室</w:t>
            </w:r>
            <w:r>
              <w:rPr>
                <w:rFonts w:hint="default" w:ascii="Times New Roman" w:hAnsi="Times New Roman" w:eastAsia="仿宋" w:cs="Times New Roman"/>
                <w:color w:val="auto"/>
                <w:sz w:val="21"/>
                <w:szCs w:val="21"/>
              </w:rPr>
              <w:t>检测总用时，具体作业时间以“建设项目工程分析”为准</w:t>
            </w:r>
            <w:r>
              <w:rPr>
                <w:rFonts w:hint="default" w:ascii="Times New Roman" w:hAnsi="Times New Roman" w:eastAsia="仿宋" w:cs="Times New Roman"/>
                <w:color w:val="auto"/>
                <w:sz w:val="21"/>
                <w:szCs w:val="21"/>
                <w:lang w:eastAsia="zh-CN"/>
              </w:rPr>
              <w:t>。</w:t>
            </w:r>
          </w:p>
          <w:p w14:paraId="09947EB4">
            <w:pPr>
              <w:numPr>
                <w:ilvl w:val="0"/>
                <w:numId w:val="7"/>
              </w:num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原辅材料</w:t>
            </w:r>
          </w:p>
          <w:p w14:paraId="33971E63">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（1）主要原辅材料及能源消耗</w:t>
            </w:r>
          </w:p>
          <w:p w14:paraId="62F3E41D">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本项目原辅材料见</w:t>
            </w:r>
            <w:r>
              <w:rPr>
                <w:rFonts w:hint="default" w:ascii="Times New Roman" w:hAnsi="Times New Roman" w:eastAsia="仿宋" w:cs="Times New Roman"/>
                <w:color w:val="auto"/>
                <w:sz w:val="24"/>
                <w:lang w:val="en-US" w:eastAsia="zh-CN"/>
              </w:rPr>
              <w:t>下表</w:t>
            </w:r>
            <w:r>
              <w:rPr>
                <w:rFonts w:hint="default" w:ascii="Times New Roman" w:hAnsi="Times New Roman" w:eastAsia="仿宋" w:cs="Times New Roman"/>
                <w:color w:val="auto"/>
                <w:sz w:val="24"/>
              </w:rPr>
              <w:t>。</w:t>
            </w:r>
          </w:p>
          <w:p w14:paraId="3546AC73">
            <w:pPr>
              <w:adjustRightInd w:val="0"/>
              <w:snapToGrid w:val="0"/>
              <w:ind w:firstLine="482" w:firstLineChars="200"/>
              <w:jc w:val="center"/>
              <w:rPr>
                <w:rFonts w:hint="default" w:ascii="Times New Roman" w:hAnsi="Times New Roman" w:eastAsia="仿宋" w:cs="Times New Roman"/>
                <w:b/>
                <w:bCs/>
                <w:color w:val="auto"/>
                <w:sz w:val="24"/>
              </w:rPr>
            </w:pPr>
          </w:p>
          <w:p w14:paraId="687F99B5">
            <w:pPr>
              <w:adjustRightInd w:val="0"/>
              <w:snapToGrid w:val="0"/>
              <w:ind w:firstLine="482" w:firstLineChars="200"/>
              <w:jc w:val="center"/>
              <w:rPr>
                <w:rFonts w:hint="default" w:ascii="Times New Roman" w:hAnsi="Times New Roman" w:eastAsia="仿宋" w:cs="Times New Roman"/>
                <w:b/>
                <w:bCs/>
                <w:color w:val="auto"/>
                <w:sz w:val="24"/>
              </w:rPr>
            </w:pPr>
          </w:p>
          <w:p w14:paraId="471BDF9B">
            <w:pPr>
              <w:pStyle w:val="25"/>
              <w:ind w:left="0" w:leftChars="0" w:firstLine="0" w:firstLineChars="0"/>
              <w:rPr>
                <w:rFonts w:hint="default" w:ascii="Times New Roman" w:hAnsi="Times New Roman" w:eastAsia="仿宋" w:cs="Times New Roman"/>
                <w:b/>
                <w:bCs/>
                <w:color w:val="auto"/>
                <w:sz w:val="10"/>
                <w:szCs w:val="10"/>
              </w:rPr>
            </w:pPr>
          </w:p>
        </w:tc>
      </w:tr>
    </w:tbl>
    <w:p w14:paraId="63445DB1">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3098"/>
      </w:tblGrid>
      <w:tr w14:paraId="40D2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 w:type="pct"/>
            <w:vAlign w:val="center"/>
          </w:tcPr>
          <w:p w14:paraId="6E44E013">
            <w:pPr>
              <w:spacing w:line="360" w:lineRule="auto"/>
              <w:rPr>
                <w:rFonts w:hint="default" w:ascii="Times New Roman" w:hAnsi="Times New Roman" w:eastAsia="仿宋" w:cs="Times New Roman"/>
                <w:snapToGrid w:val="0"/>
                <w:color w:val="auto"/>
                <w:sz w:val="24"/>
              </w:rPr>
            </w:pPr>
            <w:r>
              <w:rPr>
                <w:rFonts w:hint="default" w:ascii="Times New Roman" w:hAnsi="Times New Roman" w:eastAsia="仿宋" w:cs="Times New Roman"/>
                <w:color w:val="auto"/>
                <w:sz w:val="24"/>
              </w:rPr>
              <w:t>建设内容</w:t>
            </w:r>
          </w:p>
        </w:tc>
        <w:tc>
          <w:tcPr>
            <w:tcW w:w="4797" w:type="pct"/>
          </w:tcPr>
          <w:p w14:paraId="7154828B">
            <w:pPr>
              <w:adjustRightInd w:val="0"/>
              <w:snapToGrid w:val="0"/>
              <w:ind w:firstLine="482" w:firstLineChars="200"/>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本项目主要原辅材料消耗情况表</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76"/>
              <w:gridCol w:w="833"/>
              <w:gridCol w:w="1869"/>
              <w:gridCol w:w="3322"/>
              <w:gridCol w:w="1150"/>
              <w:gridCol w:w="1150"/>
              <w:gridCol w:w="1170"/>
              <w:gridCol w:w="1008"/>
              <w:gridCol w:w="724"/>
              <w:gridCol w:w="1075"/>
            </w:tblGrid>
            <w:tr w14:paraId="3610F8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0E1C6370">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323" w:type="pct"/>
                  <w:shd w:val="clear" w:color="auto" w:fill="auto"/>
                  <w:tcMar>
                    <w:left w:w="0" w:type="dxa"/>
                    <w:right w:w="0" w:type="dxa"/>
                  </w:tcMar>
                  <w:vAlign w:val="center"/>
                </w:tcPr>
                <w:p w14:paraId="4AC32CD6">
                  <w:pPr>
                    <w:snapToGrid w:val="0"/>
                    <w:jc w:val="center"/>
                    <w:rPr>
                      <w:rFonts w:hint="default" w:ascii="Times New Roman" w:hAnsi="Times New Roman" w:eastAsia="仿宋" w:cs="Times New Roman"/>
                      <w:b/>
                      <w:color w:val="auto"/>
                      <w:szCs w:val="21"/>
                      <w:lang w:val="en-US" w:eastAsia="zh-CN"/>
                    </w:rPr>
                  </w:pPr>
                  <w:r>
                    <w:rPr>
                      <w:rFonts w:hint="eastAsia" w:eastAsia="仿宋" w:cs="Times New Roman"/>
                      <w:b/>
                      <w:color w:val="auto"/>
                      <w:szCs w:val="21"/>
                      <w:lang w:val="en-US" w:eastAsia="zh-CN"/>
                    </w:rPr>
                    <w:t>类别</w:t>
                  </w:r>
                </w:p>
              </w:tc>
              <w:tc>
                <w:tcPr>
                  <w:tcW w:w="725" w:type="pct"/>
                  <w:shd w:val="clear" w:color="auto" w:fill="auto"/>
                  <w:tcMar>
                    <w:left w:w="0" w:type="dxa"/>
                    <w:right w:w="0" w:type="dxa"/>
                  </w:tcMar>
                  <w:vAlign w:val="center"/>
                </w:tcPr>
                <w:p w14:paraId="30F4670E">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名称</w:t>
                  </w:r>
                </w:p>
              </w:tc>
              <w:tc>
                <w:tcPr>
                  <w:tcW w:w="1289" w:type="pct"/>
                  <w:shd w:val="clear" w:color="auto" w:fill="auto"/>
                  <w:vAlign w:val="center"/>
                </w:tcPr>
                <w:p w14:paraId="5AAB2C9C">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规格/组分</w:t>
                  </w:r>
                </w:p>
              </w:tc>
              <w:tc>
                <w:tcPr>
                  <w:tcW w:w="446" w:type="pct"/>
                  <w:shd w:val="clear" w:color="auto" w:fill="auto"/>
                  <w:vAlign w:val="center"/>
                </w:tcPr>
                <w:p w14:paraId="5C17A800">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包装规格</w:t>
                  </w:r>
                </w:p>
              </w:tc>
              <w:tc>
                <w:tcPr>
                  <w:tcW w:w="446" w:type="pct"/>
                  <w:tcBorders>
                    <w:right w:val="single" w:color="auto" w:sz="4" w:space="0"/>
                  </w:tcBorders>
                  <w:shd w:val="clear" w:color="auto" w:fill="auto"/>
                  <w:vAlign w:val="center"/>
                </w:tcPr>
                <w:p w14:paraId="7203AF73">
                  <w:pPr>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单位</w:t>
                  </w:r>
                </w:p>
              </w:tc>
              <w:tc>
                <w:tcPr>
                  <w:tcW w:w="454" w:type="pct"/>
                  <w:tcBorders>
                    <w:right w:val="single" w:color="auto" w:sz="4" w:space="0"/>
                  </w:tcBorders>
                  <w:shd w:val="clear" w:color="auto" w:fill="auto"/>
                  <w:vAlign w:val="center"/>
                </w:tcPr>
                <w:p w14:paraId="18286A21">
                  <w:pPr>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年耗量</w:t>
                  </w:r>
                </w:p>
              </w:tc>
              <w:tc>
                <w:tcPr>
                  <w:tcW w:w="391" w:type="pct"/>
                  <w:tcBorders>
                    <w:left w:val="single" w:color="auto" w:sz="4" w:space="0"/>
                  </w:tcBorders>
                  <w:shd w:val="clear" w:color="auto" w:fill="auto"/>
                  <w:vAlign w:val="center"/>
                </w:tcPr>
                <w:p w14:paraId="7001A976">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最大</w:t>
                  </w:r>
                </w:p>
                <w:p w14:paraId="20FA5B1F">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存储量</w:t>
                  </w:r>
                </w:p>
              </w:tc>
              <w:tc>
                <w:tcPr>
                  <w:tcW w:w="281" w:type="pct"/>
                  <w:shd w:val="clear" w:color="auto" w:fill="auto"/>
                  <w:vAlign w:val="center"/>
                </w:tcPr>
                <w:p w14:paraId="022D1F04">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储存</w:t>
                  </w:r>
                </w:p>
                <w:p w14:paraId="1C6A799A">
                  <w:pPr>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位置</w:t>
                  </w:r>
                </w:p>
              </w:tc>
              <w:tc>
                <w:tcPr>
                  <w:tcW w:w="417" w:type="pct"/>
                  <w:shd w:val="clear" w:color="auto" w:fill="auto"/>
                  <w:vAlign w:val="center"/>
                </w:tcPr>
                <w:p w14:paraId="29708B7D">
                  <w:pPr>
                    <w:snapToGrid w:val="0"/>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备注</w:t>
                  </w:r>
                </w:p>
              </w:tc>
            </w:tr>
            <w:tr w14:paraId="0D0A8A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9" w:hRule="atLeast"/>
                <w:jc w:val="center"/>
              </w:trPr>
              <w:tc>
                <w:tcPr>
                  <w:tcW w:w="224" w:type="pct"/>
                  <w:shd w:val="clear" w:color="auto" w:fill="auto"/>
                  <w:vAlign w:val="center"/>
                </w:tcPr>
                <w:p w14:paraId="317A489D">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323" w:type="pct"/>
                  <w:vMerge w:val="restart"/>
                  <w:shd w:val="clear" w:color="auto" w:fill="auto"/>
                  <w:tcMar>
                    <w:left w:w="0" w:type="dxa"/>
                    <w:right w:w="0" w:type="dxa"/>
                  </w:tcMar>
                  <w:vAlign w:val="center"/>
                </w:tcPr>
                <w:p w14:paraId="71F9B09B">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 w:val="21"/>
                      <w:szCs w:val="21"/>
                      <w:lang w:val="en-US" w:eastAsia="zh-CN"/>
                    </w:rPr>
                    <w:t>生产配套化学检测</w:t>
                  </w:r>
                </w:p>
              </w:tc>
              <w:tc>
                <w:tcPr>
                  <w:tcW w:w="725" w:type="pct"/>
                  <w:shd w:val="clear" w:color="auto" w:fill="auto"/>
                  <w:tcMar>
                    <w:left w:w="0" w:type="dxa"/>
                    <w:right w:w="0" w:type="dxa"/>
                  </w:tcMar>
                  <w:vAlign w:val="center"/>
                </w:tcPr>
                <w:p w14:paraId="00B4D49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WBC457清洗剂</w:t>
                  </w:r>
                </w:p>
              </w:tc>
              <w:tc>
                <w:tcPr>
                  <w:tcW w:w="1289" w:type="pct"/>
                  <w:shd w:val="clear" w:color="auto" w:fill="auto"/>
                  <w:vAlign w:val="center"/>
                </w:tcPr>
                <w:p w14:paraId="4778141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氨基三亚甲基膦酸1%～10%、氢氧化钾0.5%～1%、剩余水</w:t>
                  </w:r>
                </w:p>
              </w:tc>
              <w:tc>
                <w:tcPr>
                  <w:tcW w:w="446" w:type="pct"/>
                  <w:shd w:val="clear" w:color="auto" w:fill="auto"/>
                  <w:vAlign w:val="center"/>
                </w:tcPr>
                <w:p w14:paraId="12A6CF77">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446" w:type="pct"/>
                  <w:tcBorders>
                    <w:right w:val="single" w:color="auto" w:sz="4" w:space="0"/>
                  </w:tcBorders>
                  <w:shd w:val="clear" w:color="auto" w:fill="auto"/>
                  <w:vAlign w:val="center"/>
                </w:tcPr>
                <w:p w14:paraId="3FFF2A2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1BE6A37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67.5</w:t>
                  </w:r>
                </w:p>
              </w:tc>
              <w:tc>
                <w:tcPr>
                  <w:tcW w:w="391" w:type="pct"/>
                  <w:tcBorders>
                    <w:left w:val="single" w:color="auto" w:sz="4" w:space="0"/>
                  </w:tcBorders>
                  <w:shd w:val="clear" w:color="auto" w:fill="auto"/>
                  <w:vAlign w:val="center"/>
                </w:tcPr>
                <w:p w14:paraId="2BBBDEE3">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281" w:type="pct"/>
                  <w:vMerge w:val="restart"/>
                  <w:shd w:val="clear" w:color="auto" w:fill="auto"/>
                  <w:vAlign w:val="center"/>
                </w:tcPr>
                <w:p w14:paraId="1D8A3A99">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来自现有项目清洗设备，不在本项目实验室及维修间暂存</w:t>
                  </w:r>
                </w:p>
              </w:tc>
              <w:tc>
                <w:tcPr>
                  <w:tcW w:w="417" w:type="pct"/>
                  <w:vMerge w:val="restart"/>
                  <w:shd w:val="clear" w:color="auto" w:fill="auto"/>
                  <w:vAlign w:val="center"/>
                </w:tcPr>
                <w:p w14:paraId="44CE91F5">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检测对象（现有项目生产使用的清洗剂）</w:t>
                  </w:r>
                </w:p>
              </w:tc>
            </w:tr>
            <w:tr w14:paraId="68AE6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46" w:hRule="atLeast"/>
                <w:jc w:val="center"/>
              </w:trPr>
              <w:tc>
                <w:tcPr>
                  <w:tcW w:w="224" w:type="pct"/>
                  <w:shd w:val="clear" w:color="auto" w:fill="auto"/>
                  <w:vAlign w:val="center"/>
                </w:tcPr>
                <w:p w14:paraId="6469DF1D">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p>
              </w:tc>
              <w:tc>
                <w:tcPr>
                  <w:tcW w:w="323" w:type="pct"/>
                  <w:vMerge w:val="continue"/>
                  <w:shd w:val="clear" w:color="auto" w:fill="auto"/>
                  <w:tcMar>
                    <w:left w:w="0" w:type="dxa"/>
                    <w:right w:w="0" w:type="dxa"/>
                  </w:tcMar>
                  <w:vAlign w:val="center"/>
                </w:tcPr>
                <w:p w14:paraId="2CC4EFF2">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4699570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WBC151清洗剂</w:t>
                  </w:r>
                </w:p>
              </w:tc>
              <w:tc>
                <w:tcPr>
                  <w:tcW w:w="1289" w:type="pct"/>
                  <w:shd w:val="clear" w:color="auto" w:fill="auto"/>
                  <w:vAlign w:val="center"/>
                </w:tcPr>
                <w:p w14:paraId="42A800C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柠檬酸＜50%、剩余水</w:t>
                  </w:r>
                </w:p>
              </w:tc>
              <w:tc>
                <w:tcPr>
                  <w:tcW w:w="446" w:type="pct"/>
                  <w:shd w:val="clear" w:color="auto" w:fill="auto"/>
                  <w:vAlign w:val="center"/>
                </w:tcPr>
                <w:p w14:paraId="79EA747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446" w:type="pct"/>
                  <w:tcBorders>
                    <w:right w:val="single" w:color="auto" w:sz="4" w:space="0"/>
                  </w:tcBorders>
                  <w:shd w:val="clear" w:color="auto" w:fill="auto"/>
                  <w:vAlign w:val="center"/>
                </w:tcPr>
                <w:p w14:paraId="4A160B5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7FD3C09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67.5</w:t>
                  </w:r>
                </w:p>
              </w:tc>
              <w:tc>
                <w:tcPr>
                  <w:tcW w:w="391" w:type="pct"/>
                  <w:tcBorders>
                    <w:left w:val="single" w:color="auto" w:sz="4" w:space="0"/>
                  </w:tcBorders>
                  <w:shd w:val="clear" w:color="auto" w:fill="auto"/>
                  <w:vAlign w:val="center"/>
                </w:tcPr>
                <w:p w14:paraId="42F60004">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281" w:type="pct"/>
                  <w:vMerge w:val="continue"/>
                  <w:shd w:val="clear" w:color="auto" w:fill="auto"/>
                  <w:vAlign w:val="center"/>
                </w:tcPr>
                <w:p w14:paraId="7507434E">
                  <w:pPr>
                    <w:snapToGrid w:val="0"/>
                    <w:jc w:val="center"/>
                    <w:rPr>
                      <w:rFonts w:hint="default" w:ascii="Times New Roman" w:hAnsi="Times New Roman" w:eastAsia="仿宋" w:cs="Times New Roman"/>
                      <w:color w:val="auto"/>
                      <w:szCs w:val="21"/>
                      <w:lang w:val="en-US" w:eastAsia="zh-CN"/>
                    </w:rPr>
                  </w:pPr>
                </w:p>
              </w:tc>
              <w:tc>
                <w:tcPr>
                  <w:tcW w:w="417" w:type="pct"/>
                  <w:vMerge w:val="continue"/>
                  <w:shd w:val="clear" w:color="auto" w:fill="auto"/>
                  <w:vAlign w:val="center"/>
                </w:tcPr>
                <w:p w14:paraId="7AE32C02">
                  <w:pPr>
                    <w:snapToGrid w:val="0"/>
                    <w:jc w:val="center"/>
                    <w:rPr>
                      <w:rFonts w:hint="default" w:ascii="Times New Roman" w:hAnsi="Times New Roman" w:eastAsia="仿宋" w:cs="Times New Roman"/>
                      <w:color w:val="auto"/>
                      <w:szCs w:val="21"/>
                      <w:lang w:val="en-US" w:eastAsia="zh-CN"/>
                    </w:rPr>
                  </w:pPr>
                </w:p>
              </w:tc>
            </w:tr>
            <w:tr w14:paraId="4DDD96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46" w:hRule="atLeast"/>
                <w:jc w:val="center"/>
              </w:trPr>
              <w:tc>
                <w:tcPr>
                  <w:tcW w:w="224" w:type="pct"/>
                  <w:shd w:val="clear" w:color="auto" w:fill="auto"/>
                  <w:vAlign w:val="center"/>
                </w:tcPr>
                <w:p w14:paraId="7FDEE8E8">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3</w:t>
                  </w:r>
                </w:p>
              </w:tc>
              <w:tc>
                <w:tcPr>
                  <w:tcW w:w="323" w:type="pct"/>
                  <w:vMerge w:val="continue"/>
                  <w:shd w:val="clear" w:color="auto" w:fill="auto"/>
                  <w:tcMar>
                    <w:left w:w="0" w:type="dxa"/>
                    <w:right w:w="0" w:type="dxa"/>
                  </w:tcMar>
                  <w:vAlign w:val="center"/>
                </w:tcPr>
                <w:p w14:paraId="27BA54EA">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5D3E887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SurTec472F清洗剂</w:t>
                  </w:r>
                </w:p>
              </w:tc>
              <w:tc>
                <w:tcPr>
                  <w:tcW w:w="1289" w:type="pct"/>
                  <w:shd w:val="clear" w:color="auto" w:fill="auto"/>
                  <w:vAlign w:val="center"/>
                </w:tcPr>
                <w:p w14:paraId="10005BA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磷酸10%～25%、硫酸10%～20%、二乙二醇单丁基醚3%～7%、烷氧基化脂肪醇1%～3%、羟基亚乙基二膦酸1%～3%，剩余水</w:t>
                  </w:r>
                </w:p>
              </w:tc>
              <w:tc>
                <w:tcPr>
                  <w:tcW w:w="446" w:type="pct"/>
                  <w:shd w:val="clear" w:color="auto" w:fill="auto"/>
                  <w:vAlign w:val="center"/>
                </w:tcPr>
                <w:p w14:paraId="3B2CC419">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446" w:type="pct"/>
                  <w:tcBorders>
                    <w:right w:val="single" w:color="auto" w:sz="4" w:space="0"/>
                  </w:tcBorders>
                  <w:shd w:val="clear" w:color="auto" w:fill="auto"/>
                  <w:vAlign w:val="center"/>
                </w:tcPr>
                <w:p w14:paraId="5F7DF2B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1D79089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67.5</w:t>
                  </w:r>
                </w:p>
              </w:tc>
              <w:tc>
                <w:tcPr>
                  <w:tcW w:w="391" w:type="pct"/>
                  <w:tcBorders>
                    <w:left w:val="single" w:color="auto" w:sz="4" w:space="0"/>
                  </w:tcBorders>
                  <w:shd w:val="clear" w:color="auto" w:fill="auto"/>
                  <w:vAlign w:val="center"/>
                </w:tcPr>
                <w:p w14:paraId="62CB4A7A">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281" w:type="pct"/>
                  <w:vMerge w:val="continue"/>
                  <w:shd w:val="clear" w:color="auto" w:fill="auto"/>
                  <w:vAlign w:val="center"/>
                </w:tcPr>
                <w:p w14:paraId="547130D8">
                  <w:pPr>
                    <w:snapToGrid w:val="0"/>
                    <w:jc w:val="center"/>
                    <w:rPr>
                      <w:rFonts w:hint="default" w:ascii="Times New Roman" w:hAnsi="Times New Roman" w:eastAsia="仿宋" w:cs="Times New Roman"/>
                      <w:color w:val="auto"/>
                      <w:szCs w:val="21"/>
                      <w:lang w:val="en-US" w:eastAsia="zh-CN"/>
                    </w:rPr>
                  </w:pPr>
                </w:p>
              </w:tc>
              <w:tc>
                <w:tcPr>
                  <w:tcW w:w="417" w:type="pct"/>
                  <w:vMerge w:val="continue"/>
                  <w:shd w:val="clear" w:color="auto" w:fill="auto"/>
                  <w:vAlign w:val="center"/>
                </w:tcPr>
                <w:p w14:paraId="7D445BD5">
                  <w:pPr>
                    <w:snapToGrid w:val="0"/>
                    <w:jc w:val="center"/>
                    <w:rPr>
                      <w:rFonts w:hint="default" w:ascii="Times New Roman" w:hAnsi="Times New Roman" w:eastAsia="仿宋" w:cs="Times New Roman"/>
                      <w:color w:val="auto"/>
                      <w:szCs w:val="21"/>
                      <w:lang w:val="en-US" w:eastAsia="zh-CN"/>
                    </w:rPr>
                  </w:pPr>
                </w:p>
              </w:tc>
            </w:tr>
            <w:tr w14:paraId="77F594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46" w:hRule="atLeast"/>
                <w:jc w:val="center"/>
              </w:trPr>
              <w:tc>
                <w:tcPr>
                  <w:tcW w:w="224" w:type="pct"/>
                  <w:shd w:val="clear" w:color="auto" w:fill="auto"/>
                  <w:vAlign w:val="center"/>
                </w:tcPr>
                <w:p w14:paraId="727FE597">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4</w:t>
                  </w:r>
                </w:p>
              </w:tc>
              <w:tc>
                <w:tcPr>
                  <w:tcW w:w="323" w:type="pct"/>
                  <w:vMerge w:val="continue"/>
                  <w:shd w:val="clear" w:color="auto" w:fill="auto"/>
                  <w:tcMar>
                    <w:left w:w="0" w:type="dxa"/>
                    <w:right w:w="0" w:type="dxa"/>
                  </w:tcMar>
                  <w:vAlign w:val="center"/>
                </w:tcPr>
                <w:p w14:paraId="3DFE8A56">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39B8697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SurTec025清洗剂</w:t>
                  </w:r>
                </w:p>
              </w:tc>
              <w:tc>
                <w:tcPr>
                  <w:tcW w:w="1289" w:type="pct"/>
                  <w:shd w:val="clear" w:color="auto" w:fill="auto"/>
                  <w:vAlign w:val="center"/>
                </w:tcPr>
                <w:p w14:paraId="2AF4CAD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柠檬酸25%～50%、剩余水</w:t>
                  </w:r>
                </w:p>
              </w:tc>
              <w:tc>
                <w:tcPr>
                  <w:tcW w:w="446" w:type="pct"/>
                  <w:shd w:val="clear" w:color="auto" w:fill="auto"/>
                  <w:vAlign w:val="center"/>
                </w:tcPr>
                <w:p w14:paraId="5BECC3E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446" w:type="pct"/>
                  <w:tcBorders>
                    <w:right w:val="single" w:color="auto" w:sz="4" w:space="0"/>
                  </w:tcBorders>
                  <w:shd w:val="clear" w:color="auto" w:fill="auto"/>
                  <w:vAlign w:val="center"/>
                </w:tcPr>
                <w:p w14:paraId="696D988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73882A9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67.5</w:t>
                  </w:r>
                </w:p>
              </w:tc>
              <w:tc>
                <w:tcPr>
                  <w:tcW w:w="391" w:type="pct"/>
                  <w:tcBorders>
                    <w:left w:val="single" w:color="auto" w:sz="4" w:space="0"/>
                  </w:tcBorders>
                  <w:shd w:val="clear" w:color="auto" w:fill="auto"/>
                  <w:vAlign w:val="center"/>
                </w:tcPr>
                <w:p w14:paraId="61850A7C">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281" w:type="pct"/>
                  <w:vMerge w:val="continue"/>
                  <w:shd w:val="clear" w:color="auto" w:fill="auto"/>
                  <w:vAlign w:val="center"/>
                </w:tcPr>
                <w:p w14:paraId="1717A7E2">
                  <w:pPr>
                    <w:snapToGrid w:val="0"/>
                    <w:jc w:val="center"/>
                    <w:rPr>
                      <w:rFonts w:hint="default" w:ascii="Times New Roman" w:hAnsi="Times New Roman" w:eastAsia="仿宋" w:cs="Times New Roman"/>
                      <w:color w:val="auto"/>
                      <w:szCs w:val="21"/>
                      <w:lang w:val="en-US" w:eastAsia="zh-CN"/>
                    </w:rPr>
                  </w:pPr>
                </w:p>
              </w:tc>
              <w:tc>
                <w:tcPr>
                  <w:tcW w:w="417" w:type="pct"/>
                  <w:vMerge w:val="continue"/>
                  <w:shd w:val="clear" w:color="auto" w:fill="auto"/>
                  <w:vAlign w:val="center"/>
                </w:tcPr>
                <w:p w14:paraId="5F03F44E">
                  <w:pPr>
                    <w:snapToGrid w:val="0"/>
                    <w:jc w:val="center"/>
                    <w:rPr>
                      <w:rFonts w:hint="default" w:ascii="Times New Roman" w:hAnsi="Times New Roman" w:eastAsia="仿宋" w:cs="Times New Roman"/>
                      <w:color w:val="auto"/>
                      <w:szCs w:val="21"/>
                      <w:lang w:val="en-US" w:eastAsia="zh-CN"/>
                    </w:rPr>
                  </w:pPr>
                </w:p>
              </w:tc>
            </w:tr>
            <w:tr w14:paraId="2185F8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46" w:hRule="atLeast"/>
                <w:jc w:val="center"/>
              </w:trPr>
              <w:tc>
                <w:tcPr>
                  <w:tcW w:w="224" w:type="pct"/>
                  <w:shd w:val="clear" w:color="auto" w:fill="auto"/>
                  <w:vAlign w:val="center"/>
                </w:tcPr>
                <w:p w14:paraId="791C88A6">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5</w:t>
                  </w:r>
                </w:p>
              </w:tc>
              <w:tc>
                <w:tcPr>
                  <w:tcW w:w="323" w:type="pct"/>
                  <w:vMerge w:val="continue"/>
                  <w:shd w:val="clear" w:color="auto" w:fill="auto"/>
                  <w:tcMar>
                    <w:left w:w="0" w:type="dxa"/>
                    <w:right w:w="0" w:type="dxa"/>
                  </w:tcMar>
                  <w:vAlign w:val="center"/>
                </w:tcPr>
                <w:p w14:paraId="654CF63A">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1EE2752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盐酸</w:t>
                  </w:r>
                </w:p>
              </w:tc>
              <w:tc>
                <w:tcPr>
                  <w:tcW w:w="1289" w:type="pct"/>
                  <w:shd w:val="clear" w:color="auto" w:fill="auto"/>
                  <w:vAlign w:val="center"/>
                </w:tcPr>
                <w:p w14:paraId="18AD3FF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0.1mol/L</w:t>
                  </w:r>
                </w:p>
              </w:tc>
              <w:tc>
                <w:tcPr>
                  <w:tcW w:w="446" w:type="pct"/>
                  <w:shd w:val="clear" w:color="auto" w:fill="auto"/>
                  <w:vAlign w:val="center"/>
                </w:tcPr>
                <w:p w14:paraId="510E8F0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550AD5D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1D570D7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w:t>
                  </w:r>
                </w:p>
              </w:tc>
              <w:tc>
                <w:tcPr>
                  <w:tcW w:w="391" w:type="pct"/>
                  <w:tcBorders>
                    <w:left w:val="single" w:color="auto" w:sz="4" w:space="0"/>
                  </w:tcBorders>
                  <w:shd w:val="clear" w:color="auto" w:fill="auto"/>
                  <w:vAlign w:val="center"/>
                </w:tcPr>
                <w:p w14:paraId="4A8AE874">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4L</w:t>
                  </w:r>
                </w:p>
              </w:tc>
              <w:tc>
                <w:tcPr>
                  <w:tcW w:w="281" w:type="pct"/>
                  <w:vMerge w:val="restart"/>
                  <w:shd w:val="clear" w:color="auto" w:fill="auto"/>
                  <w:vAlign w:val="center"/>
                </w:tcPr>
                <w:p w14:paraId="5C75BF9C">
                  <w:pPr>
                    <w:snapToGrid w:val="0"/>
                    <w:jc w:val="center"/>
                    <w:rPr>
                      <w:rFonts w:hint="default" w:ascii="Times New Roman" w:hAnsi="Times New Roman" w:eastAsia="仿宋" w:cs="Times New Roman"/>
                      <w:color w:val="auto"/>
                      <w:szCs w:val="21"/>
                    </w:rPr>
                  </w:pP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实验室防爆柜</w:t>
                  </w:r>
                </w:p>
              </w:tc>
              <w:tc>
                <w:tcPr>
                  <w:tcW w:w="417" w:type="pct"/>
                  <w:vMerge w:val="restart"/>
                  <w:shd w:val="clear" w:color="auto" w:fill="auto"/>
                  <w:vAlign w:val="center"/>
                </w:tcPr>
                <w:p w14:paraId="68F24757">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检测药剂</w:t>
                  </w:r>
                </w:p>
              </w:tc>
            </w:tr>
            <w:tr w14:paraId="5064F2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0FE348EA">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6</w:t>
                  </w:r>
                </w:p>
              </w:tc>
              <w:tc>
                <w:tcPr>
                  <w:tcW w:w="323" w:type="pct"/>
                  <w:vMerge w:val="continue"/>
                  <w:shd w:val="clear" w:color="auto" w:fill="auto"/>
                  <w:tcMar>
                    <w:left w:w="0" w:type="dxa"/>
                    <w:right w:w="0" w:type="dxa"/>
                  </w:tcMar>
                  <w:vAlign w:val="center"/>
                </w:tcPr>
                <w:p w14:paraId="16798862">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1F1023C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盐酸</w:t>
                  </w:r>
                </w:p>
              </w:tc>
              <w:tc>
                <w:tcPr>
                  <w:tcW w:w="1289" w:type="pct"/>
                  <w:shd w:val="clear" w:color="auto" w:fill="auto"/>
                  <w:vAlign w:val="center"/>
                </w:tcPr>
                <w:p w14:paraId="46A5555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1.0mol/L</w:t>
                  </w:r>
                </w:p>
              </w:tc>
              <w:tc>
                <w:tcPr>
                  <w:tcW w:w="446" w:type="pct"/>
                  <w:shd w:val="clear" w:color="auto" w:fill="auto"/>
                  <w:vAlign w:val="center"/>
                </w:tcPr>
                <w:p w14:paraId="6B2C3F0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0E061DD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178028F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391" w:type="pct"/>
                  <w:tcBorders>
                    <w:left w:val="single" w:color="auto" w:sz="4" w:space="0"/>
                  </w:tcBorders>
                  <w:shd w:val="clear" w:color="auto" w:fill="auto"/>
                  <w:vAlign w:val="center"/>
                </w:tcPr>
                <w:p w14:paraId="4F9BB1A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4L</w:t>
                  </w:r>
                </w:p>
              </w:tc>
              <w:tc>
                <w:tcPr>
                  <w:tcW w:w="281" w:type="pct"/>
                  <w:vMerge w:val="continue"/>
                  <w:shd w:val="clear" w:color="auto" w:fill="auto"/>
                  <w:vAlign w:val="center"/>
                </w:tcPr>
                <w:p w14:paraId="75BD2B28">
                  <w:pPr>
                    <w:snapToGrid w:val="0"/>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16364F23">
                  <w:pPr>
                    <w:snapToGrid w:val="0"/>
                    <w:jc w:val="center"/>
                    <w:rPr>
                      <w:rFonts w:hint="default" w:ascii="Times New Roman" w:hAnsi="Times New Roman" w:eastAsia="仿宋" w:cs="Times New Roman"/>
                      <w:color w:val="auto"/>
                      <w:szCs w:val="21"/>
                    </w:rPr>
                  </w:pPr>
                </w:p>
              </w:tc>
            </w:tr>
            <w:tr w14:paraId="7AB7D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1581123A">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7</w:t>
                  </w:r>
                </w:p>
              </w:tc>
              <w:tc>
                <w:tcPr>
                  <w:tcW w:w="323" w:type="pct"/>
                  <w:vMerge w:val="continue"/>
                  <w:shd w:val="clear" w:color="auto" w:fill="auto"/>
                  <w:tcMar>
                    <w:left w:w="0" w:type="dxa"/>
                    <w:right w:w="0" w:type="dxa"/>
                  </w:tcMar>
                  <w:vAlign w:val="center"/>
                </w:tcPr>
                <w:p w14:paraId="540D8583">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0CF709E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氢氧化钠</w:t>
                  </w:r>
                </w:p>
              </w:tc>
              <w:tc>
                <w:tcPr>
                  <w:tcW w:w="1289" w:type="pct"/>
                  <w:shd w:val="clear" w:color="auto" w:fill="auto"/>
                  <w:vAlign w:val="center"/>
                </w:tcPr>
                <w:p w14:paraId="7AA64CF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0.1mol/L</w:t>
                  </w:r>
                </w:p>
              </w:tc>
              <w:tc>
                <w:tcPr>
                  <w:tcW w:w="446" w:type="pct"/>
                  <w:shd w:val="clear" w:color="auto" w:fill="auto"/>
                  <w:vAlign w:val="center"/>
                </w:tcPr>
                <w:p w14:paraId="5D042E8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476C0E0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78421FF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w:t>
                  </w:r>
                </w:p>
              </w:tc>
              <w:tc>
                <w:tcPr>
                  <w:tcW w:w="391" w:type="pct"/>
                  <w:tcBorders>
                    <w:left w:val="single" w:color="auto" w:sz="4" w:space="0"/>
                  </w:tcBorders>
                  <w:shd w:val="clear" w:color="auto" w:fill="auto"/>
                  <w:vAlign w:val="center"/>
                </w:tcPr>
                <w:p w14:paraId="3A66379B">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2L</w:t>
                  </w:r>
                </w:p>
              </w:tc>
              <w:tc>
                <w:tcPr>
                  <w:tcW w:w="281" w:type="pct"/>
                  <w:vMerge w:val="continue"/>
                  <w:shd w:val="clear" w:color="auto" w:fill="auto"/>
                  <w:vAlign w:val="center"/>
                </w:tcPr>
                <w:p w14:paraId="0AF65C6F">
                  <w:pPr>
                    <w:snapToGrid w:val="0"/>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29371A65">
                  <w:pPr>
                    <w:snapToGrid w:val="0"/>
                    <w:jc w:val="center"/>
                    <w:rPr>
                      <w:rFonts w:hint="default" w:ascii="Times New Roman" w:hAnsi="Times New Roman" w:eastAsia="仿宋" w:cs="Times New Roman"/>
                      <w:color w:val="auto"/>
                      <w:szCs w:val="21"/>
                    </w:rPr>
                  </w:pPr>
                </w:p>
              </w:tc>
            </w:tr>
            <w:tr w14:paraId="3A2C5E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19182094">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8</w:t>
                  </w:r>
                </w:p>
              </w:tc>
              <w:tc>
                <w:tcPr>
                  <w:tcW w:w="323" w:type="pct"/>
                  <w:vMerge w:val="continue"/>
                  <w:shd w:val="clear" w:color="auto" w:fill="auto"/>
                  <w:tcMar>
                    <w:left w:w="0" w:type="dxa"/>
                    <w:right w:w="0" w:type="dxa"/>
                  </w:tcMar>
                  <w:vAlign w:val="center"/>
                </w:tcPr>
                <w:p w14:paraId="7EC78ED7">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5E9761B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氢氧化钠</w:t>
                  </w:r>
                </w:p>
              </w:tc>
              <w:tc>
                <w:tcPr>
                  <w:tcW w:w="1289" w:type="pct"/>
                  <w:shd w:val="clear" w:color="auto" w:fill="auto"/>
                  <w:vAlign w:val="center"/>
                </w:tcPr>
                <w:p w14:paraId="0331E4E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0.33mol/L</w:t>
                  </w:r>
                </w:p>
              </w:tc>
              <w:tc>
                <w:tcPr>
                  <w:tcW w:w="446" w:type="pct"/>
                  <w:shd w:val="clear" w:color="auto" w:fill="auto"/>
                  <w:vAlign w:val="center"/>
                </w:tcPr>
                <w:p w14:paraId="1F398BE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5E2C04B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754D0FE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w:t>
                  </w:r>
                </w:p>
              </w:tc>
              <w:tc>
                <w:tcPr>
                  <w:tcW w:w="391" w:type="pct"/>
                  <w:tcBorders>
                    <w:left w:val="single" w:color="auto" w:sz="4" w:space="0"/>
                  </w:tcBorders>
                  <w:shd w:val="clear" w:color="auto" w:fill="auto"/>
                  <w:vAlign w:val="center"/>
                </w:tcPr>
                <w:p w14:paraId="6A5E3344">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2L</w:t>
                  </w:r>
                </w:p>
              </w:tc>
              <w:tc>
                <w:tcPr>
                  <w:tcW w:w="281" w:type="pct"/>
                  <w:vMerge w:val="continue"/>
                  <w:shd w:val="clear" w:color="auto" w:fill="auto"/>
                  <w:vAlign w:val="center"/>
                </w:tcPr>
                <w:p w14:paraId="31723539">
                  <w:pPr>
                    <w:snapToGrid w:val="0"/>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12F1037D">
                  <w:pPr>
                    <w:snapToGrid w:val="0"/>
                    <w:jc w:val="center"/>
                    <w:rPr>
                      <w:rFonts w:hint="default" w:ascii="Times New Roman" w:hAnsi="Times New Roman" w:eastAsia="仿宋" w:cs="Times New Roman"/>
                      <w:color w:val="auto"/>
                      <w:szCs w:val="21"/>
                    </w:rPr>
                  </w:pPr>
                </w:p>
              </w:tc>
            </w:tr>
            <w:tr w14:paraId="282F5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45D9FDDB">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9</w:t>
                  </w:r>
                </w:p>
              </w:tc>
              <w:tc>
                <w:tcPr>
                  <w:tcW w:w="323" w:type="pct"/>
                  <w:vMerge w:val="continue"/>
                  <w:shd w:val="clear" w:color="auto" w:fill="auto"/>
                  <w:tcMar>
                    <w:left w:w="0" w:type="dxa"/>
                    <w:right w:w="0" w:type="dxa"/>
                  </w:tcMar>
                  <w:vAlign w:val="center"/>
                </w:tcPr>
                <w:p w14:paraId="37F96D87">
                  <w:pPr>
                    <w:jc w:val="center"/>
                    <w:rPr>
                      <w:rFonts w:hint="default" w:ascii="Times New Roman" w:hAnsi="Times New Roman" w:eastAsia="仿宋" w:cs="Times New Roman"/>
                      <w:color w:val="auto"/>
                      <w:szCs w:val="21"/>
                      <w:highlight w:val="none"/>
                      <w:lang w:val="en-US" w:eastAsia="zh-CN"/>
                    </w:rPr>
                  </w:pPr>
                </w:p>
              </w:tc>
              <w:tc>
                <w:tcPr>
                  <w:tcW w:w="725" w:type="pct"/>
                  <w:shd w:val="clear" w:color="auto" w:fill="auto"/>
                  <w:tcMar>
                    <w:left w:w="0" w:type="dxa"/>
                    <w:right w:w="0" w:type="dxa"/>
                  </w:tcMar>
                  <w:vAlign w:val="center"/>
                </w:tcPr>
                <w:p w14:paraId="22B123E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highlight w:val="none"/>
                      <w:lang w:val="en-US" w:eastAsia="zh-CN"/>
                    </w:rPr>
                    <w:t>LCK329测铜试剂</w:t>
                  </w:r>
                </w:p>
              </w:tc>
              <w:tc>
                <w:tcPr>
                  <w:tcW w:w="1289" w:type="pct"/>
                  <w:shd w:val="clear" w:color="auto" w:fill="auto"/>
                  <w:vAlign w:val="center"/>
                </w:tcPr>
                <w:p w14:paraId="3FD0ADE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柠檬酸钠30-40%、抗坏血酸（维生素C）＜30%、柠檬酸＜5%、2,9-二甲基-4</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7-二苯基-1</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10-菲啰啉磺酸二钠盐＜1%</w:t>
                  </w:r>
                  <w:r>
                    <w:rPr>
                      <w:rFonts w:hint="default" w:ascii="Times New Roman" w:hAnsi="Times New Roman" w:eastAsia="仿宋" w:cs="Times New Roman"/>
                      <w:color w:val="auto"/>
                      <w:szCs w:val="21"/>
                      <w:lang w:eastAsia="zh-CN"/>
                    </w:rPr>
                    <w:t>，柠檬酸二钠</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30%</w:t>
                  </w:r>
                </w:p>
              </w:tc>
              <w:tc>
                <w:tcPr>
                  <w:tcW w:w="446" w:type="pct"/>
                  <w:shd w:val="clear" w:color="auto" w:fill="auto"/>
                  <w:vAlign w:val="center"/>
                </w:tcPr>
                <w:p w14:paraId="57E438B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2.5g/支</w:t>
                  </w:r>
                </w:p>
              </w:tc>
              <w:tc>
                <w:tcPr>
                  <w:tcW w:w="446" w:type="pct"/>
                  <w:tcBorders>
                    <w:right w:val="single" w:color="auto" w:sz="4" w:space="0"/>
                  </w:tcBorders>
                  <w:shd w:val="clear" w:color="auto" w:fill="auto"/>
                  <w:vAlign w:val="center"/>
                </w:tcPr>
                <w:p w14:paraId="3DA0F43D">
                  <w:pPr>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5BB32E3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lang w:val="en-US" w:eastAsia="zh-CN"/>
                    </w:rPr>
                    <w:t>2.5</w:t>
                  </w:r>
                </w:p>
              </w:tc>
              <w:tc>
                <w:tcPr>
                  <w:tcW w:w="391" w:type="pct"/>
                  <w:tcBorders>
                    <w:left w:val="single" w:color="auto" w:sz="4" w:space="0"/>
                  </w:tcBorders>
                  <w:shd w:val="clear" w:color="auto" w:fill="auto"/>
                  <w:vAlign w:val="center"/>
                </w:tcPr>
                <w:p w14:paraId="2000AB30">
                  <w:pPr>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2.5kg</w:t>
                  </w:r>
                </w:p>
              </w:tc>
              <w:tc>
                <w:tcPr>
                  <w:tcW w:w="281" w:type="pct"/>
                  <w:vMerge w:val="continue"/>
                  <w:shd w:val="clear" w:color="auto" w:fill="auto"/>
                  <w:vAlign w:val="center"/>
                </w:tcPr>
                <w:p w14:paraId="752FCCC3">
                  <w:pPr>
                    <w:snapToGrid w:val="0"/>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4961434C">
                  <w:pPr>
                    <w:snapToGrid w:val="0"/>
                    <w:jc w:val="center"/>
                    <w:rPr>
                      <w:rFonts w:hint="default" w:ascii="Times New Roman" w:hAnsi="Times New Roman" w:eastAsia="仿宋" w:cs="Times New Roman"/>
                      <w:color w:val="auto"/>
                      <w:szCs w:val="21"/>
                    </w:rPr>
                  </w:pPr>
                </w:p>
              </w:tc>
            </w:tr>
            <w:tr w14:paraId="77DC77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3E6C2F71">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0</w:t>
                  </w:r>
                </w:p>
              </w:tc>
              <w:tc>
                <w:tcPr>
                  <w:tcW w:w="323" w:type="pct"/>
                  <w:vMerge w:val="continue"/>
                  <w:shd w:val="clear" w:color="auto" w:fill="auto"/>
                  <w:tcMar>
                    <w:left w:w="0" w:type="dxa"/>
                    <w:right w:w="0" w:type="dxa"/>
                  </w:tcMar>
                  <w:vAlign w:val="center"/>
                </w:tcPr>
                <w:p w14:paraId="69821156">
                  <w:pPr>
                    <w:jc w:val="center"/>
                    <w:rPr>
                      <w:rFonts w:hint="default" w:ascii="Times New Roman" w:hAnsi="Times New Roman" w:eastAsia="仿宋" w:cs="Times New Roman"/>
                      <w:color w:val="auto"/>
                      <w:szCs w:val="21"/>
                      <w:highlight w:val="none"/>
                      <w:lang w:val="en-US" w:eastAsia="zh-CN"/>
                    </w:rPr>
                  </w:pPr>
                </w:p>
              </w:tc>
              <w:tc>
                <w:tcPr>
                  <w:tcW w:w="725" w:type="pct"/>
                  <w:shd w:val="clear" w:color="auto" w:fill="auto"/>
                  <w:tcMar>
                    <w:left w:w="0" w:type="dxa"/>
                    <w:right w:w="0" w:type="dxa"/>
                  </w:tcMar>
                  <w:vAlign w:val="center"/>
                </w:tcPr>
                <w:p w14:paraId="0D6944F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highlight w:val="none"/>
                      <w:lang w:val="en-US" w:eastAsia="zh-CN"/>
                    </w:rPr>
                    <w:t>LCK337测镍试剂</w:t>
                  </w:r>
                </w:p>
              </w:tc>
              <w:tc>
                <w:tcPr>
                  <w:tcW w:w="1289" w:type="pct"/>
                  <w:shd w:val="clear" w:color="auto" w:fill="auto"/>
                  <w:vAlign w:val="center"/>
                </w:tcPr>
                <w:p w14:paraId="0993113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过硫酸铵60-70%、柠檬酸30-40%</w:t>
                  </w:r>
                </w:p>
              </w:tc>
              <w:tc>
                <w:tcPr>
                  <w:tcW w:w="446" w:type="pct"/>
                  <w:shd w:val="clear" w:color="auto" w:fill="auto"/>
                  <w:vAlign w:val="center"/>
                </w:tcPr>
                <w:p w14:paraId="2994C97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2.5g/支</w:t>
                  </w:r>
                </w:p>
              </w:tc>
              <w:tc>
                <w:tcPr>
                  <w:tcW w:w="446" w:type="pct"/>
                  <w:tcBorders>
                    <w:right w:val="single" w:color="auto" w:sz="4" w:space="0"/>
                  </w:tcBorders>
                  <w:shd w:val="clear" w:color="auto" w:fill="auto"/>
                  <w:vAlign w:val="center"/>
                </w:tcPr>
                <w:p w14:paraId="5C1F41A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4D190E9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lang w:val="en-US" w:eastAsia="zh-CN"/>
                    </w:rPr>
                    <w:t>2.5</w:t>
                  </w:r>
                </w:p>
              </w:tc>
              <w:tc>
                <w:tcPr>
                  <w:tcW w:w="391" w:type="pct"/>
                  <w:tcBorders>
                    <w:left w:val="single" w:color="auto" w:sz="4" w:space="0"/>
                  </w:tcBorders>
                  <w:shd w:val="clear" w:color="auto" w:fill="auto"/>
                  <w:vAlign w:val="center"/>
                </w:tcPr>
                <w:p w14:paraId="28DD7626">
                  <w:pPr>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2.5kg</w:t>
                  </w:r>
                </w:p>
              </w:tc>
              <w:tc>
                <w:tcPr>
                  <w:tcW w:w="281" w:type="pct"/>
                  <w:vMerge w:val="continue"/>
                  <w:shd w:val="clear" w:color="auto" w:fill="auto"/>
                  <w:vAlign w:val="center"/>
                </w:tcPr>
                <w:p w14:paraId="2A622870">
                  <w:pPr>
                    <w:snapToGrid w:val="0"/>
                    <w:jc w:val="center"/>
                    <w:rPr>
                      <w:rFonts w:hint="default" w:ascii="Times New Roman" w:hAnsi="Times New Roman" w:eastAsia="仿宋" w:cs="Times New Roman"/>
                      <w:color w:val="auto"/>
                      <w:szCs w:val="21"/>
                    </w:rPr>
                  </w:pPr>
                </w:p>
              </w:tc>
              <w:tc>
                <w:tcPr>
                  <w:tcW w:w="417" w:type="pct"/>
                  <w:vMerge w:val="continue"/>
                  <w:tcBorders>
                    <w:bottom w:val="single" w:color="auto" w:sz="4" w:space="0"/>
                  </w:tcBorders>
                  <w:shd w:val="clear" w:color="auto" w:fill="auto"/>
                  <w:vAlign w:val="center"/>
                </w:tcPr>
                <w:p w14:paraId="36A3BD1D">
                  <w:pPr>
                    <w:snapToGrid w:val="0"/>
                    <w:jc w:val="center"/>
                    <w:rPr>
                      <w:rFonts w:hint="default" w:ascii="Times New Roman" w:hAnsi="Times New Roman" w:eastAsia="仿宋" w:cs="Times New Roman"/>
                      <w:color w:val="auto"/>
                      <w:szCs w:val="21"/>
                    </w:rPr>
                  </w:pPr>
                </w:p>
              </w:tc>
            </w:tr>
            <w:tr w14:paraId="23BC4F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3D157F2B">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1</w:t>
                  </w:r>
                </w:p>
              </w:tc>
              <w:tc>
                <w:tcPr>
                  <w:tcW w:w="323" w:type="pct"/>
                  <w:vMerge w:val="continue"/>
                  <w:shd w:val="clear" w:color="auto" w:fill="auto"/>
                  <w:tcMar>
                    <w:left w:w="0" w:type="dxa"/>
                    <w:right w:w="0" w:type="dxa"/>
                  </w:tcMar>
                  <w:vAlign w:val="center"/>
                </w:tcPr>
                <w:p w14:paraId="55A0ADE3">
                  <w:pPr>
                    <w:jc w:val="center"/>
                    <w:rPr>
                      <w:rFonts w:hint="default" w:ascii="Times New Roman" w:hAnsi="Times New Roman" w:eastAsia="仿宋" w:cs="Times New Roman"/>
                      <w:color w:val="auto"/>
                      <w:szCs w:val="21"/>
                      <w:highlight w:val="none"/>
                    </w:rPr>
                  </w:pPr>
                </w:p>
              </w:tc>
              <w:tc>
                <w:tcPr>
                  <w:tcW w:w="725" w:type="pct"/>
                  <w:shd w:val="clear" w:color="auto" w:fill="auto"/>
                  <w:tcMar>
                    <w:left w:w="0" w:type="dxa"/>
                    <w:right w:w="0" w:type="dxa"/>
                  </w:tcMar>
                  <w:vAlign w:val="center"/>
                </w:tcPr>
                <w:p w14:paraId="77ADDCC2">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highlight w:val="none"/>
                    </w:rPr>
                    <w:t>pH</w:t>
                  </w:r>
                  <w:r>
                    <w:rPr>
                      <w:rFonts w:hint="default" w:ascii="Times New Roman" w:hAnsi="Times New Roman" w:eastAsia="仿宋" w:cs="Times New Roman"/>
                      <w:color w:val="auto"/>
                      <w:szCs w:val="21"/>
                      <w:highlight w:val="none"/>
                      <w:lang w:val="en-US" w:eastAsia="zh-CN"/>
                    </w:rPr>
                    <w:t>4</w:t>
                  </w:r>
                  <w:r>
                    <w:rPr>
                      <w:rFonts w:hint="default" w:ascii="Times New Roman" w:hAnsi="Times New Roman" w:eastAsia="仿宋" w:cs="Times New Roman"/>
                      <w:color w:val="auto"/>
                      <w:szCs w:val="21"/>
                      <w:highlight w:val="none"/>
                    </w:rPr>
                    <w:t>校准溶液</w:t>
                  </w:r>
                </w:p>
              </w:tc>
              <w:tc>
                <w:tcPr>
                  <w:tcW w:w="1289" w:type="pct"/>
                  <w:shd w:val="clear" w:color="auto" w:fill="auto"/>
                  <w:vAlign w:val="center"/>
                </w:tcPr>
                <w:p w14:paraId="16F3FA8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柠檬酸≤2.5%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57859D0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500ml/瓶</w:t>
                  </w:r>
                </w:p>
              </w:tc>
              <w:tc>
                <w:tcPr>
                  <w:tcW w:w="446" w:type="pct"/>
                  <w:tcBorders>
                    <w:right w:val="single" w:color="auto" w:sz="4" w:space="0"/>
                  </w:tcBorders>
                  <w:shd w:val="clear" w:color="auto" w:fill="auto"/>
                  <w:vAlign w:val="center"/>
                </w:tcPr>
                <w:p w14:paraId="56DAE1F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40567BE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3.75</w:t>
                  </w:r>
                </w:p>
              </w:tc>
              <w:tc>
                <w:tcPr>
                  <w:tcW w:w="391" w:type="pct"/>
                  <w:tcBorders>
                    <w:left w:val="single" w:color="auto" w:sz="4" w:space="0"/>
                  </w:tcBorders>
                  <w:shd w:val="clear" w:color="auto" w:fill="auto"/>
                  <w:vAlign w:val="center"/>
                </w:tcPr>
                <w:p w14:paraId="1A673756">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1L</w:t>
                  </w:r>
                </w:p>
              </w:tc>
              <w:tc>
                <w:tcPr>
                  <w:tcW w:w="281" w:type="pct"/>
                  <w:vMerge w:val="continue"/>
                  <w:shd w:val="clear" w:color="auto" w:fill="auto"/>
                  <w:vAlign w:val="center"/>
                </w:tcPr>
                <w:p w14:paraId="6D492614">
                  <w:pPr>
                    <w:snapToGrid w:val="0"/>
                    <w:jc w:val="center"/>
                    <w:rPr>
                      <w:rFonts w:hint="default" w:ascii="Times New Roman" w:hAnsi="Times New Roman" w:eastAsia="仿宋" w:cs="Times New Roman"/>
                      <w:color w:val="auto"/>
                      <w:szCs w:val="21"/>
                    </w:rPr>
                  </w:pPr>
                </w:p>
              </w:tc>
              <w:tc>
                <w:tcPr>
                  <w:tcW w:w="417" w:type="pct"/>
                  <w:vMerge w:val="restart"/>
                  <w:tcBorders>
                    <w:top w:val="single" w:color="auto" w:sz="4" w:space="0"/>
                  </w:tcBorders>
                  <w:shd w:val="clear" w:color="auto" w:fill="auto"/>
                  <w:vAlign w:val="center"/>
                </w:tcPr>
                <w:p w14:paraId="5A1A0A44">
                  <w:pPr>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滴定仪校准</w:t>
                  </w:r>
                </w:p>
              </w:tc>
            </w:tr>
            <w:tr w14:paraId="46E2B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2EAA00D4">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2</w:t>
                  </w:r>
                </w:p>
              </w:tc>
              <w:tc>
                <w:tcPr>
                  <w:tcW w:w="323" w:type="pct"/>
                  <w:vMerge w:val="continue"/>
                  <w:shd w:val="clear" w:color="auto" w:fill="auto"/>
                  <w:tcMar>
                    <w:left w:w="0" w:type="dxa"/>
                    <w:right w:w="0" w:type="dxa"/>
                  </w:tcMar>
                  <w:vAlign w:val="center"/>
                </w:tcPr>
                <w:p w14:paraId="4A4C1BA6">
                  <w:pPr>
                    <w:jc w:val="center"/>
                    <w:rPr>
                      <w:rFonts w:hint="default" w:ascii="Times New Roman" w:hAnsi="Times New Roman" w:eastAsia="仿宋" w:cs="Times New Roman"/>
                      <w:color w:val="auto"/>
                      <w:szCs w:val="21"/>
                      <w:highlight w:val="none"/>
                    </w:rPr>
                  </w:pPr>
                </w:p>
              </w:tc>
              <w:tc>
                <w:tcPr>
                  <w:tcW w:w="725" w:type="pct"/>
                  <w:shd w:val="clear" w:color="auto" w:fill="auto"/>
                  <w:tcMar>
                    <w:left w:w="0" w:type="dxa"/>
                    <w:right w:w="0" w:type="dxa"/>
                  </w:tcMar>
                  <w:vAlign w:val="center"/>
                </w:tcPr>
                <w:p w14:paraId="05FB6F0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pH</w:t>
                  </w:r>
                  <w:r>
                    <w:rPr>
                      <w:rFonts w:hint="default" w:ascii="Times New Roman" w:hAnsi="Times New Roman" w:eastAsia="仿宋" w:cs="Times New Roman"/>
                      <w:color w:val="auto"/>
                      <w:szCs w:val="21"/>
                      <w:highlight w:val="none"/>
                      <w:lang w:val="en-US" w:eastAsia="zh-CN"/>
                    </w:rPr>
                    <w:t>10</w:t>
                  </w:r>
                  <w:r>
                    <w:rPr>
                      <w:rFonts w:hint="default" w:ascii="Times New Roman" w:hAnsi="Times New Roman" w:eastAsia="仿宋" w:cs="Times New Roman"/>
                      <w:color w:val="auto"/>
                      <w:szCs w:val="21"/>
                      <w:highlight w:val="none"/>
                    </w:rPr>
                    <w:t>校准溶液</w:t>
                  </w:r>
                </w:p>
              </w:tc>
              <w:tc>
                <w:tcPr>
                  <w:tcW w:w="1289" w:type="pct"/>
                  <w:shd w:val="clear" w:color="auto" w:fill="auto"/>
                  <w:vAlign w:val="center"/>
                </w:tcPr>
                <w:p w14:paraId="5466584F">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硼酸≤2.5%、剩余水</w:t>
                  </w:r>
                </w:p>
              </w:tc>
              <w:tc>
                <w:tcPr>
                  <w:tcW w:w="446" w:type="pct"/>
                  <w:shd w:val="clear" w:color="auto" w:fill="auto"/>
                  <w:vAlign w:val="center"/>
                </w:tcPr>
                <w:p w14:paraId="5FECF00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500ml/瓶</w:t>
                  </w:r>
                </w:p>
              </w:tc>
              <w:tc>
                <w:tcPr>
                  <w:tcW w:w="446" w:type="pct"/>
                  <w:tcBorders>
                    <w:right w:val="single" w:color="auto" w:sz="4" w:space="0"/>
                  </w:tcBorders>
                  <w:shd w:val="clear" w:color="auto" w:fill="auto"/>
                  <w:vAlign w:val="center"/>
                </w:tcPr>
                <w:p w14:paraId="2CAAE3B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316965C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3.75</w:t>
                  </w:r>
                </w:p>
              </w:tc>
              <w:tc>
                <w:tcPr>
                  <w:tcW w:w="391" w:type="pct"/>
                  <w:tcBorders>
                    <w:left w:val="single" w:color="auto" w:sz="4" w:space="0"/>
                  </w:tcBorders>
                  <w:shd w:val="clear" w:color="auto" w:fill="auto"/>
                  <w:vAlign w:val="center"/>
                </w:tcPr>
                <w:p w14:paraId="5105E07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w:t>
                  </w:r>
                </w:p>
              </w:tc>
              <w:tc>
                <w:tcPr>
                  <w:tcW w:w="281" w:type="pct"/>
                  <w:vMerge w:val="continue"/>
                  <w:shd w:val="clear" w:color="auto" w:fill="auto"/>
                  <w:vAlign w:val="center"/>
                </w:tcPr>
                <w:p w14:paraId="2B66B012">
                  <w:pPr>
                    <w:snapToGrid w:val="0"/>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31FC3BE0">
                  <w:pPr>
                    <w:snapToGrid w:val="0"/>
                    <w:jc w:val="center"/>
                    <w:rPr>
                      <w:rFonts w:hint="default" w:ascii="Times New Roman" w:hAnsi="Times New Roman" w:eastAsia="仿宋" w:cs="Times New Roman"/>
                      <w:color w:val="auto"/>
                      <w:szCs w:val="21"/>
                    </w:rPr>
                  </w:pPr>
                </w:p>
              </w:tc>
            </w:tr>
            <w:tr w14:paraId="2756BA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118C5937">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13</w:t>
                  </w:r>
                </w:p>
              </w:tc>
              <w:tc>
                <w:tcPr>
                  <w:tcW w:w="323" w:type="pct"/>
                  <w:vMerge w:val="continue"/>
                  <w:shd w:val="clear" w:color="auto" w:fill="auto"/>
                  <w:tcMar>
                    <w:left w:w="0" w:type="dxa"/>
                    <w:right w:w="0" w:type="dxa"/>
                  </w:tcMar>
                  <w:vAlign w:val="center"/>
                </w:tcPr>
                <w:p w14:paraId="3ACFE460">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46C00F7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氯化钾</w:t>
                  </w:r>
                </w:p>
              </w:tc>
              <w:tc>
                <w:tcPr>
                  <w:tcW w:w="1289" w:type="pct"/>
                  <w:shd w:val="clear" w:color="auto" w:fill="auto"/>
                  <w:vAlign w:val="center"/>
                </w:tcPr>
                <w:p w14:paraId="3DD62B3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氯化钾≥99.5%、剩余水</w:t>
                  </w:r>
                </w:p>
              </w:tc>
              <w:tc>
                <w:tcPr>
                  <w:tcW w:w="446" w:type="pct"/>
                  <w:shd w:val="clear" w:color="auto" w:fill="auto"/>
                  <w:vAlign w:val="center"/>
                </w:tcPr>
                <w:p w14:paraId="05A3E4C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3C91B37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31FE474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391" w:type="pct"/>
                  <w:tcBorders>
                    <w:left w:val="single" w:color="auto" w:sz="4" w:space="0"/>
                  </w:tcBorders>
                  <w:shd w:val="clear" w:color="auto" w:fill="auto"/>
                  <w:vAlign w:val="center"/>
                </w:tcPr>
                <w:p w14:paraId="7AC86712">
                  <w:pPr>
                    <w:pStyle w:val="77"/>
                    <w:snapToGrid w:val="0"/>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1L</w:t>
                  </w:r>
                </w:p>
              </w:tc>
              <w:tc>
                <w:tcPr>
                  <w:tcW w:w="281" w:type="pct"/>
                  <w:vMerge w:val="continue"/>
                  <w:shd w:val="clear" w:color="auto" w:fill="auto"/>
                  <w:vAlign w:val="center"/>
                </w:tcPr>
                <w:p w14:paraId="7720591D">
                  <w:pPr>
                    <w:snapToGrid w:val="0"/>
                    <w:jc w:val="center"/>
                    <w:rPr>
                      <w:rFonts w:hint="default" w:ascii="Times New Roman" w:hAnsi="Times New Roman" w:eastAsia="仿宋" w:cs="Times New Roman"/>
                      <w:color w:val="auto"/>
                      <w:szCs w:val="21"/>
                    </w:rPr>
                  </w:pPr>
                </w:p>
              </w:tc>
              <w:tc>
                <w:tcPr>
                  <w:tcW w:w="417" w:type="pct"/>
                  <w:shd w:val="clear" w:color="auto" w:fill="auto"/>
                  <w:vAlign w:val="center"/>
                </w:tcPr>
                <w:p w14:paraId="1DF60E7E">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pH测量仪、电导率测量仪探头暂存</w:t>
                  </w:r>
                </w:p>
              </w:tc>
            </w:tr>
            <w:tr w14:paraId="7C8B95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63C2A379">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14</w:t>
                  </w:r>
                </w:p>
              </w:tc>
              <w:tc>
                <w:tcPr>
                  <w:tcW w:w="323" w:type="pct"/>
                  <w:vMerge w:val="restart"/>
                  <w:shd w:val="clear" w:color="auto" w:fill="auto"/>
                  <w:tcMar>
                    <w:left w:w="0" w:type="dxa"/>
                    <w:right w:w="0" w:type="dxa"/>
                  </w:tcMar>
                  <w:vAlign w:val="center"/>
                </w:tcPr>
                <w:p w14:paraId="063DF8A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样品质量检测</w:t>
                  </w:r>
                </w:p>
              </w:tc>
              <w:tc>
                <w:tcPr>
                  <w:tcW w:w="725" w:type="pct"/>
                  <w:shd w:val="clear" w:color="auto" w:fill="auto"/>
                  <w:tcMar>
                    <w:left w:w="0" w:type="dxa"/>
                    <w:right w:w="0" w:type="dxa"/>
                  </w:tcMar>
                  <w:vAlign w:val="center"/>
                </w:tcPr>
                <w:p w14:paraId="6476B3D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Technovit</w:t>
                  </w:r>
                  <w:r>
                    <w:rPr>
                      <w:rFonts w:hint="eastAsia" w:eastAsia="仿宋" w:cs="Times New Roman"/>
                      <w:color w:val="auto"/>
                      <w:szCs w:val="21"/>
                      <w:lang w:val="en-US" w:eastAsia="zh-CN"/>
                    </w:rPr>
                    <w:t xml:space="preserve"> </w:t>
                  </w:r>
                  <w:r>
                    <w:rPr>
                      <w:rFonts w:hint="default" w:ascii="Times New Roman" w:hAnsi="Times New Roman" w:eastAsia="仿宋" w:cs="Times New Roman"/>
                      <w:color w:val="auto"/>
                      <w:szCs w:val="21"/>
                      <w:lang w:val="en-US" w:eastAsia="zh-CN"/>
                    </w:rPr>
                    <w:t>4006</w:t>
                  </w:r>
                </w:p>
                <w:p w14:paraId="5D7C2273">
                  <w:pPr>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val="en-US" w:eastAsia="zh-CN"/>
                    </w:rPr>
                    <w:t>Powder粉末</w:t>
                  </w:r>
                </w:p>
              </w:tc>
              <w:tc>
                <w:tcPr>
                  <w:tcW w:w="1289" w:type="pct"/>
                  <w:shd w:val="clear" w:color="auto" w:fill="auto"/>
                  <w:vAlign w:val="center"/>
                </w:tcPr>
                <w:p w14:paraId="35BF1FD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过氧化二苯甲酰1-2.5%、甲基丙烯酸甲酯1-5%</w:t>
                  </w:r>
                </w:p>
              </w:tc>
              <w:tc>
                <w:tcPr>
                  <w:tcW w:w="446" w:type="pct"/>
                  <w:shd w:val="clear" w:color="auto" w:fill="auto"/>
                  <w:vAlign w:val="center"/>
                </w:tcPr>
                <w:p w14:paraId="6784EAC0">
                  <w:pPr>
                    <w:jc w:val="center"/>
                    <w:rPr>
                      <w:rFonts w:hint="default" w:ascii="Times New Roman" w:hAnsi="Times New Roman" w:eastAsia="仿宋" w:cs="Times New Roman"/>
                      <w:color w:val="auto"/>
                      <w:szCs w:val="21"/>
                      <w:highlight w:val="yellow"/>
                      <w:lang w:val="en-US" w:eastAsia="zh-CN"/>
                    </w:rPr>
                  </w:pPr>
                  <w:r>
                    <w:rPr>
                      <w:rFonts w:hint="default" w:ascii="Times New Roman" w:hAnsi="Times New Roman" w:eastAsia="仿宋" w:cs="Times New Roman"/>
                      <w:color w:val="auto"/>
                      <w:szCs w:val="21"/>
                      <w:lang w:val="en-US" w:eastAsia="zh-CN"/>
                    </w:rPr>
                    <w:t>10kg/瓶</w:t>
                  </w:r>
                </w:p>
              </w:tc>
              <w:tc>
                <w:tcPr>
                  <w:tcW w:w="446" w:type="pct"/>
                  <w:tcBorders>
                    <w:right w:val="single" w:color="auto" w:sz="4" w:space="0"/>
                  </w:tcBorders>
                  <w:shd w:val="clear" w:color="auto" w:fill="auto"/>
                  <w:vAlign w:val="center"/>
                </w:tcPr>
                <w:p w14:paraId="3D19745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02EB31B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391" w:type="pct"/>
                  <w:tcBorders>
                    <w:left w:val="single" w:color="auto" w:sz="4" w:space="0"/>
                  </w:tcBorders>
                  <w:shd w:val="clear" w:color="auto" w:fill="auto"/>
                  <w:vAlign w:val="center"/>
                </w:tcPr>
                <w:p w14:paraId="1E3384E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10kg</w:t>
                  </w:r>
                </w:p>
              </w:tc>
              <w:tc>
                <w:tcPr>
                  <w:tcW w:w="281" w:type="pct"/>
                  <w:vMerge w:val="continue"/>
                  <w:shd w:val="clear" w:color="auto" w:fill="auto"/>
                  <w:vAlign w:val="center"/>
                </w:tcPr>
                <w:p w14:paraId="2F60677E">
                  <w:pPr>
                    <w:jc w:val="center"/>
                    <w:rPr>
                      <w:rFonts w:hint="default" w:ascii="Times New Roman" w:hAnsi="Times New Roman" w:eastAsia="仿宋" w:cs="Times New Roman"/>
                      <w:color w:val="auto"/>
                      <w:szCs w:val="21"/>
                    </w:rPr>
                  </w:pPr>
                </w:p>
              </w:tc>
              <w:tc>
                <w:tcPr>
                  <w:tcW w:w="417" w:type="pct"/>
                  <w:vMerge w:val="restart"/>
                  <w:shd w:val="clear" w:color="auto" w:fill="auto"/>
                  <w:vAlign w:val="center"/>
                </w:tcPr>
                <w:p w14:paraId="4D14F43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制样</w:t>
                  </w:r>
                  <w:r>
                    <w:rPr>
                      <w:rFonts w:hint="eastAsia" w:eastAsia="仿宋" w:cs="Times New Roman"/>
                      <w:color w:val="auto"/>
                      <w:szCs w:val="21"/>
                      <w:lang w:val="en-US" w:eastAsia="zh-CN"/>
                    </w:rPr>
                    <w:t>测试</w:t>
                  </w:r>
                </w:p>
              </w:tc>
            </w:tr>
            <w:tr w14:paraId="6B786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2BD345C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15</w:t>
                  </w:r>
                </w:p>
              </w:tc>
              <w:tc>
                <w:tcPr>
                  <w:tcW w:w="323" w:type="pct"/>
                  <w:vMerge w:val="continue"/>
                  <w:shd w:val="clear" w:color="auto" w:fill="auto"/>
                  <w:tcMar>
                    <w:left w:w="0" w:type="dxa"/>
                    <w:right w:w="0" w:type="dxa"/>
                  </w:tcMar>
                  <w:vAlign w:val="center"/>
                </w:tcPr>
                <w:p w14:paraId="6E28C471">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1E4E099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Technovit 4006</w:t>
                  </w:r>
                </w:p>
                <w:p w14:paraId="0503C8C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Liquid</w:t>
                  </w:r>
                  <w:r>
                    <w:rPr>
                      <w:rFonts w:hint="default" w:ascii="Times New Roman" w:hAnsi="Times New Roman" w:eastAsia="仿宋" w:cs="Times New Roman"/>
                      <w:color w:val="auto"/>
                      <w:szCs w:val="21"/>
                      <w:lang w:val="en-US" w:eastAsia="zh-CN"/>
                    </w:rPr>
                    <w:t>液体</w:t>
                  </w:r>
                </w:p>
              </w:tc>
              <w:tc>
                <w:tcPr>
                  <w:tcW w:w="1289" w:type="pct"/>
                  <w:shd w:val="clear" w:color="auto" w:fill="auto"/>
                  <w:vAlign w:val="center"/>
                </w:tcPr>
                <w:p w14:paraId="4BFD477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甲基丙烯酸甲酯75-90%、1,4-丁二醇二甲基丙烯酸酯10-25%、甲基三烷基氯化铵0.025-0.22%、2-羟基-4-甲氧基二苯甲酮0.25%</w:t>
                  </w:r>
                </w:p>
              </w:tc>
              <w:tc>
                <w:tcPr>
                  <w:tcW w:w="446" w:type="pct"/>
                  <w:shd w:val="clear" w:color="auto" w:fill="auto"/>
                  <w:vAlign w:val="center"/>
                </w:tcPr>
                <w:p w14:paraId="7E5A6CAC">
                  <w:pPr>
                    <w:jc w:val="center"/>
                    <w:rPr>
                      <w:rFonts w:hint="default" w:ascii="Times New Roman" w:hAnsi="Times New Roman" w:eastAsia="仿宋" w:cs="Times New Roman"/>
                      <w:color w:val="auto"/>
                      <w:szCs w:val="21"/>
                      <w:highlight w:val="yellow"/>
                      <w:lang w:val="en-US" w:eastAsia="zh-CN"/>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254945B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5B12630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4.75</w:t>
                  </w:r>
                </w:p>
              </w:tc>
              <w:tc>
                <w:tcPr>
                  <w:tcW w:w="391" w:type="pct"/>
                  <w:tcBorders>
                    <w:left w:val="single" w:color="auto" w:sz="4" w:space="0"/>
                  </w:tcBorders>
                  <w:shd w:val="clear" w:color="auto" w:fill="auto"/>
                  <w:vAlign w:val="center"/>
                </w:tcPr>
                <w:p w14:paraId="37E517D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5L</w:t>
                  </w:r>
                </w:p>
              </w:tc>
              <w:tc>
                <w:tcPr>
                  <w:tcW w:w="281" w:type="pct"/>
                  <w:vMerge w:val="continue"/>
                  <w:shd w:val="clear" w:color="auto" w:fill="auto"/>
                  <w:vAlign w:val="center"/>
                </w:tcPr>
                <w:p w14:paraId="46DF80D2">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064108D5">
                  <w:pPr>
                    <w:jc w:val="center"/>
                    <w:rPr>
                      <w:rFonts w:hint="default" w:ascii="Times New Roman" w:hAnsi="Times New Roman" w:eastAsia="仿宋" w:cs="Times New Roman"/>
                      <w:color w:val="auto"/>
                      <w:szCs w:val="21"/>
                    </w:rPr>
                  </w:pPr>
                </w:p>
              </w:tc>
            </w:tr>
            <w:tr w14:paraId="4466F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58D3577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16</w:t>
                  </w:r>
                </w:p>
              </w:tc>
              <w:tc>
                <w:tcPr>
                  <w:tcW w:w="323" w:type="pct"/>
                  <w:vMerge w:val="continue"/>
                  <w:shd w:val="clear" w:color="auto" w:fill="auto"/>
                  <w:tcMar>
                    <w:left w:w="0" w:type="dxa"/>
                    <w:right w:w="0" w:type="dxa"/>
                  </w:tcMar>
                  <w:vAlign w:val="center"/>
                </w:tcPr>
                <w:p w14:paraId="07375139">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1E2B4F7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金刚石悬浮研磨</w:t>
                  </w:r>
                  <w:r>
                    <w:rPr>
                      <w:rFonts w:hint="default" w:ascii="Times New Roman" w:hAnsi="Times New Roman" w:eastAsia="仿宋" w:cs="Times New Roman"/>
                      <w:color w:val="auto"/>
                      <w:szCs w:val="21"/>
                      <w:lang w:val="en-US" w:eastAsia="zh-CN"/>
                    </w:rPr>
                    <w:t>液1um</w:t>
                  </w:r>
                </w:p>
              </w:tc>
              <w:tc>
                <w:tcPr>
                  <w:tcW w:w="1289" w:type="pct"/>
                  <w:shd w:val="clear" w:color="auto" w:fill="auto"/>
                  <w:vAlign w:val="center"/>
                </w:tcPr>
                <w:p w14:paraId="7F81F09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聚丙二醇30-60%、金刚石5-35%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13FDD16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500ml/瓶</w:t>
                  </w:r>
                </w:p>
              </w:tc>
              <w:tc>
                <w:tcPr>
                  <w:tcW w:w="446" w:type="pct"/>
                  <w:tcBorders>
                    <w:right w:val="single" w:color="auto" w:sz="4" w:space="0"/>
                  </w:tcBorders>
                  <w:shd w:val="clear" w:color="auto" w:fill="auto"/>
                  <w:vAlign w:val="center"/>
                </w:tcPr>
                <w:p w14:paraId="32CE306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5B2A2A5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391" w:type="pct"/>
                  <w:tcBorders>
                    <w:left w:val="single" w:color="auto" w:sz="4" w:space="0"/>
                  </w:tcBorders>
                  <w:shd w:val="clear" w:color="auto" w:fill="auto"/>
                  <w:vAlign w:val="center"/>
                </w:tcPr>
                <w:p w14:paraId="124957C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1.5L</w:t>
                  </w:r>
                </w:p>
              </w:tc>
              <w:tc>
                <w:tcPr>
                  <w:tcW w:w="281" w:type="pct"/>
                  <w:vMerge w:val="continue"/>
                  <w:shd w:val="clear" w:color="auto" w:fill="auto"/>
                  <w:vAlign w:val="center"/>
                </w:tcPr>
                <w:p w14:paraId="3F90C71B">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63B63C1C">
                  <w:pPr>
                    <w:jc w:val="center"/>
                    <w:rPr>
                      <w:rFonts w:hint="default" w:ascii="Times New Roman" w:hAnsi="Times New Roman" w:eastAsia="仿宋" w:cs="Times New Roman"/>
                      <w:color w:val="auto"/>
                      <w:szCs w:val="21"/>
                      <w:lang w:val="en-US" w:eastAsia="zh-CN"/>
                    </w:rPr>
                  </w:pPr>
                </w:p>
              </w:tc>
            </w:tr>
            <w:tr w14:paraId="4C6CD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1EF1F005">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17</w:t>
                  </w:r>
                </w:p>
              </w:tc>
              <w:tc>
                <w:tcPr>
                  <w:tcW w:w="323" w:type="pct"/>
                  <w:vMerge w:val="continue"/>
                  <w:shd w:val="clear" w:color="auto" w:fill="auto"/>
                  <w:tcMar>
                    <w:left w:w="0" w:type="dxa"/>
                    <w:right w:w="0" w:type="dxa"/>
                  </w:tcMar>
                  <w:vAlign w:val="center"/>
                </w:tcPr>
                <w:p w14:paraId="0F7CD068">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4E27212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金刚石悬浮研磨</w:t>
                  </w:r>
                  <w:r>
                    <w:rPr>
                      <w:rFonts w:hint="default" w:ascii="Times New Roman" w:hAnsi="Times New Roman" w:eastAsia="仿宋" w:cs="Times New Roman"/>
                      <w:color w:val="auto"/>
                      <w:szCs w:val="21"/>
                      <w:lang w:val="en-US" w:eastAsia="zh-CN"/>
                    </w:rPr>
                    <w:t>液3um</w:t>
                  </w:r>
                </w:p>
              </w:tc>
              <w:tc>
                <w:tcPr>
                  <w:tcW w:w="1289" w:type="pct"/>
                  <w:shd w:val="clear" w:color="auto" w:fill="auto"/>
                  <w:vAlign w:val="center"/>
                </w:tcPr>
                <w:p w14:paraId="0F6A8D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聚丙二醇30-60%、金刚石5-35%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243740C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500ml/瓶</w:t>
                  </w:r>
                </w:p>
              </w:tc>
              <w:tc>
                <w:tcPr>
                  <w:tcW w:w="446" w:type="pct"/>
                  <w:tcBorders>
                    <w:right w:val="single" w:color="auto" w:sz="4" w:space="0"/>
                  </w:tcBorders>
                  <w:shd w:val="clear" w:color="auto" w:fill="auto"/>
                  <w:vAlign w:val="center"/>
                </w:tcPr>
                <w:p w14:paraId="33AE312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74E720C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391" w:type="pct"/>
                  <w:tcBorders>
                    <w:left w:val="single" w:color="auto" w:sz="4" w:space="0"/>
                  </w:tcBorders>
                  <w:shd w:val="clear" w:color="auto" w:fill="auto"/>
                  <w:vAlign w:val="center"/>
                </w:tcPr>
                <w:p w14:paraId="79072B2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1.5L</w:t>
                  </w:r>
                </w:p>
              </w:tc>
              <w:tc>
                <w:tcPr>
                  <w:tcW w:w="281" w:type="pct"/>
                  <w:vMerge w:val="continue"/>
                  <w:shd w:val="clear" w:color="auto" w:fill="auto"/>
                  <w:vAlign w:val="center"/>
                </w:tcPr>
                <w:p w14:paraId="37D7CF08">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57DB9628">
                  <w:pPr>
                    <w:jc w:val="center"/>
                    <w:rPr>
                      <w:rFonts w:hint="default" w:ascii="Times New Roman" w:hAnsi="Times New Roman" w:eastAsia="仿宋" w:cs="Times New Roman"/>
                      <w:color w:val="auto"/>
                      <w:szCs w:val="21"/>
                    </w:rPr>
                  </w:pPr>
                </w:p>
              </w:tc>
            </w:tr>
            <w:tr w14:paraId="43AE3C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24" w:type="pct"/>
                  <w:shd w:val="clear" w:color="auto" w:fill="auto"/>
                  <w:vAlign w:val="center"/>
                </w:tcPr>
                <w:p w14:paraId="09C66F02">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18</w:t>
                  </w:r>
                </w:p>
              </w:tc>
              <w:tc>
                <w:tcPr>
                  <w:tcW w:w="323" w:type="pct"/>
                  <w:vMerge w:val="continue"/>
                  <w:shd w:val="clear" w:color="auto" w:fill="auto"/>
                  <w:tcMar>
                    <w:left w:w="0" w:type="dxa"/>
                    <w:right w:w="0" w:type="dxa"/>
                  </w:tcMar>
                  <w:vAlign w:val="center"/>
                </w:tcPr>
                <w:p w14:paraId="44F34975">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01628AA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乙醇氯化铁</w:t>
                  </w:r>
                </w:p>
              </w:tc>
              <w:tc>
                <w:tcPr>
                  <w:tcW w:w="1289" w:type="pct"/>
                  <w:shd w:val="clear" w:color="auto" w:fill="auto"/>
                  <w:vAlign w:val="center"/>
                </w:tcPr>
                <w:p w14:paraId="2943A36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三氯化铁5-10%、盐酸1-5%、氯化镍&lt;0.01%</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剩余乙醇</w:t>
                  </w:r>
                </w:p>
              </w:tc>
              <w:tc>
                <w:tcPr>
                  <w:tcW w:w="446" w:type="pct"/>
                  <w:shd w:val="clear" w:color="auto" w:fill="auto"/>
                  <w:vAlign w:val="center"/>
                </w:tcPr>
                <w:p w14:paraId="6F0CBE4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6212B85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330162B4">
                  <w:pPr>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lang w:val="en-US" w:eastAsia="zh-CN"/>
                    </w:rPr>
                    <w:t>5</w:t>
                  </w:r>
                  <w:r>
                    <w:rPr>
                      <w:rFonts w:hint="eastAsia" w:eastAsia="仿宋" w:cs="Times New Roman"/>
                      <w:color w:val="auto"/>
                      <w:szCs w:val="21"/>
                      <w:lang w:val="en-US" w:eastAsia="zh-CN"/>
                    </w:rPr>
                    <w:t>.3</w:t>
                  </w:r>
                </w:p>
              </w:tc>
              <w:tc>
                <w:tcPr>
                  <w:tcW w:w="391" w:type="pct"/>
                  <w:tcBorders>
                    <w:left w:val="single" w:color="auto" w:sz="4" w:space="0"/>
                  </w:tcBorders>
                  <w:shd w:val="clear" w:color="auto" w:fill="auto"/>
                  <w:vAlign w:val="center"/>
                </w:tcPr>
                <w:p w14:paraId="03E2429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1L</w:t>
                  </w:r>
                </w:p>
              </w:tc>
              <w:tc>
                <w:tcPr>
                  <w:tcW w:w="281" w:type="pct"/>
                  <w:vMerge w:val="continue"/>
                  <w:shd w:val="clear" w:color="auto" w:fill="auto"/>
                  <w:vAlign w:val="center"/>
                </w:tcPr>
                <w:p w14:paraId="0C670241">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451B765D">
                  <w:pPr>
                    <w:jc w:val="center"/>
                    <w:rPr>
                      <w:rFonts w:hint="default" w:ascii="Times New Roman" w:hAnsi="Times New Roman" w:eastAsia="仿宋" w:cs="Times New Roman"/>
                      <w:color w:val="auto"/>
                      <w:szCs w:val="21"/>
                      <w:lang w:val="en-US" w:eastAsia="zh-CN"/>
                    </w:rPr>
                  </w:pPr>
                </w:p>
              </w:tc>
            </w:tr>
            <w:tr w14:paraId="49144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25A29D47">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19</w:t>
                  </w:r>
                </w:p>
              </w:tc>
              <w:tc>
                <w:tcPr>
                  <w:tcW w:w="323" w:type="pct"/>
                  <w:vMerge w:val="continue"/>
                  <w:shd w:val="clear" w:color="auto" w:fill="auto"/>
                  <w:tcMar>
                    <w:left w:w="0" w:type="dxa"/>
                    <w:right w:w="0" w:type="dxa"/>
                  </w:tcMar>
                  <w:vAlign w:val="center"/>
                </w:tcPr>
                <w:p w14:paraId="7212D086">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4188766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乙醇</w:t>
                  </w:r>
                </w:p>
              </w:tc>
              <w:tc>
                <w:tcPr>
                  <w:tcW w:w="1289" w:type="pct"/>
                  <w:shd w:val="clear" w:color="auto" w:fill="auto"/>
                  <w:vAlign w:val="center"/>
                </w:tcPr>
                <w:p w14:paraId="7515B0DB">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乙醇96%、</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6122E53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1L/瓶</w:t>
                  </w:r>
                </w:p>
              </w:tc>
              <w:tc>
                <w:tcPr>
                  <w:tcW w:w="446" w:type="pct"/>
                  <w:tcBorders>
                    <w:right w:val="single" w:color="auto" w:sz="4" w:space="0"/>
                  </w:tcBorders>
                  <w:shd w:val="clear" w:color="auto" w:fill="auto"/>
                  <w:vAlign w:val="center"/>
                </w:tcPr>
                <w:p w14:paraId="6F65ACF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6390A1F7">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w:t>
                  </w:r>
                </w:p>
              </w:tc>
              <w:tc>
                <w:tcPr>
                  <w:tcW w:w="391" w:type="pct"/>
                  <w:tcBorders>
                    <w:left w:val="single" w:color="auto" w:sz="4" w:space="0"/>
                  </w:tcBorders>
                  <w:shd w:val="clear" w:color="auto" w:fill="auto"/>
                  <w:vAlign w:val="center"/>
                </w:tcPr>
                <w:p w14:paraId="41216A0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4L</w:t>
                  </w:r>
                </w:p>
              </w:tc>
              <w:tc>
                <w:tcPr>
                  <w:tcW w:w="281" w:type="pct"/>
                  <w:vMerge w:val="continue"/>
                  <w:shd w:val="clear" w:color="auto" w:fill="auto"/>
                  <w:vAlign w:val="center"/>
                </w:tcPr>
                <w:p w14:paraId="2586BC74">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35F276F3">
                  <w:pPr>
                    <w:jc w:val="center"/>
                    <w:rPr>
                      <w:rFonts w:hint="default" w:ascii="Times New Roman" w:hAnsi="Times New Roman" w:eastAsia="仿宋" w:cs="Times New Roman"/>
                      <w:color w:val="auto"/>
                      <w:szCs w:val="21"/>
                    </w:rPr>
                  </w:pPr>
                </w:p>
              </w:tc>
            </w:tr>
            <w:tr w14:paraId="527003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6612D7F4">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20</w:t>
                  </w:r>
                </w:p>
              </w:tc>
              <w:tc>
                <w:tcPr>
                  <w:tcW w:w="323" w:type="pct"/>
                  <w:vMerge w:val="continue"/>
                  <w:shd w:val="clear" w:color="auto" w:fill="auto"/>
                  <w:tcMar>
                    <w:left w:w="0" w:type="dxa"/>
                    <w:right w:w="0" w:type="dxa"/>
                  </w:tcMar>
                  <w:vAlign w:val="center"/>
                </w:tcPr>
                <w:p w14:paraId="3DBAB792">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1CFF999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助焊剂</w:t>
                  </w:r>
                </w:p>
              </w:tc>
              <w:tc>
                <w:tcPr>
                  <w:tcW w:w="1289" w:type="pct"/>
                  <w:shd w:val="clear" w:color="auto" w:fill="auto"/>
                  <w:vAlign w:val="center"/>
                </w:tcPr>
                <w:p w14:paraId="37ECA62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异丙醇</w:t>
                  </w:r>
                  <w:r>
                    <w:rPr>
                      <w:rFonts w:hint="default" w:ascii="Times New Roman" w:hAnsi="Times New Roman" w:eastAsia="仿宋" w:cs="Times New Roman"/>
                      <w:color w:val="auto"/>
                      <w:szCs w:val="21"/>
                      <w:lang w:val="en-US" w:eastAsia="zh-CN"/>
                    </w:rPr>
                    <w:t>70-90%、松香10-30%</w:t>
                  </w:r>
                </w:p>
              </w:tc>
              <w:tc>
                <w:tcPr>
                  <w:tcW w:w="446" w:type="pct"/>
                  <w:shd w:val="clear" w:color="auto" w:fill="auto"/>
                  <w:vAlign w:val="center"/>
                </w:tcPr>
                <w:p w14:paraId="09E1176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1L/瓶</w:t>
                  </w:r>
                </w:p>
              </w:tc>
              <w:tc>
                <w:tcPr>
                  <w:tcW w:w="446" w:type="pct"/>
                  <w:tcBorders>
                    <w:right w:val="single" w:color="auto" w:sz="4" w:space="0"/>
                  </w:tcBorders>
                  <w:shd w:val="clear" w:color="auto" w:fill="auto"/>
                  <w:vAlign w:val="center"/>
                </w:tcPr>
                <w:p w14:paraId="222D116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0066D8B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0.85</w:t>
                  </w:r>
                </w:p>
              </w:tc>
              <w:tc>
                <w:tcPr>
                  <w:tcW w:w="391" w:type="pct"/>
                  <w:tcBorders>
                    <w:left w:val="single" w:color="auto" w:sz="4" w:space="0"/>
                  </w:tcBorders>
                  <w:shd w:val="clear" w:color="auto" w:fill="auto"/>
                  <w:vAlign w:val="center"/>
                </w:tcPr>
                <w:p w14:paraId="1D24981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1L</w:t>
                  </w:r>
                </w:p>
              </w:tc>
              <w:tc>
                <w:tcPr>
                  <w:tcW w:w="281" w:type="pct"/>
                  <w:vMerge w:val="continue"/>
                  <w:shd w:val="clear" w:color="auto" w:fill="auto"/>
                  <w:vAlign w:val="center"/>
                </w:tcPr>
                <w:p w14:paraId="2E9C7DEC">
                  <w:pPr>
                    <w:jc w:val="center"/>
                    <w:rPr>
                      <w:rFonts w:hint="default" w:ascii="Times New Roman" w:hAnsi="Times New Roman" w:eastAsia="仿宋" w:cs="Times New Roman"/>
                      <w:color w:val="auto"/>
                      <w:szCs w:val="21"/>
                    </w:rPr>
                  </w:pPr>
                </w:p>
              </w:tc>
              <w:tc>
                <w:tcPr>
                  <w:tcW w:w="417" w:type="pct"/>
                  <w:vMerge w:val="restart"/>
                  <w:shd w:val="clear" w:color="auto" w:fill="auto"/>
                  <w:vAlign w:val="center"/>
                </w:tcPr>
                <w:p w14:paraId="18C36D4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焊接</w:t>
                  </w:r>
                  <w:r>
                    <w:rPr>
                      <w:rFonts w:hint="eastAsia" w:eastAsia="仿宋" w:cs="Times New Roman"/>
                      <w:color w:val="auto"/>
                      <w:szCs w:val="21"/>
                      <w:lang w:val="en-US" w:eastAsia="zh-CN"/>
                    </w:rPr>
                    <w:t>测试</w:t>
                  </w:r>
                </w:p>
              </w:tc>
            </w:tr>
            <w:tr w14:paraId="1354C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579220BC">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21</w:t>
                  </w:r>
                </w:p>
              </w:tc>
              <w:tc>
                <w:tcPr>
                  <w:tcW w:w="323" w:type="pct"/>
                  <w:vMerge w:val="continue"/>
                  <w:shd w:val="clear" w:color="auto" w:fill="auto"/>
                  <w:tcMar>
                    <w:left w:w="0" w:type="dxa"/>
                    <w:right w:w="0" w:type="dxa"/>
                  </w:tcMar>
                  <w:vAlign w:val="center"/>
                </w:tcPr>
                <w:p w14:paraId="3B5C6B49">
                  <w:pPr>
                    <w:jc w:val="center"/>
                    <w:rPr>
                      <w:rFonts w:hint="default" w:ascii="Times New Roman" w:hAnsi="Times New Roman" w:eastAsia="仿宋" w:cs="Times New Roman"/>
                      <w:color w:val="auto"/>
                      <w:szCs w:val="21"/>
                    </w:rPr>
                  </w:pPr>
                </w:p>
              </w:tc>
              <w:tc>
                <w:tcPr>
                  <w:tcW w:w="725" w:type="pct"/>
                  <w:shd w:val="clear" w:color="auto" w:fill="auto"/>
                  <w:tcMar>
                    <w:left w:w="0" w:type="dxa"/>
                    <w:right w:w="0" w:type="dxa"/>
                  </w:tcMar>
                  <w:vAlign w:val="center"/>
                </w:tcPr>
                <w:p w14:paraId="03FD115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SC BLF04焊锡膏</w:t>
                  </w:r>
                </w:p>
              </w:tc>
              <w:tc>
                <w:tcPr>
                  <w:tcW w:w="1289" w:type="pct"/>
                  <w:shd w:val="clear" w:color="auto" w:fill="auto"/>
                  <w:vAlign w:val="center"/>
                </w:tcPr>
                <w:p w14:paraId="68FB1DC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锡80-97%、季戊四醇松香酸酯10-16%、银0-2%、铜0-1%</w:t>
                  </w:r>
                </w:p>
              </w:tc>
              <w:tc>
                <w:tcPr>
                  <w:tcW w:w="446" w:type="pct"/>
                  <w:shd w:val="clear" w:color="auto" w:fill="auto"/>
                  <w:vAlign w:val="center"/>
                </w:tcPr>
                <w:p w14:paraId="3ED62D6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500g/罐</w:t>
                  </w:r>
                </w:p>
              </w:tc>
              <w:tc>
                <w:tcPr>
                  <w:tcW w:w="446" w:type="pct"/>
                  <w:tcBorders>
                    <w:right w:val="single" w:color="auto" w:sz="4" w:space="0"/>
                  </w:tcBorders>
                  <w:shd w:val="clear" w:color="auto" w:fill="auto"/>
                  <w:vAlign w:val="center"/>
                </w:tcPr>
                <w:p w14:paraId="41E6E6B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529A900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w:t>
                  </w:r>
                </w:p>
              </w:tc>
              <w:tc>
                <w:tcPr>
                  <w:tcW w:w="391" w:type="pct"/>
                  <w:tcBorders>
                    <w:left w:val="single" w:color="auto" w:sz="4" w:space="0"/>
                  </w:tcBorders>
                  <w:shd w:val="clear" w:color="auto" w:fill="auto"/>
                  <w:vAlign w:val="center"/>
                </w:tcPr>
                <w:p w14:paraId="5BE76ED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1.5kg</w:t>
                  </w:r>
                </w:p>
              </w:tc>
              <w:tc>
                <w:tcPr>
                  <w:tcW w:w="281" w:type="pct"/>
                  <w:vMerge w:val="continue"/>
                  <w:shd w:val="clear" w:color="auto" w:fill="auto"/>
                  <w:vAlign w:val="center"/>
                </w:tcPr>
                <w:p w14:paraId="027B202E">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06BCA863">
                  <w:pPr>
                    <w:jc w:val="center"/>
                    <w:rPr>
                      <w:rFonts w:hint="default" w:ascii="Times New Roman" w:hAnsi="Times New Roman" w:eastAsia="仿宋" w:cs="Times New Roman"/>
                      <w:color w:val="auto"/>
                      <w:szCs w:val="21"/>
                    </w:rPr>
                  </w:pPr>
                </w:p>
              </w:tc>
            </w:tr>
            <w:tr w14:paraId="3C7CE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19F41FC0">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22</w:t>
                  </w:r>
                </w:p>
              </w:tc>
              <w:tc>
                <w:tcPr>
                  <w:tcW w:w="323" w:type="pct"/>
                  <w:vMerge w:val="continue"/>
                  <w:shd w:val="clear" w:color="auto" w:fill="auto"/>
                  <w:tcMar>
                    <w:left w:w="0" w:type="dxa"/>
                    <w:right w:w="0" w:type="dxa"/>
                  </w:tcMar>
                  <w:vAlign w:val="center"/>
                </w:tcPr>
                <w:p w14:paraId="15F694F3">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138D9D4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焊锡丝</w:t>
                  </w:r>
                </w:p>
              </w:tc>
              <w:tc>
                <w:tcPr>
                  <w:tcW w:w="1289" w:type="pct"/>
                  <w:shd w:val="clear" w:color="auto" w:fill="auto"/>
                  <w:vAlign w:val="center"/>
                </w:tcPr>
                <w:p w14:paraId="644BE50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锡99.3%、铜0.7%</w:t>
                  </w:r>
                </w:p>
              </w:tc>
              <w:tc>
                <w:tcPr>
                  <w:tcW w:w="446" w:type="pct"/>
                  <w:shd w:val="clear" w:color="auto" w:fill="auto"/>
                  <w:vAlign w:val="center"/>
                </w:tcPr>
                <w:p w14:paraId="2538AB5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500g/卷</w:t>
                  </w:r>
                </w:p>
              </w:tc>
              <w:tc>
                <w:tcPr>
                  <w:tcW w:w="446" w:type="pct"/>
                  <w:tcBorders>
                    <w:right w:val="single" w:color="auto" w:sz="4" w:space="0"/>
                  </w:tcBorders>
                  <w:shd w:val="clear" w:color="auto" w:fill="auto"/>
                  <w:vAlign w:val="center"/>
                </w:tcPr>
                <w:p w14:paraId="2F9C176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g</w:t>
                  </w:r>
                </w:p>
              </w:tc>
              <w:tc>
                <w:tcPr>
                  <w:tcW w:w="454" w:type="pct"/>
                  <w:tcBorders>
                    <w:right w:val="single" w:color="auto" w:sz="4" w:space="0"/>
                  </w:tcBorders>
                  <w:shd w:val="clear" w:color="auto" w:fill="auto"/>
                  <w:vAlign w:val="center"/>
                </w:tcPr>
                <w:p w14:paraId="5D0ED02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w:t>
                  </w:r>
                </w:p>
              </w:tc>
              <w:tc>
                <w:tcPr>
                  <w:tcW w:w="391" w:type="pct"/>
                  <w:tcBorders>
                    <w:left w:val="single" w:color="auto" w:sz="4" w:space="0"/>
                  </w:tcBorders>
                  <w:shd w:val="clear" w:color="auto" w:fill="auto"/>
                  <w:vAlign w:val="center"/>
                </w:tcPr>
                <w:p w14:paraId="701E98A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500g</w:t>
                  </w:r>
                </w:p>
              </w:tc>
              <w:tc>
                <w:tcPr>
                  <w:tcW w:w="281" w:type="pct"/>
                  <w:vMerge w:val="continue"/>
                  <w:shd w:val="clear" w:color="auto" w:fill="auto"/>
                  <w:vAlign w:val="center"/>
                </w:tcPr>
                <w:p w14:paraId="02B50AAD">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1590F911">
                  <w:pPr>
                    <w:jc w:val="center"/>
                    <w:rPr>
                      <w:rFonts w:hint="default" w:ascii="Times New Roman" w:hAnsi="Times New Roman" w:eastAsia="仿宋" w:cs="Times New Roman"/>
                      <w:color w:val="auto"/>
                      <w:szCs w:val="21"/>
                    </w:rPr>
                  </w:pPr>
                </w:p>
              </w:tc>
            </w:tr>
            <w:tr w14:paraId="5E5C07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39D357CB">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23</w:t>
                  </w:r>
                </w:p>
              </w:tc>
              <w:tc>
                <w:tcPr>
                  <w:tcW w:w="323" w:type="pct"/>
                  <w:vMerge w:val="continue"/>
                  <w:shd w:val="clear" w:color="auto" w:fill="auto"/>
                  <w:tcMar>
                    <w:left w:w="0" w:type="dxa"/>
                    <w:right w:w="0" w:type="dxa"/>
                  </w:tcMar>
                  <w:vAlign w:val="center"/>
                </w:tcPr>
                <w:p w14:paraId="667CC5F1">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695A16B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酒石酸</w:t>
                  </w:r>
                </w:p>
              </w:tc>
              <w:tc>
                <w:tcPr>
                  <w:tcW w:w="1289" w:type="pct"/>
                  <w:shd w:val="clear" w:color="auto" w:fill="auto"/>
                  <w:vAlign w:val="center"/>
                </w:tcPr>
                <w:p w14:paraId="55A35EF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酒石酸≥99.5%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770DB25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1kg/瓶</w:t>
                  </w:r>
                </w:p>
              </w:tc>
              <w:tc>
                <w:tcPr>
                  <w:tcW w:w="446" w:type="pct"/>
                  <w:tcBorders>
                    <w:right w:val="single" w:color="auto" w:sz="4" w:space="0"/>
                  </w:tcBorders>
                  <w:shd w:val="clear" w:color="auto" w:fill="auto"/>
                  <w:vAlign w:val="center"/>
                </w:tcPr>
                <w:p w14:paraId="497EA15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44587E1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w:t>
                  </w:r>
                </w:p>
              </w:tc>
              <w:tc>
                <w:tcPr>
                  <w:tcW w:w="391" w:type="pct"/>
                  <w:tcBorders>
                    <w:left w:val="single" w:color="auto" w:sz="4" w:space="0"/>
                  </w:tcBorders>
                  <w:shd w:val="clear" w:color="auto" w:fill="auto"/>
                  <w:vAlign w:val="center"/>
                </w:tcPr>
                <w:p w14:paraId="3E349A2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1kg</w:t>
                  </w:r>
                </w:p>
              </w:tc>
              <w:tc>
                <w:tcPr>
                  <w:tcW w:w="281" w:type="pct"/>
                  <w:vMerge w:val="continue"/>
                  <w:shd w:val="clear" w:color="auto" w:fill="auto"/>
                  <w:vAlign w:val="center"/>
                </w:tcPr>
                <w:p w14:paraId="249F7096">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0CC44518">
                  <w:pPr>
                    <w:jc w:val="center"/>
                    <w:rPr>
                      <w:rFonts w:hint="default" w:ascii="Times New Roman" w:hAnsi="Times New Roman" w:eastAsia="仿宋" w:cs="Times New Roman"/>
                      <w:color w:val="auto"/>
                      <w:szCs w:val="21"/>
                    </w:rPr>
                  </w:pPr>
                </w:p>
              </w:tc>
            </w:tr>
            <w:tr w14:paraId="55E977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4F31FB12">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w:t>
                  </w:r>
                </w:p>
              </w:tc>
              <w:tc>
                <w:tcPr>
                  <w:tcW w:w="323" w:type="pct"/>
                  <w:vMerge w:val="continue"/>
                  <w:shd w:val="clear" w:color="auto" w:fill="auto"/>
                  <w:tcMar>
                    <w:left w:w="0" w:type="dxa"/>
                    <w:right w:w="0" w:type="dxa"/>
                  </w:tcMar>
                  <w:vAlign w:val="center"/>
                </w:tcPr>
                <w:p w14:paraId="42911C11">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56FDC93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ZESTRON FA+清洗剂</w:t>
                  </w:r>
                </w:p>
              </w:tc>
              <w:tc>
                <w:tcPr>
                  <w:tcW w:w="1289" w:type="pct"/>
                  <w:shd w:val="clear" w:color="auto" w:fill="auto"/>
                  <w:vAlign w:val="center"/>
                </w:tcPr>
                <w:p w14:paraId="611341B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2-氨基-1-丁醇1-5%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剩余水</w:t>
                  </w:r>
                </w:p>
              </w:tc>
              <w:tc>
                <w:tcPr>
                  <w:tcW w:w="446" w:type="pct"/>
                  <w:shd w:val="clear" w:color="auto" w:fill="auto"/>
                  <w:vAlign w:val="center"/>
                </w:tcPr>
                <w:p w14:paraId="695CD68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25L/瓶</w:t>
                  </w:r>
                </w:p>
              </w:tc>
              <w:tc>
                <w:tcPr>
                  <w:tcW w:w="446" w:type="pct"/>
                  <w:tcBorders>
                    <w:right w:val="single" w:color="auto" w:sz="4" w:space="0"/>
                  </w:tcBorders>
                  <w:shd w:val="clear" w:color="auto" w:fill="auto"/>
                  <w:vAlign w:val="center"/>
                </w:tcPr>
                <w:p w14:paraId="751CC62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02EEE87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w:t>
                  </w:r>
                </w:p>
              </w:tc>
              <w:tc>
                <w:tcPr>
                  <w:tcW w:w="391" w:type="pct"/>
                  <w:tcBorders>
                    <w:left w:val="single" w:color="auto" w:sz="4" w:space="0"/>
                  </w:tcBorders>
                  <w:shd w:val="clear" w:color="auto" w:fill="auto"/>
                  <w:vAlign w:val="center"/>
                </w:tcPr>
                <w:p w14:paraId="02F5E69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25L</w:t>
                  </w:r>
                </w:p>
              </w:tc>
              <w:tc>
                <w:tcPr>
                  <w:tcW w:w="281" w:type="pct"/>
                  <w:vMerge w:val="continue"/>
                  <w:tcBorders>
                    <w:bottom w:val="single" w:color="auto" w:sz="4" w:space="0"/>
                  </w:tcBorders>
                  <w:shd w:val="clear" w:color="auto" w:fill="auto"/>
                  <w:vAlign w:val="center"/>
                </w:tcPr>
                <w:p w14:paraId="6445AF5F">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1E8D8A96">
                  <w:pPr>
                    <w:jc w:val="center"/>
                    <w:rPr>
                      <w:rFonts w:hint="default" w:ascii="Times New Roman" w:hAnsi="Times New Roman" w:eastAsia="仿宋" w:cs="Times New Roman"/>
                      <w:color w:val="auto"/>
                      <w:szCs w:val="21"/>
                    </w:rPr>
                  </w:pPr>
                </w:p>
              </w:tc>
            </w:tr>
            <w:tr w14:paraId="54DE71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6F4908A5">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323" w:type="pct"/>
                  <w:vMerge w:val="restart"/>
                  <w:shd w:val="clear" w:color="auto" w:fill="auto"/>
                  <w:tcMar>
                    <w:left w:w="0" w:type="dxa"/>
                    <w:right w:w="0" w:type="dxa"/>
                  </w:tcMar>
                  <w:vAlign w:val="center"/>
                </w:tcPr>
                <w:p w14:paraId="6027E33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lang w:val="en-US" w:eastAsia="zh-CN"/>
                    </w:rPr>
                    <w:t>设备</w:t>
                  </w:r>
                  <w:r>
                    <w:rPr>
                      <w:rFonts w:hint="eastAsia" w:eastAsia="仿宋" w:cs="Times New Roman"/>
                      <w:color w:val="auto"/>
                      <w:szCs w:val="21"/>
                      <w:lang w:val="en-US" w:eastAsia="zh-CN"/>
                    </w:rPr>
                    <w:t>保养</w:t>
                  </w:r>
                  <w:r>
                    <w:rPr>
                      <w:rFonts w:hint="default" w:ascii="Times New Roman" w:hAnsi="Times New Roman" w:eastAsia="仿宋" w:cs="Times New Roman"/>
                      <w:color w:val="auto"/>
                      <w:szCs w:val="21"/>
                      <w:lang w:val="en-US" w:eastAsia="zh-CN"/>
                    </w:rPr>
                    <w:t>维修</w:t>
                  </w:r>
                </w:p>
              </w:tc>
              <w:tc>
                <w:tcPr>
                  <w:tcW w:w="725" w:type="pct"/>
                  <w:shd w:val="clear" w:color="auto" w:fill="auto"/>
                  <w:tcMar>
                    <w:left w:w="0" w:type="dxa"/>
                    <w:right w:w="0" w:type="dxa"/>
                  </w:tcMar>
                  <w:vAlign w:val="center"/>
                </w:tcPr>
                <w:p w14:paraId="25B3A8B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碱性清洗剂</w:t>
                  </w:r>
                </w:p>
              </w:tc>
              <w:tc>
                <w:tcPr>
                  <w:tcW w:w="1289" w:type="pct"/>
                  <w:shd w:val="clear" w:color="auto" w:fill="auto"/>
                  <w:vAlign w:val="center"/>
                </w:tcPr>
                <w:p w14:paraId="05CD48E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氢氧化钠10-15%、平平加5-10%、非离子表面活性剂5-10%、碳酸钾1-5%、水50-60%</w:t>
                  </w:r>
                </w:p>
              </w:tc>
              <w:tc>
                <w:tcPr>
                  <w:tcW w:w="446" w:type="pct"/>
                  <w:shd w:val="clear" w:color="auto" w:fill="auto"/>
                  <w:vAlign w:val="center"/>
                </w:tcPr>
                <w:p w14:paraId="51FD739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20L/桶</w:t>
                  </w:r>
                </w:p>
              </w:tc>
              <w:tc>
                <w:tcPr>
                  <w:tcW w:w="446" w:type="pct"/>
                  <w:tcBorders>
                    <w:right w:val="single" w:color="auto" w:sz="4" w:space="0"/>
                  </w:tcBorders>
                  <w:shd w:val="clear" w:color="auto" w:fill="auto"/>
                  <w:vAlign w:val="center"/>
                </w:tcPr>
                <w:p w14:paraId="059224B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2442ACA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40</w:t>
                  </w:r>
                </w:p>
              </w:tc>
              <w:tc>
                <w:tcPr>
                  <w:tcW w:w="391" w:type="pct"/>
                  <w:tcBorders>
                    <w:left w:val="single" w:color="auto" w:sz="4" w:space="0"/>
                  </w:tcBorders>
                  <w:shd w:val="clear" w:color="auto" w:fill="auto"/>
                  <w:vAlign w:val="center"/>
                </w:tcPr>
                <w:p w14:paraId="3C873A7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20L</w:t>
                  </w:r>
                </w:p>
              </w:tc>
              <w:tc>
                <w:tcPr>
                  <w:tcW w:w="281" w:type="pct"/>
                  <w:vMerge w:val="restart"/>
                  <w:tcBorders>
                    <w:top w:val="single" w:color="auto" w:sz="4" w:space="0"/>
                  </w:tcBorders>
                  <w:shd w:val="clear" w:color="auto" w:fill="auto"/>
                  <w:vAlign w:val="center"/>
                </w:tcPr>
                <w:p w14:paraId="382F11F8">
                  <w:pPr>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维修间</w:t>
                  </w:r>
                </w:p>
              </w:tc>
              <w:tc>
                <w:tcPr>
                  <w:tcW w:w="417" w:type="pct"/>
                  <w:vMerge w:val="restart"/>
                  <w:shd w:val="clear" w:color="auto" w:fill="auto"/>
                  <w:vAlign w:val="center"/>
                </w:tcPr>
                <w:p w14:paraId="61B8D5C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r>
            <w:tr w14:paraId="18B8D7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3A12B4D6">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26</w:t>
                  </w:r>
                </w:p>
              </w:tc>
              <w:tc>
                <w:tcPr>
                  <w:tcW w:w="323" w:type="pct"/>
                  <w:vMerge w:val="continue"/>
                  <w:shd w:val="clear" w:color="auto" w:fill="auto"/>
                  <w:tcMar>
                    <w:left w:w="0" w:type="dxa"/>
                    <w:right w:w="0" w:type="dxa"/>
                  </w:tcMar>
                  <w:vAlign w:val="center"/>
                </w:tcPr>
                <w:p w14:paraId="382AA0A6">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34FA5E0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设备润滑剂</w:t>
                  </w:r>
                </w:p>
              </w:tc>
              <w:tc>
                <w:tcPr>
                  <w:tcW w:w="1289" w:type="pct"/>
                  <w:shd w:val="clear" w:color="auto" w:fill="auto"/>
                  <w:vAlign w:val="center"/>
                </w:tcPr>
                <w:p w14:paraId="003720C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矿物油</w:t>
                  </w:r>
                </w:p>
              </w:tc>
              <w:tc>
                <w:tcPr>
                  <w:tcW w:w="446" w:type="pct"/>
                  <w:shd w:val="clear" w:color="auto" w:fill="auto"/>
                  <w:vAlign w:val="center"/>
                </w:tcPr>
                <w:p w14:paraId="06C4F8D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2.5L/桶</w:t>
                  </w:r>
                </w:p>
              </w:tc>
              <w:tc>
                <w:tcPr>
                  <w:tcW w:w="446" w:type="pct"/>
                  <w:tcBorders>
                    <w:right w:val="single" w:color="auto" w:sz="4" w:space="0"/>
                  </w:tcBorders>
                  <w:shd w:val="clear" w:color="auto" w:fill="auto"/>
                  <w:vAlign w:val="center"/>
                </w:tcPr>
                <w:p w14:paraId="0A61336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0518209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391" w:type="pct"/>
                  <w:tcBorders>
                    <w:left w:val="single" w:color="auto" w:sz="4" w:space="0"/>
                  </w:tcBorders>
                  <w:shd w:val="clear" w:color="auto" w:fill="auto"/>
                  <w:vAlign w:val="center"/>
                </w:tcPr>
                <w:p w14:paraId="460AE38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2.5L</w:t>
                  </w:r>
                </w:p>
              </w:tc>
              <w:tc>
                <w:tcPr>
                  <w:tcW w:w="281" w:type="pct"/>
                  <w:vMerge w:val="continue"/>
                  <w:shd w:val="clear" w:color="auto" w:fill="auto"/>
                  <w:vAlign w:val="center"/>
                </w:tcPr>
                <w:p w14:paraId="54884703">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5EBFFF61">
                  <w:pPr>
                    <w:jc w:val="center"/>
                    <w:rPr>
                      <w:rFonts w:hint="default" w:ascii="Times New Roman" w:hAnsi="Times New Roman" w:eastAsia="仿宋" w:cs="Times New Roman"/>
                      <w:color w:val="auto"/>
                      <w:szCs w:val="21"/>
                    </w:rPr>
                  </w:pPr>
                </w:p>
              </w:tc>
            </w:tr>
            <w:tr w14:paraId="769438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6" w:hRule="atLeast"/>
                <w:jc w:val="center"/>
              </w:trPr>
              <w:tc>
                <w:tcPr>
                  <w:tcW w:w="224" w:type="pct"/>
                  <w:shd w:val="clear" w:color="auto" w:fill="auto"/>
                  <w:vAlign w:val="center"/>
                </w:tcPr>
                <w:p w14:paraId="3C57F94C">
                  <w:pPr>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27</w:t>
                  </w:r>
                </w:p>
              </w:tc>
              <w:tc>
                <w:tcPr>
                  <w:tcW w:w="323" w:type="pct"/>
                  <w:vMerge w:val="continue"/>
                  <w:shd w:val="clear" w:color="auto" w:fill="auto"/>
                  <w:tcMar>
                    <w:left w:w="0" w:type="dxa"/>
                    <w:right w:w="0" w:type="dxa"/>
                  </w:tcMar>
                  <w:vAlign w:val="center"/>
                </w:tcPr>
                <w:p w14:paraId="6A58CB0F">
                  <w:pPr>
                    <w:jc w:val="center"/>
                    <w:rPr>
                      <w:rFonts w:hint="default" w:ascii="Times New Roman" w:hAnsi="Times New Roman" w:eastAsia="仿宋" w:cs="Times New Roman"/>
                      <w:color w:val="auto"/>
                      <w:szCs w:val="21"/>
                      <w:lang w:val="en-US" w:eastAsia="zh-CN"/>
                    </w:rPr>
                  </w:pPr>
                </w:p>
              </w:tc>
              <w:tc>
                <w:tcPr>
                  <w:tcW w:w="725" w:type="pct"/>
                  <w:shd w:val="clear" w:color="auto" w:fill="auto"/>
                  <w:tcMar>
                    <w:left w:w="0" w:type="dxa"/>
                    <w:right w:w="0" w:type="dxa"/>
                  </w:tcMar>
                  <w:vAlign w:val="center"/>
                </w:tcPr>
                <w:p w14:paraId="741522F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切削液</w:t>
                  </w:r>
                </w:p>
              </w:tc>
              <w:tc>
                <w:tcPr>
                  <w:tcW w:w="1289" w:type="pct"/>
                  <w:shd w:val="clear" w:color="auto" w:fill="auto"/>
                  <w:vAlign w:val="center"/>
                </w:tcPr>
                <w:p w14:paraId="4CE7631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矿物油、水混合物</w:t>
                  </w:r>
                </w:p>
              </w:tc>
              <w:tc>
                <w:tcPr>
                  <w:tcW w:w="446" w:type="pct"/>
                  <w:shd w:val="clear" w:color="auto" w:fill="auto"/>
                  <w:vAlign w:val="center"/>
                </w:tcPr>
                <w:p w14:paraId="06C911E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20L/桶</w:t>
                  </w:r>
                </w:p>
              </w:tc>
              <w:tc>
                <w:tcPr>
                  <w:tcW w:w="446" w:type="pct"/>
                  <w:tcBorders>
                    <w:right w:val="single" w:color="auto" w:sz="4" w:space="0"/>
                  </w:tcBorders>
                  <w:shd w:val="clear" w:color="auto" w:fill="auto"/>
                  <w:vAlign w:val="center"/>
                </w:tcPr>
                <w:p w14:paraId="63FD911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kg</w:t>
                  </w:r>
                </w:p>
              </w:tc>
              <w:tc>
                <w:tcPr>
                  <w:tcW w:w="454" w:type="pct"/>
                  <w:tcBorders>
                    <w:right w:val="single" w:color="auto" w:sz="4" w:space="0"/>
                  </w:tcBorders>
                  <w:shd w:val="clear" w:color="auto" w:fill="auto"/>
                  <w:vAlign w:val="center"/>
                </w:tcPr>
                <w:p w14:paraId="1D27123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80</w:t>
                  </w:r>
                </w:p>
              </w:tc>
              <w:tc>
                <w:tcPr>
                  <w:tcW w:w="391" w:type="pct"/>
                  <w:tcBorders>
                    <w:left w:val="single" w:color="auto" w:sz="4" w:space="0"/>
                  </w:tcBorders>
                  <w:shd w:val="clear" w:color="auto" w:fill="auto"/>
                  <w:vAlign w:val="center"/>
                </w:tcPr>
                <w:p w14:paraId="6D47E49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4L</w:t>
                  </w:r>
                </w:p>
              </w:tc>
              <w:tc>
                <w:tcPr>
                  <w:tcW w:w="281" w:type="pct"/>
                  <w:vMerge w:val="continue"/>
                  <w:shd w:val="clear" w:color="auto" w:fill="auto"/>
                  <w:vAlign w:val="center"/>
                </w:tcPr>
                <w:p w14:paraId="0A7006B9">
                  <w:pPr>
                    <w:jc w:val="center"/>
                    <w:rPr>
                      <w:rFonts w:hint="default" w:ascii="Times New Roman" w:hAnsi="Times New Roman" w:eastAsia="仿宋" w:cs="Times New Roman"/>
                      <w:color w:val="auto"/>
                      <w:szCs w:val="21"/>
                    </w:rPr>
                  </w:pPr>
                </w:p>
              </w:tc>
              <w:tc>
                <w:tcPr>
                  <w:tcW w:w="417" w:type="pct"/>
                  <w:vMerge w:val="continue"/>
                  <w:shd w:val="clear" w:color="auto" w:fill="auto"/>
                  <w:vAlign w:val="center"/>
                </w:tcPr>
                <w:p w14:paraId="53E3D79F">
                  <w:pPr>
                    <w:jc w:val="center"/>
                    <w:rPr>
                      <w:rFonts w:hint="default" w:ascii="Times New Roman" w:hAnsi="Times New Roman" w:eastAsia="仿宋" w:cs="Times New Roman"/>
                      <w:color w:val="auto"/>
                      <w:szCs w:val="21"/>
                    </w:rPr>
                  </w:pPr>
                </w:p>
              </w:tc>
            </w:tr>
          </w:tbl>
          <w:p w14:paraId="3664CFA2">
            <w:pPr>
              <w:adjustRightInd w:val="0"/>
              <w:snapToGrid w:val="0"/>
              <w:spacing w:before="120" w:beforeLines="50" w:line="360" w:lineRule="auto"/>
              <w:ind w:firstLine="480" w:firstLineChars="200"/>
              <w:jc w:val="left"/>
              <w:rPr>
                <w:rFonts w:hint="default" w:ascii="Times New Roman" w:hAnsi="Times New Roman" w:eastAsia="仿宋" w:cs="Times New Roman"/>
                <w:color w:val="auto"/>
                <w:sz w:val="24"/>
                <w:szCs w:val="20"/>
              </w:rPr>
            </w:pPr>
            <w:r>
              <w:rPr>
                <w:rFonts w:hint="default" w:ascii="Times New Roman" w:hAnsi="Times New Roman" w:eastAsia="仿宋" w:cs="Times New Roman"/>
                <w:color w:val="auto"/>
                <w:sz w:val="24"/>
                <w:szCs w:val="20"/>
              </w:rPr>
              <w:t>主要原辅材料组分理化特性及毒理毒性见</w:t>
            </w:r>
            <w:r>
              <w:rPr>
                <w:rFonts w:hint="default" w:ascii="Times New Roman" w:hAnsi="Times New Roman" w:eastAsia="仿宋" w:cs="Times New Roman"/>
                <w:color w:val="auto"/>
                <w:sz w:val="24"/>
                <w:szCs w:val="20"/>
                <w:lang w:val="en-US" w:eastAsia="zh-CN"/>
              </w:rPr>
              <w:t>下表</w:t>
            </w:r>
            <w:r>
              <w:rPr>
                <w:rFonts w:hint="default" w:ascii="Times New Roman" w:hAnsi="Times New Roman" w:eastAsia="仿宋" w:cs="Times New Roman"/>
                <w:color w:val="auto"/>
                <w:sz w:val="24"/>
                <w:szCs w:val="20"/>
              </w:rPr>
              <w:t>。</w:t>
            </w:r>
          </w:p>
          <w:p w14:paraId="3CA6FAD1">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rPr>
              <w:t xml:space="preserve">  部分原辅材料组分理化特性及毒理毒性表</w:t>
            </w:r>
          </w:p>
          <w:tbl>
            <w:tblPr>
              <w:tblStyle w:val="26"/>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521"/>
              <w:gridCol w:w="5059"/>
              <w:gridCol w:w="1219"/>
              <w:gridCol w:w="2542"/>
            </w:tblGrid>
            <w:tr w14:paraId="58498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8" w:type="pct"/>
                  <w:vAlign w:val="center"/>
                </w:tcPr>
                <w:p w14:paraId="6AF698B5">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原料名称</w:t>
                  </w:r>
                </w:p>
              </w:tc>
              <w:tc>
                <w:tcPr>
                  <w:tcW w:w="978" w:type="pct"/>
                  <w:vAlign w:val="center"/>
                </w:tcPr>
                <w:p w14:paraId="2330A7FE">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分子式</w:t>
                  </w:r>
                </w:p>
              </w:tc>
              <w:tc>
                <w:tcPr>
                  <w:tcW w:w="1963" w:type="pct"/>
                  <w:vAlign w:val="center"/>
                </w:tcPr>
                <w:p w14:paraId="16E7FFA8">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理化性质</w:t>
                  </w:r>
                </w:p>
              </w:tc>
              <w:tc>
                <w:tcPr>
                  <w:tcW w:w="473" w:type="pct"/>
                  <w:vAlign w:val="center"/>
                </w:tcPr>
                <w:p w14:paraId="675DAB6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燃烧爆炸性</w:t>
                  </w:r>
                </w:p>
              </w:tc>
              <w:tc>
                <w:tcPr>
                  <w:tcW w:w="986" w:type="pct"/>
                  <w:vAlign w:val="center"/>
                </w:tcPr>
                <w:p w14:paraId="3CD51664">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毒性毒理</w:t>
                  </w:r>
                </w:p>
              </w:tc>
            </w:tr>
            <w:tr w14:paraId="1538A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03B272BC">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Cs w:val="21"/>
                      <w:lang w:val="en-US" w:eastAsia="zh-CN"/>
                    </w:rPr>
                    <w:t>氨基三亚甲基膦酸</w:t>
                  </w:r>
                </w:p>
              </w:tc>
              <w:tc>
                <w:tcPr>
                  <w:tcW w:w="978" w:type="pct"/>
                  <w:shd w:val="clear" w:color="auto" w:fill="auto"/>
                  <w:vAlign w:val="center"/>
                </w:tcPr>
                <w:p w14:paraId="4ACFA88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vertAlign w:val="subscript"/>
                    </w:rPr>
                    <w:t>7</w:t>
                  </w:r>
                  <w:r>
                    <w:rPr>
                      <w:rFonts w:hint="default" w:ascii="Times New Roman" w:hAnsi="Times New Roman" w:eastAsia="仿宋" w:cs="Times New Roman"/>
                      <w:color w:val="auto"/>
                      <w:sz w:val="21"/>
                      <w:szCs w:val="21"/>
                    </w:rPr>
                    <w:t>NO</w:t>
                  </w:r>
                  <w:r>
                    <w:rPr>
                      <w:rFonts w:hint="default" w:ascii="Times New Roman" w:hAnsi="Times New Roman" w:eastAsia="仿宋" w:cs="Times New Roman"/>
                      <w:color w:val="auto"/>
                      <w:sz w:val="21"/>
                      <w:szCs w:val="21"/>
                      <w:vertAlign w:val="subscript"/>
                    </w:rPr>
                    <w:t>9</w:t>
                  </w:r>
                  <w:r>
                    <w:rPr>
                      <w:rFonts w:hint="default" w:ascii="Times New Roman" w:hAnsi="Times New Roman" w:eastAsia="仿宋" w:cs="Times New Roman"/>
                      <w:color w:val="auto"/>
                      <w:sz w:val="21"/>
                      <w:szCs w:val="21"/>
                    </w:rPr>
                    <w:t>P</w:t>
                  </w:r>
                  <w:r>
                    <w:rPr>
                      <w:rFonts w:hint="default" w:ascii="Times New Roman" w:hAnsi="Times New Roman" w:eastAsia="仿宋" w:cs="Times New Roman"/>
                      <w:color w:val="auto"/>
                      <w:sz w:val="21"/>
                      <w:szCs w:val="21"/>
                      <w:vertAlign w:val="subscript"/>
                    </w:rPr>
                    <w:t>3</w:t>
                  </w:r>
                </w:p>
              </w:tc>
              <w:tc>
                <w:tcPr>
                  <w:tcW w:w="1963" w:type="pct"/>
                  <w:shd w:val="clear" w:color="auto" w:fill="auto"/>
                  <w:vAlign w:val="center"/>
                </w:tcPr>
                <w:p w14:paraId="6BC898EE">
                  <w:pPr>
                    <w:adjustRightInd w:val="0"/>
                    <w:snapToGrid w:val="0"/>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分子量</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294.013</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可与水混溶</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200℃下有优良的阻垢性能，稳定性好，具有良好的分散性能。熔点</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215℃</w:t>
                  </w:r>
                  <w:r>
                    <w:rPr>
                      <w:rFonts w:hint="eastAsia" w:eastAsia="仿宋" w:cs="Times New Roman"/>
                      <w:color w:val="auto"/>
                      <w:sz w:val="21"/>
                      <w:szCs w:val="21"/>
                      <w:lang w:eastAsia="zh-CN"/>
                    </w:rPr>
                    <w:t>。</w:t>
                  </w:r>
                </w:p>
              </w:tc>
              <w:tc>
                <w:tcPr>
                  <w:tcW w:w="473" w:type="pct"/>
                  <w:shd w:val="clear" w:color="auto" w:fill="auto"/>
                  <w:vAlign w:val="center"/>
                </w:tcPr>
                <w:p w14:paraId="5A1FB071">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986" w:type="pct"/>
                  <w:shd w:val="clear" w:color="auto" w:fill="auto"/>
                  <w:vAlign w:val="center"/>
                </w:tcPr>
                <w:p w14:paraId="4E0C32FF">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无资料</w:t>
                  </w:r>
                </w:p>
              </w:tc>
            </w:tr>
            <w:tr w14:paraId="45D94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035766D2">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氢氧化钾</w:t>
                  </w:r>
                </w:p>
              </w:tc>
              <w:tc>
                <w:tcPr>
                  <w:tcW w:w="978" w:type="pct"/>
                  <w:shd w:val="clear" w:color="auto" w:fill="auto"/>
                  <w:vAlign w:val="center"/>
                </w:tcPr>
                <w:p w14:paraId="60C6E009">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KOH</w:t>
                  </w:r>
                </w:p>
              </w:tc>
              <w:tc>
                <w:tcPr>
                  <w:tcW w:w="1963" w:type="pct"/>
                  <w:shd w:val="clear" w:color="auto" w:fill="auto"/>
                  <w:vAlign w:val="center"/>
                </w:tcPr>
                <w:p w14:paraId="050F5758">
                  <w:pPr>
                    <w:adjustRightInd w:val="0"/>
                    <w:snapToGrid w:val="0"/>
                    <w:jc w:val="center"/>
                    <w:rPr>
                      <w:rFonts w:hint="eastAsia" w:eastAsia="仿宋" w:cs="Times New Roman"/>
                      <w:color w:val="auto"/>
                      <w:sz w:val="21"/>
                      <w:szCs w:val="21"/>
                      <w:vertAlign w:val="baseline"/>
                      <w:lang w:val="en-US" w:eastAsia="zh-CN"/>
                    </w:rPr>
                  </w:pPr>
                  <w:r>
                    <w:rPr>
                      <w:rFonts w:hint="eastAsia" w:eastAsia="仿宋" w:cs="Times New Roman"/>
                      <w:color w:val="auto"/>
                      <w:sz w:val="21"/>
                      <w:szCs w:val="21"/>
                      <w:lang w:val="en-US" w:eastAsia="zh-CN"/>
                    </w:rPr>
                    <w:t>分子量：56.1，白色粉末或片状固体，密度：2.044g/cm</w:t>
                  </w:r>
                  <w:r>
                    <w:rPr>
                      <w:rFonts w:hint="eastAsia" w:eastAsia="仿宋" w:cs="Times New Roman"/>
                      <w:color w:val="auto"/>
                      <w:sz w:val="21"/>
                      <w:szCs w:val="21"/>
                      <w:vertAlign w:val="superscript"/>
                      <w:lang w:val="en-US" w:eastAsia="zh-CN"/>
                    </w:rPr>
                    <w:t>3</w:t>
                  </w:r>
                  <w:r>
                    <w:rPr>
                      <w:rFonts w:hint="eastAsia" w:eastAsia="仿宋" w:cs="Times New Roman"/>
                      <w:color w:val="auto"/>
                      <w:sz w:val="21"/>
                      <w:szCs w:val="21"/>
                      <w:vertAlign w:val="baseline"/>
                      <w:lang w:val="en-US" w:eastAsia="zh-CN"/>
                    </w:rPr>
                    <w:t>，</w:t>
                  </w:r>
                </w:p>
                <w:p w14:paraId="33F9395E">
                  <w:pPr>
                    <w:adjustRightInd w:val="0"/>
                    <w:snapToGrid w:val="0"/>
                    <w:jc w:val="both"/>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熔点380℃，易溶于水，溶解时放出大量溶解热，溶于乙醇，微溶于醚。易潮解，有极强的吸水性。</w:t>
                  </w:r>
                </w:p>
              </w:tc>
              <w:tc>
                <w:tcPr>
                  <w:tcW w:w="473" w:type="pct"/>
                  <w:shd w:val="clear" w:color="auto" w:fill="auto"/>
                  <w:vAlign w:val="center"/>
                </w:tcPr>
                <w:p w14:paraId="0EB0F6A3">
                  <w:pPr>
                    <w:adjustRightInd w:val="0"/>
                    <w:snapToGrid w:val="0"/>
                    <w:jc w:val="center"/>
                    <w:rPr>
                      <w:rFonts w:hint="eastAsia" w:ascii="Times New Roman" w:hAnsi="Times New Roman" w:eastAsia="仿宋" w:cs="Times New Roman"/>
                      <w:color w:val="auto"/>
                      <w:sz w:val="21"/>
                      <w:szCs w:val="21"/>
                      <w:lang w:eastAsia="zh-CN"/>
                    </w:rPr>
                  </w:pPr>
                  <w:r>
                    <w:rPr>
                      <w:rFonts w:hint="eastAsia" w:eastAsia="仿宋" w:cs="Times New Roman"/>
                      <w:color w:val="auto"/>
                      <w:sz w:val="21"/>
                      <w:szCs w:val="21"/>
                      <w:lang w:val="en-US" w:eastAsia="zh-CN"/>
                    </w:rPr>
                    <w:t>不燃</w:t>
                  </w:r>
                </w:p>
              </w:tc>
              <w:tc>
                <w:tcPr>
                  <w:tcW w:w="986" w:type="pct"/>
                  <w:shd w:val="clear" w:color="auto" w:fill="auto"/>
                  <w:vAlign w:val="center"/>
                </w:tcPr>
                <w:p w14:paraId="6C4E96D2">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无资料</w:t>
                  </w:r>
                </w:p>
              </w:tc>
            </w:tr>
            <w:tr w14:paraId="3EBCA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639FBC47">
                  <w:pPr>
                    <w:widowControl/>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磷酸</w:t>
                  </w:r>
                </w:p>
              </w:tc>
              <w:tc>
                <w:tcPr>
                  <w:tcW w:w="978" w:type="pct"/>
                  <w:shd w:val="clear" w:color="auto" w:fill="auto"/>
                  <w:vAlign w:val="center"/>
                </w:tcPr>
                <w:p w14:paraId="3BB5D0E2">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H</w:t>
                  </w:r>
                  <w:r>
                    <w:rPr>
                      <w:rFonts w:hint="eastAsia" w:eastAsia="仿宋" w:cs="Times New Roman"/>
                      <w:color w:val="auto"/>
                      <w:sz w:val="21"/>
                      <w:szCs w:val="21"/>
                      <w:vertAlign w:val="subscript"/>
                      <w:lang w:val="en-US" w:eastAsia="zh-CN"/>
                    </w:rPr>
                    <w:t>3</w:t>
                  </w:r>
                  <w:r>
                    <w:rPr>
                      <w:rFonts w:hint="eastAsia" w:eastAsia="仿宋" w:cs="Times New Roman"/>
                      <w:color w:val="auto"/>
                      <w:sz w:val="21"/>
                      <w:szCs w:val="21"/>
                      <w:lang w:val="en-US" w:eastAsia="zh-CN"/>
                    </w:rPr>
                    <w:t>PO</w:t>
                  </w:r>
                  <w:r>
                    <w:rPr>
                      <w:rFonts w:hint="eastAsia" w:eastAsia="仿宋" w:cs="Times New Roman"/>
                      <w:color w:val="auto"/>
                      <w:sz w:val="21"/>
                      <w:szCs w:val="21"/>
                      <w:vertAlign w:val="subscript"/>
                      <w:lang w:val="en-US" w:eastAsia="zh-CN"/>
                    </w:rPr>
                    <w:t>4</w:t>
                  </w:r>
                </w:p>
              </w:tc>
              <w:tc>
                <w:tcPr>
                  <w:tcW w:w="1963" w:type="pct"/>
                  <w:shd w:val="clear" w:color="auto" w:fill="auto"/>
                  <w:vAlign w:val="center"/>
                </w:tcPr>
                <w:p w14:paraId="323B305E">
                  <w:pPr>
                    <w:adjustRightInd w:val="0"/>
                    <w:snapToGrid w:val="0"/>
                    <w:jc w:val="center"/>
                    <w:rPr>
                      <w:rFonts w:hint="default" w:ascii="Times New Roman" w:hAnsi="Times New Roman" w:eastAsia="仿宋" w:cs="Times New Roman"/>
                      <w:color w:val="auto"/>
                      <w:sz w:val="21"/>
                      <w:szCs w:val="21"/>
                      <w:vertAlign w:val="baseline"/>
                      <w:lang w:val="en-US"/>
                    </w:rPr>
                  </w:pPr>
                  <w:r>
                    <w:rPr>
                      <w:rFonts w:hint="eastAsia" w:eastAsia="仿宋" w:cs="Times New Roman"/>
                      <w:color w:val="auto"/>
                      <w:sz w:val="21"/>
                      <w:szCs w:val="21"/>
                      <w:lang w:val="en-US" w:eastAsia="zh-CN"/>
                    </w:rPr>
                    <w:t>分子量：98，</w:t>
                  </w:r>
                  <w:r>
                    <w:rPr>
                      <w:rFonts w:hint="default" w:ascii="Times New Roman" w:hAnsi="Times New Roman" w:eastAsia="仿宋" w:cs="Times New Roman"/>
                      <w:color w:val="auto"/>
                      <w:sz w:val="21"/>
                      <w:szCs w:val="21"/>
                    </w:rPr>
                    <w:t>无色透明或略带浅色的稠状液体，溶于水</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沸点</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261</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分解</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熔点：42</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密度：1.874g/cm</w:t>
                  </w:r>
                  <w:r>
                    <w:rPr>
                      <w:rFonts w:hint="eastAsia" w:eastAsia="仿宋" w:cs="Times New Roman"/>
                      <w:color w:val="auto"/>
                      <w:sz w:val="21"/>
                      <w:szCs w:val="21"/>
                      <w:vertAlign w:val="superscript"/>
                      <w:lang w:val="en-US" w:eastAsia="zh-CN"/>
                    </w:rPr>
                    <w:t>3</w:t>
                  </w:r>
                  <w:r>
                    <w:rPr>
                      <w:rFonts w:hint="eastAsia" w:eastAsia="仿宋" w:cs="Times New Roman"/>
                      <w:color w:val="auto"/>
                      <w:sz w:val="21"/>
                      <w:szCs w:val="21"/>
                      <w:vertAlign w:val="baseline"/>
                      <w:lang w:val="en-US" w:eastAsia="zh-CN"/>
                    </w:rPr>
                    <w:t>。</w:t>
                  </w:r>
                </w:p>
              </w:tc>
              <w:tc>
                <w:tcPr>
                  <w:tcW w:w="473" w:type="pct"/>
                  <w:shd w:val="clear" w:color="auto" w:fill="auto"/>
                  <w:vAlign w:val="center"/>
                </w:tcPr>
                <w:p w14:paraId="6BB4648F">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986" w:type="pct"/>
                  <w:shd w:val="clear" w:color="auto" w:fill="auto"/>
                  <w:vAlign w:val="center"/>
                </w:tcPr>
                <w:p w14:paraId="797610F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default" w:ascii="Times New Roman" w:hAnsi="Times New Roman" w:eastAsia="仿宋" w:cs="Times New Roman"/>
                      <w:color w:val="auto"/>
                      <w:sz w:val="21"/>
                      <w:szCs w:val="21"/>
                    </w:rPr>
                    <w:t>：1530mg/kg（大鼠经口）；2740mg/kg（兔经皮）</w:t>
                  </w:r>
                </w:p>
              </w:tc>
            </w:tr>
            <w:tr w14:paraId="15C1B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0B8D5F63">
                  <w:pPr>
                    <w:widowControl/>
                    <w:jc w:val="center"/>
                    <w:rPr>
                      <w:rFonts w:hint="default" w:eastAsia="仿宋" w:cs="Times New Roman"/>
                      <w:color w:val="auto"/>
                      <w:szCs w:val="21"/>
                      <w:lang w:val="en-US" w:eastAsia="zh-CN"/>
                    </w:rPr>
                  </w:pPr>
                  <w:r>
                    <w:rPr>
                      <w:rFonts w:hint="eastAsia" w:eastAsia="仿宋" w:cs="Times New Roman"/>
                      <w:color w:val="auto"/>
                      <w:szCs w:val="21"/>
                      <w:lang w:val="en-US" w:eastAsia="zh-CN"/>
                    </w:rPr>
                    <w:t>硫酸</w:t>
                  </w:r>
                </w:p>
              </w:tc>
              <w:tc>
                <w:tcPr>
                  <w:tcW w:w="978" w:type="pct"/>
                  <w:shd w:val="clear" w:color="auto" w:fill="auto"/>
                  <w:vAlign w:val="center"/>
                </w:tcPr>
                <w:p w14:paraId="416D1834">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H₂SO₄</w:t>
                  </w:r>
                </w:p>
              </w:tc>
              <w:tc>
                <w:tcPr>
                  <w:tcW w:w="1963" w:type="pct"/>
                  <w:shd w:val="clear" w:color="auto" w:fill="auto"/>
                  <w:vAlign w:val="center"/>
                </w:tcPr>
                <w:p w14:paraId="2F259538">
                  <w:pPr>
                    <w:adjustRightInd w:val="0"/>
                    <w:snapToGrid w:val="0"/>
                    <w:jc w:val="both"/>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分子量：98.078，</w:t>
                  </w:r>
                  <w:r>
                    <w:rPr>
                      <w:rFonts w:hint="default" w:ascii="Times New Roman" w:hAnsi="Times New Roman" w:eastAsia="仿宋" w:cs="Times New Roman"/>
                      <w:color w:val="auto"/>
                      <w:sz w:val="21"/>
                      <w:szCs w:val="21"/>
                    </w:rPr>
                    <w:t>透明无色无臭液体</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与水任意比互溶，熔点：10.371</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沸点：337</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密度：1.8305g/cm</w:t>
                  </w:r>
                  <w:r>
                    <w:rPr>
                      <w:rFonts w:hint="eastAsia" w:eastAsia="仿宋" w:cs="Times New Roman"/>
                      <w:color w:val="auto"/>
                      <w:sz w:val="21"/>
                      <w:szCs w:val="21"/>
                      <w:vertAlign w:val="superscript"/>
                      <w:lang w:val="en-US" w:eastAsia="zh-CN"/>
                    </w:rPr>
                    <w:t>3</w:t>
                  </w:r>
                </w:p>
              </w:tc>
              <w:tc>
                <w:tcPr>
                  <w:tcW w:w="473" w:type="pct"/>
                  <w:shd w:val="clear" w:color="auto" w:fill="auto"/>
                  <w:vAlign w:val="center"/>
                </w:tcPr>
                <w:p w14:paraId="7879A32A">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986" w:type="pct"/>
                  <w:shd w:val="clear" w:color="auto" w:fill="auto"/>
                  <w:vAlign w:val="center"/>
                </w:tcPr>
                <w:p w14:paraId="4FB8AEE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eastAsia" w:eastAsia="仿宋" w:cs="Times New Roman"/>
                      <w:color w:val="auto"/>
                      <w:sz w:val="21"/>
                      <w:szCs w:val="21"/>
                      <w:vertAlign w:val="baseline"/>
                      <w:lang w:eastAsia="zh-CN"/>
                    </w:rPr>
                    <w:t>：</w:t>
                  </w:r>
                  <w:r>
                    <w:rPr>
                      <w:rFonts w:hint="default" w:ascii="Times New Roman" w:hAnsi="Times New Roman" w:eastAsia="仿宋" w:cs="Times New Roman"/>
                      <w:color w:val="auto"/>
                      <w:sz w:val="21"/>
                      <w:szCs w:val="21"/>
                    </w:rPr>
                    <w:t>2140mg/kg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大鼠经口</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；LC</w:t>
                  </w:r>
                  <w:r>
                    <w:rPr>
                      <w:rFonts w:hint="default" w:ascii="Times New Roman" w:hAnsi="Times New Roman" w:eastAsia="仿宋" w:cs="Times New Roman"/>
                      <w:color w:val="auto"/>
                      <w:sz w:val="21"/>
                      <w:szCs w:val="21"/>
                      <w:vertAlign w:val="subscript"/>
                    </w:rPr>
                    <w:t>50</w:t>
                  </w:r>
                  <w:r>
                    <w:rPr>
                      <w:rFonts w:hint="eastAsia" w:eastAsia="仿宋" w:cs="Times New Roman"/>
                      <w:color w:val="auto"/>
                      <w:sz w:val="21"/>
                      <w:szCs w:val="21"/>
                      <w:vertAlign w:val="baseline"/>
                      <w:lang w:eastAsia="zh-CN"/>
                    </w:rPr>
                    <w:t>：</w:t>
                  </w:r>
                  <w:r>
                    <w:rPr>
                      <w:rFonts w:hint="default" w:ascii="Times New Roman" w:hAnsi="Times New Roman" w:eastAsia="仿宋" w:cs="Times New Roman"/>
                      <w:color w:val="auto"/>
                      <w:sz w:val="21"/>
                      <w:szCs w:val="21"/>
                    </w:rPr>
                    <w:t>510mg/m³，2小时</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大鼠吸入</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；320mg/m³，2小时</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小鼠吸入</w:t>
                  </w:r>
                  <w:r>
                    <w:rPr>
                      <w:rFonts w:hint="eastAsia" w:eastAsia="仿宋" w:cs="Times New Roman"/>
                      <w:color w:val="auto"/>
                      <w:sz w:val="21"/>
                      <w:szCs w:val="21"/>
                      <w:lang w:eastAsia="zh-CN"/>
                    </w:rPr>
                    <w:t>）</w:t>
                  </w:r>
                </w:p>
              </w:tc>
            </w:tr>
            <w:tr w14:paraId="522DB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98" w:type="pct"/>
                  <w:vAlign w:val="center"/>
                </w:tcPr>
                <w:p w14:paraId="066E49A8">
                  <w:pPr>
                    <w:widowControl/>
                    <w:jc w:val="center"/>
                    <w:rPr>
                      <w:rFonts w:hint="eastAsia" w:eastAsia="仿宋" w:cs="Times New Roman"/>
                      <w:color w:val="auto"/>
                      <w:szCs w:val="21"/>
                      <w:lang w:val="en-US" w:eastAsia="zh-CN"/>
                    </w:rPr>
                  </w:pPr>
                  <w:r>
                    <w:rPr>
                      <w:rFonts w:hint="default" w:ascii="Times New Roman" w:hAnsi="Times New Roman" w:eastAsia="仿宋" w:cs="Times New Roman"/>
                      <w:color w:val="auto"/>
                      <w:szCs w:val="21"/>
                      <w:lang w:val="en-US" w:eastAsia="zh-CN"/>
                    </w:rPr>
                    <w:t>二乙二醇单丁基醚</w:t>
                  </w:r>
                </w:p>
              </w:tc>
              <w:tc>
                <w:tcPr>
                  <w:tcW w:w="978" w:type="pct"/>
                  <w:shd w:val="clear" w:color="auto" w:fill="auto"/>
                  <w:vAlign w:val="center"/>
                </w:tcPr>
                <w:p w14:paraId="3F411B3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w:t>
                  </w:r>
                  <w:r>
                    <w:rPr>
                      <w:rFonts w:hint="default" w:ascii="Times New Roman" w:hAnsi="Times New Roman" w:eastAsia="仿宋" w:cs="Times New Roman"/>
                      <w:color w:val="auto"/>
                      <w:sz w:val="21"/>
                      <w:szCs w:val="21"/>
                      <w:vertAlign w:val="subscript"/>
                    </w:rPr>
                    <w:t>8</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vertAlign w:val="subscript"/>
                    </w:rPr>
                    <w:t>18</w:t>
                  </w:r>
                  <w:r>
                    <w:rPr>
                      <w:rFonts w:hint="default" w:ascii="Times New Roman" w:hAnsi="Times New Roman" w:eastAsia="仿宋" w:cs="Times New Roman"/>
                      <w:color w:val="auto"/>
                      <w:sz w:val="21"/>
                      <w:szCs w:val="21"/>
                    </w:rPr>
                    <w:t>O</w:t>
                  </w:r>
                  <w:r>
                    <w:rPr>
                      <w:rFonts w:hint="default" w:ascii="Times New Roman" w:hAnsi="Times New Roman" w:eastAsia="仿宋" w:cs="Times New Roman"/>
                      <w:color w:val="auto"/>
                      <w:sz w:val="21"/>
                      <w:szCs w:val="21"/>
                      <w:vertAlign w:val="subscript"/>
                    </w:rPr>
                    <w:t>3</w:t>
                  </w:r>
                </w:p>
              </w:tc>
              <w:tc>
                <w:tcPr>
                  <w:tcW w:w="1963" w:type="pct"/>
                  <w:shd w:val="clear" w:color="auto" w:fill="auto"/>
                  <w:vAlign w:val="center"/>
                </w:tcPr>
                <w:p w14:paraId="13E3F84C">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分子量：162.26，无色液体，溶于水、油类，易溶于醇、醚。熔点：-68.1</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沸点：230.6</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相对密度（水=1）：0.9553，闪点：77.8</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爆炸上限（V/V）：24.6%，爆炸下限（V/V）：0.4%</w:t>
                  </w:r>
                </w:p>
              </w:tc>
              <w:tc>
                <w:tcPr>
                  <w:tcW w:w="473" w:type="pct"/>
                  <w:shd w:val="clear" w:color="auto" w:fill="auto"/>
                  <w:vAlign w:val="center"/>
                </w:tcPr>
                <w:p w14:paraId="356C02A8">
                  <w:pPr>
                    <w:adjustRightInd w:val="0"/>
                    <w:snapToGrid w:val="0"/>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可燃</w:t>
                  </w:r>
                  <w:r>
                    <w:rPr>
                      <w:rFonts w:hint="eastAsia" w:eastAsia="仿宋" w:cs="Times New Roman"/>
                      <w:color w:val="auto"/>
                      <w:sz w:val="21"/>
                      <w:szCs w:val="21"/>
                      <w:lang w:eastAsia="zh-CN"/>
                    </w:rPr>
                    <w:t>，若遇高热，容器内压增大，有开裂和爆炸的危险。</w:t>
                  </w:r>
                </w:p>
              </w:tc>
              <w:tc>
                <w:tcPr>
                  <w:tcW w:w="986" w:type="pct"/>
                  <w:shd w:val="clear" w:color="auto" w:fill="auto"/>
                  <w:vAlign w:val="center"/>
                </w:tcPr>
                <w:p w14:paraId="5736236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default" w:ascii="Times New Roman" w:hAnsi="Times New Roman" w:eastAsia="仿宋" w:cs="Times New Roman"/>
                      <w:color w:val="auto"/>
                      <w:sz w:val="21"/>
                      <w:szCs w:val="21"/>
                    </w:rPr>
                    <w:t>：566mg/kg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大鼠经口</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2400mg/kg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小鼠经口</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2200mg/kg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兔经口</w:t>
                  </w:r>
                  <w:r>
                    <w:rPr>
                      <w:rFonts w:hint="eastAsia" w:eastAsia="仿宋" w:cs="Times New Roman"/>
                      <w:color w:val="auto"/>
                      <w:sz w:val="21"/>
                      <w:szCs w:val="21"/>
                      <w:lang w:eastAsia="zh-CN"/>
                    </w:rPr>
                    <w:t>）</w:t>
                  </w:r>
                </w:p>
              </w:tc>
            </w:tr>
            <w:tr w14:paraId="72225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42A9C7E0">
                  <w:pPr>
                    <w:widowControl/>
                    <w:jc w:val="center"/>
                    <w:rPr>
                      <w:rFonts w:hint="eastAsia" w:eastAsia="仿宋" w:cs="Times New Roman"/>
                      <w:color w:val="auto"/>
                      <w:szCs w:val="21"/>
                      <w:lang w:val="en-US" w:eastAsia="zh-CN"/>
                    </w:rPr>
                  </w:pPr>
                  <w:r>
                    <w:rPr>
                      <w:rFonts w:hint="default" w:ascii="Times New Roman" w:hAnsi="Times New Roman" w:eastAsia="仿宋" w:cs="Times New Roman"/>
                      <w:color w:val="auto"/>
                      <w:szCs w:val="21"/>
                      <w:lang w:val="en-US" w:eastAsia="zh-CN"/>
                    </w:rPr>
                    <w:t>烷氧基化脂肪醇</w:t>
                  </w:r>
                </w:p>
              </w:tc>
              <w:tc>
                <w:tcPr>
                  <w:tcW w:w="978" w:type="pct"/>
                  <w:shd w:val="clear" w:color="auto" w:fill="auto"/>
                  <w:vAlign w:val="center"/>
                </w:tcPr>
                <w:p w14:paraId="741AC4D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R</w:t>
                  </w:r>
                  <w:r>
                    <w:rPr>
                      <w:rFonts w:hint="eastAsia" w:eastAsia="仿宋" w:cs="Times New Roman"/>
                      <w:color w:val="auto"/>
                      <w:sz w:val="21"/>
                      <w:szCs w:val="21"/>
                      <w:lang w:val="en-US" w:eastAsia="zh-CN"/>
                    </w:rPr>
                    <w:t>-O-</w:t>
                  </w:r>
                  <w:r>
                    <w:rPr>
                      <w:rFonts w:hint="default" w:ascii="Times New Roman" w:hAnsi="Times New Roman" w:eastAsia="仿宋" w:cs="Times New Roman"/>
                      <w:color w:val="auto"/>
                      <w:sz w:val="21"/>
                      <w:szCs w:val="21"/>
                    </w:rPr>
                    <w:t>(CH</w:t>
                  </w:r>
                  <w:r>
                    <w:rPr>
                      <w:rFonts w:hint="eastAsia" w:eastAsia="仿宋" w:cs="Times New Roman"/>
                      <w:color w:val="auto"/>
                      <w:sz w:val="21"/>
                      <w:szCs w:val="21"/>
                      <w:vertAlign w:val="subscript"/>
                      <w:lang w:val="en-US" w:eastAsia="zh-CN"/>
                    </w:rPr>
                    <w:t>2</w:t>
                  </w:r>
                  <w:r>
                    <w:rPr>
                      <w:rFonts w:hint="default" w:ascii="Times New Roman" w:hAnsi="Times New Roman" w:eastAsia="仿宋" w:cs="Times New Roman"/>
                      <w:color w:val="auto"/>
                      <w:sz w:val="21"/>
                      <w:szCs w:val="21"/>
                    </w:rPr>
                    <w:t>CH</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lang w:val="en-US" w:eastAsia="zh-CN"/>
                    </w:rPr>
                    <w:t>O</w:t>
                  </w:r>
                  <w:r>
                    <w:rPr>
                      <w:rFonts w:hint="default" w:ascii="Times New Roman" w:hAnsi="Times New Roman" w:eastAsia="仿宋" w:cs="Times New Roman"/>
                      <w:color w:val="auto"/>
                      <w:sz w:val="21"/>
                      <w:szCs w:val="21"/>
                    </w:rPr>
                    <w:t>)</w:t>
                  </w:r>
                  <w:r>
                    <w:rPr>
                      <w:rFonts w:hint="eastAsia" w:eastAsia="仿宋" w:cs="Times New Roman"/>
                      <w:color w:val="auto"/>
                      <w:sz w:val="21"/>
                      <w:szCs w:val="21"/>
                      <w:vertAlign w:val="subscript"/>
                      <w:lang w:val="en-US" w:eastAsia="zh-CN"/>
                    </w:rPr>
                    <w:t>n</w:t>
                  </w:r>
                  <w:r>
                    <w:rPr>
                      <w:rFonts w:hint="default" w:ascii="Times New Roman" w:hAnsi="Times New Roman" w:eastAsia="仿宋" w:cs="Times New Roman"/>
                      <w:color w:val="auto"/>
                      <w:sz w:val="21"/>
                      <w:szCs w:val="21"/>
                    </w:rPr>
                    <w:t>H或R</w:t>
                  </w:r>
                  <w:r>
                    <w:rPr>
                      <w:rFonts w:hint="eastAsia" w:eastAsia="仿宋" w:cs="Times New Roman"/>
                      <w:color w:val="auto"/>
                      <w:sz w:val="21"/>
                      <w:szCs w:val="21"/>
                      <w:lang w:val="en-US" w:eastAsia="zh-CN"/>
                    </w:rPr>
                    <w:t>-O-</w:t>
                  </w:r>
                  <w:r>
                    <w:rPr>
                      <w:rFonts w:hint="default" w:ascii="Times New Roman" w:hAnsi="Times New Roman" w:eastAsia="仿宋" w:cs="Times New Roman"/>
                      <w:color w:val="auto"/>
                      <w:sz w:val="21"/>
                      <w:szCs w:val="21"/>
                    </w:rPr>
                    <w:t>(CH</w:t>
                  </w:r>
                  <w:r>
                    <w:rPr>
                      <w:rFonts w:hint="eastAsia" w:eastAsia="仿宋" w:cs="Times New Roman"/>
                      <w:color w:val="auto"/>
                      <w:sz w:val="21"/>
                      <w:szCs w:val="21"/>
                      <w:vertAlign w:val="subscript"/>
                      <w:lang w:val="en-US" w:eastAsia="zh-CN"/>
                    </w:rPr>
                    <w:t>2</w:t>
                  </w:r>
                  <w:r>
                    <w:rPr>
                      <w:rFonts w:hint="default" w:ascii="Times New Roman" w:hAnsi="Times New Roman" w:eastAsia="仿宋" w:cs="Times New Roman"/>
                      <w:color w:val="auto"/>
                      <w:sz w:val="21"/>
                      <w:szCs w:val="21"/>
                    </w:rPr>
                    <w:t>CH(CH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)O)</w:t>
                  </w:r>
                  <w:r>
                    <w:rPr>
                      <w:rFonts w:hint="eastAsia" w:eastAsia="仿宋" w:cs="Times New Roman"/>
                      <w:color w:val="auto"/>
                      <w:sz w:val="21"/>
                      <w:szCs w:val="21"/>
                      <w:vertAlign w:val="subscript"/>
                      <w:lang w:val="en-US" w:eastAsia="zh-CN"/>
                    </w:rPr>
                    <w:t>n</w:t>
                  </w:r>
                  <w:r>
                    <w:rPr>
                      <w:rFonts w:hint="default" w:ascii="Times New Roman" w:hAnsi="Times New Roman" w:eastAsia="仿宋" w:cs="Times New Roman"/>
                      <w:color w:val="auto"/>
                      <w:sz w:val="21"/>
                      <w:szCs w:val="21"/>
                    </w:rPr>
                    <w:t>H，</w:t>
                  </w:r>
                </w:p>
              </w:tc>
              <w:tc>
                <w:tcPr>
                  <w:tcW w:w="1963" w:type="pct"/>
                  <w:shd w:val="clear" w:color="auto" w:fill="auto"/>
                  <w:vAlign w:val="center"/>
                </w:tcPr>
                <w:p w14:paraId="6FD1C0E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易溶于水和有机溶剂，化学稳定性较好</w:t>
                  </w:r>
                </w:p>
              </w:tc>
              <w:tc>
                <w:tcPr>
                  <w:tcW w:w="473" w:type="pct"/>
                  <w:shd w:val="clear" w:color="auto" w:fill="auto"/>
                  <w:vAlign w:val="center"/>
                </w:tcPr>
                <w:p w14:paraId="0C257698">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可燃</w:t>
                  </w:r>
                </w:p>
              </w:tc>
              <w:tc>
                <w:tcPr>
                  <w:tcW w:w="986" w:type="pct"/>
                  <w:shd w:val="clear" w:color="auto" w:fill="auto"/>
                  <w:vAlign w:val="center"/>
                </w:tcPr>
                <w:p w14:paraId="4DFDA421">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无资料</w:t>
                  </w:r>
                </w:p>
              </w:tc>
            </w:tr>
            <w:tr w14:paraId="1A9C5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0F160D5">
                  <w:pPr>
                    <w:widowControl/>
                    <w:jc w:val="center"/>
                    <w:rPr>
                      <w:rFonts w:hint="eastAsia" w:eastAsia="仿宋" w:cs="Times New Roman"/>
                      <w:color w:val="auto"/>
                      <w:szCs w:val="21"/>
                      <w:lang w:val="en-US" w:eastAsia="zh-CN"/>
                    </w:rPr>
                  </w:pPr>
                  <w:r>
                    <w:rPr>
                      <w:rFonts w:hint="default" w:ascii="Times New Roman" w:hAnsi="Times New Roman" w:eastAsia="仿宋" w:cs="Times New Roman"/>
                      <w:color w:val="auto"/>
                      <w:szCs w:val="21"/>
                      <w:lang w:val="en-US" w:eastAsia="zh-CN"/>
                    </w:rPr>
                    <w:t>羟基亚乙基二膦酸</w:t>
                  </w:r>
                </w:p>
              </w:tc>
              <w:tc>
                <w:tcPr>
                  <w:tcW w:w="978" w:type="pct"/>
                  <w:shd w:val="clear" w:color="auto" w:fill="auto"/>
                  <w:vAlign w:val="center"/>
                </w:tcPr>
                <w:p w14:paraId="155EA71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w:t>
                  </w:r>
                  <w:r>
                    <w:rPr>
                      <w:rFonts w:hint="default" w:ascii="Times New Roman" w:hAnsi="Times New Roman" w:eastAsia="仿宋" w:cs="Times New Roman"/>
                      <w:color w:val="auto"/>
                      <w:sz w:val="21"/>
                      <w:szCs w:val="21"/>
                      <w:vertAlign w:val="subscript"/>
                    </w:rPr>
                    <w:t>2</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vertAlign w:val="subscript"/>
                    </w:rPr>
                    <w:t>8</w:t>
                  </w:r>
                  <w:r>
                    <w:rPr>
                      <w:rFonts w:hint="default" w:ascii="Times New Roman" w:hAnsi="Times New Roman" w:eastAsia="仿宋" w:cs="Times New Roman"/>
                      <w:color w:val="auto"/>
                      <w:sz w:val="21"/>
                      <w:szCs w:val="21"/>
                    </w:rPr>
                    <w:t>O</w:t>
                  </w:r>
                  <w:r>
                    <w:rPr>
                      <w:rFonts w:hint="default" w:ascii="Times New Roman" w:hAnsi="Times New Roman" w:eastAsia="仿宋" w:cs="Times New Roman"/>
                      <w:color w:val="auto"/>
                      <w:sz w:val="21"/>
                      <w:szCs w:val="21"/>
                      <w:vertAlign w:val="subscript"/>
                    </w:rPr>
                    <w:t>7</w:t>
                  </w:r>
                  <w:r>
                    <w:rPr>
                      <w:rFonts w:hint="default" w:ascii="Times New Roman" w:hAnsi="Times New Roman" w:eastAsia="仿宋" w:cs="Times New Roman"/>
                      <w:color w:val="auto"/>
                      <w:sz w:val="21"/>
                      <w:szCs w:val="21"/>
                    </w:rPr>
                    <w:t>P</w:t>
                  </w:r>
                  <w:r>
                    <w:rPr>
                      <w:rFonts w:hint="default" w:ascii="Times New Roman" w:hAnsi="Times New Roman" w:eastAsia="仿宋" w:cs="Times New Roman"/>
                      <w:color w:val="auto"/>
                      <w:sz w:val="21"/>
                      <w:szCs w:val="21"/>
                      <w:vertAlign w:val="subscript"/>
                    </w:rPr>
                    <w:t>2</w:t>
                  </w:r>
                </w:p>
              </w:tc>
              <w:tc>
                <w:tcPr>
                  <w:tcW w:w="1963" w:type="pct"/>
                  <w:shd w:val="clear" w:color="auto" w:fill="auto"/>
                  <w:vAlign w:val="center"/>
                </w:tcPr>
                <w:p w14:paraId="7378A779">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分子量：206.03，</w:t>
                  </w:r>
                  <w:r>
                    <w:rPr>
                      <w:rFonts w:hint="default" w:ascii="Times New Roman" w:hAnsi="Times New Roman" w:eastAsia="仿宋" w:cs="Times New Roman"/>
                      <w:color w:val="auto"/>
                      <w:sz w:val="21"/>
                      <w:szCs w:val="21"/>
                    </w:rPr>
                    <w:t>无色至淡黄粘稠透明液体</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密度</w:t>
                  </w:r>
                  <w:r>
                    <w:rPr>
                      <w:rFonts w:hint="eastAsia" w:eastAsia="仿宋" w:cs="Times New Roman"/>
                      <w:color w:val="auto"/>
                      <w:sz w:val="21"/>
                      <w:szCs w:val="21"/>
                      <w:lang w:eastAsia="zh-CN"/>
                    </w:rPr>
                    <w:t>1.37g/cm</w:t>
                  </w:r>
                  <w:r>
                    <w:rPr>
                      <w:rFonts w:hint="eastAsia" w:eastAsia="仿宋" w:cs="Times New Roman"/>
                      <w:color w:val="auto"/>
                      <w:sz w:val="21"/>
                      <w:szCs w:val="21"/>
                      <w:vertAlign w:val="superscript"/>
                      <w:lang w:eastAsia="zh-CN"/>
                    </w:rPr>
                    <w:t>3</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熔点：198</w:t>
                  </w:r>
                  <w:r>
                    <w:rPr>
                      <w:rFonts w:hint="default" w:ascii="Times New Roman" w:hAnsi="Times New Roman" w:eastAsia="仿宋" w:cs="Times New Roman"/>
                      <w:color w:val="auto"/>
                      <w:sz w:val="21"/>
                      <w:szCs w:val="21"/>
                    </w:rPr>
                    <w:t>℃</w:t>
                  </w:r>
                  <w:r>
                    <w:rPr>
                      <w:rFonts w:hint="eastAsia" w:eastAsia="仿宋" w:cs="Times New Roman"/>
                      <w:color w:val="auto"/>
                      <w:sz w:val="21"/>
                      <w:szCs w:val="21"/>
                      <w:lang w:eastAsia="zh-CN"/>
                    </w:rPr>
                    <w:t>。</w:t>
                  </w:r>
                </w:p>
              </w:tc>
              <w:tc>
                <w:tcPr>
                  <w:tcW w:w="473" w:type="pct"/>
                  <w:shd w:val="clear" w:color="auto" w:fill="auto"/>
                  <w:vAlign w:val="center"/>
                </w:tcPr>
                <w:p w14:paraId="190BD581">
                  <w:pPr>
                    <w:adjustRightInd w:val="0"/>
                    <w:snapToGrid w:val="0"/>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不燃</w:t>
                  </w:r>
                </w:p>
              </w:tc>
              <w:tc>
                <w:tcPr>
                  <w:tcW w:w="986" w:type="pct"/>
                  <w:shd w:val="clear" w:color="auto" w:fill="auto"/>
                  <w:vAlign w:val="center"/>
                </w:tcPr>
                <w:p w14:paraId="6A0489A8">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无资料</w:t>
                  </w:r>
                </w:p>
              </w:tc>
            </w:tr>
            <w:tr w14:paraId="69BEA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477CE32">
                  <w:pPr>
                    <w:widowControl/>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lang w:val="en-US" w:eastAsia="zh-CN"/>
                    </w:rPr>
                    <w:t>盐酸</w:t>
                  </w:r>
                </w:p>
              </w:tc>
              <w:tc>
                <w:tcPr>
                  <w:tcW w:w="978" w:type="pct"/>
                  <w:shd w:val="clear" w:color="auto" w:fill="auto"/>
                  <w:vAlign w:val="center"/>
                </w:tcPr>
                <w:p w14:paraId="759DCAF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C</w:t>
                  </w:r>
                  <w:r>
                    <w:rPr>
                      <w:rFonts w:hint="default" w:ascii="Times New Roman" w:hAnsi="Times New Roman" w:eastAsia="仿宋" w:cs="Times New Roman"/>
                      <w:color w:val="auto"/>
                      <w:sz w:val="21"/>
                      <w:szCs w:val="21"/>
                      <w:vertAlign w:val="subscript"/>
                    </w:rPr>
                    <w:t>6</w:t>
                  </w:r>
                  <w:r>
                    <w:rPr>
                      <w:rFonts w:hint="default" w:ascii="Times New Roman" w:hAnsi="Times New Roman" w:eastAsia="仿宋" w:cs="Times New Roman"/>
                      <w:color w:val="auto"/>
                      <w:sz w:val="21"/>
                      <w:szCs w:val="21"/>
                    </w:rPr>
                    <w:t>H</w:t>
                  </w:r>
                  <w:r>
                    <w:rPr>
                      <w:rFonts w:hint="default" w:ascii="Times New Roman" w:hAnsi="Times New Roman" w:eastAsia="仿宋" w:cs="Times New Roman"/>
                      <w:color w:val="auto"/>
                      <w:sz w:val="21"/>
                      <w:szCs w:val="21"/>
                      <w:vertAlign w:val="subscript"/>
                    </w:rPr>
                    <w:t>8</w:t>
                  </w:r>
                  <w:r>
                    <w:rPr>
                      <w:rFonts w:hint="default" w:ascii="Times New Roman" w:hAnsi="Times New Roman" w:eastAsia="仿宋" w:cs="Times New Roman"/>
                      <w:color w:val="auto"/>
                      <w:sz w:val="21"/>
                      <w:szCs w:val="21"/>
                    </w:rPr>
                    <w:t>O</w:t>
                  </w:r>
                  <w:r>
                    <w:rPr>
                      <w:rFonts w:hint="default" w:ascii="Times New Roman" w:hAnsi="Times New Roman" w:eastAsia="仿宋" w:cs="Times New Roman"/>
                      <w:color w:val="auto"/>
                      <w:sz w:val="21"/>
                      <w:szCs w:val="21"/>
                      <w:vertAlign w:val="subscript"/>
                    </w:rPr>
                    <w:t>7</w:t>
                  </w:r>
                </w:p>
              </w:tc>
              <w:tc>
                <w:tcPr>
                  <w:tcW w:w="1963" w:type="pct"/>
                  <w:shd w:val="clear" w:color="auto" w:fill="auto"/>
                  <w:vAlign w:val="center"/>
                </w:tcPr>
                <w:p w14:paraId="39B63AF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分子量：192.124，白色结晶粉末，沸点：309.6℃</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760mmHg</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，熔点：153-159℃，闪点：100℃，爆炸上限</w:t>
                  </w:r>
                  <w:r>
                    <w:rPr>
                      <w:rFonts w:hint="default" w:ascii="Times New Roman" w:hAnsi="Times New Roman" w:eastAsia="仿宋" w:cs="Times New Roman"/>
                      <w:color w:val="auto"/>
                      <w:kern w:val="0"/>
                      <w:szCs w:val="21"/>
                      <w:lang w:val="en-US" w:eastAsia="zh-CN"/>
                    </w:rPr>
                    <w:t>（V/V）</w:t>
                  </w:r>
                  <w:r>
                    <w:rPr>
                      <w:rFonts w:hint="default" w:ascii="Times New Roman" w:hAnsi="Times New Roman" w:eastAsia="仿宋" w:cs="Times New Roman"/>
                      <w:color w:val="auto"/>
                      <w:sz w:val="21"/>
                      <w:szCs w:val="21"/>
                    </w:rPr>
                    <w:t>：8%。</w:t>
                  </w:r>
                </w:p>
              </w:tc>
              <w:tc>
                <w:tcPr>
                  <w:tcW w:w="473" w:type="pct"/>
                  <w:shd w:val="clear" w:color="auto" w:fill="auto"/>
                  <w:vAlign w:val="center"/>
                </w:tcPr>
                <w:p w14:paraId="7A8750A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可燃</w:t>
                  </w:r>
                </w:p>
              </w:tc>
              <w:tc>
                <w:tcPr>
                  <w:tcW w:w="986" w:type="pct"/>
                  <w:shd w:val="clear" w:color="auto" w:fill="auto"/>
                  <w:vAlign w:val="center"/>
                </w:tcPr>
                <w:p w14:paraId="3D58C4E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default" w:ascii="Times New Roman" w:hAnsi="Times New Roman" w:eastAsia="仿宋" w:cs="Times New Roman"/>
                      <w:color w:val="auto"/>
                      <w:sz w:val="21"/>
                      <w:szCs w:val="21"/>
                    </w:rPr>
                    <w:t>：6730mg/kg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大鼠经口</w:t>
                  </w:r>
                  <w:r>
                    <w:rPr>
                      <w:rFonts w:hint="eastAsia" w:eastAsia="仿宋" w:cs="Times New Roman"/>
                      <w:color w:val="auto"/>
                      <w:sz w:val="21"/>
                      <w:szCs w:val="21"/>
                      <w:lang w:eastAsia="zh-CN"/>
                    </w:rPr>
                    <w:t>）</w:t>
                  </w:r>
                </w:p>
              </w:tc>
            </w:tr>
            <w:tr w14:paraId="0EDDE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60E4205">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氢氧化钠</w:t>
                  </w:r>
                </w:p>
              </w:tc>
              <w:tc>
                <w:tcPr>
                  <w:tcW w:w="978" w:type="pct"/>
                  <w:vAlign w:val="center"/>
                </w:tcPr>
                <w:p w14:paraId="74682008">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NaOH</w:t>
                  </w:r>
                </w:p>
              </w:tc>
              <w:tc>
                <w:tcPr>
                  <w:tcW w:w="1963" w:type="pct"/>
                  <w:vAlign w:val="center"/>
                </w:tcPr>
                <w:p w14:paraId="17A58C92">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sz w:val="21"/>
                      <w:szCs w:val="21"/>
                    </w:rPr>
                    <w:t>分子量：</w:t>
                  </w:r>
                  <w:r>
                    <w:rPr>
                      <w:rFonts w:hint="default" w:ascii="Times New Roman" w:hAnsi="Times New Roman" w:eastAsia="仿宋" w:cs="Times New Roman"/>
                      <w:color w:val="auto"/>
                      <w:sz w:val="21"/>
                      <w:szCs w:val="21"/>
                      <w:lang w:val="en-US" w:eastAsia="zh-CN"/>
                    </w:rPr>
                    <w:t>40.01，白色不透明固体，易潮解。</w:t>
                  </w:r>
                  <w:r>
                    <w:rPr>
                      <w:rFonts w:hint="default" w:ascii="Times New Roman" w:hAnsi="Times New Roman" w:eastAsia="仿宋" w:cs="Times New Roman"/>
                      <w:i w:val="0"/>
                      <w:iCs w:val="0"/>
                      <w:caps w:val="0"/>
                      <w:color w:val="auto"/>
                      <w:spacing w:val="8"/>
                      <w:sz w:val="21"/>
                      <w:szCs w:val="21"/>
                      <w:shd w:val="clear" w:fill="FFFFFF"/>
                    </w:rPr>
                    <w:t>熔点：318.4℃</w:t>
                  </w:r>
                  <w:r>
                    <w:rPr>
                      <w:rFonts w:hint="default" w:ascii="Times New Roman" w:hAnsi="Times New Roman" w:eastAsia="仿宋" w:cs="Times New Roman"/>
                      <w:i w:val="0"/>
                      <w:iCs w:val="0"/>
                      <w:caps w:val="0"/>
                      <w:color w:val="auto"/>
                      <w:spacing w:val="8"/>
                      <w:sz w:val="21"/>
                      <w:szCs w:val="21"/>
                      <w:shd w:val="clear" w:fill="FFFFFF"/>
                      <w:lang w:eastAsia="zh-CN"/>
                    </w:rPr>
                    <w:t>，</w:t>
                  </w:r>
                  <w:r>
                    <w:rPr>
                      <w:rFonts w:hint="default" w:ascii="Times New Roman" w:hAnsi="Times New Roman" w:eastAsia="仿宋" w:cs="Times New Roman"/>
                      <w:i w:val="0"/>
                      <w:iCs w:val="0"/>
                      <w:caps w:val="0"/>
                      <w:color w:val="auto"/>
                      <w:spacing w:val="8"/>
                      <w:sz w:val="21"/>
                      <w:szCs w:val="21"/>
                      <w:shd w:val="clear" w:fill="FFFFFF"/>
                    </w:rPr>
                    <w:t>沸点：1390℃</w:t>
                  </w:r>
                  <w:r>
                    <w:rPr>
                      <w:rFonts w:hint="default" w:ascii="Times New Roman" w:hAnsi="Times New Roman" w:eastAsia="仿宋" w:cs="Times New Roman"/>
                      <w:i w:val="0"/>
                      <w:iCs w:val="0"/>
                      <w:caps w:val="0"/>
                      <w:color w:val="auto"/>
                      <w:spacing w:val="8"/>
                      <w:sz w:val="21"/>
                      <w:szCs w:val="21"/>
                      <w:shd w:val="clear" w:fill="FFFFFF"/>
                      <w:lang w:eastAsia="zh-CN"/>
                    </w:rPr>
                    <w:t>，</w:t>
                  </w:r>
                  <w:r>
                    <w:rPr>
                      <w:rFonts w:hint="default" w:ascii="Times New Roman" w:hAnsi="Times New Roman" w:eastAsia="仿宋" w:cs="Times New Roman"/>
                      <w:i w:val="0"/>
                      <w:iCs w:val="0"/>
                      <w:caps w:val="0"/>
                      <w:color w:val="auto"/>
                      <w:spacing w:val="8"/>
                      <w:sz w:val="21"/>
                      <w:szCs w:val="21"/>
                      <w:shd w:val="clear" w:fill="FFFFFF"/>
                    </w:rPr>
                    <w:t>相对密度（水</w:t>
                  </w:r>
                  <w:r>
                    <w:rPr>
                      <w:rFonts w:hint="default" w:ascii="Times New Roman" w:hAnsi="Times New Roman" w:eastAsia="仿宋" w:cs="Times New Roman"/>
                      <w:i w:val="0"/>
                      <w:iCs w:val="0"/>
                      <w:caps w:val="0"/>
                      <w:color w:val="auto"/>
                      <w:spacing w:val="8"/>
                      <w:sz w:val="21"/>
                      <w:szCs w:val="21"/>
                      <w:shd w:val="clear" w:fill="FFFFFF"/>
                      <w:lang w:val="en-US" w:eastAsia="zh-CN"/>
                    </w:rPr>
                    <w:t>=</w:t>
                  </w:r>
                  <w:r>
                    <w:rPr>
                      <w:rFonts w:hint="default" w:ascii="Times New Roman" w:hAnsi="Times New Roman" w:eastAsia="仿宋" w:cs="Times New Roman"/>
                      <w:i w:val="0"/>
                      <w:iCs w:val="0"/>
                      <w:caps w:val="0"/>
                      <w:color w:val="auto"/>
                      <w:spacing w:val="8"/>
                      <w:sz w:val="21"/>
                      <w:szCs w:val="21"/>
                      <w:shd w:val="clear" w:fill="FFFFFF"/>
                    </w:rPr>
                    <w:t>1）：2.12</w:t>
                  </w:r>
                  <w:r>
                    <w:rPr>
                      <w:rFonts w:hint="default" w:ascii="Times New Roman" w:hAnsi="Times New Roman" w:eastAsia="仿宋" w:cs="Times New Roman"/>
                      <w:i w:val="0"/>
                      <w:iCs w:val="0"/>
                      <w:caps w:val="0"/>
                      <w:color w:val="auto"/>
                      <w:spacing w:val="8"/>
                      <w:sz w:val="21"/>
                      <w:szCs w:val="21"/>
                      <w:shd w:val="clear" w:fill="FFFFFF"/>
                      <w:lang w:eastAsia="zh-CN"/>
                    </w:rPr>
                    <w:t>，</w:t>
                  </w:r>
                  <w:r>
                    <w:rPr>
                      <w:rFonts w:hint="default" w:ascii="Times New Roman" w:hAnsi="Times New Roman" w:eastAsia="仿宋" w:cs="Times New Roman"/>
                      <w:i w:val="0"/>
                      <w:iCs w:val="0"/>
                      <w:caps w:val="0"/>
                      <w:color w:val="auto"/>
                      <w:spacing w:val="8"/>
                      <w:sz w:val="21"/>
                      <w:szCs w:val="21"/>
                      <w:shd w:val="clear" w:fill="FFFFFF"/>
                    </w:rPr>
                    <w:t>易溶于水、乙醇、甘油，不溶于丙酮。</w:t>
                  </w:r>
                </w:p>
              </w:tc>
              <w:tc>
                <w:tcPr>
                  <w:tcW w:w="473" w:type="pct"/>
                  <w:vAlign w:val="center"/>
                </w:tcPr>
                <w:p w14:paraId="229E5DC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aps w:val="0"/>
                      <w:color w:val="auto"/>
                      <w:spacing w:val="8"/>
                      <w:sz w:val="21"/>
                      <w:szCs w:val="21"/>
                      <w:shd w:val="clear" w:fill="FFFFFF"/>
                    </w:rPr>
                    <w:t>不燃</w:t>
                  </w:r>
                </w:p>
              </w:tc>
              <w:tc>
                <w:tcPr>
                  <w:tcW w:w="986" w:type="pct"/>
                  <w:vAlign w:val="center"/>
                </w:tcPr>
                <w:p w14:paraId="5D3A4254">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188C6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6096C4B">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柠檬酸</w:t>
                  </w:r>
                </w:p>
              </w:tc>
              <w:tc>
                <w:tcPr>
                  <w:tcW w:w="978" w:type="pct"/>
                  <w:vAlign w:val="center"/>
                </w:tcPr>
                <w:p w14:paraId="6D07492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w:t>
                  </w:r>
                  <w:r>
                    <w:rPr>
                      <w:rFonts w:hint="default" w:ascii="Times New Roman" w:hAnsi="Times New Roman" w:eastAsia="仿宋" w:cs="Times New Roman"/>
                      <w:color w:val="auto"/>
                      <w:sz w:val="21"/>
                      <w:szCs w:val="21"/>
                      <w:vertAlign w:val="subscript"/>
                      <w:lang w:val="en-US" w:eastAsia="zh-CN"/>
                    </w:rPr>
                    <w:t>6</w:t>
                  </w:r>
                  <w:r>
                    <w:rPr>
                      <w:rFonts w:hint="default" w:ascii="Times New Roman" w:hAnsi="Times New Roman" w:eastAsia="仿宋" w:cs="Times New Roman"/>
                      <w:color w:val="auto"/>
                      <w:sz w:val="21"/>
                      <w:szCs w:val="21"/>
                      <w:lang w:val="en-US" w:eastAsia="zh-CN"/>
                    </w:rPr>
                    <w:t>H</w:t>
                  </w:r>
                  <w:r>
                    <w:rPr>
                      <w:rFonts w:hint="default" w:ascii="Times New Roman" w:hAnsi="Times New Roman" w:eastAsia="仿宋" w:cs="Times New Roman"/>
                      <w:color w:val="auto"/>
                      <w:sz w:val="21"/>
                      <w:szCs w:val="21"/>
                      <w:vertAlign w:val="subscript"/>
                      <w:lang w:val="en-US" w:eastAsia="zh-CN"/>
                    </w:rPr>
                    <w:t>8</w:t>
                  </w:r>
                  <w:r>
                    <w:rPr>
                      <w:rFonts w:hint="default" w:ascii="Times New Roman" w:hAnsi="Times New Roman" w:eastAsia="仿宋" w:cs="Times New Roman"/>
                      <w:color w:val="auto"/>
                      <w:sz w:val="21"/>
                      <w:szCs w:val="21"/>
                      <w:lang w:val="en-US" w:eastAsia="zh-CN"/>
                    </w:rPr>
                    <w:t>O</w:t>
                  </w:r>
                  <w:r>
                    <w:rPr>
                      <w:rFonts w:hint="default" w:ascii="Times New Roman" w:hAnsi="Times New Roman" w:eastAsia="仿宋" w:cs="Times New Roman"/>
                      <w:color w:val="auto"/>
                      <w:sz w:val="21"/>
                      <w:szCs w:val="21"/>
                      <w:vertAlign w:val="subscript"/>
                      <w:lang w:val="en-US" w:eastAsia="zh-CN"/>
                    </w:rPr>
                    <w:t>7</w:t>
                  </w:r>
                </w:p>
              </w:tc>
              <w:tc>
                <w:tcPr>
                  <w:tcW w:w="1963" w:type="pct"/>
                  <w:vAlign w:val="center"/>
                </w:tcPr>
                <w:p w14:paraId="3AE39100">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sz w:val="21"/>
                      <w:szCs w:val="21"/>
                    </w:rPr>
                    <w:t>分子量：</w:t>
                  </w:r>
                  <w:r>
                    <w:rPr>
                      <w:rFonts w:hint="default" w:ascii="Times New Roman" w:hAnsi="Times New Roman" w:eastAsia="仿宋" w:cs="Times New Roman"/>
                      <w:color w:val="auto"/>
                      <w:sz w:val="21"/>
                      <w:szCs w:val="21"/>
                      <w:lang w:val="en-US" w:eastAsia="zh-CN"/>
                    </w:rPr>
                    <w:t>192.14，白色结晶粉末，无臭。闪点：100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引燃温度：1010</w:t>
                  </w:r>
                  <w:r>
                    <w:rPr>
                      <w:rFonts w:hint="default" w:ascii="Times New Roman" w:hAnsi="Times New Roman" w:eastAsia="仿宋" w:cs="Times New Roman"/>
                      <w:i w:val="0"/>
                      <w:iCs w:val="0"/>
                      <w:caps w:val="0"/>
                      <w:color w:val="auto"/>
                      <w:spacing w:val="8"/>
                      <w:sz w:val="21"/>
                      <w:szCs w:val="21"/>
                      <w:shd w:val="clear" w:fill="FFFFFF"/>
                    </w:rPr>
                    <w:t>℃</w:t>
                  </w:r>
                  <w:r>
                    <w:rPr>
                      <w:rFonts w:hint="default" w:ascii="Times New Roman" w:hAnsi="Times New Roman" w:eastAsia="仿宋" w:cs="Times New Roman"/>
                      <w:color w:val="auto"/>
                      <w:sz w:val="21"/>
                      <w:szCs w:val="21"/>
                      <w:lang w:val="en-US" w:eastAsia="zh-CN"/>
                    </w:rPr>
                    <w:t>（粉末），爆炸上限</w:t>
                  </w:r>
                  <w:r>
                    <w:rPr>
                      <w:rFonts w:hint="default" w:ascii="Times New Roman" w:hAnsi="Times New Roman" w:eastAsia="仿宋" w:cs="Times New Roman"/>
                      <w:color w:val="auto"/>
                      <w:kern w:val="0"/>
                      <w:szCs w:val="21"/>
                      <w:lang w:val="en-US" w:eastAsia="zh-CN"/>
                    </w:rPr>
                    <w:t>（V/V）</w:t>
                  </w:r>
                  <w:r>
                    <w:rPr>
                      <w:rFonts w:hint="eastAsia" w:eastAsia="仿宋" w:cs="Times New Roman"/>
                      <w:color w:val="auto"/>
                      <w:kern w:val="0"/>
                      <w:szCs w:val="21"/>
                      <w:lang w:val="en-US" w:eastAsia="zh-CN"/>
                    </w:rPr>
                    <w:t>：</w:t>
                  </w:r>
                  <w:r>
                    <w:rPr>
                      <w:rFonts w:hint="default" w:ascii="Times New Roman" w:hAnsi="Times New Roman" w:eastAsia="仿宋" w:cs="Times New Roman"/>
                      <w:color w:val="auto"/>
                      <w:sz w:val="21"/>
                      <w:szCs w:val="21"/>
                      <w:lang w:val="en-US" w:eastAsia="zh-CN"/>
                    </w:rPr>
                    <w:t>8.0%（65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eastAsia="zh-CN"/>
                    </w:rPr>
                    <w:t>溶于水、乙醇、乙醚，不溶于苯，微溶于氯仿。</w:t>
                  </w:r>
                </w:p>
              </w:tc>
              <w:tc>
                <w:tcPr>
                  <w:tcW w:w="473" w:type="pct"/>
                  <w:vAlign w:val="center"/>
                </w:tcPr>
                <w:p w14:paraId="083941E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可燃</w:t>
                  </w:r>
                </w:p>
              </w:tc>
              <w:tc>
                <w:tcPr>
                  <w:tcW w:w="986" w:type="pct"/>
                  <w:vAlign w:val="center"/>
                </w:tcPr>
                <w:p w14:paraId="768BAC5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rPr>
                    <w:t>:6730mg/kg</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rPr>
                    <w:t>大鼠经口</w:t>
                  </w:r>
                  <w:r>
                    <w:rPr>
                      <w:rFonts w:hint="eastAsia" w:eastAsia="仿宋" w:cs="Times New Roman"/>
                      <w:color w:val="auto"/>
                      <w:sz w:val="21"/>
                      <w:szCs w:val="21"/>
                      <w:lang w:eastAsia="zh-CN"/>
                    </w:rPr>
                    <w:t>）</w:t>
                  </w:r>
                </w:p>
              </w:tc>
            </w:tr>
            <w:tr w14:paraId="26749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4A7ADA60">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硼酸</w:t>
                  </w:r>
                </w:p>
              </w:tc>
              <w:tc>
                <w:tcPr>
                  <w:tcW w:w="978" w:type="pct"/>
                  <w:vAlign w:val="center"/>
                </w:tcPr>
                <w:p w14:paraId="4A4F89EC">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BO</w:t>
                  </w:r>
                  <w:r>
                    <w:rPr>
                      <w:rFonts w:hint="default" w:ascii="Times New Roman" w:hAnsi="Times New Roman" w:eastAsia="仿宋" w:cs="Times New Roman"/>
                      <w:color w:val="auto"/>
                      <w:sz w:val="21"/>
                      <w:szCs w:val="21"/>
                      <w:vertAlign w:val="subscript"/>
                      <w:lang w:val="en-US" w:eastAsia="zh-CN"/>
                    </w:rPr>
                    <w:t>3</w:t>
                  </w:r>
                </w:p>
              </w:tc>
              <w:tc>
                <w:tcPr>
                  <w:tcW w:w="1963" w:type="pct"/>
                  <w:vAlign w:val="center"/>
                </w:tcPr>
                <w:p w14:paraId="126D10C0">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分子量：61.84，无色微带珍珠光泽的三斜晶体或白色粉末，有滑腻手感</w:t>
                  </w:r>
                  <w:r>
                    <w:rPr>
                      <w:rFonts w:hint="eastAsia" w:eastAsia="仿宋" w:cs="Times New Roman"/>
                      <w:color w:val="auto"/>
                      <w:kern w:val="0"/>
                      <w:sz w:val="21"/>
                      <w:szCs w:val="21"/>
                      <w:lang w:val="en-US" w:eastAsia="zh-CN"/>
                    </w:rPr>
                    <w:t>，</w:t>
                  </w:r>
                  <w:r>
                    <w:rPr>
                      <w:rFonts w:hint="default" w:ascii="Times New Roman" w:hAnsi="Times New Roman" w:eastAsia="仿宋" w:cs="Times New Roman"/>
                      <w:color w:val="auto"/>
                      <w:kern w:val="0"/>
                      <w:sz w:val="21"/>
                      <w:szCs w:val="21"/>
                      <w:lang w:val="en-US" w:eastAsia="zh-CN"/>
                    </w:rPr>
                    <w:t>无臭味，熔点：185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kern w:val="0"/>
                      <w:sz w:val="21"/>
                      <w:szCs w:val="21"/>
                      <w:lang w:val="en-US" w:eastAsia="zh-CN"/>
                    </w:rPr>
                    <w:t>（分解），相对密度（水=1）：1.44（15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kern w:val="0"/>
                      <w:sz w:val="21"/>
                      <w:szCs w:val="21"/>
                      <w:lang w:val="en-US" w:eastAsia="zh-CN"/>
                    </w:rPr>
                    <w:t>），沸点：300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溶于水、</w:t>
                  </w:r>
                  <w:r>
                    <w:rPr>
                      <w:rFonts w:hint="default" w:ascii="Times New Roman" w:hAnsi="Times New Roman" w:eastAsia="仿宋" w:cs="Times New Roman"/>
                      <w:color w:val="auto"/>
                      <w:sz w:val="21"/>
                      <w:szCs w:val="21"/>
                      <w:lang w:eastAsia="zh-CN"/>
                    </w:rPr>
                    <w:t>醇、乙醚、甘油。</w:t>
                  </w:r>
                </w:p>
              </w:tc>
              <w:tc>
                <w:tcPr>
                  <w:tcW w:w="473" w:type="pct"/>
                  <w:vAlign w:val="center"/>
                </w:tcPr>
                <w:p w14:paraId="14AE731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6BAAF97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403AD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5A7BF48A">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氯化钾</w:t>
                  </w:r>
                </w:p>
              </w:tc>
              <w:tc>
                <w:tcPr>
                  <w:tcW w:w="978" w:type="pct"/>
                  <w:vAlign w:val="center"/>
                </w:tcPr>
                <w:p w14:paraId="6AAB982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KCl</w:t>
                  </w:r>
                </w:p>
              </w:tc>
              <w:tc>
                <w:tcPr>
                  <w:tcW w:w="1963" w:type="pct"/>
                  <w:vAlign w:val="center"/>
                </w:tcPr>
                <w:p w14:paraId="5ECDDE9E">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分子量：74.55，无色立方晶体，结晶体常呈长柱状。熔点：776</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aps w:val="0"/>
                      <w:color w:val="auto"/>
                      <w:spacing w:val="8"/>
                      <w:sz w:val="21"/>
                      <w:szCs w:val="21"/>
                      <w:shd w:val="clear" w:fill="FFFFFF"/>
                    </w:rPr>
                    <w:t>相对密度（水</w:t>
                  </w:r>
                  <w:r>
                    <w:rPr>
                      <w:rFonts w:hint="default" w:ascii="Times New Roman" w:hAnsi="Times New Roman" w:eastAsia="仿宋" w:cs="Times New Roman"/>
                      <w:i w:val="0"/>
                      <w:iCs w:val="0"/>
                      <w:caps w:val="0"/>
                      <w:color w:val="auto"/>
                      <w:spacing w:val="8"/>
                      <w:sz w:val="21"/>
                      <w:szCs w:val="21"/>
                      <w:shd w:val="clear" w:fill="FFFFFF"/>
                      <w:lang w:val="en-US" w:eastAsia="zh-CN"/>
                    </w:rPr>
                    <w:t>=</w:t>
                  </w:r>
                  <w:r>
                    <w:rPr>
                      <w:rFonts w:hint="default" w:ascii="Times New Roman" w:hAnsi="Times New Roman" w:eastAsia="仿宋" w:cs="Times New Roman"/>
                      <w:i w:val="0"/>
                      <w:iCs w:val="0"/>
                      <w:caps w:val="0"/>
                      <w:color w:val="auto"/>
                      <w:spacing w:val="8"/>
                      <w:sz w:val="21"/>
                      <w:szCs w:val="21"/>
                      <w:shd w:val="clear" w:fill="FFFFFF"/>
                    </w:rPr>
                    <w:t>1）：</w:t>
                  </w:r>
                  <w:r>
                    <w:rPr>
                      <w:rFonts w:hint="default" w:ascii="Times New Roman" w:hAnsi="Times New Roman" w:eastAsia="仿宋" w:cs="Times New Roman"/>
                      <w:i w:val="0"/>
                      <w:iCs w:val="0"/>
                      <w:caps w:val="0"/>
                      <w:color w:val="auto"/>
                      <w:spacing w:val="8"/>
                      <w:sz w:val="21"/>
                      <w:szCs w:val="21"/>
                      <w:shd w:val="clear" w:fill="FFFFFF"/>
                      <w:lang w:val="en-US" w:eastAsia="zh-CN"/>
                    </w:rPr>
                    <w:t>1.984，沸点：1500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升华</w:t>
                  </w:r>
                  <w:r>
                    <w:rPr>
                      <w:rFonts w:hint="default" w:ascii="Times New Roman" w:hAnsi="Times New Roman" w:eastAsia="仿宋" w:cs="Times New Roman"/>
                      <w:color w:val="auto"/>
                      <w:sz w:val="21"/>
                      <w:szCs w:val="21"/>
                      <w:lang w:eastAsia="zh-CN"/>
                    </w:rPr>
                    <w:t>），溶于水，稍溶于甘油，微溶于乙醇，不溶于乙醚和丙酮。</w:t>
                  </w:r>
                </w:p>
              </w:tc>
              <w:tc>
                <w:tcPr>
                  <w:tcW w:w="473" w:type="pct"/>
                  <w:vAlign w:val="center"/>
                </w:tcPr>
                <w:p w14:paraId="070C810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3B4089E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rPr>
                    <w:t>:552mg/kg</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小鼠腹腔注射</w:t>
                  </w:r>
                  <w:r>
                    <w:rPr>
                      <w:rFonts w:hint="default" w:ascii="Times New Roman" w:hAnsi="Times New Roman" w:eastAsia="仿宋" w:cs="Times New Roman"/>
                      <w:color w:val="auto"/>
                      <w:sz w:val="21"/>
                      <w:szCs w:val="21"/>
                      <w:lang w:eastAsia="zh-CN"/>
                    </w:rPr>
                    <w:t>）</w:t>
                  </w:r>
                </w:p>
              </w:tc>
            </w:tr>
            <w:tr w14:paraId="450F0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73EF7EF2">
                  <w:pPr>
                    <w:widowControl/>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过硫酸铵</w:t>
                  </w:r>
                </w:p>
              </w:tc>
              <w:tc>
                <w:tcPr>
                  <w:tcW w:w="978" w:type="pct"/>
                  <w:vAlign w:val="center"/>
                </w:tcPr>
                <w:p w14:paraId="176AD21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4"/>
                      <w:szCs w:val="24"/>
                    </w:rPr>
                    <w:t>H</w:t>
                  </w:r>
                  <w:r>
                    <w:rPr>
                      <w:rFonts w:hint="default" w:ascii="Times New Roman" w:hAnsi="Times New Roman" w:eastAsia="仿宋" w:cs="Times New Roman"/>
                      <w:color w:val="auto"/>
                      <w:sz w:val="21"/>
                      <w:szCs w:val="21"/>
                      <w:vertAlign w:val="subscript"/>
                      <w:lang w:val="en-US" w:eastAsia="zh-CN"/>
                    </w:rPr>
                    <w:t>8</w:t>
                  </w:r>
                  <w:r>
                    <w:rPr>
                      <w:rFonts w:hint="default" w:ascii="Times New Roman" w:hAnsi="Times New Roman" w:eastAsia="仿宋" w:cs="Times New Roman"/>
                      <w:color w:val="auto"/>
                      <w:sz w:val="24"/>
                      <w:szCs w:val="24"/>
                    </w:rPr>
                    <w:t>N</w:t>
                  </w:r>
                  <w:r>
                    <w:rPr>
                      <w:rFonts w:hint="default" w:ascii="Times New Roman" w:hAnsi="Times New Roman" w:eastAsia="仿宋" w:cs="Times New Roman"/>
                      <w:color w:val="auto"/>
                      <w:sz w:val="21"/>
                      <w:szCs w:val="21"/>
                      <w:vertAlign w:val="subscript"/>
                      <w:lang w:val="en-US" w:eastAsia="zh-CN"/>
                    </w:rPr>
                    <w:t>2</w:t>
                  </w:r>
                  <w:r>
                    <w:rPr>
                      <w:rFonts w:hint="default" w:ascii="Times New Roman" w:hAnsi="Times New Roman" w:eastAsia="仿宋" w:cs="Times New Roman"/>
                      <w:color w:val="auto"/>
                      <w:sz w:val="24"/>
                      <w:szCs w:val="24"/>
                    </w:rPr>
                    <w:t>O</w:t>
                  </w:r>
                  <w:r>
                    <w:rPr>
                      <w:rFonts w:hint="default" w:ascii="Times New Roman" w:hAnsi="Times New Roman" w:eastAsia="仿宋" w:cs="Times New Roman"/>
                      <w:color w:val="auto"/>
                      <w:sz w:val="21"/>
                      <w:szCs w:val="21"/>
                      <w:vertAlign w:val="subscript"/>
                      <w:lang w:val="en-US" w:eastAsia="zh-CN"/>
                    </w:rPr>
                    <w:t>8</w:t>
                  </w:r>
                  <w:r>
                    <w:rPr>
                      <w:rFonts w:hint="default" w:ascii="Times New Roman" w:hAnsi="Times New Roman" w:eastAsia="仿宋" w:cs="Times New Roman"/>
                      <w:color w:val="auto"/>
                      <w:sz w:val="24"/>
                      <w:szCs w:val="24"/>
                    </w:rPr>
                    <w:t>S</w:t>
                  </w:r>
                  <w:r>
                    <w:rPr>
                      <w:rFonts w:hint="default" w:ascii="Times New Roman" w:hAnsi="Times New Roman" w:eastAsia="仿宋" w:cs="Times New Roman"/>
                      <w:color w:val="auto"/>
                      <w:sz w:val="21"/>
                      <w:szCs w:val="21"/>
                      <w:vertAlign w:val="subscript"/>
                      <w:lang w:val="en-US" w:eastAsia="zh-CN"/>
                    </w:rPr>
                    <w:t>2</w:t>
                  </w:r>
                </w:p>
              </w:tc>
              <w:tc>
                <w:tcPr>
                  <w:tcW w:w="1963" w:type="pct"/>
                  <w:vAlign w:val="center"/>
                </w:tcPr>
                <w:p w14:paraId="6B0C7A1A">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i w:val="0"/>
                      <w:iCs w:val="0"/>
                      <w:caps w:val="0"/>
                      <w:color w:val="auto"/>
                      <w:spacing w:val="8"/>
                      <w:sz w:val="21"/>
                      <w:szCs w:val="21"/>
                      <w:shd w:val="clear" w:fill="FFFFFF"/>
                      <w:lang w:val="en-US" w:eastAsia="zh-CN"/>
                    </w:rPr>
                    <w:t>分子量：228.2，是一种白色至黄色无机盐，熔点120℃，相对密度（水=1）：1.98，易溶于水</w:t>
                  </w:r>
                </w:p>
              </w:tc>
              <w:tc>
                <w:tcPr>
                  <w:tcW w:w="473" w:type="pct"/>
                  <w:vAlign w:val="center"/>
                </w:tcPr>
                <w:p w14:paraId="511FBA1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2B55EBC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530～1260mg/kg</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大鼠经口</w:t>
                  </w:r>
                  <w:r>
                    <w:rPr>
                      <w:rFonts w:hint="default" w:ascii="Times New Roman" w:hAnsi="Times New Roman" w:eastAsia="仿宋" w:cs="Times New Roman"/>
                      <w:color w:val="auto"/>
                      <w:sz w:val="21"/>
                      <w:szCs w:val="21"/>
                      <w:lang w:eastAsia="zh-CN"/>
                    </w:rPr>
                    <w:t>）</w:t>
                  </w:r>
                </w:p>
              </w:tc>
            </w:tr>
            <w:tr w14:paraId="44D28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794DFA57">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柠檬酸钠</w:t>
                  </w:r>
                </w:p>
              </w:tc>
              <w:tc>
                <w:tcPr>
                  <w:tcW w:w="978" w:type="pct"/>
                  <w:vAlign w:val="center"/>
                </w:tcPr>
                <w:p w14:paraId="4FAD604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w:t>
                  </w:r>
                  <w:r>
                    <w:rPr>
                      <w:rFonts w:hint="default" w:ascii="Times New Roman" w:hAnsi="Times New Roman" w:eastAsia="仿宋" w:cs="Times New Roman"/>
                      <w:color w:val="auto"/>
                      <w:sz w:val="21"/>
                      <w:szCs w:val="21"/>
                      <w:vertAlign w:val="subscript"/>
                      <w:lang w:val="en-US" w:eastAsia="zh-CN"/>
                    </w:rPr>
                    <w:t>6</w:t>
                  </w:r>
                  <w:r>
                    <w:rPr>
                      <w:rFonts w:hint="default" w:ascii="Times New Roman" w:hAnsi="Times New Roman" w:eastAsia="仿宋" w:cs="Times New Roman"/>
                      <w:color w:val="auto"/>
                      <w:sz w:val="21"/>
                      <w:szCs w:val="21"/>
                      <w:lang w:val="en-US" w:eastAsia="zh-CN"/>
                    </w:rPr>
                    <w:t>H</w:t>
                  </w:r>
                  <w:r>
                    <w:rPr>
                      <w:rFonts w:hint="default" w:ascii="Times New Roman" w:hAnsi="Times New Roman" w:eastAsia="仿宋" w:cs="Times New Roman"/>
                      <w:color w:val="auto"/>
                      <w:sz w:val="21"/>
                      <w:szCs w:val="21"/>
                      <w:vertAlign w:val="subscript"/>
                      <w:lang w:val="en-US" w:eastAsia="zh-CN"/>
                    </w:rPr>
                    <w:t>5</w:t>
                  </w:r>
                  <w:r>
                    <w:rPr>
                      <w:rFonts w:hint="default" w:ascii="Times New Roman" w:hAnsi="Times New Roman" w:eastAsia="仿宋" w:cs="Times New Roman"/>
                      <w:color w:val="auto"/>
                      <w:sz w:val="21"/>
                      <w:szCs w:val="21"/>
                      <w:lang w:val="en-US" w:eastAsia="zh-CN"/>
                    </w:rPr>
                    <w:t>Na</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O</w:t>
                  </w:r>
                  <w:r>
                    <w:rPr>
                      <w:rFonts w:hint="default" w:ascii="Times New Roman" w:hAnsi="Times New Roman" w:eastAsia="仿宋" w:cs="Times New Roman"/>
                      <w:color w:val="auto"/>
                      <w:sz w:val="21"/>
                      <w:szCs w:val="21"/>
                      <w:vertAlign w:val="subscript"/>
                      <w:lang w:val="en-US" w:eastAsia="zh-CN"/>
                    </w:rPr>
                    <w:t>7</w:t>
                  </w:r>
                </w:p>
              </w:tc>
              <w:tc>
                <w:tcPr>
                  <w:tcW w:w="1963" w:type="pct"/>
                  <w:vAlign w:val="center"/>
                </w:tcPr>
                <w:p w14:paraId="0948350B">
                  <w:pPr>
                    <w:jc w:val="center"/>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lang w:val="en-US" w:eastAsia="zh-CN"/>
                    </w:rPr>
                    <w:t>分子量：294.10，</w:t>
                  </w:r>
                  <w:r>
                    <w:rPr>
                      <w:rFonts w:hint="default" w:ascii="Times New Roman" w:hAnsi="Times New Roman" w:eastAsia="仿宋" w:cs="Times New Roman"/>
                      <w:color w:val="auto"/>
                      <w:kern w:val="0"/>
                      <w:sz w:val="21"/>
                      <w:szCs w:val="21"/>
                    </w:rPr>
                    <w:t>无色晶体或粒状粉末。</w:t>
                  </w:r>
                  <w:r>
                    <w:rPr>
                      <w:rFonts w:hint="default" w:ascii="Times New Roman" w:hAnsi="Times New Roman" w:eastAsia="仿宋" w:cs="Times New Roman"/>
                      <w:color w:val="auto"/>
                      <w:kern w:val="0"/>
                      <w:sz w:val="21"/>
                      <w:szCs w:val="21"/>
                      <w:lang w:val="en-US" w:eastAsia="zh-CN"/>
                    </w:rPr>
                    <w:t>相对密度（水=1）：1.857（23.5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kern w:val="0"/>
                      <w:sz w:val="21"/>
                      <w:szCs w:val="21"/>
                      <w:lang w:val="en-US" w:eastAsia="zh-CN"/>
                    </w:rPr>
                    <w:t>），溶于水，难溶于乙醇。</w:t>
                  </w:r>
                </w:p>
              </w:tc>
              <w:tc>
                <w:tcPr>
                  <w:tcW w:w="473" w:type="pct"/>
                  <w:vAlign w:val="center"/>
                </w:tcPr>
                <w:p w14:paraId="72FE2ED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6026279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lang w:val="en-US" w:eastAsia="zh-CN"/>
                    </w:rPr>
                    <w:t>50</w:t>
                  </w:r>
                  <w:r>
                    <w:rPr>
                      <w:rFonts w:hint="default" w:ascii="Times New Roman" w:hAnsi="Times New Roman" w:eastAsia="仿宋" w:cs="Times New Roman"/>
                      <w:color w:val="auto"/>
                      <w:sz w:val="21"/>
                      <w:szCs w:val="21"/>
                    </w:rPr>
                    <w:t>:1549mg/kg</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大鼠腹腔注射</w:t>
                  </w:r>
                  <w:r>
                    <w:rPr>
                      <w:rFonts w:hint="default" w:ascii="Times New Roman" w:hAnsi="Times New Roman" w:eastAsia="仿宋" w:cs="Times New Roman"/>
                      <w:color w:val="auto"/>
                      <w:sz w:val="21"/>
                      <w:szCs w:val="21"/>
                      <w:lang w:eastAsia="zh-CN"/>
                    </w:rPr>
                    <w:t>）</w:t>
                  </w:r>
                </w:p>
              </w:tc>
            </w:tr>
            <w:tr w14:paraId="4389F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435B4B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柠檬酸二钠</w:t>
                  </w:r>
                </w:p>
              </w:tc>
              <w:tc>
                <w:tcPr>
                  <w:tcW w:w="978" w:type="pct"/>
                  <w:vAlign w:val="center"/>
                </w:tcPr>
                <w:p w14:paraId="4DA5880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w:t>
                  </w:r>
                  <w:r>
                    <w:rPr>
                      <w:rFonts w:hint="default" w:ascii="Times New Roman" w:hAnsi="Times New Roman" w:eastAsia="仿宋" w:cs="Times New Roman"/>
                      <w:color w:val="auto"/>
                      <w:sz w:val="21"/>
                      <w:szCs w:val="21"/>
                      <w:vertAlign w:val="subscript"/>
                      <w:lang w:val="en-US" w:eastAsia="zh-CN"/>
                    </w:rPr>
                    <w:t>6</w:t>
                  </w:r>
                  <w:r>
                    <w:rPr>
                      <w:rFonts w:hint="default" w:ascii="Times New Roman" w:hAnsi="Times New Roman" w:eastAsia="仿宋" w:cs="Times New Roman"/>
                      <w:color w:val="auto"/>
                      <w:sz w:val="21"/>
                      <w:szCs w:val="21"/>
                      <w:lang w:val="en-US" w:eastAsia="zh-CN"/>
                    </w:rPr>
                    <w:t>H</w:t>
                  </w:r>
                  <w:r>
                    <w:rPr>
                      <w:rFonts w:hint="default" w:ascii="Times New Roman" w:hAnsi="Times New Roman" w:eastAsia="仿宋" w:cs="Times New Roman"/>
                      <w:color w:val="auto"/>
                      <w:sz w:val="21"/>
                      <w:szCs w:val="21"/>
                      <w:vertAlign w:val="subscript"/>
                      <w:lang w:val="en-US" w:eastAsia="zh-CN"/>
                    </w:rPr>
                    <w:t>6</w:t>
                  </w:r>
                  <w:r>
                    <w:rPr>
                      <w:rFonts w:hint="default" w:ascii="Times New Roman" w:hAnsi="Times New Roman" w:eastAsia="仿宋" w:cs="Times New Roman"/>
                      <w:color w:val="auto"/>
                      <w:sz w:val="21"/>
                      <w:szCs w:val="21"/>
                      <w:lang w:val="en-US" w:eastAsia="zh-CN"/>
                    </w:rPr>
                    <w:t>Na</w:t>
                  </w:r>
                  <w:r>
                    <w:rPr>
                      <w:rFonts w:hint="default" w:ascii="Times New Roman" w:hAnsi="Times New Roman" w:eastAsia="仿宋" w:cs="Times New Roman"/>
                      <w:color w:val="auto"/>
                      <w:sz w:val="21"/>
                      <w:szCs w:val="21"/>
                      <w:vertAlign w:val="subscript"/>
                      <w:lang w:val="en-US" w:eastAsia="zh-CN"/>
                    </w:rPr>
                    <w:t>2</w:t>
                  </w:r>
                  <w:r>
                    <w:rPr>
                      <w:rFonts w:hint="default" w:ascii="Times New Roman" w:hAnsi="Times New Roman" w:eastAsia="仿宋" w:cs="Times New Roman"/>
                      <w:color w:val="auto"/>
                      <w:sz w:val="21"/>
                      <w:szCs w:val="21"/>
                      <w:lang w:val="en-US" w:eastAsia="zh-CN"/>
                    </w:rPr>
                    <w:t>O</w:t>
                  </w:r>
                  <w:r>
                    <w:rPr>
                      <w:rFonts w:hint="default" w:ascii="Times New Roman" w:hAnsi="Times New Roman" w:eastAsia="仿宋" w:cs="Times New Roman"/>
                      <w:color w:val="auto"/>
                      <w:sz w:val="21"/>
                      <w:szCs w:val="21"/>
                      <w:vertAlign w:val="subscript"/>
                      <w:lang w:val="en-US" w:eastAsia="zh-CN"/>
                    </w:rPr>
                    <w:t>7</w:t>
                  </w:r>
                </w:p>
              </w:tc>
              <w:tc>
                <w:tcPr>
                  <w:tcW w:w="1963" w:type="pct"/>
                  <w:vAlign w:val="center"/>
                </w:tcPr>
                <w:p w14:paraId="705E3A9C">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分子量：236.09，白色粉末，熔点240℃，沸点309.6℃，易溶于水。</w:t>
                  </w:r>
                </w:p>
              </w:tc>
              <w:tc>
                <w:tcPr>
                  <w:tcW w:w="473" w:type="pct"/>
                  <w:vAlign w:val="center"/>
                </w:tcPr>
                <w:p w14:paraId="080D4DF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4402984B">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LD</w:t>
                  </w:r>
                  <w:r>
                    <w:rPr>
                      <w:rFonts w:hint="default" w:ascii="Times New Roman" w:hAnsi="Times New Roman" w:eastAsia="仿宋" w:cs="Times New Roman"/>
                      <w:color w:val="auto"/>
                      <w:sz w:val="21"/>
                      <w:szCs w:val="21"/>
                      <w:vertAlign w:val="subscript"/>
                    </w:rPr>
                    <w:t>50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1724mg/kg</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大鼠腹腔注射</w:t>
                  </w:r>
                  <w:r>
                    <w:rPr>
                      <w:rFonts w:hint="default" w:ascii="Times New Roman" w:hAnsi="Times New Roman" w:eastAsia="仿宋" w:cs="Times New Roman"/>
                      <w:color w:val="auto"/>
                      <w:sz w:val="21"/>
                      <w:szCs w:val="21"/>
                      <w:lang w:eastAsia="zh-CN"/>
                    </w:rPr>
                    <w:t>）</w:t>
                  </w:r>
                </w:p>
              </w:tc>
            </w:tr>
            <w:tr w14:paraId="4F27C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75C6537D">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抗坏血酸</w:t>
                  </w:r>
                </w:p>
                <w:p w14:paraId="707BCBC5">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（维生素C）</w:t>
                  </w:r>
                </w:p>
              </w:tc>
              <w:tc>
                <w:tcPr>
                  <w:tcW w:w="978" w:type="pct"/>
                  <w:vAlign w:val="center"/>
                </w:tcPr>
                <w:p w14:paraId="0DB55C9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w:t>
                  </w:r>
                  <w:r>
                    <w:rPr>
                      <w:rFonts w:hint="default" w:ascii="Times New Roman" w:hAnsi="Times New Roman" w:eastAsia="仿宋" w:cs="Times New Roman"/>
                      <w:color w:val="auto"/>
                      <w:sz w:val="21"/>
                      <w:szCs w:val="21"/>
                      <w:vertAlign w:val="subscript"/>
                      <w:lang w:val="en-US" w:eastAsia="zh-CN"/>
                    </w:rPr>
                    <w:t>6</w:t>
                  </w:r>
                  <w:r>
                    <w:rPr>
                      <w:rFonts w:hint="default" w:ascii="Times New Roman" w:hAnsi="Times New Roman" w:eastAsia="仿宋" w:cs="Times New Roman"/>
                      <w:color w:val="auto"/>
                      <w:sz w:val="21"/>
                      <w:szCs w:val="21"/>
                      <w:lang w:val="en-US" w:eastAsia="zh-CN"/>
                    </w:rPr>
                    <w:t>H</w:t>
                  </w:r>
                  <w:r>
                    <w:rPr>
                      <w:rFonts w:hint="default" w:ascii="Times New Roman" w:hAnsi="Times New Roman" w:eastAsia="仿宋" w:cs="Times New Roman"/>
                      <w:color w:val="auto"/>
                      <w:sz w:val="21"/>
                      <w:szCs w:val="21"/>
                      <w:vertAlign w:val="subscript"/>
                      <w:lang w:val="en-US" w:eastAsia="zh-CN"/>
                    </w:rPr>
                    <w:t>8</w:t>
                  </w:r>
                  <w:r>
                    <w:rPr>
                      <w:rFonts w:hint="default" w:ascii="Times New Roman" w:hAnsi="Times New Roman" w:eastAsia="仿宋" w:cs="Times New Roman"/>
                      <w:color w:val="auto"/>
                      <w:sz w:val="21"/>
                      <w:szCs w:val="21"/>
                      <w:lang w:val="en-US" w:eastAsia="zh-CN"/>
                    </w:rPr>
                    <w:t>O</w:t>
                  </w:r>
                  <w:r>
                    <w:rPr>
                      <w:rFonts w:hint="default" w:ascii="Times New Roman" w:hAnsi="Times New Roman" w:eastAsia="仿宋" w:cs="Times New Roman"/>
                      <w:color w:val="auto"/>
                      <w:sz w:val="21"/>
                      <w:szCs w:val="21"/>
                      <w:vertAlign w:val="subscript"/>
                      <w:lang w:val="en-US" w:eastAsia="zh-CN"/>
                    </w:rPr>
                    <w:t>6</w:t>
                  </w:r>
                </w:p>
              </w:tc>
              <w:tc>
                <w:tcPr>
                  <w:tcW w:w="1963" w:type="pct"/>
                  <w:vAlign w:val="center"/>
                </w:tcPr>
                <w:p w14:paraId="461B1C7E">
                  <w:pPr>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分子量：176.12，白色结晶粉末，无臭，味酸，熔点：190-192</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aps w:val="0"/>
                      <w:color w:val="auto"/>
                      <w:spacing w:val="8"/>
                      <w:sz w:val="21"/>
                      <w:szCs w:val="21"/>
                      <w:shd w:val="clear" w:fill="FFFFFF"/>
                    </w:rPr>
                    <w:t>相对密度（水</w:t>
                  </w:r>
                  <w:r>
                    <w:rPr>
                      <w:rFonts w:hint="default" w:ascii="Times New Roman" w:hAnsi="Times New Roman" w:eastAsia="仿宋" w:cs="Times New Roman"/>
                      <w:i w:val="0"/>
                      <w:iCs w:val="0"/>
                      <w:caps w:val="0"/>
                      <w:color w:val="auto"/>
                      <w:spacing w:val="8"/>
                      <w:sz w:val="21"/>
                      <w:szCs w:val="21"/>
                      <w:shd w:val="clear" w:fill="FFFFFF"/>
                      <w:lang w:val="en-US" w:eastAsia="zh-CN"/>
                    </w:rPr>
                    <w:t>=</w:t>
                  </w:r>
                  <w:r>
                    <w:rPr>
                      <w:rFonts w:hint="default" w:ascii="Times New Roman" w:hAnsi="Times New Roman" w:eastAsia="仿宋" w:cs="Times New Roman"/>
                      <w:i w:val="0"/>
                      <w:iCs w:val="0"/>
                      <w:caps w:val="0"/>
                      <w:color w:val="auto"/>
                      <w:spacing w:val="8"/>
                      <w:sz w:val="21"/>
                      <w:szCs w:val="21"/>
                      <w:shd w:val="clear" w:fill="FFFFFF"/>
                    </w:rPr>
                    <w:t>1）：</w:t>
                  </w:r>
                  <w:r>
                    <w:rPr>
                      <w:rFonts w:hint="default" w:ascii="Times New Roman" w:hAnsi="Times New Roman" w:eastAsia="仿宋" w:cs="Times New Roman"/>
                      <w:i w:val="0"/>
                      <w:iCs w:val="0"/>
                      <w:caps w:val="0"/>
                      <w:color w:val="auto"/>
                      <w:spacing w:val="8"/>
                      <w:sz w:val="21"/>
                      <w:szCs w:val="21"/>
                      <w:shd w:val="clear" w:fill="FFFFFF"/>
                      <w:lang w:val="en-US" w:eastAsia="zh-CN"/>
                    </w:rPr>
                    <w:t>1.65（25</w:t>
                  </w:r>
                  <w:r>
                    <w:rPr>
                      <w:rFonts w:hint="default" w:ascii="Times New Roman" w:hAnsi="Times New Roman" w:eastAsia="仿宋" w:cs="Times New Roman"/>
                      <w:color w:val="auto"/>
                      <w:sz w:val="21"/>
                      <w:szCs w:val="21"/>
                    </w:rPr>
                    <w:t>℃</w:t>
                  </w:r>
                  <w:r>
                    <w:rPr>
                      <w:rFonts w:hint="default" w:ascii="Times New Roman" w:hAnsi="Times New Roman" w:eastAsia="仿宋" w:cs="Times New Roman"/>
                      <w:i w:val="0"/>
                      <w:iCs w:val="0"/>
                      <w:caps w:val="0"/>
                      <w:color w:val="auto"/>
                      <w:spacing w:val="8"/>
                      <w:sz w:val="21"/>
                      <w:szCs w:val="21"/>
                      <w:shd w:val="clear" w:fill="FFFFFF"/>
                      <w:lang w:val="en-US" w:eastAsia="zh-CN"/>
                    </w:rPr>
                    <w:t>），溶于水，稍溶于乙醇，不溶于乙醚、氯仿、苯、石油醚、油类和脂肪。</w:t>
                  </w:r>
                </w:p>
              </w:tc>
              <w:tc>
                <w:tcPr>
                  <w:tcW w:w="473" w:type="pct"/>
                  <w:vAlign w:val="center"/>
                </w:tcPr>
                <w:p w14:paraId="13D8EF6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可燃</w:t>
                  </w:r>
                </w:p>
              </w:tc>
              <w:tc>
                <w:tcPr>
                  <w:tcW w:w="986" w:type="pct"/>
                  <w:vAlign w:val="center"/>
                </w:tcPr>
                <w:p w14:paraId="31569E7C">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52D49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A130D2A">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2,9-二甲基-4</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7-二苯基-1</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10-菲啰啉磺酸二钠盐</w:t>
                  </w:r>
                </w:p>
              </w:tc>
              <w:tc>
                <w:tcPr>
                  <w:tcW w:w="978" w:type="pct"/>
                  <w:vAlign w:val="center"/>
                </w:tcPr>
                <w:p w14:paraId="7216022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aps w:val="0"/>
                      <w:color w:val="auto"/>
                      <w:spacing w:val="0"/>
                      <w:sz w:val="21"/>
                      <w:szCs w:val="21"/>
                    </w:rPr>
                    <w:t>C</w:t>
                  </w:r>
                  <w:r>
                    <w:rPr>
                      <w:rFonts w:hint="default" w:ascii="Times New Roman" w:hAnsi="Times New Roman" w:eastAsia="仿宋" w:cs="Times New Roman"/>
                      <w:i w:val="0"/>
                      <w:iCs w:val="0"/>
                      <w:caps w:val="0"/>
                      <w:color w:val="auto"/>
                      <w:spacing w:val="0"/>
                      <w:sz w:val="21"/>
                      <w:szCs w:val="21"/>
                      <w:vertAlign w:val="subscript"/>
                    </w:rPr>
                    <w:t>26</w:t>
                  </w:r>
                  <w:r>
                    <w:rPr>
                      <w:rFonts w:hint="default" w:ascii="Times New Roman" w:hAnsi="Times New Roman" w:eastAsia="仿宋" w:cs="Times New Roman"/>
                      <w:i w:val="0"/>
                      <w:iCs w:val="0"/>
                      <w:caps w:val="0"/>
                      <w:color w:val="auto"/>
                      <w:spacing w:val="0"/>
                      <w:sz w:val="21"/>
                      <w:szCs w:val="21"/>
                    </w:rPr>
                    <w:t>H</w:t>
                  </w:r>
                  <w:r>
                    <w:rPr>
                      <w:rFonts w:hint="default" w:ascii="Times New Roman" w:hAnsi="Times New Roman" w:eastAsia="仿宋" w:cs="Times New Roman"/>
                      <w:i w:val="0"/>
                      <w:iCs w:val="0"/>
                      <w:caps w:val="0"/>
                      <w:color w:val="auto"/>
                      <w:spacing w:val="0"/>
                      <w:sz w:val="21"/>
                      <w:szCs w:val="21"/>
                      <w:vertAlign w:val="subscript"/>
                    </w:rPr>
                    <w:t>18</w:t>
                  </w:r>
                  <w:r>
                    <w:rPr>
                      <w:rFonts w:hint="default" w:ascii="Times New Roman" w:hAnsi="Times New Roman" w:eastAsia="仿宋" w:cs="Times New Roman"/>
                      <w:i w:val="0"/>
                      <w:iCs w:val="0"/>
                      <w:caps w:val="0"/>
                      <w:color w:val="auto"/>
                      <w:spacing w:val="0"/>
                      <w:sz w:val="21"/>
                      <w:szCs w:val="21"/>
                    </w:rPr>
                    <w:t>N</w:t>
                  </w:r>
                  <w:r>
                    <w:rPr>
                      <w:rFonts w:hint="default" w:ascii="Times New Roman" w:hAnsi="Times New Roman" w:eastAsia="仿宋" w:cs="Times New Roman"/>
                      <w:i w:val="0"/>
                      <w:iCs w:val="0"/>
                      <w:caps w:val="0"/>
                      <w:color w:val="auto"/>
                      <w:spacing w:val="0"/>
                      <w:sz w:val="21"/>
                      <w:szCs w:val="21"/>
                      <w:vertAlign w:val="subscript"/>
                    </w:rPr>
                    <w:t>2</w:t>
                  </w:r>
                  <w:r>
                    <w:rPr>
                      <w:rFonts w:hint="default" w:ascii="Times New Roman" w:hAnsi="Times New Roman" w:eastAsia="仿宋" w:cs="Times New Roman"/>
                      <w:i w:val="0"/>
                      <w:iCs w:val="0"/>
                      <w:caps w:val="0"/>
                      <w:color w:val="auto"/>
                      <w:spacing w:val="0"/>
                      <w:sz w:val="21"/>
                      <w:szCs w:val="21"/>
                    </w:rPr>
                    <w:t>O</w:t>
                  </w:r>
                  <w:r>
                    <w:rPr>
                      <w:rFonts w:hint="default" w:ascii="Times New Roman" w:hAnsi="Times New Roman" w:eastAsia="仿宋" w:cs="Times New Roman"/>
                      <w:i w:val="0"/>
                      <w:iCs w:val="0"/>
                      <w:caps w:val="0"/>
                      <w:color w:val="auto"/>
                      <w:spacing w:val="0"/>
                      <w:sz w:val="21"/>
                      <w:szCs w:val="21"/>
                      <w:vertAlign w:val="subscript"/>
                    </w:rPr>
                    <w:t>6</w:t>
                  </w:r>
                  <w:r>
                    <w:rPr>
                      <w:rFonts w:hint="default" w:ascii="Times New Roman" w:hAnsi="Times New Roman" w:eastAsia="仿宋" w:cs="Times New Roman"/>
                      <w:i w:val="0"/>
                      <w:iCs w:val="0"/>
                      <w:caps w:val="0"/>
                      <w:color w:val="auto"/>
                      <w:spacing w:val="0"/>
                      <w:sz w:val="21"/>
                      <w:szCs w:val="21"/>
                    </w:rPr>
                    <w:t>S</w:t>
                  </w:r>
                  <w:r>
                    <w:rPr>
                      <w:rFonts w:hint="default" w:ascii="Times New Roman" w:hAnsi="Times New Roman" w:eastAsia="仿宋" w:cs="Times New Roman"/>
                      <w:i w:val="0"/>
                      <w:iCs w:val="0"/>
                      <w:caps w:val="0"/>
                      <w:color w:val="auto"/>
                      <w:spacing w:val="0"/>
                      <w:sz w:val="21"/>
                      <w:szCs w:val="21"/>
                      <w:vertAlign w:val="subscript"/>
                    </w:rPr>
                    <w:t>2.2</w:t>
                  </w:r>
                  <w:r>
                    <w:rPr>
                      <w:rFonts w:hint="default" w:ascii="Times New Roman" w:hAnsi="Times New Roman" w:eastAsia="仿宋" w:cs="Times New Roman"/>
                      <w:i w:val="0"/>
                      <w:iCs w:val="0"/>
                      <w:caps w:val="0"/>
                      <w:color w:val="auto"/>
                      <w:spacing w:val="0"/>
                      <w:sz w:val="21"/>
                      <w:szCs w:val="21"/>
                    </w:rPr>
                    <w:t>Na</w:t>
                  </w:r>
                </w:p>
              </w:tc>
              <w:tc>
                <w:tcPr>
                  <w:tcW w:w="1963" w:type="pct"/>
                  <w:vAlign w:val="center"/>
                </w:tcPr>
                <w:p w14:paraId="6DBBC8BB">
                  <w:pPr>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i w:val="0"/>
                      <w:iCs w:val="0"/>
                      <w:caps w:val="0"/>
                      <w:color w:val="auto"/>
                      <w:spacing w:val="0"/>
                      <w:sz w:val="21"/>
                      <w:szCs w:val="21"/>
                    </w:rPr>
                    <w:t>分子量</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rPr>
                    <w:t>564.55</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rPr>
                    <w:t>熔点</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rPr>
                    <w:t>300</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aps w:val="0"/>
                      <w:color w:val="auto"/>
                      <w:spacing w:val="0"/>
                      <w:sz w:val="21"/>
                      <w:szCs w:val="21"/>
                    </w:rPr>
                    <w:t>可与水混溶</w:t>
                  </w:r>
                </w:p>
              </w:tc>
              <w:tc>
                <w:tcPr>
                  <w:tcW w:w="473" w:type="pct"/>
                  <w:vAlign w:val="center"/>
                </w:tcPr>
                <w:p w14:paraId="10E2C4E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不燃</w:t>
                  </w:r>
                </w:p>
              </w:tc>
              <w:tc>
                <w:tcPr>
                  <w:tcW w:w="986" w:type="pct"/>
                  <w:vAlign w:val="center"/>
                </w:tcPr>
                <w:p w14:paraId="3294822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无资料</w:t>
                  </w:r>
                </w:p>
              </w:tc>
            </w:tr>
            <w:tr w14:paraId="3AC56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156B04E">
                  <w:pPr>
                    <w:widowControl/>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Cs w:val="21"/>
                    </w:rPr>
                    <w:t>过氧化二苯甲酰</w:t>
                  </w:r>
                </w:p>
              </w:tc>
              <w:tc>
                <w:tcPr>
                  <w:tcW w:w="978" w:type="pct"/>
                  <w:vAlign w:val="center"/>
                </w:tcPr>
                <w:p w14:paraId="07FEE385">
                  <w:pPr>
                    <w:adjustRightInd w:val="0"/>
                    <w:snapToGrid w:val="0"/>
                    <w:jc w:val="center"/>
                    <w:rPr>
                      <w:rFonts w:hint="default" w:ascii="Times New Roman" w:hAnsi="Times New Roman" w:eastAsia="仿宋" w:cs="Times New Roman"/>
                      <w:i w:val="0"/>
                      <w:iCs w:val="0"/>
                      <w:caps w:val="0"/>
                      <w:color w:val="auto"/>
                      <w:spacing w:val="0"/>
                      <w:sz w:val="21"/>
                      <w:szCs w:val="21"/>
                    </w:rPr>
                  </w:pPr>
                  <w:r>
                    <w:rPr>
                      <w:rFonts w:hint="default" w:ascii="Times New Roman" w:hAnsi="Times New Roman" w:eastAsia="仿宋" w:cs="Times New Roman"/>
                      <w:i w:val="0"/>
                      <w:iCs w:val="0"/>
                      <w:caps w:val="0"/>
                      <w:color w:val="auto"/>
                      <w:spacing w:val="0"/>
                      <w:sz w:val="21"/>
                      <w:szCs w:val="21"/>
                    </w:rPr>
                    <w:t>C</w:t>
                  </w:r>
                  <w:r>
                    <w:rPr>
                      <w:rFonts w:hint="default" w:ascii="Times New Roman" w:hAnsi="Times New Roman" w:eastAsia="仿宋" w:cs="Times New Roman"/>
                      <w:color w:val="auto"/>
                      <w:szCs w:val="21"/>
                      <w:vertAlign w:val="subscript"/>
                    </w:rPr>
                    <w:t>14</w:t>
                  </w:r>
                  <w:r>
                    <w:rPr>
                      <w:rFonts w:hint="default" w:ascii="Times New Roman" w:hAnsi="Times New Roman" w:eastAsia="仿宋" w:cs="Times New Roman"/>
                      <w:i w:val="0"/>
                      <w:iCs w:val="0"/>
                      <w:caps w:val="0"/>
                      <w:color w:val="auto"/>
                      <w:spacing w:val="0"/>
                      <w:sz w:val="21"/>
                      <w:szCs w:val="21"/>
                    </w:rPr>
                    <w:t>H</w:t>
                  </w:r>
                  <w:r>
                    <w:rPr>
                      <w:rFonts w:hint="default" w:ascii="Times New Roman" w:hAnsi="Times New Roman" w:eastAsia="仿宋" w:cs="Times New Roman"/>
                      <w:color w:val="auto"/>
                      <w:szCs w:val="21"/>
                      <w:vertAlign w:val="subscript"/>
                    </w:rPr>
                    <w:t>10</w:t>
                  </w:r>
                  <w:r>
                    <w:rPr>
                      <w:rFonts w:hint="default" w:ascii="Times New Roman" w:hAnsi="Times New Roman" w:eastAsia="仿宋" w:cs="Times New Roman"/>
                      <w:i w:val="0"/>
                      <w:iCs w:val="0"/>
                      <w:caps w:val="0"/>
                      <w:color w:val="auto"/>
                      <w:spacing w:val="0"/>
                      <w:sz w:val="21"/>
                      <w:szCs w:val="21"/>
                    </w:rPr>
                    <w:t>O</w:t>
                  </w:r>
                  <w:r>
                    <w:rPr>
                      <w:rFonts w:hint="default" w:ascii="Times New Roman" w:hAnsi="Times New Roman" w:eastAsia="仿宋" w:cs="Times New Roman"/>
                      <w:color w:val="auto"/>
                      <w:szCs w:val="21"/>
                      <w:vertAlign w:val="subscript"/>
                    </w:rPr>
                    <w:t>4</w:t>
                  </w:r>
                </w:p>
              </w:tc>
              <w:tc>
                <w:tcPr>
                  <w:tcW w:w="1963" w:type="pct"/>
                  <w:vAlign w:val="center"/>
                </w:tcPr>
                <w:p w14:paraId="318CC3D6">
                  <w:pPr>
                    <w:jc w:val="center"/>
                    <w:rPr>
                      <w:rFonts w:hint="default" w:ascii="Times New Roman" w:hAnsi="Times New Roman" w:eastAsia="仿宋" w:cs="Times New Roman"/>
                      <w:i w:val="0"/>
                      <w:iCs w:val="0"/>
                      <w:caps w:val="0"/>
                      <w:color w:val="auto"/>
                      <w:spacing w:val="0"/>
                      <w:sz w:val="21"/>
                      <w:szCs w:val="21"/>
                    </w:rPr>
                  </w:pPr>
                  <w:r>
                    <w:rPr>
                      <w:rFonts w:hint="default" w:ascii="Times New Roman" w:hAnsi="Times New Roman" w:eastAsia="仿宋" w:cs="Times New Roman"/>
                      <w:i w:val="0"/>
                      <w:iCs w:val="0"/>
                      <w:caps w:val="0"/>
                      <w:color w:val="auto"/>
                      <w:spacing w:val="0"/>
                      <w:sz w:val="21"/>
                      <w:szCs w:val="21"/>
                      <w:lang w:val="en-US" w:eastAsia="zh-CN"/>
                    </w:rPr>
                    <w:t>分子量：242.23，</w:t>
                  </w:r>
                  <w:r>
                    <w:rPr>
                      <w:rFonts w:hint="default" w:ascii="Times New Roman" w:hAnsi="Times New Roman" w:eastAsia="仿宋" w:cs="Times New Roman"/>
                      <w:i w:val="0"/>
                      <w:iCs w:val="0"/>
                      <w:caps w:val="0"/>
                      <w:color w:val="auto"/>
                      <w:spacing w:val="0"/>
                      <w:sz w:val="21"/>
                      <w:szCs w:val="21"/>
                    </w:rPr>
                    <w:t>白色晶体</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lang w:eastAsia="zh-CN"/>
                    </w:rPr>
                    <w:fldChar w:fldCharType="begin"/>
                  </w:r>
                  <w:r>
                    <w:rPr>
                      <w:rFonts w:hint="default" w:ascii="Times New Roman" w:hAnsi="Times New Roman" w:eastAsia="仿宋" w:cs="Times New Roman"/>
                      <w:i w:val="0"/>
                      <w:iCs w:val="0"/>
                      <w:caps w:val="0"/>
                      <w:color w:val="auto"/>
                      <w:spacing w:val="0"/>
                      <w:sz w:val="21"/>
                      <w:szCs w:val="21"/>
                      <w:lang w:eastAsia="zh-CN"/>
                    </w:rPr>
                    <w:instrText xml:space="preserve"> HYPERLINK "https://baike.so.com/doc/367780-389604.html" \t "https://baike.so.com/doc/_blank" </w:instrText>
                  </w:r>
                  <w:r>
                    <w:rPr>
                      <w:rFonts w:hint="default" w:ascii="Times New Roman" w:hAnsi="Times New Roman" w:eastAsia="仿宋" w:cs="Times New Roman"/>
                      <w:i w:val="0"/>
                      <w:iCs w:val="0"/>
                      <w:caps w:val="0"/>
                      <w:color w:val="auto"/>
                      <w:spacing w:val="0"/>
                      <w:sz w:val="21"/>
                      <w:szCs w:val="21"/>
                      <w:lang w:eastAsia="zh-CN"/>
                    </w:rPr>
                    <w:fldChar w:fldCharType="separate"/>
                  </w:r>
                  <w:r>
                    <w:rPr>
                      <w:rFonts w:hint="default" w:ascii="Times New Roman" w:hAnsi="Times New Roman" w:eastAsia="仿宋" w:cs="Times New Roman"/>
                      <w:i w:val="0"/>
                      <w:iCs w:val="0"/>
                      <w:caps w:val="0"/>
                      <w:color w:val="auto"/>
                      <w:spacing w:val="0"/>
                      <w:sz w:val="21"/>
                      <w:szCs w:val="21"/>
                      <w:lang w:eastAsia="zh-CN"/>
                    </w:rPr>
                    <w:t>熔点</w:t>
                  </w:r>
                  <w:r>
                    <w:rPr>
                      <w:rFonts w:hint="default" w:ascii="Times New Roman" w:hAnsi="Times New Roman" w:eastAsia="仿宋" w:cs="Times New Roman"/>
                      <w:i w:val="0"/>
                      <w:iCs w:val="0"/>
                      <w:caps w:val="0"/>
                      <w:color w:val="auto"/>
                      <w:spacing w:val="0"/>
                      <w:sz w:val="21"/>
                      <w:szCs w:val="21"/>
                      <w:lang w:eastAsia="zh-CN"/>
                    </w:rPr>
                    <w:fldChar w:fldCharType="end"/>
                  </w:r>
                  <w:r>
                    <w:rPr>
                      <w:rFonts w:hint="default" w:ascii="Times New Roman" w:hAnsi="Times New Roman" w:eastAsia="仿宋" w:cs="Times New Roman"/>
                      <w:i w:val="0"/>
                      <w:iCs w:val="0"/>
                      <w:caps w:val="0"/>
                      <w:color w:val="auto"/>
                      <w:spacing w:val="0"/>
                      <w:sz w:val="21"/>
                      <w:szCs w:val="21"/>
                      <w:lang w:eastAsia="zh-CN"/>
                    </w:rPr>
                    <w:t>:105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aps w:val="0"/>
                      <w:color w:val="auto"/>
                      <w:spacing w:val="0"/>
                      <w:sz w:val="21"/>
                      <w:szCs w:val="21"/>
                      <w:lang w:eastAsia="zh-CN"/>
                    </w:rPr>
                    <w:fldChar w:fldCharType="begin"/>
                  </w:r>
                  <w:r>
                    <w:rPr>
                      <w:rFonts w:hint="default" w:ascii="Times New Roman" w:hAnsi="Times New Roman" w:eastAsia="仿宋" w:cs="Times New Roman"/>
                      <w:i w:val="0"/>
                      <w:iCs w:val="0"/>
                      <w:caps w:val="0"/>
                      <w:color w:val="auto"/>
                      <w:spacing w:val="0"/>
                      <w:sz w:val="21"/>
                      <w:szCs w:val="21"/>
                      <w:lang w:eastAsia="zh-CN"/>
                    </w:rPr>
                    <w:instrText xml:space="preserve"> HYPERLINK "https://baike.so.com/doc/5567907-5783065.html" \t "https://baike.so.com/doc/_blank" </w:instrText>
                  </w:r>
                  <w:r>
                    <w:rPr>
                      <w:rFonts w:hint="default" w:ascii="Times New Roman" w:hAnsi="Times New Roman" w:eastAsia="仿宋" w:cs="Times New Roman"/>
                      <w:i w:val="0"/>
                      <w:iCs w:val="0"/>
                      <w:caps w:val="0"/>
                      <w:color w:val="auto"/>
                      <w:spacing w:val="0"/>
                      <w:sz w:val="21"/>
                      <w:szCs w:val="21"/>
                      <w:lang w:eastAsia="zh-CN"/>
                    </w:rPr>
                    <w:fldChar w:fldCharType="separate"/>
                  </w:r>
                  <w:r>
                    <w:rPr>
                      <w:rFonts w:hint="default" w:ascii="Times New Roman" w:hAnsi="Times New Roman" w:eastAsia="仿宋" w:cs="Times New Roman"/>
                      <w:i w:val="0"/>
                      <w:iCs w:val="0"/>
                      <w:caps w:val="0"/>
                      <w:color w:val="auto"/>
                      <w:spacing w:val="0"/>
                      <w:sz w:val="21"/>
                      <w:szCs w:val="21"/>
                      <w:lang w:eastAsia="zh-CN"/>
                    </w:rPr>
                    <w:t>沸点</w:t>
                  </w:r>
                  <w:r>
                    <w:rPr>
                      <w:rFonts w:hint="default" w:ascii="Times New Roman" w:hAnsi="Times New Roman" w:eastAsia="仿宋" w:cs="Times New Roman"/>
                      <w:i w:val="0"/>
                      <w:iCs w:val="0"/>
                      <w:caps w:val="0"/>
                      <w:color w:val="auto"/>
                      <w:spacing w:val="0"/>
                      <w:sz w:val="21"/>
                      <w:szCs w:val="21"/>
                      <w:lang w:eastAsia="zh-CN"/>
                    </w:rPr>
                    <w:fldChar w:fldCharType="end"/>
                  </w:r>
                  <w:r>
                    <w:rPr>
                      <w:rFonts w:hint="default" w:ascii="Times New Roman" w:hAnsi="Times New Roman" w:eastAsia="仿宋" w:cs="Times New Roman"/>
                      <w:i w:val="0"/>
                      <w:iCs w:val="0"/>
                      <w:caps w:val="0"/>
                      <w:color w:val="auto"/>
                      <w:spacing w:val="0"/>
                      <w:sz w:val="21"/>
                      <w:szCs w:val="21"/>
                      <w:lang w:eastAsia="zh-CN"/>
                    </w:rPr>
                    <w:t>:176</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i w:val="0"/>
                      <w:iCs w:val="0"/>
                      <w:caps w:val="0"/>
                      <w:color w:val="auto"/>
                      <w:spacing w:val="0"/>
                      <w:sz w:val="21"/>
                      <w:szCs w:val="21"/>
                      <w:lang w:eastAsia="zh-CN"/>
                    </w:rPr>
                    <w:fldChar w:fldCharType="begin"/>
                  </w:r>
                  <w:r>
                    <w:rPr>
                      <w:rFonts w:hint="default" w:ascii="Times New Roman" w:hAnsi="Times New Roman" w:eastAsia="仿宋" w:cs="Times New Roman"/>
                      <w:i w:val="0"/>
                      <w:iCs w:val="0"/>
                      <w:caps w:val="0"/>
                      <w:color w:val="auto"/>
                      <w:spacing w:val="0"/>
                      <w:sz w:val="21"/>
                      <w:szCs w:val="21"/>
                      <w:lang w:eastAsia="zh-CN"/>
                    </w:rPr>
                    <w:instrText xml:space="preserve"> HYPERLINK "https://baike.so.com/doc/720555-762868.html" \t "https://baike.so.com/doc/_blank" </w:instrText>
                  </w:r>
                  <w:r>
                    <w:rPr>
                      <w:rFonts w:hint="default" w:ascii="Times New Roman" w:hAnsi="Times New Roman" w:eastAsia="仿宋" w:cs="Times New Roman"/>
                      <w:i w:val="0"/>
                      <w:iCs w:val="0"/>
                      <w:caps w:val="0"/>
                      <w:color w:val="auto"/>
                      <w:spacing w:val="0"/>
                      <w:sz w:val="21"/>
                      <w:szCs w:val="21"/>
                      <w:lang w:eastAsia="zh-CN"/>
                    </w:rPr>
                    <w:fldChar w:fldCharType="separate"/>
                  </w:r>
                  <w:r>
                    <w:rPr>
                      <w:rFonts w:hint="default" w:ascii="Times New Roman" w:hAnsi="Times New Roman" w:eastAsia="仿宋" w:cs="Times New Roman"/>
                      <w:i w:val="0"/>
                      <w:iCs w:val="0"/>
                      <w:caps w:val="0"/>
                      <w:color w:val="auto"/>
                      <w:spacing w:val="0"/>
                      <w:sz w:val="21"/>
                      <w:szCs w:val="21"/>
                      <w:lang w:eastAsia="zh-CN"/>
                    </w:rPr>
                    <w:t>闪点</w:t>
                  </w:r>
                  <w:r>
                    <w:rPr>
                      <w:rFonts w:hint="default" w:ascii="Times New Roman" w:hAnsi="Times New Roman" w:eastAsia="仿宋" w:cs="Times New Roman"/>
                      <w:i w:val="0"/>
                      <w:iCs w:val="0"/>
                      <w:caps w:val="0"/>
                      <w:color w:val="auto"/>
                      <w:spacing w:val="0"/>
                      <w:sz w:val="21"/>
                      <w:szCs w:val="21"/>
                      <w:lang w:eastAsia="zh-CN"/>
                    </w:rPr>
                    <w:fldChar w:fldCharType="end"/>
                  </w:r>
                  <w:r>
                    <w:rPr>
                      <w:rFonts w:hint="default" w:ascii="Times New Roman" w:hAnsi="Times New Roman" w:eastAsia="仿宋" w:cs="Times New Roman"/>
                      <w:i w:val="0"/>
                      <w:iCs w:val="0"/>
                      <w:caps w:val="0"/>
                      <w:color w:val="auto"/>
                      <w:spacing w:val="0"/>
                      <w:sz w:val="21"/>
                      <w:szCs w:val="21"/>
                      <w:lang w:eastAsia="zh-CN"/>
                    </w:rPr>
                    <w:t>:&gt;230°F，</w:t>
                  </w:r>
                  <w:r>
                    <w:rPr>
                      <w:rFonts w:hint="default" w:ascii="Times New Roman" w:hAnsi="Times New Roman" w:eastAsia="仿宋" w:cs="Times New Roman"/>
                      <w:i w:val="0"/>
                      <w:iCs w:val="0"/>
                      <w:caps w:val="0"/>
                      <w:color w:val="auto"/>
                      <w:spacing w:val="0"/>
                      <w:sz w:val="21"/>
                      <w:szCs w:val="21"/>
                      <w:lang w:eastAsia="zh-CN"/>
                    </w:rPr>
                    <w:fldChar w:fldCharType="begin"/>
                  </w:r>
                  <w:r>
                    <w:rPr>
                      <w:rFonts w:hint="default" w:ascii="Times New Roman" w:hAnsi="Times New Roman" w:eastAsia="仿宋" w:cs="Times New Roman"/>
                      <w:i w:val="0"/>
                      <w:iCs w:val="0"/>
                      <w:caps w:val="0"/>
                      <w:color w:val="auto"/>
                      <w:spacing w:val="0"/>
                      <w:sz w:val="21"/>
                      <w:szCs w:val="21"/>
                      <w:lang w:eastAsia="zh-CN"/>
                    </w:rPr>
                    <w:instrText xml:space="preserve"> HYPERLINK "https://baike.so.com/doc/4210704-4411860.html" \t "https://baike.so.com/doc/_blank" </w:instrText>
                  </w:r>
                  <w:r>
                    <w:rPr>
                      <w:rFonts w:hint="default" w:ascii="Times New Roman" w:hAnsi="Times New Roman" w:eastAsia="仿宋" w:cs="Times New Roman"/>
                      <w:i w:val="0"/>
                      <w:iCs w:val="0"/>
                      <w:caps w:val="0"/>
                      <w:color w:val="auto"/>
                      <w:spacing w:val="0"/>
                      <w:sz w:val="21"/>
                      <w:szCs w:val="21"/>
                      <w:lang w:eastAsia="zh-CN"/>
                    </w:rPr>
                    <w:fldChar w:fldCharType="separate"/>
                  </w:r>
                  <w:r>
                    <w:rPr>
                      <w:rFonts w:hint="default" w:ascii="Times New Roman" w:hAnsi="Times New Roman" w:eastAsia="仿宋" w:cs="Times New Roman"/>
                      <w:i w:val="0"/>
                      <w:iCs w:val="0"/>
                      <w:caps w:val="0"/>
                      <w:color w:val="auto"/>
                      <w:spacing w:val="0"/>
                      <w:sz w:val="21"/>
                      <w:szCs w:val="21"/>
                      <w:lang w:eastAsia="zh-CN"/>
                    </w:rPr>
                    <w:t>密度</w:t>
                  </w:r>
                  <w:r>
                    <w:rPr>
                      <w:rFonts w:hint="default" w:ascii="Times New Roman" w:hAnsi="Times New Roman" w:eastAsia="仿宋" w:cs="Times New Roman"/>
                      <w:i w:val="0"/>
                      <w:iCs w:val="0"/>
                      <w:caps w:val="0"/>
                      <w:color w:val="auto"/>
                      <w:spacing w:val="0"/>
                      <w:sz w:val="21"/>
                      <w:szCs w:val="21"/>
                      <w:lang w:eastAsia="zh-CN"/>
                    </w:rPr>
                    <w:fldChar w:fldCharType="end"/>
                  </w:r>
                  <w:r>
                    <w:rPr>
                      <w:rFonts w:hint="default" w:ascii="Times New Roman" w:hAnsi="Times New Roman" w:eastAsia="仿宋" w:cs="Times New Roman"/>
                      <w:i w:val="0"/>
                      <w:iCs w:val="0"/>
                      <w:caps w:val="0"/>
                      <w:color w:val="auto"/>
                      <w:spacing w:val="0"/>
                      <w:sz w:val="21"/>
                      <w:szCs w:val="21"/>
                      <w:lang w:eastAsia="zh-CN"/>
                    </w:rPr>
                    <w:t>:1.16g/mL（</w:t>
                  </w:r>
                  <w:r>
                    <w:rPr>
                      <w:rFonts w:hint="default" w:ascii="Times New Roman" w:hAnsi="Times New Roman" w:eastAsia="仿宋" w:cs="Times New Roman"/>
                      <w:i w:val="0"/>
                      <w:iCs w:val="0"/>
                      <w:caps w:val="0"/>
                      <w:color w:val="auto"/>
                      <w:spacing w:val="0"/>
                      <w:sz w:val="21"/>
                      <w:szCs w:val="21"/>
                      <w:lang w:val="en-US" w:eastAsia="zh-CN"/>
                    </w:rPr>
                    <w:t>25</w:t>
                  </w:r>
                  <w:r>
                    <w:rPr>
                      <w:rFonts w:hint="default" w:ascii="Times New Roman" w:hAnsi="Times New Roman" w:eastAsia="仿宋" w:cs="Times New Roman"/>
                      <w:color w:val="auto"/>
                      <w:sz w:val="21"/>
                      <w:szCs w:val="21"/>
                    </w:rPr>
                    <w:t>℃</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rPr>
                    <w:t>溶于苯、氯仿、乙醚</w:t>
                  </w:r>
                  <w:r>
                    <w:rPr>
                      <w:rFonts w:hint="default" w:ascii="Times New Roman" w:hAnsi="Times New Roman" w:eastAsia="仿宋" w:cs="Times New Roman"/>
                      <w:i w:val="0"/>
                      <w:iCs w:val="0"/>
                      <w:caps w:val="0"/>
                      <w:color w:val="auto"/>
                      <w:spacing w:val="0"/>
                      <w:sz w:val="21"/>
                      <w:szCs w:val="21"/>
                      <w:lang w:eastAsia="zh-CN"/>
                    </w:rPr>
                    <w:t>，</w:t>
                  </w:r>
                  <w:r>
                    <w:rPr>
                      <w:rFonts w:hint="default" w:ascii="Times New Roman" w:hAnsi="Times New Roman" w:eastAsia="仿宋" w:cs="Times New Roman"/>
                      <w:i w:val="0"/>
                      <w:iCs w:val="0"/>
                      <w:caps w:val="0"/>
                      <w:color w:val="auto"/>
                      <w:spacing w:val="0"/>
                      <w:sz w:val="21"/>
                      <w:szCs w:val="21"/>
                    </w:rPr>
                    <w:t>微溶于乙醇及水。</w:t>
                  </w:r>
                </w:p>
              </w:tc>
              <w:tc>
                <w:tcPr>
                  <w:tcW w:w="473" w:type="pct"/>
                  <w:vAlign w:val="center"/>
                </w:tcPr>
                <w:p w14:paraId="3C7FE52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可燃</w:t>
                  </w:r>
                </w:p>
              </w:tc>
              <w:tc>
                <w:tcPr>
                  <w:tcW w:w="986" w:type="pct"/>
                  <w:vAlign w:val="center"/>
                </w:tcPr>
                <w:p w14:paraId="775B86B0">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aps w:val="0"/>
                      <w:color w:val="auto"/>
                      <w:spacing w:val="0"/>
                      <w:sz w:val="21"/>
                      <w:szCs w:val="21"/>
                    </w:rPr>
                    <w:t>LD</w:t>
                  </w:r>
                  <w:r>
                    <w:rPr>
                      <w:rFonts w:hint="default" w:ascii="Times New Roman" w:hAnsi="Times New Roman" w:eastAsia="仿宋" w:cs="Times New Roman"/>
                      <w:i w:val="0"/>
                      <w:iCs w:val="0"/>
                      <w:caps w:val="0"/>
                      <w:color w:val="auto"/>
                      <w:spacing w:val="0"/>
                      <w:sz w:val="21"/>
                      <w:szCs w:val="21"/>
                      <w:vertAlign w:val="subscript"/>
                    </w:rPr>
                    <w:t>50</w:t>
                  </w:r>
                  <w:r>
                    <w:rPr>
                      <w:rFonts w:hint="default" w:ascii="Times New Roman" w:hAnsi="Times New Roman" w:eastAsia="仿宋" w:cs="Times New Roman"/>
                      <w:i w:val="0"/>
                      <w:iCs w:val="0"/>
                      <w:caps w:val="0"/>
                      <w:color w:val="auto"/>
                      <w:spacing w:val="0"/>
                      <w:sz w:val="21"/>
                      <w:szCs w:val="21"/>
                    </w:rPr>
                    <w:t>:7710</w:t>
                  </w:r>
                  <w:r>
                    <w:rPr>
                      <w:rFonts w:hint="default" w:ascii="Times New Roman" w:hAnsi="Times New Roman" w:eastAsia="仿宋" w:cs="Times New Roman"/>
                      <w:i w:val="0"/>
                      <w:iCs w:val="0"/>
                      <w:caps w:val="0"/>
                      <w:color w:val="auto"/>
                      <w:spacing w:val="0"/>
                      <w:sz w:val="21"/>
                      <w:szCs w:val="21"/>
                      <w:lang w:val="en-US" w:eastAsia="zh-CN"/>
                    </w:rPr>
                    <w:t>mg/kg（</w:t>
                  </w:r>
                  <w:r>
                    <w:rPr>
                      <w:rFonts w:hint="default" w:ascii="Times New Roman" w:hAnsi="Times New Roman" w:eastAsia="仿宋" w:cs="Times New Roman"/>
                      <w:i w:val="0"/>
                      <w:iCs w:val="0"/>
                      <w:caps w:val="0"/>
                      <w:color w:val="auto"/>
                      <w:spacing w:val="0"/>
                      <w:sz w:val="21"/>
                      <w:szCs w:val="21"/>
                    </w:rPr>
                    <w:t>大鼠</w:t>
                  </w:r>
                  <w:r>
                    <w:rPr>
                      <w:rFonts w:hint="default" w:ascii="Times New Roman" w:hAnsi="Times New Roman" w:eastAsia="仿宋" w:cs="Times New Roman"/>
                      <w:i w:val="0"/>
                      <w:iCs w:val="0"/>
                      <w:caps w:val="0"/>
                      <w:color w:val="auto"/>
                      <w:spacing w:val="0"/>
                      <w:sz w:val="21"/>
                      <w:szCs w:val="21"/>
                      <w:lang w:val="en-US" w:eastAsia="zh-CN"/>
                    </w:rPr>
                    <w:t>口服）；</w:t>
                  </w:r>
                  <w:r>
                    <w:rPr>
                      <w:rFonts w:hint="default" w:ascii="Times New Roman" w:hAnsi="Times New Roman" w:eastAsia="仿宋" w:cs="Times New Roman"/>
                      <w:i w:val="0"/>
                      <w:iCs w:val="0"/>
                      <w:caps w:val="0"/>
                      <w:color w:val="auto"/>
                      <w:spacing w:val="0"/>
                      <w:sz w:val="21"/>
                      <w:szCs w:val="21"/>
                    </w:rPr>
                    <w:t>LD</w:t>
                  </w:r>
                  <w:r>
                    <w:rPr>
                      <w:rFonts w:hint="default" w:ascii="Times New Roman" w:hAnsi="Times New Roman" w:eastAsia="仿宋" w:cs="Times New Roman"/>
                      <w:i w:val="0"/>
                      <w:iCs w:val="0"/>
                      <w:caps w:val="0"/>
                      <w:color w:val="auto"/>
                      <w:spacing w:val="0"/>
                      <w:sz w:val="21"/>
                      <w:szCs w:val="21"/>
                      <w:vertAlign w:val="subscript"/>
                    </w:rPr>
                    <w:t>50</w:t>
                  </w:r>
                  <w:r>
                    <w:rPr>
                      <w:rFonts w:hint="default" w:ascii="Times New Roman" w:hAnsi="Times New Roman" w:eastAsia="仿宋" w:cs="Times New Roman"/>
                      <w:i w:val="0"/>
                      <w:iCs w:val="0"/>
                      <w:caps w:val="0"/>
                      <w:color w:val="auto"/>
                      <w:spacing w:val="0"/>
                      <w:sz w:val="21"/>
                      <w:szCs w:val="21"/>
                    </w:rPr>
                    <w:t>:5700</w:t>
                  </w:r>
                  <w:r>
                    <w:rPr>
                      <w:rFonts w:hint="default" w:ascii="Times New Roman" w:hAnsi="Times New Roman" w:eastAsia="仿宋" w:cs="Times New Roman"/>
                      <w:i w:val="0"/>
                      <w:iCs w:val="0"/>
                      <w:caps w:val="0"/>
                      <w:color w:val="auto"/>
                      <w:spacing w:val="0"/>
                      <w:sz w:val="21"/>
                      <w:szCs w:val="21"/>
                      <w:lang w:val="en-US" w:eastAsia="zh-CN"/>
                    </w:rPr>
                    <w:t>mg/kg（小鼠口服）</w:t>
                  </w:r>
                </w:p>
              </w:tc>
            </w:tr>
            <w:tr w14:paraId="7C0A6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B185C80">
                  <w:pPr>
                    <w:adjustRightInd w:val="0"/>
                    <w:snapToGrid w:val="0"/>
                    <w:jc w:val="center"/>
                    <w:rPr>
                      <w:rFonts w:hint="default" w:ascii="Times New Roman" w:hAnsi="Times New Roman" w:eastAsia="仿宋" w:cs="Times New Roman"/>
                      <w:i w:val="0"/>
                      <w:iCs w:val="0"/>
                      <w:caps w:val="0"/>
                      <w:color w:val="auto"/>
                      <w:spacing w:val="0"/>
                      <w:sz w:val="21"/>
                      <w:szCs w:val="21"/>
                    </w:rPr>
                  </w:pPr>
                  <w:r>
                    <w:rPr>
                      <w:rFonts w:hint="default" w:ascii="Times New Roman" w:hAnsi="Times New Roman" w:eastAsia="仿宋" w:cs="Times New Roman"/>
                      <w:i w:val="0"/>
                      <w:iCs w:val="0"/>
                      <w:caps w:val="0"/>
                      <w:color w:val="auto"/>
                      <w:spacing w:val="0"/>
                      <w:sz w:val="21"/>
                      <w:szCs w:val="21"/>
                    </w:rPr>
                    <w:t>甲基丙烯酸甲酯</w:t>
                  </w:r>
                </w:p>
              </w:tc>
              <w:tc>
                <w:tcPr>
                  <w:tcW w:w="978" w:type="pct"/>
                  <w:vAlign w:val="center"/>
                </w:tcPr>
                <w:p w14:paraId="0475ECEB">
                  <w:pPr>
                    <w:adjustRightInd w:val="0"/>
                    <w:snapToGrid w:val="0"/>
                    <w:jc w:val="center"/>
                    <w:rPr>
                      <w:rFonts w:hint="default" w:ascii="Times New Roman" w:hAnsi="Times New Roman" w:eastAsia="仿宋" w:cs="Times New Roman"/>
                      <w:i w:val="0"/>
                      <w:iCs w:val="0"/>
                      <w:caps w:val="0"/>
                      <w:color w:val="auto"/>
                      <w:spacing w:val="0"/>
                      <w:sz w:val="21"/>
                      <w:szCs w:val="21"/>
                    </w:rPr>
                  </w:pPr>
                  <w:r>
                    <w:rPr>
                      <w:rFonts w:hint="default" w:ascii="Times New Roman" w:hAnsi="Times New Roman" w:eastAsia="仿宋" w:cs="Times New Roman"/>
                      <w:i w:val="0"/>
                      <w:iCs w:val="0"/>
                      <w:caps w:val="0"/>
                      <w:color w:val="auto"/>
                      <w:spacing w:val="0"/>
                      <w:sz w:val="21"/>
                      <w:szCs w:val="21"/>
                    </w:rPr>
                    <w:t>C</w:t>
                  </w:r>
                  <w:r>
                    <w:rPr>
                      <w:rFonts w:hint="default" w:ascii="Times New Roman" w:hAnsi="Times New Roman" w:eastAsia="仿宋" w:cs="Times New Roman"/>
                      <w:color w:val="auto"/>
                      <w:szCs w:val="21"/>
                      <w:vertAlign w:val="subscript"/>
                    </w:rPr>
                    <w:t>5</w:t>
                  </w:r>
                  <w:r>
                    <w:rPr>
                      <w:rFonts w:hint="default" w:ascii="Times New Roman" w:hAnsi="Times New Roman" w:eastAsia="仿宋" w:cs="Times New Roman"/>
                      <w:i w:val="0"/>
                      <w:iCs w:val="0"/>
                      <w:caps w:val="0"/>
                      <w:color w:val="auto"/>
                      <w:spacing w:val="0"/>
                      <w:sz w:val="21"/>
                      <w:szCs w:val="21"/>
                    </w:rPr>
                    <w:t>H</w:t>
                  </w:r>
                  <w:r>
                    <w:rPr>
                      <w:rFonts w:hint="default" w:ascii="Times New Roman" w:hAnsi="Times New Roman" w:eastAsia="仿宋" w:cs="Times New Roman"/>
                      <w:color w:val="auto"/>
                      <w:szCs w:val="21"/>
                      <w:vertAlign w:val="subscript"/>
                    </w:rPr>
                    <w:t>8</w:t>
                  </w:r>
                  <w:r>
                    <w:rPr>
                      <w:rFonts w:hint="default" w:ascii="Times New Roman" w:hAnsi="Times New Roman" w:eastAsia="仿宋" w:cs="Times New Roman"/>
                      <w:i w:val="0"/>
                      <w:iCs w:val="0"/>
                      <w:caps w:val="0"/>
                      <w:color w:val="auto"/>
                      <w:spacing w:val="0"/>
                      <w:sz w:val="21"/>
                      <w:szCs w:val="21"/>
                    </w:rPr>
                    <w:t>O</w:t>
                  </w:r>
                  <w:r>
                    <w:rPr>
                      <w:rFonts w:hint="default" w:ascii="Times New Roman" w:hAnsi="Times New Roman" w:eastAsia="仿宋" w:cs="Times New Roman"/>
                      <w:color w:val="auto"/>
                      <w:szCs w:val="21"/>
                      <w:vertAlign w:val="subscript"/>
                    </w:rPr>
                    <w:t>2</w:t>
                  </w:r>
                </w:p>
              </w:tc>
              <w:tc>
                <w:tcPr>
                  <w:tcW w:w="1963" w:type="pct"/>
                  <w:vAlign w:val="center"/>
                </w:tcPr>
                <w:p w14:paraId="3730F06C">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val="en-US" w:eastAsia="zh-CN"/>
                    </w:rPr>
                    <w:t>分子量：100.12，无色液体，闪点：10℃，熔点：-50℃，沸点：101℃，密度0.94g/cm</w:t>
                  </w:r>
                  <w:r>
                    <w:rPr>
                      <w:rFonts w:hint="default" w:ascii="Times New Roman" w:hAnsi="Times New Roman" w:eastAsia="仿宋" w:cs="Times New Roman"/>
                      <w:color w:val="auto"/>
                      <w:kern w:val="0"/>
                      <w:szCs w:val="21"/>
                      <w:vertAlign w:val="superscript"/>
                      <w:lang w:val="en-US" w:eastAsia="zh-CN"/>
                    </w:rPr>
                    <w:t>3</w:t>
                  </w:r>
                  <w:r>
                    <w:rPr>
                      <w:rFonts w:hint="default"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rPr>
                    <w:t>微溶于水，溶于乙醇等多数有机溶剂</w:t>
                  </w:r>
                  <w:r>
                    <w:rPr>
                      <w:rFonts w:hint="default" w:ascii="Times New Roman" w:hAnsi="Times New Roman" w:eastAsia="仿宋" w:cs="Times New Roman"/>
                      <w:color w:val="auto"/>
                      <w:kern w:val="0"/>
                      <w:szCs w:val="21"/>
                      <w:lang w:eastAsia="zh-CN"/>
                    </w:rPr>
                    <w:t>，</w:t>
                  </w:r>
                  <w:r>
                    <w:rPr>
                      <w:rFonts w:hint="default" w:ascii="Times New Roman" w:hAnsi="Times New Roman" w:eastAsia="仿宋" w:cs="Times New Roman"/>
                      <w:color w:val="auto"/>
                      <w:kern w:val="0"/>
                      <w:szCs w:val="21"/>
                      <w:lang w:val="en-US" w:eastAsia="zh-CN"/>
                    </w:rPr>
                    <w:t>爆炸上限（V/V）：12.5%，爆炸下限（V/V）：2.1%</w:t>
                  </w:r>
                </w:p>
              </w:tc>
              <w:tc>
                <w:tcPr>
                  <w:tcW w:w="473" w:type="pct"/>
                  <w:vAlign w:val="center"/>
                </w:tcPr>
                <w:p w14:paraId="3116A722">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易燃</w:t>
                  </w:r>
                  <w:r>
                    <w:rPr>
                      <w:rFonts w:hint="default" w:ascii="Times New Roman" w:hAnsi="Times New Roman" w:eastAsia="仿宋" w:cs="Times New Roman"/>
                      <w:color w:val="auto"/>
                      <w:szCs w:val="21"/>
                      <w:lang w:eastAsia="zh-CN"/>
                    </w:rPr>
                    <w:t>，遇明火、高热能引起燃烧爆炸。</w:t>
                  </w:r>
                </w:p>
              </w:tc>
              <w:tc>
                <w:tcPr>
                  <w:tcW w:w="986" w:type="pct"/>
                  <w:vAlign w:val="center"/>
                </w:tcPr>
                <w:p w14:paraId="5399D99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LD</w:t>
                  </w:r>
                  <w:r>
                    <w:rPr>
                      <w:rFonts w:hint="default" w:ascii="Times New Roman" w:hAnsi="Times New Roman" w:eastAsia="仿宋" w:cs="Times New Roman"/>
                      <w:color w:val="auto"/>
                      <w:szCs w:val="21"/>
                      <w:vertAlign w:val="subscript"/>
                      <w:lang w:val="en-US" w:eastAsia="zh-CN"/>
                    </w:rPr>
                    <w:t>50</w:t>
                  </w:r>
                  <w:r>
                    <w:rPr>
                      <w:rFonts w:hint="default" w:ascii="Times New Roman" w:hAnsi="Times New Roman" w:eastAsia="仿宋" w:cs="Times New Roman"/>
                      <w:color w:val="auto"/>
                      <w:szCs w:val="21"/>
                      <w:lang w:val="en-US" w:eastAsia="zh-CN"/>
                    </w:rPr>
                    <w:t>：7872mg/kg（大鼠经口）</w:t>
                  </w:r>
                </w:p>
                <w:p w14:paraId="230CAF5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LC</w:t>
                  </w:r>
                  <w:r>
                    <w:rPr>
                      <w:rFonts w:hint="default" w:ascii="Times New Roman" w:hAnsi="Times New Roman" w:eastAsia="仿宋" w:cs="Times New Roman"/>
                      <w:color w:val="auto"/>
                      <w:szCs w:val="21"/>
                      <w:vertAlign w:val="subscript"/>
                      <w:lang w:val="en-US" w:eastAsia="zh-CN"/>
                    </w:rPr>
                    <w:t>50</w:t>
                  </w:r>
                  <w:r>
                    <w:rPr>
                      <w:rFonts w:hint="default" w:ascii="Times New Roman" w:hAnsi="Times New Roman" w:eastAsia="仿宋" w:cs="Times New Roman"/>
                      <w:color w:val="auto"/>
                      <w:szCs w:val="21"/>
                      <w:lang w:val="en-US" w:eastAsia="zh-CN"/>
                    </w:rPr>
                    <w:t>：12412mg/m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（大鼠吸入）</w:t>
                  </w:r>
                </w:p>
              </w:tc>
            </w:tr>
            <w:tr w14:paraId="66271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19050FDE">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1,4-丁二醇二甲基丙烯酸酯</w:t>
                  </w:r>
                </w:p>
              </w:tc>
              <w:tc>
                <w:tcPr>
                  <w:tcW w:w="978" w:type="pct"/>
                  <w:vAlign w:val="center"/>
                </w:tcPr>
                <w:p w14:paraId="3F8CD0B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12</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18</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4</w:t>
                  </w:r>
                </w:p>
              </w:tc>
              <w:tc>
                <w:tcPr>
                  <w:tcW w:w="1963" w:type="pct"/>
                  <w:vAlign w:val="center"/>
                </w:tcPr>
                <w:p w14:paraId="13C43441">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分子量:226.27</w:t>
                  </w:r>
                  <w:r>
                    <w:rPr>
                      <w:rFonts w:hint="default" w:ascii="Times New Roman" w:hAnsi="Times New Roman" w:eastAsia="仿宋" w:cs="Times New Roman"/>
                      <w:color w:val="auto"/>
                      <w:kern w:val="0"/>
                      <w:szCs w:val="21"/>
                      <w:lang w:eastAsia="zh-CN"/>
                    </w:rPr>
                    <w:t>，无色液体，沸点132-134</w:t>
                  </w:r>
                  <w:r>
                    <w:rPr>
                      <w:rFonts w:hint="default" w:ascii="Times New Roman" w:hAnsi="Times New Roman" w:eastAsia="仿宋" w:cs="Times New Roman"/>
                      <w:color w:val="auto"/>
                      <w:kern w:val="0"/>
                      <w:szCs w:val="21"/>
                      <w:lang w:val="en-US" w:eastAsia="zh-CN"/>
                    </w:rPr>
                    <w:t>℃，熔点:-117℃，闪点:38°F，密度：</w:t>
                  </w:r>
                  <w:r>
                    <w:rPr>
                      <w:rFonts w:hint="default" w:ascii="Times New Roman" w:hAnsi="Times New Roman" w:eastAsia="仿宋" w:cs="Times New Roman"/>
                      <w:color w:val="auto"/>
                      <w:kern w:val="0"/>
                      <w:szCs w:val="21"/>
                      <w:lang w:eastAsia="zh-CN"/>
                    </w:rPr>
                    <w:t>1.023g/mL</w:t>
                  </w:r>
                </w:p>
              </w:tc>
              <w:tc>
                <w:tcPr>
                  <w:tcW w:w="473" w:type="pct"/>
                  <w:vAlign w:val="center"/>
                </w:tcPr>
                <w:p w14:paraId="3A9B36D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易燃</w:t>
                  </w:r>
                </w:p>
              </w:tc>
              <w:tc>
                <w:tcPr>
                  <w:tcW w:w="986" w:type="pct"/>
                  <w:vAlign w:val="center"/>
                </w:tcPr>
                <w:p w14:paraId="1DA3A490">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无资料</w:t>
                  </w:r>
                </w:p>
              </w:tc>
            </w:tr>
            <w:tr w14:paraId="45850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1A45D32B">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甲基三烷基氯化铵</w:t>
                  </w:r>
                </w:p>
              </w:tc>
              <w:tc>
                <w:tcPr>
                  <w:tcW w:w="978" w:type="pct"/>
                  <w:vAlign w:val="center"/>
                </w:tcPr>
                <w:p w14:paraId="1C9537C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25</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54</w:t>
                  </w:r>
                  <w:r>
                    <w:rPr>
                      <w:rFonts w:hint="default" w:ascii="Times New Roman" w:hAnsi="Times New Roman" w:eastAsia="仿宋" w:cs="Times New Roman"/>
                      <w:color w:val="auto"/>
                      <w:szCs w:val="21"/>
                    </w:rPr>
                    <w:t>ClN</w:t>
                  </w:r>
                </w:p>
              </w:tc>
              <w:tc>
                <w:tcPr>
                  <w:tcW w:w="1963" w:type="pct"/>
                  <w:vAlign w:val="center"/>
                </w:tcPr>
                <w:p w14:paraId="213CB8E3">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val="en-US" w:eastAsia="zh-CN"/>
                    </w:rPr>
                    <w:t>分子量：</w:t>
                  </w:r>
                  <w:r>
                    <w:rPr>
                      <w:rFonts w:hint="default" w:ascii="Times New Roman" w:hAnsi="Times New Roman" w:eastAsia="仿宋" w:cs="Times New Roman"/>
                      <w:color w:val="auto"/>
                      <w:kern w:val="0"/>
                      <w:szCs w:val="21"/>
                    </w:rPr>
                    <w:t>404.1</w:t>
                  </w:r>
                  <w:r>
                    <w:rPr>
                      <w:rFonts w:hint="default" w:ascii="Times New Roman" w:hAnsi="Times New Roman" w:eastAsia="仿宋" w:cs="Times New Roman"/>
                      <w:color w:val="auto"/>
                      <w:kern w:val="0"/>
                      <w:szCs w:val="21"/>
                      <w:lang w:val="en-US" w:eastAsia="zh-CN"/>
                    </w:rPr>
                    <w:t>6，琥珀色粘稠液体，闪点&gt;230°F，密度0.898g/mL，与苯和氯仿互溶。</w:t>
                  </w:r>
                </w:p>
              </w:tc>
              <w:tc>
                <w:tcPr>
                  <w:tcW w:w="473" w:type="pct"/>
                  <w:vAlign w:val="center"/>
                </w:tcPr>
                <w:p w14:paraId="13A9E1E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vAlign w:val="center"/>
                </w:tcPr>
                <w:p w14:paraId="318106A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无资料</w:t>
                  </w:r>
                </w:p>
              </w:tc>
            </w:tr>
            <w:tr w14:paraId="39B67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482D077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2-羟基-4-甲氧基二苯甲酮</w:t>
                  </w:r>
                </w:p>
              </w:tc>
              <w:tc>
                <w:tcPr>
                  <w:tcW w:w="978" w:type="pct"/>
                  <w:vAlign w:val="center"/>
                </w:tcPr>
                <w:p w14:paraId="5A1CC0D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14</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12</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3</w:t>
                  </w:r>
                </w:p>
              </w:tc>
              <w:tc>
                <w:tcPr>
                  <w:tcW w:w="1963" w:type="pct"/>
                  <w:vAlign w:val="center"/>
                </w:tcPr>
                <w:p w14:paraId="132C0C39">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lang w:val="en-US" w:eastAsia="zh-CN"/>
                    </w:rPr>
                    <w:t>分子量：228.24，</w:t>
                  </w:r>
                  <w:r>
                    <w:rPr>
                      <w:rFonts w:hint="default" w:ascii="Times New Roman" w:hAnsi="Times New Roman" w:eastAsia="仿宋" w:cs="Times New Roman"/>
                      <w:color w:val="auto"/>
                      <w:kern w:val="0"/>
                      <w:szCs w:val="21"/>
                    </w:rPr>
                    <w:t>淡黄色结晶粉末，沸点150-160</w:t>
                  </w:r>
                  <w:r>
                    <w:rPr>
                      <w:rFonts w:hint="default" w:ascii="Times New Roman" w:hAnsi="Times New Roman" w:eastAsia="仿宋" w:cs="Times New Roman"/>
                      <w:color w:val="auto"/>
                      <w:kern w:val="0"/>
                      <w:szCs w:val="21"/>
                      <w:lang w:val="en-US" w:eastAsia="zh-CN"/>
                    </w:rPr>
                    <w:t>℃，熔点62-64℃，密度1.3g/cm</w:t>
                  </w:r>
                  <w:r>
                    <w:rPr>
                      <w:rFonts w:hint="default" w:ascii="Times New Roman" w:hAnsi="Times New Roman" w:eastAsia="仿宋" w:cs="Times New Roman"/>
                      <w:color w:val="auto"/>
                      <w:kern w:val="0"/>
                      <w:szCs w:val="21"/>
                      <w:vertAlign w:val="superscript"/>
                      <w:lang w:val="en-US" w:eastAsia="zh-CN"/>
                    </w:rPr>
                    <w:t>3</w:t>
                  </w:r>
                  <w:r>
                    <w:rPr>
                      <w:rFonts w:hint="default"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rPr>
                    <w:t>易溶于乙醇、丙酮等有机溶剂，不溶于水。</w:t>
                  </w:r>
                </w:p>
              </w:tc>
              <w:tc>
                <w:tcPr>
                  <w:tcW w:w="473" w:type="pct"/>
                  <w:vAlign w:val="center"/>
                </w:tcPr>
                <w:p w14:paraId="1CDA7F7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可燃</w:t>
                  </w:r>
                </w:p>
              </w:tc>
              <w:tc>
                <w:tcPr>
                  <w:tcW w:w="986" w:type="pct"/>
                  <w:vAlign w:val="center"/>
                </w:tcPr>
                <w:p w14:paraId="6110218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无资料</w:t>
                  </w:r>
                </w:p>
              </w:tc>
            </w:tr>
            <w:tr w14:paraId="0E2D4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50EA2A7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聚丙二醇</w:t>
                  </w:r>
                </w:p>
              </w:tc>
              <w:tc>
                <w:tcPr>
                  <w:tcW w:w="978" w:type="pct"/>
                  <w:vAlign w:val="center"/>
                </w:tcPr>
                <w:p w14:paraId="1803D4F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6</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n</w:t>
                  </w:r>
                </w:p>
              </w:tc>
              <w:tc>
                <w:tcPr>
                  <w:tcW w:w="1963" w:type="pct"/>
                  <w:vAlign w:val="center"/>
                </w:tcPr>
                <w:p w14:paraId="01ED7603">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无色或近似无色的、澄清透明的黏滞液体，无挥发性；溶于水，亦可溶于脂肪族酮类和醇类等有机溶剂，不溶于乙醚及大多数脂肪族烃类</w:t>
                  </w:r>
                  <w:r>
                    <w:rPr>
                      <w:rFonts w:hint="default" w:ascii="Times New Roman" w:hAnsi="Times New Roman" w:eastAsia="仿宋" w:cs="Times New Roman"/>
                      <w:color w:val="auto"/>
                      <w:kern w:val="0"/>
                      <w:szCs w:val="21"/>
                      <w:lang w:eastAsia="zh-CN"/>
                    </w:rPr>
                    <w:t>。</w:t>
                  </w:r>
                </w:p>
              </w:tc>
              <w:tc>
                <w:tcPr>
                  <w:tcW w:w="473" w:type="pct"/>
                  <w:vAlign w:val="center"/>
                </w:tcPr>
                <w:p w14:paraId="2B618C2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vAlign w:val="center"/>
                </w:tcPr>
                <w:p w14:paraId="789AAE74">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LD</w:t>
                  </w:r>
                  <w:r>
                    <w:rPr>
                      <w:rFonts w:hint="default" w:ascii="Times New Roman" w:hAnsi="Times New Roman" w:eastAsia="仿宋" w:cs="Times New Roman"/>
                      <w:color w:val="auto"/>
                      <w:szCs w:val="21"/>
                      <w:vertAlign w:val="subscript"/>
                      <w:lang w:val="en-US" w:eastAsia="zh-CN"/>
                    </w:rPr>
                    <w:t>50</w:t>
                  </w:r>
                  <w:r>
                    <w:rPr>
                      <w:rFonts w:hint="default" w:ascii="Times New Roman" w:hAnsi="Times New Roman" w:eastAsia="仿宋" w:cs="Times New Roman"/>
                      <w:color w:val="auto"/>
                      <w:szCs w:val="21"/>
                      <w:lang w:val="en-US" w:eastAsia="zh-CN"/>
                    </w:rPr>
                    <w:t>：0.5～2.91g/kg（大鼠经口）</w:t>
                  </w:r>
                </w:p>
              </w:tc>
            </w:tr>
            <w:tr w14:paraId="33A34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6746F8B8">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金刚石</w:t>
                  </w:r>
                </w:p>
              </w:tc>
              <w:tc>
                <w:tcPr>
                  <w:tcW w:w="978" w:type="pct"/>
                  <w:vAlign w:val="center"/>
                </w:tcPr>
                <w:p w14:paraId="50F51A2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p>
              </w:tc>
              <w:tc>
                <w:tcPr>
                  <w:tcW w:w="1963" w:type="pct"/>
                  <w:vAlign w:val="center"/>
                </w:tcPr>
                <w:p w14:paraId="476F5B98">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由</w:t>
                  </w:r>
                  <w:r>
                    <w:rPr>
                      <w:rFonts w:hint="default" w:ascii="Times New Roman" w:hAnsi="Times New Roman" w:eastAsia="仿宋" w:cs="Times New Roman"/>
                      <w:color w:val="auto"/>
                      <w:kern w:val="0"/>
                      <w:szCs w:val="21"/>
                    </w:rPr>
                    <w:fldChar w:fldCharType="begin"/>
                  </w:r>
                  <w:r>
                    <w:rPr>
                      <w:rFonts w:hint="default" w:ascii="Times New Roman" w:hAnsi="Times New Roman" w:eastAsia="仿宋" w:cs="Times New Roman"/>
                      <w:color w:val="auto"/>
                      <w:kern w:val="0"/>
                      <w:szCs w:val="21"/>
                    </w:rPr>
                    <w:instrText xml:space="preserve"> HYPERLINK "https://baike.baidu.com/item/%E7%A2%B3%E5%85%83%E7%B4%A0/1871970?fromModule=lemma_inlink" \t "https://baike.baidu.com/item/%E9%87%91%E5%88%9A%E7%9F%B3/_blank" </w:instrText>
                  </w:r>
                  <w:r>
                    <w:rPr>
                      <w:rFonts w:hint="default" w:ascii="Times New Roman" w:hAnsi="Times New Roman" w:eastAsia="仿宋" w:cs="Times New Roman"/>
                      <w:color w:val="auto"/>
                      <w:kern w:val="0"/>
                      <w:szCs w:val="21"/>
                    </w:rPr>
                    <w:fldChar w:fldCharType="separate"/>
                  </w:r>
                  <w:r>
                    <w:rPr>
                      <w:rFonts w:hint="default" w:ascii="Times New Roman" w:hAnsi="Times New Roman" w:eastAsia="仿宋" w:cs="Times New Roman"/>
                      <w:color w:val="auto"/>
                      <w:kern w:val="0"/>
                      <w:szCs w:val="21"/>
                    </w:rPr>
                    <w:t>碳元素</w:t>
                  </w:r>
                  <w:r>
                    <w:rPr>
                      <w:rFonts w:hint="default" w:ascii="Times New Roman" w:hAnsi="Times New Roman" w:eastAsia="仿宋" w:cs="Times New Roman"/>
                      <w:color w:val="auto"/>
                      <w:kern w:val="0"/>
                      <w:szCs w:val="21"/>
                    </w:rPr>
                    <w:fldChar w:fldCharType="end"/>
                  </w:r>
                  <w:r>
                    <w:rPr>
                      <w:rFonts w:hint="default" w:ascii="Times New Roman" w:hAnsi="Times New Roman" w:eastAsia="仿宋" w:cs="Times New Roman"/>
                      <w:color w:val="auto"/>
                      <w:kern w:val="0"/>
                      <w:szCs w:val="21"/>
                    </w:rPr>
                    <w:t>组成的矿物，是石墨的</w:t>
                  </w:r>
                  <w:r>
                    <w:rPr>
                      <w:rFonts w:hint="default" w:ascii="Times New Roman" w:hAnsi="Times New Roman" w:eastAsia="仿宋" w:cs="Times New Roman"/>
                      <w:color w:val="auto"/>
                      <w:kern w:val="0"/>
                      <w:szCs w:val="21"/>
                    </w:rPr>
                    <w:fldChar w:fldCharType="begin"/>
                  </w:r>
                  <w:r>
                    <w:rPr>
                      <w:rFonts w:hint="default" w:ascii="Times New Roman" w:hAnsi="Times New Roman" w:eastAsia="仿宋" w:cs="Times New Roman"/>
                      <w:color w:val="auto"/>
                      <w:kern w:val="0"/>
                      <w:szCs w:val="21"/>
                    </w:rPr>
                    <w:instrText xml:space="preserve"> HYPERLINK "https://baike.baidu.com/item/%E5%90%8C%E7%B4%A0%E5%BC%82%E5%BD%A2%E4%BD%93/1512221?fromModule=lemma_inlink" \t "https://baike.baidu.com/item/%E9%87%91%E5%88%9A%E7%9F%B3/_blank" </w:instrText>
                  </w:r>
                  <w:r>
                    <w:rPr>
                      <w:rFonts w:hint="default" w:ascii="Times New Roman" w:hAnsi="Times New Roman" w:eastAsia="仿宋" w:cs="Times New Roman"/>
                      <w:color w:val="auto"/>
                      <w:kern w:val="0"/>
                      <w:szCs w:val="21"/>
                    </w:rPr>
                    <w:fldChar w:fldCharType="separate"/>
                  </w:r>
                  <w:r>
                    <w:rPr>
                      <w:rFonts w:hint="default" w:ascii="Times New Roman" w:hAnsi="Times New Roman" w:eastAsia="仿宋" w:cs="Times New Roman"/>
                      <w:color w:val="auto"/>
                      <w:kern w:val="0"/>
                      <w:szCs w:val="21"/>
                    </w:rPr>
                    <w:t>同素异形体</w:t>
                  </w:r>
                  <w:r>
                    <w:rPr>
                      <w:rFonts w:hint="default" w:ascii="Times New Roman" w:hAnsi="Times New Roman" w:eastAsia="仿宋" w:cs="Times New Roman"/>
                      <w:color w:val="auto"/>
                      <w:kern w:val="0"/>
                      <w:szCs w:val="21"/>
                    </w:rPr>
                    <w:fldChar w:fldCharType="end"/>
                  </w:r>
                  <w:r>
                    <w:rPr>
                      <w:rFonts w:hint="default" w:ascii="Times New Roman" w:hAnsi="Times New Roman" w:eastAsia="仿宋" w:cs="Times New Roman"/>
                      <w:color w:val="auto"/>
                      <w:kern w:val="0"/>
                      <w:szCs w:val="21"/>
                      <w:lang w:eastAsia="zh-CN"/>
                    </w:rPr>
                    <w:t>，熔点</w:t>
                  </w:r>
                </w:p>
                <w:p w14:paraId="62947371">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3550℃，密度3.5g/cm</w:t>
                  </w:r>
                  <w:r>
                    <w:rPr>
                      <w:rFonts w:hint="default" w:ascii="Times New Roman" w:hAnsi="Times New Roman" w:eastAsia="仿宋" w:cs="Times New Roman"/>
                      <w:color w:val="auto"/>
                      <w:kern w:val="0"/>
                      <w:szCs w:val="21"/>
                      <w:vertAlign w:val="superscript"/>
                      <w:lang w:val="en-US" w:eastAsia="zh-CN"/>
                    </w:rPr>
                    <w:t>3</w:t>
                  </w:r>
                </w:p>
              </w:tc>
              <w:tc>
                <w:tcPr>
                  <w:tcW w:w="473" w:type="pct"/>
                  <w:vAlign w:val="center"/>
                </w:tcPr>
                <w:p w14:paraId="523DF43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vAlign w:val="center"/>
                </w:tcPr>
                <w:p w14:paraId="7368CB7A">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无资料</w:t>
                  </w:r>
                </w:p>
              </w:tc>
            </w:tr>
            <w:tr w14:paraId="72C43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6E735829">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三氯化铁</w:t>
                  </w:r>
                </w:p>
              </w:tc>
              <w:tc>
                <w:tcPr>
                  <w:tcW w:w="978" w:type="pct"/>
                  <w:vAlign w:val="center"/>
                </w:tcPr>
                <w:p w14:paraId="66EEE9A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FeCl</w:t>
                  </w:r>
                  <w:r>
                    <w:rPr>
                      <w:rFonts w:hint="default" w:ascii="Times New Roman" w:hAnsi="Times New Roman" w:eastAsia="仿宋" w:cs="Times New Roman"/>
                      <w:color w:val="auto"/>
                      <w:szCs w:val="21"/>
                      <w:vertAlign w:val="subscript"/>
                    </w:rPr>
                    <w:t>3</w:t>
                  </w:r>
                </w:p>
              </w:tc>
              <w:tc>
                <w:tcPr>
                  <w:tcW w:w="1963" w:type="pct"/>
                  <w:vAlign w:val="center"/>
                </w:tcPr>
                <w:p w14:paraId="1DC179F2">
                  <w:pPr>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szCs w:val="21"/>
                    </w:rPr>
                    <w:t>分子量</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162.204</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黑棕色结晶</w:t>
                  </w:r>
                  <w:r>
                    <w:rPr>
                      <w:rFonts w:hint="default" w:ascii="Times New Roman" w:hAnsi="Times New Roman" w:eastAsia="仿宋" w:cs="Times New Roman"/>
                      <w:color w:val="auto"/>
                      <w:szCs w:val="21"/>
                      <w:lang w:eastAsia="zh-CN"/>
                    </w:rPr>
                    <w:t>，易溶于水、</w:t>
                  </w:r>
                  <w:r>
                    <w:rPr>
                      <w:rFonts w:hint="default" w:ascii="Times New Roman" w:hAnsi="Times New Roman" w:eastAsia="仿宋" w:cs="Times New Roman"/>
                      <w:color w:val="auto"/>
                      <w:szCs w:val="21"/>
                      <w:lang w:eastAsia="zh-CN"/>
                    </w:rPr>
                    <w:fldChar w:fldCharType="begin"/>
                  </w:r>
                  <w:r>
                    <w:rPr>
                      <w:rFonts w:hint="default" w:ascii="Times New Roman" w:hAnsi="Times New Roman" w:eastAsia="仿宋" w:cs="Times New Roman"/>
                      <w:color w:val="auto"/>
                      <w:szCs w:val="21"/>
                      <w:lang w:eastAsia="zh-CN"/>
                    </w:rPr>
                    <w:instrText xml:space="preserve"> HYPERLINK "https://baike.baidu.com/item/%E7%94%B2%E9%86%87/1512312?fromModule=lemma_inlink" \t "https://baike.baidu.com/item/_blank" </w:instrText>
                  </w:r>
                  <w:r>
                    <w:rPr>
                      <w:rFonts w:hint="default" w:ascii="Times New Roman" w:hAnsi="Times New Roman" w:eastAsia="仿宋" w:cs="Times New Roman"/>
                      <w:color w:val="auto"/>
                      <w:szCs w:val="21"/>
                      <w:lang w:eastAsia="zh-CN"/>
                    </w:rPr>
                    <w:fldChar w:fldCharType="separate"/>
                  </w:r>
                  <w:r>
                    <w:rPr>
                      <w:rFonts w:hint="default" w:ascii="Times New Roman" w:hAnsi="Times New Roman" w:eastAsia="仿宋" w:cs="Times New Roman"/>
                      <w:color w:val="auto"/>
                      <w:szCs w:val="21"/>
                      <w:lang w:eastAsia="zh-CN"/>
                    </w:rPr>
                    <w:t>甲醇</w:t>
                  </w:r>
                  <w:r>
                    <w:rPr>
                      <w:rFonts w:hint="default" w:ascii="Times New Roman" w:hAnsi="Times New Roman" w:eastAsia="仿宋" w:cs="Times New Roman"/>
                      <w:color w:val="auto"/>
                      <w:szCs w:val="21"/>
                      <w:lang w:eastAsia="zh-CN"/>
                    </w:rPr>
                    <w:fldChar w:fldCharType="end"/>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eastAsia="zh-CN"/>
                    </w:rPr>
                    <w:fldChar w:fldCharType="begin"/>
                  </w:r>
                  <w:r>
                    <w:rPr>
                      <w:rFonts w:hint="default" w:ascii="Times New Roman" w:hAnsi="Times New Roman" w:eastAsia="仿宋" w:cs="Times New Roman"/>
                      <w:color w:val="auto"/>
                      <w:szCs w:val="21"/>
                      <w:lang w:eastAsia="zh-CN"/>
                    </w:rPr>
                    <w:instrText xml:space="preserve"> HYPERLINK "https://baike.baidu.com/item/%E4%B9%99%E9%86%87/135334?fromModule=lemma_inlink" \t "https://baike.baidu.com/item/_blank" </w:instrText>
                  </w:r>
                  <w:r>
                    <w:rPr>
                      <w:rFonts w:hint="default" w:ascii="Times New Roman" w:hAnsi="Times New Roman" w:eastAsia="仿宋" w:cs="Times New Roman"/>
                      <w:color w:val="auto"/>
                      <w:szCs w:val="21"/>
                      <w:lang w:eastAsia="zh-CN"/>
                    </w:rPr>
                    <w:fldChar w:fldCharType="separate"/>
                  </w:r>
                  <w:r>
                    <w:rPr>
                      <w:rFonts w:hint="default" w:ascii="Times New Roman" w:hAnsi="Times New Roman" w:eastAsia="仿宋" w:cs="Times New Roman"/>
                      <w:color w:val="auto"/>
                      <w:szCs w:val="21"/>
                      <w:lang w:eastAsia="zh-CN"/>
                    </w:rPr>
                    <w:t>乙醇</w:t>
                  </w:r>
                  <w:r>
                    <w:rPr>
                      <w:rFonts w:hint="default" w:ascii="Times New Roman" w:hAnsi="Times New Roman" w:eastAsia="仿宋" w:cs="Times New Roman"/>
                      <w:color w:val="auto"/>
                      <w:szCs w:val="21"/>
                      <w:lang w:eastAsia="zh-CN"/>
                    </w:rPr>
                    <w:fldChar w:fldCharType="end"/>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eastAsia="zh-CN"/>
                    </w:rPr>
                    <w:fldChar w:fldCharType="begin"/>
                  </w:r>
                  <w:r>
                    <w:rPr>
                      <w:rFonts w:hint="default" w:ascii="Times New Roman" w:hAnsi="Times New Roman" w:eastAsia="仿宋" w:cs="Times New Roman"/>
                      <w:color w:val="auto"/>
                      <w:szCs w:val="21"/>
                      <w:lang w:eastAsia="zh-CN"/>
                    </w:rPr>
                    <w:instrText xml:space="preserve"> HYPERLINK "https://baike.baidu.com/item/%E4%B8%99%E9%85%AE/955883?fromModule=lemma_inlink" \t "https://baike.baidu.com/item/_blank" </w:instrText>
                  </w:r>
                  <w:r>
                    <w:rPr>
                      <w:rFonts w:hint="default" w:ascii="Times New Roman" w:hAnsi="Times New Roman" w:eastAsia="仿宋" w:cs="Times New Roman"/>
                      <w:color w:val="auto"/>
                      <w:szCs w:val="21"/>
                      <w:lang w:eastAsia="zh-CN"/>
                    </w:rPr>
                    <w:fldChar w:fldCharType="separate"/>
                  </w:r>
                  <w:r>
                    <w:rPr>
                      <w:rFonts w:hint="default" w:ascii="Times New Roman" w:hAnsi="Times New Roman" w:eastAsia="仿宋" w:cs="Times New Roman"/>
                      <w:color w:val="auto"/>
                      <w:szCs w:val="21"/>
                      <w:lang w:eastAsia="zh-CN"/>
                    </w:rPr>
                    <w:t>丙酮</w:t>
                  </w:r>
                  <w:r>
                    <w:rPr>
                      <w:rFonts w:hint="default" w:ascii="Times New Roman" w:hAnsi="Times New Roman" w:eastAsia="仿宋" w:cs="Times New Roman"/>
                      <w:color w:val="auto"/>
                      <w:szCs w:val="21"/>
                      <w:lang w:eastAsia="zh-CN"/>
                    </w:rPr>
                    <w:fldChar w:fldCharType="end"/>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eastAsia="zh-CN"/>
                    </w:rPr>
                    <w:fldChar w:fldCharType="begin"/>
                  </w:r>
                  <w:r>
                    <w:rPr>
                      <w:rFonts w:hint="default" w:ascii="Times New Roman" w:hAnsi="Times New Roman" w:eastAsia="仿宋" w:cs="Times New Roman"/>
                      <w:color w:val="auto"/>
                      <w:szCs w:val="21"/>
                      <w:lang w:eastAsia="zh-CN"/>
                    </w:rPr>
                    <w:instrText xml:space="preserve"> HYPERLINK "https://baike.baidu.com/item/%E4%B9%99%E9%86%9A/316922?fromModule=lemma_inlink" \t "https://baike.baidu.com/item/_blank" </w:instrText>
                  </w:r>
                  <w:r>
                    <w:rPr>
                      <w:rFonts w:hint="default" w:ascii="Times New Roman" w:hAnsi="Times New Roman" w:eastAsia="仿宋" w:cs="Times New Roman"/>
                      <w:color w:val="auto"/>
                      <w:szCs w:val="21"/>
                      <w:lang w:eastAsia="zh-CN"/>
                    </w:rPr>
                    <w:fldChar w:fldCharType="separate"/>
                  </w:r>
                  <w:r>
                    <w:rPr>
                      <w:rFonts w:hint="default" w:ascii="Times New Roman" w:hAnsi="Times New Roman" w:eastAsia="仿宋" w:cs="Times New Roman"/>
                      <w:color w:val="auto"/>
                      <w:szCs w:val="21"/>
                      <w:lang w:eastAsia="zh-CN"/>
                    </w:rPr>
                    <w:t>乙醚</w:t>
                  </w:r>
                  <w:r>
                    <w:rPr>
                      <w:rFonts w:hint="default" w:ascii="Times New Roman" w:hAnsi="Times New Roman" w:eastAsia="仿宋" w:cs="Times New Roman"/>
                      <w:color w:val="auto"/>
                      <w:szCs w:val="21"/>
                      <w:lang w:eastAsia="zh-CN"/>
                    </w:rPr>
                    <w:fldChar w:fldCharType="end"/>
                  </w:r>
                  <w:r>
                    <w:rPr>
                      <w:rFonts w:hint="default" w:ascii="Times New Roman" w:hAnsi="Times New Roman" w:eastAsia="仿宋" w:cs="Times New Roman"/>
                      <w:color w:val="auto"/>
                      <w:szCs w:val="21"/>
                      <w:lang w:eastAsia="zh-CN"/>
                    </w:rPr>
                    <w:t>，密度2.9g/cm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，闪点316℃，熔点307.6℃，沸点316℃</w:t>
                  </w:r>
                </w:p>
              </w:tc>
              <w:tc>
                <w:tcPr>
                  <w:tcW w:w="473" w:type="pct"/>
                  <w:vAlign w:val="center"/>
                </w:tcPr>
                <w:p w14:paraId="236AA135">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vAlign w:val="center"/>
                </w:tcPr>
                <w:p w14:paraId="7F3F635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LD</w:t>
                  </w:r>
                  <w:r>
                    <w:rPr>
                      <w:rFonts w:hint="default" w:ascii="Times New Roman" w:hAnsi="Times New Roman" w:eastAsia="仿宋" w:cs="Times New Roman"/>
                      <w:color w:val="auto"/>
                      <w:szCs w:val="21"/>
                      <w:vertAlign w:val="subscript"/>
                      <w:lang w:val="en-US" w:eastAsia="zh-CN"/>
                    </w:rPr>
                    <w:t>50</w:t>
                  </w:r>
                  <w:r>
                    <w:rPr>
                      <w:rFonts w:hint="eastAsia" w:eastAsia="仿宋" w:cs="Times New Roman"/>
                      <w:color w:val="auto"/>
                      <w:szCs w:val="21"/>
                      <w:vertAlign w:val="subscript"/>
                      <w:lang w:val="en-US" w:eastAsia="zh-CN"/>
                    </w:rPr>
                    <w:t>:</w:t>
                  </w:r>
                  <w:r>
                    <w:rPr>
                      <w:rFonts w:hint="default" w:ascii="Times New Roman" w:hAnsi="Times New Roman" w:eastAsia="仿宋" w:cs="Times New Roman"/>
                      <w:color w:val="auto"/>
                      <w:szCs w:val="21"/>
                      <w:lang w:val="en-US" w:eastAsia="zh-CN"/>
                    </w:rPr>
                    <w:t>1872mg/kg（大鼠急性经口）</w:t>
                  </w:r>
                </w:p>
              </w:tc>
            </w:tr>
            <w:tr w14:paraId="113C6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1A0D5B8">
                  <w:pPr>
                    <w:widowControl/>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氯化镍</w:t>
                  </w:r>
                </w:p>
              </w:tc>
              <w:tc>
                <w:tcPr>
                  <w:tcW w:w="978" w:type="pct"/>
                  <w:vAlign w:val="center"/>
                </w:tcPr>
                <w:p w14:paraId="6202FD5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NiCl</w:t>
                  </w:r>
                  <w:r>
                    <w:rPr>
                      <w:rFonts w:hint="default" w:ascii="Times New Roman" w:hAnsi="Times New Roman" w:eastAsia="仿宋" w:cs="Times New Roman"/>
                      <w:color w:val="auto"/>
                      <w:szCs w:val="21"/>
                      <w:vertAlign w:val="subscript"/>
                    </w:rPr>
                    <w:t>2</w:t>
                  </w:r>
                </w:p>
              </w:tc>
              <w:tc>
                <w:tcPr>
                  <w:tcW w:w="1963" w:type="pct"/>
                  <w:vAlign w:val="center"/>
                </w:tcPr>
                <w:p w14:paraId="53B1F33A">
                  <w:pPr>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szCs w:val="21"/>
                    </w:rPr>
                    <w:t>分子量</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129.6，</w:t>
                  </w:r>
                  <w:r>
                    <w:rPr>
                      <w:rFonts w:hint="default" w:ascii="Times New Roman" w:hAnsi="Times New Roman" w:eastAsia="仿宋" w:cs="Times New Roman"/>
                      <w:color w:val="auto"/>
                      <w:kern w:val="0"/>
                      <w:szCs w:val="21"/>
                      <w:lang w:eastAsia="zh-CN"/>
                    </w:rPr>
                    <w:t>淡黄色粉末或鳞片状晶体，易溶于水，也溶于乙醇和氨水。密度3.55g/cm</w:t>
                  </w:r>
                  <w:r>
                    <w:rPr>
                      <w:rFonts w:hint="default" w:ascii="Times New Roman" w:hAnsi="Times New Roman" w:eastAsia="仿宋" w:cs="Times New Roman"/>
                      <w:color w:val="auto"/>
                      <w:kern w:val="0"/>
                      <w:szCs w:val="21"/>
                      <w:vertAlign w:val="superscript"/>
                      <w:lang w:val="en-US" w:eastAsia="zh-CN"/>
                    </w:rPr>
                    <w:t>3</w:t>
                  </w:r>
                  <w:r>
                    <w:rPr>
                      <w:rFonts w:hint="default" w:ascii="Times New Roman" w:hAnsi="Times New Roman" w:eastAsia="仿宋" w:cs="Times New Roman"/>
                      <w:color w:val="auto"/>
                      <w:kern w:val="0"/>
                      <w:szCs w:val="21"/>
                      <w:vertAlign w:val="baseline"/>
                      <w:lang w:val="en-US" w:eastAsia="zh-CN"/>
                    </w:rPr>
                    <w:t>，</w:t>
                  </w:r>
                  <w:r>
                    <w:rPr>
                      <w:rFonts w:hint="default" w:ascii="Times New Roman" w:hAnsi="Times New Roman" w:eastAsia="仿宋" w:cs="Times New Roman"/>
                      <w:color w:val="auto"/>
                      <w:kern w:val="0"/>
                      <w:szCs w:val="21"/>
                      <w:lang w:eastAsia="zh-CN"/>
                    </w:rPr>
                    <w:t>熔点1001℃，沸点973℃</w:t>
                  </w:r>
                </w:p>
              </w:tc>
              <w:tc>
                <w:tcPr>
                  <w:tcW w:w="473" w:type="pct"/>
                  <w:vAlign w:val="center"/>
                </w:tcPr>
                <w:p w14:paraId="38A892F8">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不燃</w:t>
                  </w:r>
                </w:p>
              </w:tc>
              <w:tc>
                <w:tcPr>
                  <w:tcW w:w="986" w:type="pct"/>
                  <w:vAlign w:val="center"/>
                </w:tcPr>
                <w:p w14:paraId="0254AC34">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LD</w:t>
                  </w:r>
                  <w:r>
                    <w:rPr>
                      <w:rFonts w:hint="default" w:ascii="Times New Roman" w:hAnsi="Times New Roman" w:eastAsia="仿宋" w:cs="Times New Roman"/>
                      <w:color w:val="auto"/>
                      <w:szCs w:val="21"/>
                      <w:vertAlign w:val="subscript"/>
                      <w:lang w:val="en-US" w:eastAsia="zh-CN"/>
                    </w:rPr>
                    <w:t>50</w:t>
                  </w:r>
                  <w:r>
                    <w:rPr>
                      <w:rFonts w:hint="default" w:ascii="Times New Roman" w:hAnsi="Times New Roman" w:eastAsia="仿宋" w:cs="Times New Roman"/>
                      <w:color w:val="auto"/>
                      <w:szCs w:val="21"/>
                      <w:lang w:val="en-US" w:eastAsia="zh-CN"/>
                    </w:rPr>
                    <w:t>：175mg/kg（大鼠经口）</w:t>
                  </w:r>
                </w:p>
              </w:tc>
            </w:tr>
            <w:tr w14:paraId="56F95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148138BD">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乙醇</w:t>
                  </w:r>
                </w:p>
              </w:tc>
              <w:tc>
                <w:tcPr>
                  <w:tcW w:w="978" w:type="pct"/>
                  <w:shd w:val="clear" w:color="auto" w:fill="auto"/>
                  <w:vAlign w:val="center"/>
                </w:tcPr>
                <w:p w14:paraId="39F4C52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2</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5</w:t>
                  </w:r>
                  <w:r>
                    <w:rPr>
                      <w:rFonts w:hint="default" w:ascii="Times New Roman" w:hAnsi="Times New Roman" w:eastAsia="仿宋" w:cs="Times New Roman"/>
                      <w:color w:val="auto"/>
                      <w:szCs w:val="21"/>
                    </w:rPr>
                    <w:t>OH</w:t>
                  </w:r>
                </w:p>
              </w:tc>
              <w:tc>
                <w:tcPr>
                  <w:tcW w:w="1963" w:type="pct"/>
                  <w:shd w:val="clear" w:color="auto" w:fill="auto"/>
                  <w:vAlign w:val="center"/>
                </w:tcPr>
                <w:p w14:paraId="31BFF81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分子量46.07，无色液体，有酒香。熔点-114.1℃，相对密度：0.79，沸点78.3℃，闪点12℃，引燃温度：363℃，与水混溶，可混溶于醚、氯仿、甘油等多数有机溶剂。</w:t>
                  </w:r>
                </w:p>
              </w:tc>
              <w:tc>
                <w:tcPr>
                  <w:tcW w:w="473" w:type="pct"/>
                  <w:shd w:val="clear" w:color="auto" w:fill="auto"/>
                  <w:vAlign w:val="center"/>
                </w:tcPr>
                <w:p w14:paraId="5F60E55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易燃</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遇明火、高热能引起燃烧爆炸</w:t>
                  </w:r>
                </w:p>
              </w:tc>
              <w:tc>
                <w:tcPr>
                  <w:tcW w:w="986" w:type="pct"/>
                  <w:shd w:val="clear" w:color="auto" w:fill="auto"/>
                  <w:vAlign w:val="center"/>
                </w:tcPr>
                <w:p w14:paraId="02F903D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：7060mg/kg</w:t>
                  </w:r>
                  <w:r>
                    <w:rPr>
                      <w:rFonts w:hint="eastAsia" w:eastAsia="仿宋" w:cs="Times New Roman"/>
                      <w:color w:val="auto"/>
                      <w:szCs w:val="21"/>
                      <w:lang w:eastAsia="zh-CN"/>
                    </w:rPr>
                    <w:t>（</w:t>
                  </w:r>
                  <w:r>
                    <w:rPr>
                      <w:rFonts w:hint="default" w:ascii="Times New Roman" w:hAnsi="Times New Roman" w:eastAsia="仿宋" w:cs="Times New Roman"/>
                      <w:color w:val="auto"/>
                      <w:szCs w:val="21"/>
                    </w:rPr>
                    <w:t>兔经口</w:t>
                  </w:r>
                  <w:r>
                    <w:rPr>
                      <w:rFonts w:hint="eastAsia" w:eastAsia="仿宋" w:cs="Times New Roman"/>
                      <w:color w:val="auto"/>
                      <w:szCs w:val="21"/>
                      <w:lang w:eastAsia="zh-CN"/>
                    </w:rPr>
                    <w:t>）</w:t>
                  </w:r>
                  <w:r>
                    <w:rPr>
                      <w:rFonts w:hint="default" w:ascii="Times New Roman" w:hAnsi="Times New Roman" w:eastAsia="仿宋" w:cs="Times New Roman"/>
                      <w:color w:val="auto"/>
                      <w:szCs w:val="21"/>
                    </w:rPr>
                    <w:t>；7430mg/kg</w:t>
                  </w:r>
                  <w:r>
                    <w:rPr>
                      <w:rFonts w:hint="eastAsia" w:eastAsia="仿宋" w:cs="Times New Roman"/>
                      <w:color w:val="auto"/>
                      <w:szCs w:val="21"/>
                      <w:lang w:eastAsia="zh-CN"/>
                    </w:rPr>
                    <w:t>（</w:t>
                  </w:r>
                  <w:r>
                    <w:rPr>
                      <w:rFonts w:hint="default" w:ascii="Times New Roman" w:hAnsi="Times New Roman" w:eastAsia="仿宋" w:cs="Times New Roman"/>
                      <w:color w:val="auto"/>
                      <w:szCs w:val="21"/>
                    </w:rPr>
                    <w:t>兔经皮</w:t>
                  </w:r>
                  <w:r>
                    <w:rPr>
                      <w:rFonts w:hint="eastAsia" w:eastAsia="仿宋" w:cs="Times New Roman"/>
                      <w:color w:val="auto"/>
                      <w:szCs w:val="21"/>
                      <w:lang w:eastAsia="zh-CN"/>
                    </w:rPr>
                    <w:t>）</w:t>
                  </w:r>
                </w:p>
                <w:p w14:paraId="489CFCA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LC</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：37620mg/m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，10小时</w:t>
                  </w:r>
                  <w:r>
                    <w:rPr>
                      <w:rFonts w:hint="eastAsia" w:eastAsia="仿宋" w:cs="Times New Roman"/>
                      <w:color w:val="auto"/>
                      <w:szCs w:val="21"/>
                      <w:lang w:eastAsia="zh-CN"/>
                    </w:rPr>
                    <w:t>（</w:t>
                  </w:r>
                  <w:r>
                    <w:rPr>
                      <w:rFonts w:hint="default" w:ascii="Times New Roman" w:hAnsi="Times New Roman" w:eastAsia="仿宋" w:cs="Times New Roman"/>
                      <w:color w:val="auto"/>
                      <w:szCs w:val="21"/>
                    </w:rPr>
                    <w:t>大鼠吸入</w:t>
                  </w:r>
                  <w:r>
                    <w:rPr>
                      <w:rFonts w:hint="eastAsia" w:eastAsia="仿宋" w:cs="Times New Roman"/>
                      <w:color w:val="auto"/>
                      <w:szCs w:val="21"/>
                      <w:lang w:eastAsia="zh-CN"/>
                    </w:rPr>
                    <w:t>）</w:t>
                  </w:r>
                </w:p>
              </w:tc>
            </w:tr>
            <w:tr w14:paraId="2B353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0CE6B5ED">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异丙醇</w:t>
                  </w:r>
                </w:p>
              </w:tc>
              <w:tc>
                <w:tcPr>
                  <w:tcW w:w="978" w:type="pct"/>
                  <w:shd w:val="clear" w:color="auto" w:fill="auto"/>
                  <w:vAlign w:val="center"/>
                </w:tcPr>
                <w:p w14:paraId="1EF0A4C3">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C</w:t>
                  </w:r>
                  <w:r>
                    <w:rPr>
                      <w:rFonts w:hint="default" w:ascii="Times New Roman" w:hAnsi="Times New Roman" w:eastAsia="仿宋" w:cs="Times New Roman"/>
                      <w:color w:val="auto"/>
                      <w:szCs w:val="21"/>
                      <w:vertAlign w:val="subscript"/>
                      <w:lang w:val="en-US" w:eastAsia="zh-CN"/>
                    </w:rPr>
                    <w:t>3</w:t>
                  </w:r>
                  <w:r>
                    <w:rPr>
                      <w:rFonts w:hint="default" w:ascii="Times New Roman" w:hAnsi="Times New Roman" w:eastAsia="仿宋" w:cs="Times New Roman"/>
                      <w:color w:val="auto"/>
                      <w:szCs w:val="21"/>
                      <w:lang w:val="en-US" w:eastAsia="zh-CN"/>
                    </w:rPr>
                    <w:t>H</w:t>
                  </w:r>
                  <w:r>
                    <w:rPr>
                      <w:rFonts w:hint="default" w:ascii="Times New Roman" w:hAnsi="Times New Roman" w:eastAsia="仿宋" w:cs="Times New Roman"/>
                      <w:color w:val="auto"/>
                      <w:szCs w:val="21"/>
                      <w:vertAlign w:val="subscript"/>
                      <w:lang w:val="en-US" w:eastAsia="zh-CN"/>
                    </w:rPr>
                    <w:t>8</w:t>
                  </w:r>
                  <w:r>
                    <w:rPr>
                      <w:rFonts w:hint="default" w:ascii="Times New Roman" w:hAnsi="Times New Roman" w:eastAsia="仿宋" w:cs="Times New Roman"/>
                      <w:color w:val="auto"/>
                      <w:szCs w:val="21"/>
                      <w:lang w:val="en-US" w:eastAsia="zh-CN"/>
                    </w:rPr>
                    <w:t>O</w:t>
                  </w:r>
                </w:p>
              </w:tc>
              <w:tc>
                <w:tcPr>
                  <w:tcW w:w="1963" w:type="pct"/>
                  <w:shd w:val="clear" w:color="auto" w:fill="auto"/>
                  <w:vAlign w:val="center"/>
                </w:tcPr>
                <w:p w14:paraId="2D373C26">
                  <w:pPr>
                    <w:widowControl/>
                    <w:jc w:val="center"/>
                    <w:rPr>
                      <w:rFonts w:hint="default" w:ascii="Times New Roman" w:hAnsi="Times New Roman" w:eastAsia="仿宋" w:cs="Times New Roman"/>
                      <w:color w:val="auto"/>
                      <w:szCs w:val="21"/>
                      <w:vertAlign w:val="baseline"/>
                      <w:lang w:val="en-US" w:eastAsia="zh-CN"/>
                    </w:rPr>
                  </w:pPr>
                  <w:r>
                    <w:rPr>
                      <w:rFonts w:hint="default" w:ascii="Times New Roman" w:hAnsi="Times New Roman" w:eastAsia="仿宋" w:cs="Times New Roman"/>
                      <w:color w:val="auto"/>
                      <w:szCs w:val="21"/>
                      <w:lang w:val="en-US" w:eastAsia="zh-CN"/>
                    </w:rPr>
                    <w:t>分子量：60.06，无色透明液体，溶于水，也溶于醇、醚、苯、氯仿等多数有机溶剂。熔点-88.5℃，沸点82.45℃，闪点12℃，密度0.7855g/cm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vertAlign w:val="baseline"/>
                      <w:lang w:val="en-US" w:eastAsia="zh-CN"/>
                    </w:rPr>
                    <w:t>，爆炸下限（V/V）：2%，爆炸上限（V/V）：12%</w:t>
                  </w:r>
                </w:p>
              </w:tc>
              <w:tc>
                <w:tcPr>
                  <w:tcW w:w="473" w:type="pct"/>
                  <w:shd w:val="clear" w:color="auto" w:fill="auto"/>
                  <w:vAlign w:val="center"/>
                </w:tcPr>
                <w:p w14:paraId="5A03935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常温下可引火燃烧，其蒸汽与空气混合易形成爆炸混合物</w:t>
                  </w:r>
                </w:p>
              </w:tc>
              <w:tc>
                <w:tcPr>
                  <w:tcW w:w="986" w:type="pct"/>
                  <w:shd w:val="clear" w:color="auto" w:fill="auto"/>
                  <w:vAlign w:val="center"/>
                </w:tcPr>
                <w:p w14:paraId="5E5C939C">
                  <w:pPr>
                    <w:jc w:val="left"/>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:5840mg/kg</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大鼠</w:t>
                  </w:r>
                  <w:r>
                    <w:rPr>
                      <w:rFonts w:hint="default" w:ascii="Times New Roman" w:hAnsi="Times New Roman" w:eastAsia="仿宋" w:cs="Times New Roman"/>
                      <w:color w:val="auto"/>
                      <w:szCs w:val="21"/>
                      <w:lang w:val="en-US" w:eastAsia="zh-CN"/>
                    </w:rPr>
                    <w:t>经口</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16.4ml/kg</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兔经皮</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LC</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:3600mg/kg</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小鼠经口</w:t>
                  </w:r>
                  <w:r>
                    <w:rPr>
                      <w:rFonts w:hint="default" w:ascii="Times New Roman" w:hAnsi="Times New Roman" w:eastAsia="仿宋" w:cs="Times New Roman"/>
                      <w:color w:val="auto"/>
                      <w:szCs w:val="21"/>
                      <w:lang w:eastAsia="zh-CN"/>
                    </w:rPr>
                    <w:t>）</w:t>
                  </w:r>
                </w:p>
              </w:tc>
            </w:tr>
            <w:tr w14:paraId="312B6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74DA026F">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松香</w:t>
                  </w:r>
                </w:p>
              </w:tc>
              <w:tc>
                <w:tcPr>
                  <w:tcW w:w="978" w:type="pct"/>
                  <w:shd w:val="clear" w:color="auto" w:fill="auto"/>
                  <w:vAlign w:val="center"/>
                </w:tcPr>
                <w:p w14:paraId="7FC65C65">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lang w:val="en-US" w:eastAsia="zh-CN"/>
                    </w:rPr>
                    <w:t>20</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lang w:val="en-US" w:eastAsia="zh-CN"/>
                    </w:rPr>
                    <w:t>30</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lang w:val="en-US" w:eastAsia="zh-CN"/>
                    </w:rPr>
                    <w:t>2</w:t>
                  </w:r>
                </w:p>
              </w:tc>
              <w:tc>
                <w:tcPr>
                  <w:tcW w:w="1963" w:type="pct"/>
                  <w:shd w:val="clear" w:color="auto" w:fill="auto"/>
                  <w:vAlign w:val="center"/>
                </w:tcPr>
                <w:p w14:paraId="690B45A9">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分子量：302.46，外观呈固体、透明，颜色为淡黄色或棕色，质硬而脆，不溶于水，溶于酒精，熔点110～135℃</w:t>
                  </w: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固液共存，无固定熔点</w:t>
                  </w:r>
                  <w:r>
                    <w:rPr>
                      <w:rFonts w:hint="eastAsia" w:eastAsia="仿宋" w:cs="Times New Roman"/>
                      <w:color w:val="auto"/>
                      <w:szCs w:val="21"/>
                      <w:lang w:val="en-US" w:eastAsia="zh-CN"/>
                    </w:rPr>
                    <w:t>）</w:t>
                  </w:r>
                  <w:r>
                    <w:rPr>
                      <w:rFonts w:hint="default" w:ascii="Times New Roman" w:hAnsi="Times New Roman" w:eastAsia="仿宋" w:cs="Times New Roman"/>
                      <w:color w:val="auto"/>
                      <w:szCs w:val="21"/>
                      <w:lang w:val="en-US" w:eastAsia="zh-CN"/>
                    </w:rPr>
                    <w:t>，沸点300℃，闪点（</w:t>
                  </w:r>
                  <w:r>
                    <w:rPr>
                      <w:rFonts w:hint="default" w:ascii="Times New Roman" w:hAnsi="Times New Roman" w:eastAsia="仿宋" w:cs="Times New Roman"/>
                      <w:color w:val="auto"/>
                      <w:szCs w:val="21"/>
                      <w:lang w:val="en-US" w:eastAsia="zh-CN"/>
                    </w:rPr>
                    <w:fldChar w:fldCharType="begin"/>
                  </w:r>
                  <w:r>
                    <w:rPr>
                      <w:rFonts w:hint="default" w:ascii="Times New Roman" w:hAnsi="Times New Roman" w:eastAsia="仿宋" w:cs="Times New Roman"/>
                      <w:color w:val="auto"/>
                      <w:szCs w:val="21"/>
                      <w:lang w:val="en-US" w:eastAsia="zh-CN"/>
                    </w:rPr>
                    <w:instrText xml:space="preserve"> HYPERLINK "https://baike.baidu.com/item/%E5%BC%80%E6%9D%AF/7860772?fromModule=lemma_inlink" \t "https://baike.baidu.com/item/%E6%9D%BE%E9%A6%99/_blank" </w:instrText>
                  </w:r>
                  <w:r>
                    <w:rPr>
                      <w:rFonts w:hint="default" w:ascii="Times New Roman" w:hAnsi="Times New Roman" w:eastAsia="仿宋" w:cs="Times New Roman"/>
                      <w:color w:val="auto"/>
                      <w:szCs w:val="21"/>
                      <w:lang w:val="en-US" w:eastAsia="zh-CN"/>
                    </w:rPr>
                    <w:fldChar w:fldCharType="separate"/>
                  </w:r>
                  <w:r>
                    <w:rPr>
                      <w:rFonts w:hint="default" w:ascii="Times New Roman" w:hAnsi="Times New Roman" w:eastAsia="仿宋" w:cs="Times New Roman"/>
                      <w:color w:val="auto"/>
                      <w:szCs w:val="21"/>
                      <w:lang w:val="en-US" w:eastAsia="zh-CN"/>
                    </w:rPr>
                    <w:t>开杯</w:t>
                  </w:r>
                  <w:r>
                    <w:rPr>
                      <w:rFonts w:hint="default" w:ascii="Times New Roman" w:hAnsi="Times New Roman" w:eastAsia="仿宋" w:cs="Times New Roman"/>
                      <w:color w:val="auto"/>
                      <w:szCs w:val="21"/>
                      <w:lang w:val="en-US" w:eastAsia="zh-CN"/>
                    </w:rPr>
                    <w:fldChar w:fldCharType="end"/>
                  </w:r>
                  <w:r>
                    <w:rPr>
                      <w:rFonts w:hint="default" w:ascii="Times New Roman" w:hAnsi="Times New Roman" w:eastAsia="仿宋" w:cs="Times New Roman"/>
                      <w:color w:val="auto"/>
                      <w:szCs w:val="21"/>
                      <w:lang w:val="en-US" w:eastAsia="zh-CN"/>
                    </w:rPr>
                    <w:t>）216℃，燃点480～500℃，密度1.060～1.085g/cm</w:t>
                  </w:r>
                  <w:r>
                    <w:rPr>
                      <w:rFonts w:hint="default" w:ascii="Times New Roman" w:hAnsi="Times New Roman" w:eastAsia="仿宋" w:cs="Times New Roman"/>
                      <w:color w:val="auto"/>
                      <w:szCs w:val="21"/>
                      <w:vertAlign w:val="superscript"/>
                      <w:lang w:val="en-US" w:eastAsia="zh-CN"/>
                    </w:rPr>
                    <w:t>3</w:t>
                  </w:r>
                </w:p>
              </w:tc>
              <w:tc>
                <w:tcPr>
                  <w:tcW w:w="473" w:type="pct"/>
                  <w:shd w:val="clear" w:color="auto" w:fill="auto"/>
                  <w:vAlign w:val="center"/>
                </w:tcPr>
                <w:p w14:paraId="626D0BD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shd w:val="clear" w:color="auto" w:fill="auto"/>
                  <w:vAlign w:val="center"/>
                </w:tcPr>
                <w:p w14:paraId="356F4D3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无资料</w:t>
                  </w:r>
                </w:p>
              </w:tc>
            </w:tr>
            <w:tr w14:paraId="70A6B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531100CA">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锡</w:t>
                  </w:r>
                </w:p>
              </w:tc>
              <w:tc>
                <w:tcPr>
                  <w:tcW w:w="978" w:type="pct"/>
                  <w:vAlign w:val="center"/>
                </w:tcPr>
                <w:p w14:paraId="588F45F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Sn</w:t>
                  </w:r>
                </w:p>
              </w:tc>
              <w:tc>
                <w:tcPr>
                  <w:tcW w:w="1963" w:type="pct"/>
                  <w:vAlign w:val="center"/>
                </w:tcPr>
                <w:p w14:paraId="40B44613">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分子量：118.69，银白色金属。沸点：2260℃（101.3kPa），熔点：232℃（空气中</w:t>
                  </w:r>
                  <w:r>
                    <w:rPr>
                      <w:rFonts w:hint="eastAsia" w:eastAsia="仿宋" w:cs="Times New Roman"/>
                      <w:color w:val="auto"/>
                      <w:kern w:val="0"/>
                      <w:szCs w:val="21"/>
                      <w:lang w:eastAsia="zh-CN"/>
                    </w:rPr>
                    <w:t>，</w:t>
                  </w:r>
                  <w:r>
                    <w:rPr>
                      <w:rFonts w:hint="default" w:ascii="Times New Roman" w:hAnsi="Times New Roman" w:eastAsia="仿宋" w:cs="Times New Roman"/>
                      <w:color w:val="auto"/>
                      <w:kern w:val="0"/>
                      <w:szCs w:val="21"/>
                    </w:rPr>
                    <w:t>101.3kPa），相对密度（g/mL,25/4℃）：7.29，爆炸下限（V/V）：190（g/m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），引燃温度（℃）：630</w:t>
                  </w:r>
                </w:p>
              </w:tc>
              <w:tc>
                <w:tcPr>
                  <w:tcW w:w="473" w:type="pct"/>
                  <w:vAlign w:val="center"/>
                </w:tcPr>
                <w:p w14:paraId="14AED03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粉体可燃</w:t>
                  </w:r>
                </w:p>
              </w:tc>
              <w:tc>
                <w:tcPr>
                  <w:tcW w:w="986" w:type="pct"/>
                  <w:vAlign w:val="center"/>
                </w:tcPr>
                <w:p w14:paraId="045F211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14:paraId="21159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53230351">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季戊四醇松香酸酯</w:t>
                  </w:r>
                </w:p>
              </w:tc>
              <w:tc>
                <w:tcPr>
                  <w:tcW w:w="978" w:type="pct"/>
                  <w:vAlign w:val="center"/>
                </w:tcPr>
                <w:p w14:paraId="69D5832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963" w:type="pct"/>
                  <w:vAlign w:val="center"/>
                </w:tcPr>
                <w:p w14:paraId="60F0D608">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透明、脆性的淡黄色或棕色固体，主要成分为树脂酸，能溶于有机溶剂、油类和碱溶液。不溶于冷水，微溶于热水。密度1.060-1.085g/cm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；熔点110-135℃；软化点72-76℃；沸点约300℃(0.67kPa</w:t>
                  </w:r>
                  <w:r>
                    <w:rPr>
                      <w:rFonts w:hint="eastAsia" w:eastAsia="仿宋" w:cs="Times New Roman"/>
                      <w:color w:val="auto"/>
                      <w:kern w:val="0"/>
                      <w:szCs w:val="21"/>
                      <w:lang w:eastAsia="zh-CN"/>
                    </w:rPr>
                    <w:t>）</w:t>
                  </w:r>
                  <w:r>
                    <w:rPr>
                      <w:rFonts w:hint="default" w:ascii="Times New Roman" w:hAnsi="Times New Roman" w:eastAsia="仿宋" w:cs="Times New Roman"/>
                      <w:color w:val="auto"/>
                      <w:kern w:val="0"/>
                      <w:szCs w:val="21"/>
                    </w:rPr>
                    <w:t>；燃点约480-500℃。</w:t>
                  </w:r>
                </w:p>
              </w:tc>
              <w:tc>
                <w:tcPr>
                  <w:tcW w:w="473" w:type="pct"/>
                  <w:vAlign w:val="center"/>
                </w:tcPr>
                <w:p w14:paraId="24144F5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可燃</w:t>
                  </w:r>
                </w:p>
              </w:tc>
              <w:tc>
                <w:tcPr>
                  <w:tcW w:w="986" w:type="pct"/>
                  <w:vAlign w:val="center"/>
                </w:tcPr>
                <w:p w14:paraId="56458FA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：2800mg/kg（大鼠经口）</w:t>
                  </w:r>
                </w:p>
              </w:tc>
            </w:tr>
            <w:tr w14:paraId="664E9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F074E7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银</w:t>
                  </w:r>
                </w:p>
              </w:tc>
              <w:tc>
                <w:tcPr>
                  <w:tcW w:w="978" w:type="pct"/>
                  <w:vAlign w:val="center"/>
                </w:tcPr>
                <w:p w14:paraId="401D467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Ag</w:t>
                  </w:r>
                </w:p>
              </w:tc>
              <w:tc>
                <w:tcPr>
                  <w:tcW w:w="1963" w:type="pct"/>
                  <w:vAlign w:val="center"/>
                </w:tcPr>
                <w:p w14:paraId="1196047D">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分子量：107.8682，白色有光泽金属，沸点：2212℃，熔点：961.93℃，密度10.49g/cm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，闪点：232℉。</w:t>
                  </w:r>
                </w:p>
              </w:tc>
              <w:tc>
                <w:tcPr>
                  <w:tcW w:w="473" w:type="pct"/>
                  <w:vAlign w:val="center"/>
                </w:tcPr>
                <w:p w14:paraId="7917A65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不燃</w:t>
                  </w:r>
                </w:p>
              </w:tc>
              <w:tc>
                <w:tcPr>
                  <w:tcW w:w="986" w:type="pct"/>
                  <w:vAlign w:val="center"/>
                </w:tcPr>
                <w:p w14:paraId="62800B9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szCs w:val="21"/>
                    </w:rPr>
                    <w:t>&gt;5000mg/kg（大鼠经口）</w:t>
                  </w:r>
                </w:p>
              </w:tc>
            </w:tr>
            <w:tr w14:paraId="5FEB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98" w:type="pct"/>
                  <w:vAlign w:val="center"/>
                </w:tcPr>
                <w:p w14:paraId="4FCBF270">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铜</w:t>
                  </w:r>
                </w:p>
              </w:tc>
              <w:tc>
                <w:tcPr>
                  <w:tcW w:w="978" w:type="pct"/>
                  <w:vAlign w:val="center"/>
                </w:tcPr>
                <w:p w14:paraId="6F56180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Cu</w:t>
                  </w:r>
                </w:p>
              </w:tc>
              <w:tc>
                <w:tcPr>
                  <w:tcW w:w="1963" w:type="pct"/>
                  <w:vAlign w:val="center"/>
                </w:tcPr>
                <w:p w14:paraId="11D7F5AF">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分子量：63.55，带有红色光泽的金厘，沸点：2595℃，熔点：1083℃，密度8.92g/cm</w:t>
                  </w:r>
                  <w:r>
                    <w:rPr>
                      <w:rFonts w:hint="default" w:ascii="Times New Roman" w:hAnsi="Times New Roman" w:eastAsia="仿宋" w:cs="Times New Roman"/>
                      <w:color w:val="auto"/>
                      <w:kern w:val="0"/>
                      <w:szCs w:val="21"/>
                      <w:vertAlign w:val="superscript"/>
                    </w:rPr>
                    <w:t>3</w:t>
                  </w:r>
                  <w:r>
                    <w:rPr>
                      <w:rFonts w:hint="default" w:ascii="Times New Roman" w:hAnsi="Times New Roman" w:eastAsia="仿宋" w:cs="Times New Roman"/>
                      <w:color w:val="auto"/>
                      <w:kern w:val="0"/>
                      <w:szCs w:val="21"/>
                    </w:rPr>
                    <w:t>，引燃温度：700℃，溶于硝酸、热浓硫酸，微溶于盐酸。</w:t>
                  </w:r>
                </w:p>
              </w:tc>
              <w:tc>
                <w:tcPr>
                  <w:tcW w:w="473" w:type="pct"/>
                  <w:vAlign w:val="center"/>
                </w:tcPr>
                <w:p w14:paraId="0FAAC56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不燃</w:t>
                  </w:r>
                </w:p>
              </w:tc>
              <w:tc>
                <w:tcPr>
                  <w:tcW w:w="986" w:type="pct"/>
                  <w:vAlign w:val="center"/>
                </w:tcPr>
                <w:p w14:paraId="493C388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14:paraId="1EF42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4E70D6DA">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zCs w:val="21"/>
                    </w:rPr>
                    <w:t>酒石酸</w:t>
                  </w:r>
                </w:p>
              </w:tc>
              <w:tc>
                <w:tcPr>
                  <w:tcW w:w="978" w:type="pct"/>
                  <w:vAlign w:val="center"/>
                </w:tcPr>
                <w:p w14:paraId="102A3B4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4</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6</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6</w:t>
                  </w:r>
                </w:p>
              </w:tc>
              <w:tc>
                <w:tcPr>
                  <w:tcW w:w="1963" w:type="pct"/>
                  <w:vAlign w:val="center"/>
                </w:tcPr>
                <w:p w14:paraId="7A9C0C5A">
                  <w:pPr>
                    <w:adjustRightInd w:val="0"/>
                    <w:snapToGrid w:val="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szCs w:val="21"/>
                      <w:lang w:val="en-US" w:eastAsia="zh-CN"/>
                    </w:rPr>
                    <w:t>分子量：</w:t>
                  </w:r>
                  <w:r>
                    <w:rPr>
                      <w:rFonts w:hint="default" w:ascii="Times New Roman" w:hAnsi="Times New Roman" w:eastAsia="仿宋" w:cs="Times New Roman"/>
                      <w:color w:val="auto"/>
                      <w:szCs w:val="21"/>
                    </w:rPr>
                    <w:t>150.09</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熔点：200-206℃，沸点：399.3℃，密度：1.886g/cm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，闪点：210℃，溶于水和乙醇，微溶于乙醚，不挥发。</w:t>
                  </w:r>
                </w:p>
              </w:tc>
              <w:tc>
                <w:tcPr>
                  <w:tcW w:w="473" w:type="pct"/>
                  <w:vAlign w:val="center"/>
                </w:tcPr>
                <w:p w14:paraId="7BD3A0B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可燃</w:t>
                  </w:r>
                </w:p>
              </w:tc>
              <w:tc>
                <w:tcPr>
                  <w:tcW w:w="986" w:type="pct"/>
                  <w:vAlign w:val="center"/>
                </w:tcPr>
                <w:p w14:paraId="27BC5DF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无资料</w:t>
                  </w:r>
                </w:p>
              </w:tc>
            </w:tr>
            <w:tr w14:paraId="1A9D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74DF997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2-氨基-1-丁醇</w:t>
                  </w:r>
                </w:p>
              </w:tc>
              <w:tc>
                <w:tcPr>
                  <w:tcW w:w="978" w:type="pct"/>
                  <w:vAlign w:val="center"/>
                </w:tcPr>
                <w:p w14:paraId="63D15B5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4</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11</w:t>
                  </w:r>
                  <w:r>
                    <w:rPr>
                      <w:rFonts w:hint="default" w:ascii="Times New Roman" w:hAnsi="Times New Roman" w:eastAsia="仿宋" w:cs="Times New Roman"/>
                      <w:color w:val="auto"/>
                      <w:szCs w:val="21"/>
                    </w:rPr>
                    <w:t>NO</w:t>
                  </w:r>
                </w:p>
              </w:tc>
              <w:tc>
                <w:tcPr>
                  <w:tcW w:w="1963" w:type="pct"/>
                  <w:vAlign w:val="center"/>
                </w:tcPr>
                <w:p w14:paraId="15BCF49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分子量：89.136，水白色液体，挥发性</w:t>
                  </w:r>
                  <w:r>
                    <w:rPr>
                      <w:rFonts w:hint="default" w:ascii="Times New Roman" w:hAnsi="Times New Roman" w:eastAsia="仿宋" w:cs="Times New Roman"/>
                      <w:color w:val="auto"/>
                      <w:szCs w:val="21"/>
                      <w:lang w:val="en-US" w:eastAsia="zh-CN"/>
                    </w:rPr>
                    <w:t>低</w:t>
                  </w:r>
                  <w:r>
                    <w:rPr>
                      <w:rFonts w:hint="default" w:ascii="Times New Roman" w:hAnsi="Times New Roman" w:eastAsia="仿宋" w:cs="Times New Roman"/>
                      <w:color w:val="auto"/>
                      <w:szCs w:val="21"/>
                      <w:lang w:eastAsia="zh-CN"/>
                    </w:rPr>
                    <w:t>，需加热至沸点以上才能有效挥发。</w:t>
                  </w:r>
                  <w:r>
                    <w:rPr>
                      <w:rFonts w:hint="default" w:ascii="Times New Roman" w:hAnsi="Times New Roman" w:eastAsia="仿宋" w:cs="Times New Roman"/>
                      <w:color w:val="auto"/>
                      <w:szCs w:val="21"/>
                    </w:rPr>
                    <w:t>密度：0.944g/mL，熔点：-2</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，沸点：178</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，闪点：74°F，溶于水、醇、醚，相对蒸气密度</w:t>
                  </w:r>
                  <w:r>
                    <w:rPr>
                      <w:rFonts w:hint="eastAsia" w:eastAsia="仿宋" w:cs="Times New Roman"/>
                      <w:color w:val="auto"/>
                      <w:szCs w:val="21"/>
                      <w:lang w:eastAsia="zh-CN"/>
                    </w:rPr>
                    <w:t>（</w:t>
                  </w:r>
                  <w:r>
                    <w:rPr>
                      <w:rFonts w:hint="default" w:ascii="Times New Roman" w:hAnsi="Times New Roman" w:eastAsia="仿宋" w:cs="Times New Roman"/>
                      <w:color w:val="auto"/>
                      <w:szCs w:val="21"/>
                    </w:rPr>
                    <w:t>空气=1</w:t>
                  </w:r>
                  <w:r>
                    <w:rPr>
                      <w:rFonts w:hint="eastAsia" w:eastAsia="仿宋" w:cs="Times New Roman"/>
                      <w:color w:val="auto"/>
                      <w:szCs w:val="21"/>
                      <w:lang w:eastAsia="zh-CN"/>
                    </w:rPr>
                    <w:t>）</w:t>
                  </w:r>
                  <w:r>
                    <w:rPr>
                      <w:rFonts w:hint="default" w:ascii="Times New Roman" w:hAnsi="Times New Roman" w:eastAsia="仿宋" w:cs="Times New Roman"/>
                      <w:color w:val="auto"/>
                      <w:szCs w:val="21"/>
                    </w:rPr>
                    <w:t>：3.06。</w:t>
                  </w:r>
                </w:p>
              </w:tc>
              <w:tc>
                <w:tcPr>
                  <w:tcW w:w="473" w:type="pct"/>
                  <w:vAlign w:val="center"/>
                </w:tcPr>
                <w:p w14:paraId="348A7A0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可燃</w:t>
                  </w:r>
                </w:p>
              </w:tc>
              <w:tc>
                <w:tcPr>
                  <w:tcW w:w="986" w:type="pct"/>
                  <w:vAlign w:val="center"/>
                </w:tcPr>
                <w:p w14:paraId="4D27DA1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LD</w:t>
                  </w:r>
                  <w:r>
                    <w:rPr>
                      <w:rFonts w:hint="default" w:ascii="Times New Roman" w:hAnsi="Times New Roman" w:eastAsia="仿宋" w:cs="Times New Roman"/>
                      <w:color w:val="auto"/>
                      <w:szCs w:val="21"/>
                      <w:vertAlign w:val="subscript"/>
                    </w:rPr>
                    <w:t>50</w:t>
                  </w:r>
                  <w:r>
                    <w:rPr>
                      <w:rFonts w:hint="eastAsia" w:eastAsia="仿宋" w:cs="Times New Roman"/>
                      <w:color w:val="auto"/>
                      <w:szCs w:val="21"/>
                      <w:vertAlign w:val="subscript"/>
                      <w:lang w:eastAsia="zh-CN"/>
                    </w:rPr>
                    <w:t>:</w:t>
                  </w:r>
                  <w:r>
                    <w:rPr>
                      <w:rFonts w:hint="default" w:ascii="Times New Roman" w:hAnsi="Times New Roman" w:eastAsia="仿宋" w:cs="Times New Roman"/>
                      <w:color w:val="auto"/>
                      <w:szCs w:val="21"/>
                    </w:rPr>
                    <w:t>2300mg/kg</w:t>
                  </w:r>
                  <w:r>
                    <w:rPr>
                      <w:rFonts w:hint="eastAsia" w:eastAsia="仿宋" w:cs="Times New Roman"/>
                      <w:color w:val="auto"/>
                      <w:szCs w:val="21"/>
                      <w:lang w:eastAsia="zh-CN"/>
                    </w:rPr>
                    <w:t>（</w:t>
                  </w:r>
                  <w:r>
                    <w:rPr>
                      <w:rFonts w:hint="default" w:ascii="Times New Roman" w:hAnsi="Times New Roman" w:eastAsia="仿宋" w:cs="Times New Roman"/>
                      <w:color w:val="auto"/>
                      <w:szCs w:val="21"/>
                    </w:rPr>
                    <w:t>小鼠经口</w:t>
                  </w:r>
                  <w:r>
                    <w:rPr>
                      <w:rFonts w:hint="eastAsia" w:eastAsia="仿宋" w:cs="Times New Roman"/>
                      <w:color w:val="auto"/>
                      <w:szCs w:val="21"/>
                      <w:lang w:eastAsia="zh-CN"/>
                    </w:rPr>
                    <w:t>）</w:t>
                  </w:r>
                </w:p>
              </w:tc>
            </w:tr>
            <w:tr w14:paraId="0C794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2B312C8C">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氢氧化钠</w:t>
                  </w:r>
                </w:p>
              </w:tc>
              <w:tc>
                <w:tcPr>
                  <w:tcW w:w="978" w:type="pct"/>
                  <w:vAlign w:val="center"/>
                </w:tcPr>
                <w:p w14:paraId="66D11F8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NaOH</w:t>
                  </w:r>
                </w:p>
              </w:tc>
              <w:tc>
                <w:tcPr>
                  <w:tcW w:w="1963" w:type="pct"/>
                  <w:vAlign w:val="center"/>
                </w:tcPr>
                <w:p w14:paraId="137D6A96">
                  <w:pP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纯品为无色透明的晶体，工业品含少量的氯化钠和碳酸钠，是白色不透明晶体。熔点318.4℃，沸点1390℃，密度2.13g/cm</w:t>
                  </w:r>
                  <w:r>
                    <w:rPr>
                      <w:rFonts w:hint="default" w:ascii="Times New Roman" w:hAnsi="Times New Roman" w:eastAsia="仿宋" w:cs="Times New Roman"/>
                      <w:bCs/>
                      <w:color w:val="auto"/>
                      <w:szCs w:val="21"/>
                      <w:vertAlign w:val="superscript"/>
                    </w:rPr>
                    <w:t>3</w:t>
                  </w:r>
                  <w:r>
                    <w:rPr>
                      <w:rFonts w:hint="default" w:ascii="Times New Roman" w:hAnsi="Times New Roman" w:eastAsia="仿宋" w:cs="Times New Roman"/>
                      <w:bCs/>
                      <w:color w:val="auto"/>
                      <w:szCs w:val="21"/>
                    </w:rPr>
                    <w:t>。易溶于水，溶于乙醇和甘油，不溶于丙醇、乙醚。</w:t>
                  </w:r>
                </w:p>
              </w:tc>
              <w:tc>
                <w:tcPr>
                  <w:tcW w:w="473" w:type="pct"/>
                  <w:vAlign w:val="center"/>
                </w:tcPr>
                <w:p w14:paraId="155A68E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不燃</w:t>
                  </w:r>
                </w:p>
              </w:tc>
              <w:tc>
                <w:tcPr>
                  <w:tcW w:w="986" w:type="pct"/>
                  <w:vAlign w:val="center"/>
                </w:tcPr>
                <w:p w14:paraId="6167AE08">
                  <w:pPr>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有强烈刺激和腐蚀性，分解可能产生有害的毒性烟雾</w:t>
                  </w:r>
                </w:p>
              </w:tc>
            </w:tr>
            <w:tr w14:paraId="13AAF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12C3C91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平平加</w:t>
                  </w:r>
                  <w:r>
                    <w:rPr>
                      <w:rFonts w:hint="eastAsia" w:eastAsia="仿宋" w:cs="Times New Roman"/>
                      <w:color w:val="auto"/>
                      <w:szCs w:val="21"/>
                      <w:lang w:val="en-US" w:eastAsia="zh-CN"/>
                    </w:rPr>
                    <w:t>（脂肪醇聚氧乙烯醚）</w:t>
                  </w:r>
                </w:p>
              </w:tc>
              <w:tc>
                <w:tcPr>
                  <w:tcW w:w="978" w:type="pct"/>
                  <w:vAlign w:val="center"/>
                </w:tcPr>
                <w:p w14:paraId="1627880A">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r>
                    <w:rPr>
                      <w:rFonts w:hint="default" w:ascii="Times New Roman" w:hAnsi="Times New Roman" w:eastAsia="仿宋" w:cs="Times New Roman"/>
                      <w:color w:val="auto"/>
                      <w:szCs w:val="21"/>
                      <w:vertAlign w:val="subscript"/>
                    </w:rPr>
                    <w:t>12</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25</w:t>
                  </w:r>
                  <w:r>
                    <w:rPr>
                      <w:rFonts w:hint="default" w:ascii="Times New Roman" w:hAnsi="Times New Roman" w:eastAsia="仿宋" w:cs="Times New Roman"/>
                      <w:color w:val="auto"/>
                      <w:szCs w:val="21"/>
                    </w:rPr>
                    <w:t>O·(C</w:t>
                  </w:r>
                  <w:r>
                    <w:rPr>
                      <w:rFonts w:hint="default" w:ascii="Times New Roman" w:hAnsi="Times New Roman" w:eastAsia="仿宋" w:cs="Times New Roman"/>
                      <w:color w:val="auto"/>
                      <w:szCs w:val="21"/>
                      <w:vertAlign w:val="subscript"/>
                    </w:rPr>
                    <w:t>2</w:t>
                  </w:r>
                  <w:r>
                    <w:rPr>
                      <w:rFonts w:hint="default" w:ascii="Times New Roman" w:hAnsi="Times New Roman" w:eastAsia="仿宋" w:cs="Times New Roman"/>
                      <w:color w:val="auto"/>
                      <w:szCs w:val="21"/>
                    </w:rPr>
                    <w:t>H</w:t>
                  </w:r>
                  <w:r>
                    <w:rPr>
                      <w:rFonts w:hint="default" w:ascii="Times New Roman" w:hAnsi="Times New Roman" w:eastAsia="仿宋" w:cs="Times New Roman"/>
                      <w:color w:val="auto"/>
                      <w:szCs w:val="21"/>
                      <w:vertAlign w:val="subscript"/>
                    </w:rPr>
                    <w:t>4</w:t>
                  </w: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n</w:t>
                  </w:r>
                </w:p>
              </w:tc>
              <w:tc>
                <w:tcPr>
                  <w:tcW w:w="1963" w:type="pct"/>
                  <w:vAlign w:val="center"/>
                </w:tcPr>
                <w:p w14:paraId="1E910C4C">
                  <w:pPr>
                    <w:widowControl/>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无色透明液体，属于</w:t>
                  </w:r>
                  <w:r>
                    <w:rPr>
                      <w:rFonts w:hint="eastAsia" w:eastAsia="仿宋" w:cs="Times New Roman"/>
                      <w:color w:val="auto"/>
                      <w:szCs w:val="21"/>
                      <w:lang w:val="en-US" w:eastAsia="zh-CN"/>
                    </w:rPr>
                    <w:t>非离子型</w:t>
                  </w:r>
                  <w:r>
                    <w:rPr>
                      <w:rFonts w:hint="default" w:ascii="Times New Roman" w:hAnsi="Times New Roman" w:eastAsia="仿宋" w:cs="Times New Roman"/>
                      <w:color w:val="auto"/>
                      <w:szCs w:val="21"/>
                    </w:rPr>
                    <w:t>表面活性剂，常规温度和压力环境下分子难以克服分子间作用力而挥发到气相中</w:t>
                  </w:r>
                  <w:r>
                    <w:rPr>
                      <w:rFonts w:hint="eastAsia" w:eastAsia="仿宋" w:cs="Times New Roman"/>
                      <w:color w:val="auto"/>
                      <w:szCs w:val="21"/>
                      <w:lang w:eastAsia="zh-CN"/>
                    </w:rPr>
                    <w:t>，</w:t>
                  </w:r>
                  <w:r>
                    <w:rPr>
                      <w:rFonts w:hint="eastAsia" w:eastAsia="仿宋" w:cs="Times New Roman"/>
                      <w:color w:val="auto"/>
                      <w:szCs w:val="21"/>
                      <w:lang w:val="en-US" w:eastAsia="zh-CN"/>
                    </w:rPr>
                    <w:t>故</w:t>
                  </w:r>
                  <w:r>
                    <w:rPr>
                      <w:rFonts w:hint="default" w:ascii="Times New Roman" w:hAnsi="Times New Roman" w:eastAsia="仿宋" w:cs="Times New Roman"/>
                      <w:color w:val="auto"/>
                      <w:szCs w:val="21"/>
                    </w:rPr>
                    <w:t>不易挥发</w:t>
                  </w:r>
                  <w:r>
                    <w:rPr>
                      <w:rFonts w:hint="eastAsia" w:eastAsia="仿宋" w:cs="Times New Roman"/>
                      <w:color w:val="auto"/>
                      <w:szCs w:val="21"/>
                      <w:lang w:eastAsia="zh-CN"/>
                    </w:rPr>
                    <w:t>，</w:t>
                  </w:r>
                  <w:r>
                    <w:rPr>
                      <w:rFonts w:hint="default" w:ascii="Times New Roman" w:hAnsi="Times New Roman" w:eastAsia="仿宋" w:cs="Times New Roman"/>
                      <w:color w:val="auto"/>
                      <w:szCs w:val="21"/>
                    </w:rPr>
                    <w:t>熔点41-45℃，沸点100℃。</w:t>
                  </w:r>
                </w:p>
              </w:tc>
              <w:tc>
                <w:tcPr>
                  <w:tcW w:w="473" w:type="pct"/>
                  <w:vAlign w:val="center"/>
                </w:tcPr>
                <w:p w14:paraId="1CEC112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温度高于着火点时易燃</w:t>
                  </w:r>
                </w:p>
              </w:tc>
              <w:tc>
                <w:tcPr>
                  <w:tcW w:w="986" w:type="pct"/>
                  <w:vAlign w:val="center"/>
                </w:tcPr>
                <w:p w14:paraId="16FA4F4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无资料</w:t>
                  </w:r>
                </w:p>
              </w:tc>
            </w:tr>
            <w:tr w14:paraId="7002B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Align w:val="center"/>
                </w:tcPr>
                <w:p w14:paraId="148A96F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kern w:val="0"/>
                      <w:szCs w:val="21"/>
                      <w:lang w:bidi="ar"/>
                    </w:rPr>
                    <w:t>碳酸钾</w:t>
                  </w:r>
                </w:p>
              </w:tc>
              <w:tc>
                <w:tcPr>
                  <w:tcW w:w="978" w:type="pct"/>
                  <w:vAlign w:val="center"/>
                </w:tcPr>
                <w:p w14:paraId="7A75100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K</w:t>
                  </w:r>
                  <w:r>
                    <w:rPr>
                      <w:rFonts w:hint="default" w:ascii="Times New Roman" w:hAnsi="Times New Roman" w:eastAsia="仿宋" w:cs="Times New Roman"/>
                      <w:color w:val="auto"/>
                      <w:szCs w:val="21"/>
                      <w:vertAlign w:val="subscript"/>
                    </w:rPr>
                    <w:t>2</w:t>
                  </w:r>
                  <w:r>
                    <w:rPr>
                      <w:rFonts w:hint="default" w:ascii="Times New Roman" w:hAnsi="Times New Roman" w:eastAsia="仿宋" w:cs="Times New Roman"/>
                      <w:color w:val="auto"/>
                      <w:szCs w:val="21"/>
                    </w:rPr>
                    <w:t>CO</w:t>
                  </w:r>
                  <w:r>
                    <w:rPr>
                      <w:rFonts w:hint="default" w:ascii="Times New Roman" w:hAnsi="Times New Roman" w:eastAsia="仿宋" w:cs="Times New Roman"/>
                      <w:color w:val="auto"/>
                      <w:szCs w:val="21"/>
                      <w:vertAlign w:val="subscript"/>
                    </w:rPr>
                    <w:t>3</w:t>
                  </w:r>
                </w:p>
              </w:tc>
              <w:tc>
                <w:tcPr>
                  <w:tcW w:w="1963" w:type="pct"/>
                  <w:vAlign w:val="center"/>
                </w:tcPr>
                <w:p w14:paraId="7F2C5B7E">
                  <w:pPr>
                    <w:widowControl/>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白色结晶粉末，密度2.428g/cm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，熔点891℃。溶于水，水溶液呈碱性，不溶于乙醇、丙酮和乙醚。</w:t>
                  </w:r>
                </w:p>
              </w:tc>
              <w:tc>
                <w:tcPr>
                  <w:tcW w:w="473" w:type="pct"/>
                  <w:vAlign w:val="center"/>
                </w:tcPr>
                <w:p w14:paraId="338EADD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不燃</w:t>
                  </w:r>
                </w:p>
              </w:tc>
              <w:tc>
                <w:tcPr>
                  <w:tcW w:w="986" w:type="pct"/>
                  <w:vAlign w:val="center"/>
                </w:tcPr>
                <w:p w14:paraId="77B07A2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LD</w:t>
                  </w:r>
                  <w:r>
                    <w:rPr>
                      <w:rFonts w:hint="default" w:ascii="Times New Roman" w:hAnsi="Times New Roman" w:eastAsia="仿宋" w:cs="Times New Roman"/>
                      <w:color w:val="auto"/>
                      <w:szCs w:val="21"/>
                      <w:vertAlign w:val="subscript"/>
                    </w:rPr>
                    <w:t>50</w:t>
                  </w:r>
                  <w:r>
                    <w:rPr>
                      <w:rFonts w:hint="default" w:ascii="Times New Roman" w:hAnsi="Times New Roman" w:eastAsia="仿宋" w:cs="Times New Roman"/>
                      <w:color w:val="auto"/>
                    </w:rPr>
                    <w:t>:1870mg/kg（</w:t>
                  </w:r>
                  <w:r>
                    <w:rPr>
                      <w:rFonts w:hint="default" w:ascii="Times New Roman" w:hAnsi="Times New Roman" w:eastAsia="仿宋" w:cs="Times New Roman"/>
                      <w:color w:val="auto"/>
                      <w:szCs w:val="21"/>
                    </w:rPr>
                    <w:t>大鼠经口</w:t>
                  </w:r>
                  <w:r>
                    <w:rPr>
                      <w:rFonts w:hint="default" w:ascii="Times New Roman" w:hAnsi="Times New Roman" w:eastAsia="仿宋" w:cs="Times New Roman"/>
                      <w:color w:val="auto"/>
                    </w:rPr>
                    <w:t>）</w:t>
                  </w:r>
                </w:p>
              </w:tc>
            </w:tr>
          </w:tbl>
          <w:p w14:paraId="049B06E2">
            <w:pPr>
              <w:adjustRightInd w:val="0"/>
              <w:snapToGrid w:val="0"/>
              <w:jc w:val="center"/>
              <w:rPr>
                <w:rFonts w:hint="default" w:ascii="Times New Roman" w:hAnsi="Times New Roman" w:eastAsia="仿宋" w:cs="Times New Roman"/>
                <w:b/>
                <w:bCs/>
                <w:color w:val="auto"/>
                <w:sz w:val="10"/>
                <w:szCs w:val="10"/>
              </w:rPr>
            </w:pPr>
          </w:p>
          <w:p w14:paraId="233B4D90">
            <w:pPr>
              <w:adjustRightInd w:val="0"/>
              <w:snapToGrid w:val="0"/>
              <w:spacing w:line="360" w:lineRule="auto"/>
              <w:jc w:val="left"/>
              <w:rPr>
                <w:rFonts w:hint="default" w:ascii="Times New Roman" w:hAnsi="Times New Roman" w:eastAsia="仿宋" w:cs="Times New Roman"/>
                <w:snapToGrid w:val="0"/>
                <w:color w:val="auto"/>
                <w:sz w:val="10"/>
                <w:szCs w:val="10"/>
              </w:rPr>
            </w:pPr>
          </w:p>
          <w:p w14:paraId="3A9EABC9">
            <w:pPr>
              <w:pStyle w:val="25"/>
              <w:ind w:left="0" w:leftChars="0" w:firstLine="0" w:firstLineChars="0"/>
              <w:rPr>
                <w:rFonts w:hint="default" w:ascii="Times New Roman" w:hAnsi="Times New Roman" w:eastAsia="仿宋" w:cs="Times New Roman"/>
                <w:color w:val="auto"/>
              </w:rPr>
            </w:pPr>
          </w:p>
          <w:p w14:paraId="750BADAB">
            <w:pPr>
              <w:pStyle w:val="25"/>
              <w:ind w:left="0" w:leftChars="0" w:firstLine="0" w:firstLineChars="0"/>
              <w:rPr>
                <w:rFonts w:hint="default" w:ascii="Times New Roman" w:hAnsi="Times New Roman" w:eastAsia="仿宋" w:cs="Times New Roman"/>
                <w:color w:val="auto"/>
              </w:rPr>
            </w:pPr>
          </w:p>
          <w:p w14:paraId="3A725E8D">
            <w:pPr>
              <w:pStyle w:val="25"/>
              <w:ind w:left="0" w:leftChars="0" w:firstLine="0" w:firstLineChars="0"/>
              <w:rPr>
                <w:rFonts w:hint="default" w:ascii="Times New Roman" w:hAnsi="Times New Roman" w:eastAsia="仿宋" w:cs="Times New Roman"/>
                <w:color w:val="auto"/>
              </w:rPr>
            </w:pPr>
          </w:p>
          <w:p w14:paraId="300FF3AC">
            <w:pPr>
              <w:pStyle w:val="25"/>
              <w:ind w:left="0" w:leftChars="0" w:firstLine="0" w:firstLineChars="0"/>
              <w:rPr>
                <w:rFonts w:hint="default" w:ascii="Times New Roman" w:hAnsi="Times New Roman" w:eastAsia="仿宋" w:cs="Times New Roman"/>
                <w:color w:val="auto"/>
              </w:rPr>
            </w:pPr>
          </w:p>
        </w:tc>
      </w:tr>
    </w:tbl>
    <w:p w14:paraId="0FEA2A11">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612"/>
      </w:tblGrid>
      <w:tr w14:paraId="73C9C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456" w:type="dxa"/>
            <w:vAlign w:val="center"/>
          </w:tcPr>
          <w:p w14:paraId="1B2069A8">
            <w:pPr>
              <w:pStyle w:val="21"/>
              <w:adjustRightInd w:val="0"/>
              <w:snapToGrid w:val="0"/>
              <w:spacing w:before="0" w:beforeAutospacing="0" w:after="0" w:afterAutospacing="0"/>
              <w:jc w:val="center"/>
              <w:rPr>
                <w:rFonts w:hint="default" w:ascii="Times New Roman" w:hAnsi="Times New Roman" w:eastAsia="仿宋" w:cs="Times New Roman"/>
                <w:color w:val="auto"/>
                <w:szCs w:val="24"/>
              </w:rPr>
            </w:pPr>
            <w:bookmarkStart w:id="10" w:name="_Toc128572113"/>
            <w:bookmarkStart w:id="11" w:name="OLE_LINK22"/>
            <w:r>
              <w:rPr>
                <w:rFonts w:hint="default" w:ascii="Times New Roman" w:hAnsi="Times New Roman" w:eastAsia="仿宋" w:cs="Times New Roman"/>
                <w:color w:val="auto"/>
                <w:szCs w:val="24"/>
              </w:rPr>
              <w:t>建设内容</w:t>
            </w:r>
            <w:bookmarkEnd w:id="10"/>
          </w:p>
        </w:tc>
        <w:tc>
          <w:tcPr>
            <w:tcW w:w="8510" w:type="dxa"/>
            <w:vAlign w:val="center"/>
          </w:tcPr>
          <w:p w14:paraId="153531D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szCs w:val="20"/>
              </w:rPr>
            </w:pPr>
            <w:r>
              <w:rPr>
                <w:rFonts w:hint="default" w:ascii="Times New Roman" w:hAnsi="Times New Roman" w:eastAsia="仿宋" w:cs="Times New Roman"/>
                <w:b/>
                <w:color w:val="auto"/>
                <w:sz w:val="24"/>
                <w:szCs w:val="20"/>
              </w:rPr>
              <w:t>清洗剂合规性分析：</w:t>
            </w:r>
          </w:p>
          <w:p w14:paraId="5AE476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0"/>
              </w:rPr>
            </w:pPr>
            <w:r>
              <w:rPr>
                <w:rFonts w:hint="default" w:ascii="Times New Roman" w:hAnsi="Times New Roman" w:eastAsia="仿宋" w:cs="Times New Roman"/>
                <w:bCs/>
                <w:color w:val="auto"/>
                <w:sz w:val="24"/>
              </w:rPr>
              <w:t>本项目</w:t>
            </w:r>
            <w:r>
              <w:rPr>
                <w:rFonts w:hint="eastAsia" w:eastAsia="仿宋" w:cs="Times New Roman"/>
                <w:bCs/>
                <w:color w:val="auto"/>
                <w:sz w:val="24"/>
                <w:lang w:val="en-US" w:eastAsia="zh-CN"/>
              </w:rPr>
              <w:t>焊接测试</w:t>
            </w:r>
            <w:r>
              <w:rPr>
                <w:rFonts w:hint="default" w:ascii="Times New Roman" w:hAnsi="Times New Roman" w:eastAsia="仿宋" w:cs="Times New Roman"/>
                <w:bCs/>
                <w:color w:val="auto"/>
                <w:sz w:val="24"/>
                <w:lang w:val="en-US" w:eastAsia="zh-CN"/>
              </w:rPr>
              <w:t>使用酒石酸和ZESTRON FA+清洗剂冲洗检测样品，维修保养使用碱性清洗剂清洁设备，</w:t>
            </w:r>
            <w:r>
              <w:rPr>
                <w:rFonts w:hint="default" w:ascii="Times New Roman" w:hAnsi="Times New Roman" w:eastAsia="仿宋" w:cs="Times New Roman"/>
                <w:color w:val="auto"/>
                <w:sz w:val="24"/>
              </w:rPr>
              <w:t>根据其MSDS和各组分理化性质，均属于水基清洗剂</w:t>
            </w:r>
            <w:r>
              <w:rPr>
                <w:rFonts w:hint="default" w:ascii="Times New Roman" w:hAnsi="Times New Roman" w:eastAsia="仿宋" w:cs="Times New Roman"/>
                <w:bCs/>
                <w:color w:val="auto"/>
                <w:sz w:val="24"/>
              </w:rPr>
              <w:t>。</w:t>
            </w:r>
            <w:r>
              <w:rPr>
                <w:rFonts w:hint="default" w:ascii="Times New Roman" w:hAnsi="Times New Roman" w:eastAsia="仿宋" w:cs="Times New Roman"/>
                <w:color w:val="auto"/>
                <w:sz w:val="24"/>
                <w:szCs w:val="20"/>
              </w:rPr>
              <w:t>本项目清洗剂</w:t>
            </w:r>
            <w:r>
              <w:rPr>
                <w:rFonts w:hint="default" w:ascii="Times New Roman" w:hAnsi="Times New Roman" w:eastAsia="仿宋" w:cs="Times New Roman"/>
                <w:color w:val="auto"/>
                <w:sz w:val="24"/>
                <w:szCs w:val="20"/>
                <w:lang w:val="en-US" w:eastAsia="zh-CN"/>
              </w:rPr>
              <w:t>均在常温下使用，</w:t>
            </w:r>
            <w:r>
              <w:rPr>
                <w:rFonts w:hint="default" w:ascii="Times New Roman" w:hAnsi="Times New Roman" w:eastAsia="仿宋" w:cs="Times New Roman"/>
                <w:color w:val="auto"/>
                <w:sz w:val="24"/>
                <w:szCs w:val="20"/>
              </w:rPr>
              <w:t>不</w:t>
            </w:r>
            <w:r>
              <w:rPr>
                <w:rFonts w:hint="default" w:ascii="Times New Roman" w:hAnsi="Times New Roman" w:eastAsia="仿宋" w:cs="Times New Roman"/>
                <w:color w:val="auto"/>
                <w:sz w:val="24"/>
                <w:szCs w:val="20"/>
                <w:lang w:val="en-US" w:eastAsia="zh-CN"/>
              </w:rPr>
              <w:t>含</w:t>
            </w:r>
            <w:r>
              <w:rPr>
                <w:rFonts w:hint="default" w:ascii="Times New Roman" w:hAnsi="Times New Roman" w:eastAsia="仿宋" w:cs="Times New Roman"/>
                <w:color w:val="auto"/>
                <w:sz w:val="24"/>
                <w:szCs w:val="20"/>
              </w:rPr>
              <w:t>挥发性有机化合物，符合《清洗剂挥发性有机化合物含量限值》（GB38508-2020）规定的挥发性有机物限值要求。</w:t>
            </w:r>
          </w:p>
          <w:p w14:paraId="387F97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szCs w:val="20"/>
                <w:lang w:val="en-US" w:eastAsia="zh-CN"/>
              </w:rPr>
            </w:pPr>
            <w:r>
              <w:rPr>
                <w:rFonts w:hint="eastAsia" w:eastAsia="仿宋" w:cs="Times New Roman"/>
                <w:color w:val="auto"/>
                <w:sz w:val="24"/>
                <w:szCs w:val="20"/>
                <w:lang w:val="en-US" w:eastAsia="zh-CN"/>
              </w:rPr>
              <w:t>本项目仅对生产过程中使用的</w:t>
            </w:r>
            <w:r>
              <w:rPr>
                <w:rFonts w:hint="default" w:ascii="Times New Roman" w:hAnsi="Times New Roman" w:eastAsia="仿宋" w:cs="Times New Roman"/>
                <w:bCs/>
                <w:color w:val="auto"/>
                <w:sz w:val="24"/>
                <w:lang w:val="en-US" w:eastAsia="zh-CN"/>
              </w:rPr>
              <w:t>WBC457清洗剂、WBC151清洗剂、SurTec472F清洗剂、SurTec025清洗剂</w:t>
            </w:r>
            <w:r>
              <w:rPr>
                <w:rFonts w:hint="eastAsia" w:ascii="Times New Roman" w:hAnsi="Times New Roman" w:eastAsia="仿宋" w:cs="Times New Roman"/>
                <w:bCs/>
                <w:color w:val="auto"/>
                <w:sz w:val="24"/>
                <w:lang w:val="en-US" w:eastAsia="zh-CN"/>
              </w:rPr>
              <w:t>进行检测，</w:t>
            </w:r>
            <w:r>
              <w:rPr>
                <w:rFonts w:hint="eastAsia" w:ascii="Times New Roman" w:hAnsi="Times New Roman" w:eastAsia="仿宋" w:cs="Times New Roman"/>
                <w:color w:val="auto"/>
                <w:sz w:val="24"/>
                <w:szCs w:val="20"/>
                <w:lang w:val="en-US" w:eastAsia="zh-CN"/>
              </w:rPr>
              <w:t>不涉及清洗，</w:t>
            </w:r>
            <w:r>
              <w:rPr>
                <w:rFonts w:hint="eastAsia" w:ascii="Times New Roman" w:hAnsi="Times New Roman" w:eastAsia="仿宋" w:cs="Times New Roman"/>
                <w:bCs/>
                <w:color w:val="auto"/>
                <w:sz w:val="24"/>
                <w:lang w:val="en-US" w:eastAsia="zh-CN"/>
              </w:rPr>
              <w:t>现有环评及验收已分析上述四种清洗剂与</w:t>
            </w:r>
            <w:r>
              <w:rPr>
                <w:rFonts w:hint="default" w:ascii="Times New Roman" w:hAnsi="Times New Roman" w:eastAsia="仿宋" w:cs="Times New Roman"/>
                <w:color w:val="auto"/>
                <w:sz w:val="24"/>
                <w:szCs w:val="20"/>
              </w:rPr>
              <w:t>《清洗剂挥发性有机化合物含量限值》（GB38508-2020）</w:t>
            </w:r>
            <w:r>
              <w:rPr>
                <w:rFonts w:hint="eastAsia" w:ascii="Times New Roman" w:hAnsi="Times New Roman" w:eastAsia="仿宋" w:cs="Times New Roman"/>
                <w:color w:val="auto"/>
                <w:sz w:val="24"/>
                <w:szCs w:val="20"/>
                <w:lang w:val="en-US" w:eastAsia="zh-CN"/>
              </w:rPr>
              <w:t>的相符性，故本项目不再评价。</w:t>
            </w:r>
          </w:p>
          <w:p w14:paraId="29A2F8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4、生产设备</w:t>
            </w:r>
          </w:p>
          <w:p w14:paraId="4B4A854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w:t>
            </w:r>
            <w:r>
              <w:rPr>
                <w:rFonts w:hint="default" w:ascii="Times New Roman" w:hAnsi="Times New Roman" w:eastAsia="仿宋" w:cs="Times New Roman"/>
                <w:bCs/>
                <w:color w:val="auto"/>
                <w:sz w:val="24"/>
                <w:lang w:val="en-US" w:eastAsia="zh-CN"/>
              </w:rPr>
              <w:t>扩建项目</w:t>
            </w:r>
            <w:r>
              <w:rPr>
                <w:rFonts w:hint="default" w:ascii="Times New Roman" w:hAnsi="Times New Roman" w:eastAsia="仿宋" w:cs="Times New Roman"/>
                <w:b w:val="0"/>
                <w:bCs w:val="0"/>
                <w:color w:val="auto"/>
                <w:sz w:val="24"/>
                <w:lang w:val="en-US" w:eastAsia="zh-CN"/>
              </w:rPr>
              <w:t>主要对本厂区内生产的产品及生产配套需求提供实验及检测服务</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故仅列出本项目相关设备</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详</w:t>
            </w:r>
            <w:r>
              <w:rPr>
                <w:rFonts w:hint="default" w:ascii="Times New Roman" w:hAnsi="Times New Roman" w:eastAsia="仿宋" w:cs="Times New Roman"/>
                <w:bCs/>
                <w:color w:val="auto"/>
                <w:sz w:val="24"/>
              </w:rPr>
              <w:t>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6576A782">
            <w:pPr>
              <w:widowControl/>
              <w:snapToGrid w:val="0"/>
              <w:jc w:val="center"/>
              <w:rPr>
                <w:rFonts w:hint="default" w:ascii="Times New Roman" w:hAnsi="Times New Roman" w:eastAsia="仿宋" w:cs="Times New Roman"/>
                <w:color w:val="auto"/>
                <w:kern w:val="0"/>
                <w:sz w:val="18"/>
                <w:szCs w:val="20"/>
                <w:highlight w:val="none"/>
              </w:rPr>
            </w:pPr>
            <w:r>
              <w:rPr>
                <w:rFonts w:hint="default" w:ascii="Times New Roman" w:hAnsi="Times New Roman" w:eastAsia="仿宋" w:cs="Times New Roman"/>
                <w:b/>
                <w:bCs/>
                <w:color w:val="auto"/>
                <w:kern w:val="0"/>
                <w:sz w:val="24"/>
                <w:szCs w:val="20"/>
                <w:highlight w:val="none"/>
              </w:rPr>
              <w:t>表2-</w:t>
            </w:r>
            <w:r>
              <w:rPr>
                <w:rFonts w:hint="default" w:ascii="Times New Roman" w:hAnsi="Times New Roman" w:eastAsia="仿宋" w:cs="Times New Roman"/>
                <w:b/>
                <w:bCs/>
                <w:color w:val="auto"/>
                <w:kern w:val="0"/>
                <w:sz w:val="24"/>
                <w:szCs w:val="20"/>
                <w:highlight w:val="none"/>
                <w:lang w:val="en-US" w:eastAsia="zh-CN"/>
              </w:rPr>
              <w:t>4</w:t>
            </w:r>
            <w:r>
              <w:rPr>
                <w:rFonts w:hint="default" w:ascii="Times New Roman" w:hAnsi="Times New Roman" w:eastAsia="仿宋" w:cs="Times New Roman"/>
                <w:b/>
                <w:bCs/>
                <w:color w:val="auto"/>
                <w:kern w:val="0"/>
                <w:sz w:val="24"/>
                <w:szCs w:val="20"/>
                <w:highlight w:val="none"/>
              </w:rPr>
              <w:t xml:space="preserve">  本项目设备一览表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477"/>
              <w:gridCol w:w="971"/>
              <w:gridCol w:w="2593"/>
              <w:gridCol w:w="1915"/>
              <w:gridCol w:w="1060"/>
              <w:gridCol w:w="652"/>
            </w:tblGrid>
            <w:tr w14:paraId="713E4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432" w:type="pct"/>
                  <w:vAlign w:val="center"/>
                </w:tcPr>
                <w:p w14:paraId="3FAB2886">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862" w:type="pct"/>
                  <w:gridSpan w:val="2"/>
                  <w:vAlign w:val="center"/>
                </w:tcPr>
                <w:p w14:paraId="737D8F7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kern w:val="0"/>
                      <w:szCs w:val="21"/>
                    </w:rPr>
                    <w:t>分类</w:t>
                  </w:r>
                </w:p>
              </w:tc>
              <w:tc>
                <w:tcPr>
                  <w:tcW w:w="1544" w:type="pct"/>
                  <w:vAlign w:val="center"/>
                </w:tcPr>
                <w:p w14:paraId="650E65F5">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设备名称</w:t>
                  </w:r>
                </w:p>
              </w:tc>
              <w:tc>
                <w:tcPr>
                  <w:tcW w:w="1140" w:type="pct"/>
                  <w:vAlign w:val="center"/>
                </w:tcPr>
                <w:p w14:paraId="29A9888F">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规格、型号</w:t>
                  </w:r>
                </w:p>
              </w:tc>
              <w:tc>
                <w:tcPr>
                  <w:tcW w:w="631" w:type="pct"/>
                  <w:vAlign w:val="center"/>
                </w:tcPr>
                <w:p w14:paraId="2601B6F2">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数量</w:t>
                  </w:r>
                </w:p>
                <w:p w14:paraId="2FD8FC0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（台/套）</w:t>
                  </w:r>
                </w:p>
              </w:tc>
              <w:tc>
                <w:tcPr>
                  <w:tcW w:w="388" w:type="pct"/>
                  <w:vAlign w:val="center"/>
                </w:tcPr>
                <w:p w14:paraId="7DFBC301">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备注</w:t>
                  </w:r>
                </w:p>
              </w:tc>
            </w:tr>
            <w:tr w14:paraId="50B6A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432" w:type="pct"/>
                  <w:vAlign w:val="center"/>
                </w:tcPr>
                <w:p w14:paraId="6AA8586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284" w:type="pct"/>
                  <w:vMerge w:val="restart"/>
                  <w:vAlign w:val="center"/>
                </w:tcPr>
                <w:p w14:paraId="3B2BC4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实验室分析检测仪器</w:t>
                  </w:r>
                </w:p>
              </w:tc>
              <w:tc>
                <w:tcPr>
                  <w:tcW w:w="578" w:type="pct"/>
                  <w:vMerge w:val="restart"/>
                  <w:vAlign w:val="center"/>
                </w:tcPr>
                <w:p w14:paraId="6F0F9D9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生产配套化学检测</w:t>
                  </w:r>
                </w:p>
              </w:tc>
              <w:tc>
                <w:tcPr>
                  <w:tcW w:w="1544" w:type="pct"/>
                  <w:vAlign w:val="center"/>
                </w:tcPr>
                <w:p w14:paraId="78971094">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自动电位</w:t>
                  </w:r>
                  <w:r>
                    <w:rPr>
                      <w:rFonts w:hint="default" w:ascii="Times New Roman" w:hAnsi="Times New Roman" w:eastAsia="仿宋" w:cs="Times New Roman"/>
                      <w:color w:val="auto"/>
                      <w:szCs w:val="21"/>
                    </w:rPr>
                    <w:t>滴定仪</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配有1个pH测量仪和1个电导率测量仪</w:t>
                  </w:r>
                  <w:r>
                    <w:rPr>
                      <w:rFonts w:hint="default" w:ascii="Times New Roman" w:hAnsi="Times New Roman" w:eastAsia="仿宋" w:cs="Times New Roman"/>
                      <w:color w:val="auto"/>
                      <w:szCs w:val="21"/>
                      <w:lang w:eastAsia="zh-CN"/>
                    </w:rPr>
                    <w:t>）</w:t>
                  </w:r>
                </w:p>
              </w:tc>
              <w:tc>
                <w:tcPr>
                  <w:tcW w:w="1140" w:type="pct"/>
                  <w:vAlign w:val="center"/>
                </w:tcPr>
                <w:p w14:paraId="23EEE48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瑞士万通916</w:t>
                  </w:r>
                </w:p>
              </w:tc>
              <w:tc>
                <w:tcPr>
                  <w:tcW w:w="631" w:type="pct"/>
                  <w:vAlign w:val="center"/>
                </w:tcPr>
                <w:p w14:paraId="5F474FD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388" w:type="pct"/>
                  <w:vMerge w:val="restart"/>
                  <w:vAlign w:val="center"/>
                </w:tcPr>
                <w:p w14:paraId="760F049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新增</w:t>
                  </w:r>
                </w:p>
              </w:tc>
            </w:tr>
            <w:tr w14:paraId="578F2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432" w:type="pct"/>
                  <w:shd w:val="clear" w:color="auto" w:fill="auto"/>
                  <w:vAlign w:val="center"/>
                </w:tcPr>
                <w:p w14:paraId="11AC692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p>
              </w:tc>
              <w:tc>
                <w:tcPr>
                  <w:tcW w:w="284" w:type="pct"/>
                  <w:vMerge w:val="continue"/>
                  <w:vAlign w:val="center"/>
                </w:tcPr>
                <w:p w14:paraId="746AC90A">
                  <w:pPr>
                    <w:jc w:val="center"/>
                    <w:rPr>
                      <w:rFonts w:hint="default" w:ascii="Times New Roman" w:hAnsi="Times New Roman" w:eastAsia="仿宋" w:cs="Times New Roman"/>
                      <w:color w:val="auto"/>
                      <w:szCs w:val="21"/>
                    </w:rPr>
                  </w:pPr>
                </w:p>
              </w:tc>
              <w:tc>
                <w:tcPr>
                  <w:tcW w:w="578" w:type="pct"/>
                  <w:vMerge w:val="continue"/>
                  <w:vAlign w:val="center"/>
                </w:tcPr>
                <w:p w14:paraId="18CA23F1">
                  <w:pPr>
                    <w:jc w:val="center"/>
                    <w:rPr>
                      <w:rFonts w:hint="default" w:ascii="Times New Roman" w:hAnsi="Times New Roman" w:eastAsia="仿宋" w:cs="Times New Roman"/>
                      <w:color w:val="auto"/>
                      <w:sz w:val="21"/>
                      <w:szCs w:val="21"/>
                    </w:rPr>
                  </w:pPr>
                </w:p>
              </w:tc>
              <w:tc>
                <w:tcPr>
                  <w:tcW w:w="1544" w:type="pct"/>
                  <w:shd w:val="clear" w:color="auto" w:fill="auto"/>
                  <w:vAlign w:val="center"/>
                </w:tcPr>
                <w:p w14:paraId="58D17B5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表面张力测试仪</w:t>
                  </w:r>
                </w:p>
              </w:tc>
              <w:tc>
                <w:tcPr>
                  <w:tcW w:w="1140" w:type="pct"/>
                  <w:shd w:val="clear" w:color="auto" w:fill="auto"/>
                  <w:vAlign w:val="center"/>
                </w:tcPr>
                <w:p w14:paraId="6611C3A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360F915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02639B65">
                  <w:pPr>
                    <w:jc w:val="center"/>
                    <w:rPr>
                      <w:rFonts w:hint="default" w:ascii="Times New Roman" w:hAnsi="Times New Roman" w:eastAsia="仿宋" w:cs="Times New Roman"/>
                      <w:color w:val="auto"/>
                      <w:szCs w:val="21"/>
                      <w:lang w:val="en-US" w:eastAsia="zh-CN"/>
                    </w:rPr>
                  </w:pPr>
                </w:p>
              </w:tc>
            </w:tr>
            <w:tr w14:paraId="241F3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432" w:type="pct"/>
                  <w:shd w:val="clear" w:color="auto" w:fill="auto"/>
                  <w:vAlign w:val="center"/>
                </w:tcPr>
                <w:p w14:paraId="047FA5E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3</w:t>
                  </w:r>
                </w:p>
              </w:tc>
              <w:tc>
                <w:tcPr>
                  <w:tcW w:w="284" w:type="pct"/>
                  <w:vMerge w:val="continue"/>
                  <w:vAlign w:val="center"/>
                </w:tcPr>
                <w:p w14:paraId="245345BC">
                  <w:pPr>
                    <w:jc w:val="center"/>
                    <w:rPr>
                      <w:rFonts w:hint="default" w:ascii="Times New Roman" w:hAnsi="Times New Roman" w:eastAsia="仿宋" w:cs="Times New Roman"/>
                      <w:color w:val="auto"/>
                      <w:szCs w:val="21"/>
                    </w:rPr>
                  </w:pPr>
                </w:p>
              </w:tc>
              <w:tc>
                <w:tcPr>
                  <w:tcW w:w="578" w:type="pct"/>
                  <w:vMerge w:val="continue"/>
                  <w:vAlign w:val="center"/>
                </w:tcPr>
                <w:p w14:paraId="32B11645">
                  <w:pPr>
                    <w:jc w:val="center"/>
                    <w:rPr>
                      <w:rFonts w:hint="default" w:ascii="Times New Roman" w:hAnsi="Times New Roman" w:eastAsia="仿宋" w:cs="Times New Roman"/>
                      <w:color w:val="auto"/>
                      <w:sz w:val="21"/>
                      <w:szCs w:val="21"/>
                    </w:rPr>
                  </w:pPr>
                </w:p>
              </w:tc>
              <w:tc>
                <w:tcPr>
                  <w:tcW w:w="1544" w:type="pct"/>
                  <w:shd w:val="clear" w:color="auto" w:fill="auto"/>
                  <w:vAlign w:val="center"/>
                </w:tcPr>
                <w:p w14:paraId="737C8D5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UV/VIS分光光度计</w:t>
                  </w:r>
                </w:p>
              </w:tc>
              <w:tc>
                <w:tcPr>
                  <w:tcW w:w="1140" w:type="pct"/>
                  <w:shd w:val="clear" w:color="auto" w:fill="auto"/>
                  <w:vAlign w:val="center"/>
                </w:tcPr>
                <w:p w14:paraId="24B57DA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DR 6000</w:t>
                  </w:r>
                </w:p>
              </w:tc>
              <w:tc>
                <w:tcPr>
                  <w:tcW w:w="631" w:type="pct"/>
                  <w:shd w:val="clear" w:color="auto" w:fill="auto"/>
                  <w:vAlign w:val="center"/>
                </w:tcPr>
                <w:p w14:paraId="498563E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45446C15">
                  <w:pPr>
                    <w:jc w:val="center"/>
                    <w:rPr>
                      <w:rFonts w:hint="default" w:ascii="Times New Roman" w:hAnsi="Times New Roman" w:eastAsia="仿宋" w:cs="Times New Roman"/>
                      <w:color w:val="auto"/>
                      <w:szCs w:val="21"/>
                      <w:lang w:val="en-US" w:eastAsia="zh-CN"/>
                    </w:rPr>
                  </w:pPr>
                </w:p>
              </w:tc>
            </w:tr>
            <w:tr w14:paraId="4223D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3B07194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4</w:t>
                  </w:r>
                </w:p>
              </w:tc>
              <w:tc>
                <w:tcPr>
                  <w:tcW w:w="284" w:type="pct"/>
                  <w:vMerge w:val="continue"/>
                  <w:shd w:val="clear" w:color="auto" w:fill="auto"/>
                  <w:vAlign w:val="center"/>
                </w:tcPr>
                <w:p w14:paraId="50028BDD">
                  <w:pPr>
                    <w:jc w:val="center"/>
                    <w:rPr>
                      <w:rFonts w:hint="default" w:ascii="Times New Roman" w:hAnsi="Times New Roman" w:eastAsia="仿宋" w:cs="Times New Roman"/>
                      <w:color w:val="auto"/>
                      <w:szCs w:val="21"/>
                    </w:rPr>
                  </w:pPr>
                </w:p>
              </w:tc>
              <w:tc>
                <w:tcPr>
                  <w:tcW w:w="578" w:type="pct"/>
                  <w:vMerge w:val="restart"/>
                  <w:shd w:val="clear" w:color="auto" w:fill="auto"/>
                  <w:vAlign w:val="center"/>
                </w:tcPr>
                <w:p w14:paraId="0A130DC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highlight w:val="none"/>
                      <w:lang w:val="en-US" w:eastAsia="zh-CN"/>
                    </w:rPr>
                    <w:t>样品质量检测</w:t>
                  </w:r>
                </w:p>
              </w:tc>
              <w:tc>
                <w:tcPr>
                  <w:tcW w:w="1544" w:type="pct"/>
                  <w:shd w:val="clear" w:color="auto" w:fill="auto"/>
                  <w:vAlign w:val="center"/>
                </w:tcPr>
                <w:p w14:paraId="73CF812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研磨机</w:t>
                  </w:r>
                </w:p>
              </w:tc>
              <w:tc>
                <w:tcPr>
                  <w:tcW w:w="1140" w:type="pct"/>
                  <w:shd w:val="clear" w:color="auto" w:fill="auto"/>
                  <w:vAlign w:val="center"/>
                </w:tcPr>
                <w:p w14:paraId="32B8A77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089A6B3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shd w:val="clear" w:color="auto" w:fill="auto"/>
                  <w:vAlign w:val="center"/>
                </w:tcPr>
                <w:p w14:paraId="387A054B">
                  <w:pPr>
                    <w:jc w:val="center"/>
                    <w:rPr>
                      <w:rFonts w:hint="default" w:ascii="Times New Roman" w:hAnsi="Times New Roman" w:eastAsia="仿宋" w:cs="Times New Roman"/>
                      <w:color w:val="auto"/>
                      <w:szCs w:val="21"/>
                      <w:lang w:val="en-US" w:eastAsia="zh-CN"/>
                    </w:rPr>
                  </w:pPr>
                </w:p>
              </w:tc>
            </w:tr>
            <w:tr w14:paraId="0517B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63B36FA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5</w:t>
                  </w:r>
                </w:p>
              </w:tc>
              <w:tc>
                <w:tcPr>
                  <w:tcW w:w="284" w:type="pct"/>
                  <w:vMerge w:val="continue"/>
                  <w:vAlign w:val="center"/>
                </w:tcPr>
                <w:p w14:paraId="5365874F">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2E6310AB">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4CC0367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腐蚀皿</w:t>
                  </w:r>
                </w:p>
              </w:tc>
              <w:tc>
                <w:tcPr>
                  <w:tcW w:w="1140" w:type="pct"/>
                  <w:shd w:val="clear" w:color="auto" w:fill="auto"/>
                  <w:vAlign w:val="center"/>
                </w:tcPr>
                <w:p w14:paraId="2F01627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50ml</w:t>
                  </w:r>
                </w:p>
              </w:tc>
              <w:tc>
                <w:tcPr>
                  <w:tcW w:w="631" w:type="pct"/>
                  <w:shd w:val="clear" w:color="auto" w:fill="auto"/>
                  <w:vAlign w:val="center"/>
                </w:tcPr>
                <w:p w14:paraId="76800BE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5AE6F73B">
                  <w:pPr>
                    <w:jc w:val="center"/>
                    <w:rPr>
                      <w:rFonts w:hint="default" w:ascii="Times New Roman" w:hAnsi="Times New Roman" w:eastAsia="仿宋" w:cs="Times New Roman"/>
                      <w:color w:val="auto"/>
                      <w:szCs w:val="21"/>
                      <w:lang w:val="en-US" w:eastAsia="zh-CN"/>
                    </w:rPr>
                  </w:pPr>
                </w:p>
              </w:tc>
            </w:tr>
            <w:tr w14:paraId="7EAA8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18DA359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6</w:t>
                  </w:r>
                </w:p>
              </w:tc>
              <w:tc>
                <w:tcPr>
                  <w:tcW w:w="284" w:type="pct"/>
                  <w:vMerge w:val="continue"/>
                  <w:vAlign w:val="center"/>
                </w:tcPr>
                <w:p w14:paraId="61E43C7E">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1F0E0550">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3AAB46A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烧杯</w:t>
                  </w:r>
                </w:p>
              </w:tc>
              <w:tc>
                <w:tcPr>
                  <w:tcW w:w="1140" w:type="pct"/>
                  <w:shd w:val="clear" w:color="auto" w:fill="auto"/>
                  <w:vAlign w:val="center"/>
                </w:tcPr>
                <w:p w14:paraId="28494D3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250ml</w:t>
                  </w:r>
                </w:p>
              </w:tc>
              <w:tc>
                <w:tcPr>
                  <w:tcW w:w="631" w:type="pct"/>
                  <w:shd w:val="clear" w:color="auto" w:fill="auto"/>
                  <w:vAlign w:val="center"/>
                </w:tcPr>
                <w:p w14:paraId="68CE8B4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w:t>
                  </w:r>
                </w:p>
              </w:tc>
              <w:tc>
                <w:tcPr>
                  <w:tcW w:w="388" w:type="pct"/>
                  <w:vMerge w:val="continue"/>
                  <w:vAlign w:val="center"/>
                </w:tcPr>
                <w:p w14:paraId="19C1F4ED">
                  <w:pPr>
                    <w:jc w:val="center"/>
                    <w:rPr>
                      <w:rFonts w:hint="default" w:ascii="Times New Roman" w:hAnsi="Times New Roman" w:eastAsia="仿宋" w:cs="Times New Roman"/>
                      <w:color w:val="auto"/>
                      <w:szCs w:val="21"/>
                      <w:lang w:val="en-US" w:eastAsia="zh-CN"/>
                    </w:rPr>
                  </w:pPr>
                </w:p>
              </w:tc>
            </w:tr>
            <w:tr w14:paraId="30A79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2F38C9B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7</w:t>
                  </w:r>
                </w:p>
              </w:tc>
              <w:tc>
                <w:tcPr>
                  <w:tcW w:w="284" w:type="pct"/>
                  <w:vMerge w:val="continue"/>
                  <w:vAlign w:val="center"/>
                </w:tcPr>
                <w:p w14:paraId="60297CBB">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4D16EA95">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3A64165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立式显微镜</w:t>
                  </w:r>
                </w:p>
              </w:tc>
              <w:tc>
                <w:tcPr>
                  <w:tcW w:w="1140" w:type="pct"/>
                  <w:shd w:val="clear" w:color="auto" w:fill="auto"/>
                  <w:vAlign w:val="center"/>
                </w:tcPr>
                <w:p w14:paraId="3361978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0C5C4C6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48D9941E">
                  <w:pPr>
                    <w:jc w:val="center"/>
                    <w:rPr>
                      <w:rFonts w:hint="default" w:ascii="Times New Roman" w:hAnsi="Times New Roman" w:eastAsia="仿宋" w:cs="Times New Roman"/>
                      <w:color w:val="auto"/>
                      <w:szCs w:val="21"/>
                      <w:lang w:val="en-US" w:eastAsia="zh-CN"/>
                    </w:rPr>
                  </w:pPr>
                </w:p>
              </w:tc>
            </w:tr>
            <w:tr w14:paraId="7DA3F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5A927CC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8</w:t>
                  </w:r>
                </w:p>
              </w:tc>
              <w:tc>
                <w:tcPr>
                  <w:tcW w:w="284" w:type="pct"/>
                  <w:vMerge w:val="continue"/>
                  <w:vAlign w:val="center"/>
                </w:tcPr>
                <w:p w14:paraId="545E1D26">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77B8526F">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28A9C79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通用显微镜</w:t>
                  </w:r>
                </w:p>
              </w:tc>
              <w:tc>
                <w:tcPr>
                  <w:tcW w:w="1140" w:type="pct"/>
                  <w:shd w:val="clear" w:color="auto" w:fill="auto"/>
                  <w:vAlign w:val="center"/>
                </w:tcPr>
                <w:p w14:paraId="3A3D2F2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4965144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04A9D710">
                  <w:pPr>
                    <w:jc w:val="center"/>
                    <w:rPr>
                      <w:rFonts w:hint="default" w:ascii="Times New Roman" w:hAnsi="Times New Roman" w:eastAsia="仿宋" w:cs="Times New Roman"/>
                      <w:color w:val="auto"/>
                      <w:szCs w:val="21"/>
                      <w:lang w:val="en-US" w:eastAsia="zh-CN"/>
                    </w:rPr>
                  </w:pPr>
                </w:p>
              </w:tc>
            </w:tr>
            <w:tr w14:paraId="6FDF8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462892B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9</w:t>
                  </w:r>
                </w:p>
              </w:tc>
              <w:tc>
                <w:tcPr>
                  <w:tcW w:w="284" w:type="pct"/>
                  <w:vMerge w:val="continue"/>
                  <w:vAlign w:val="center"/>
                </w:tcPr>
                <w:p w14:paraId="44E36345">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028348AF">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59FDF78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锡焊测试台（含电热板、电烙铁）</w:t>
                  </w:r>
                </w:p>
              </w:tc>
              <w:tc>
                <w:tcPr>
                  <w:tcW w:w="1140" w:type="pct"/>
                  <w:shd w:val="clear" w:color="auto" w:fill="auto"/>
                  <w:vAlign w:val="center"/>
                </w:tcPr>
                <w:p w14:paraId="103224E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0DE6C60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1818BF68">
                  <w:pPr>
                    <w:jc w:val="center"/>
                    <w:rPr>
                      <w:rFonts w:hint="default" w:ascii="Times New Roman" w:hAnsi="Times New Roman" w:eastAsia="仿宋" w:cs="Times New Roman"/>
                      <w:color w:val="auto"/>
                      <w:szCs w:val="21"/>
                      <w:lang w:val="en-US" w:eastAsia="zh-CN"/>
                    </w:rPr>
                  </w:pPr>
                </w:p>
              </w:tc>
            </w:tr>
            <w:tr w14:paraId="2F4F1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726EF0B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10</w:t>
                  </w:r>
                </w:p>
              </w:tc>
              <w:tc>
                <w:tcPr>
                  <w:tcW w:w="284" w:type="pct"/>
                  <w:vMerge w:val="continue"/>
                  <w:vAlign w:val="center"/>
                </w:tcPr>
                <w:p w14:paraId="683DF25E">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6A931636">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5970195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清洗机</w:t>
                  </w:r>
                </w:p>
              </w:tc>
              <w:tc>
                <w:tcPr>
                  <w:tcW w:w="1140" w:type="pct"/>
                  <w:shd w:val="clear" w:color="auto" w:fill="auto"/>
                  <w:vAlign w:val="center"/>
                </w:tcPr>
                <w:p w14:paraId="6B9D6C3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清洗槽460×270×140mm</w:t>
                  </w:r>
                </w:p>
              </w:tc>
              <w:tc>
                <w:tcPr>
                  <w:tcW w:w="631" w:type="pct"/>
                  <w:shd w:val="clear" w:color="auto" w:fill="auto"/>
                  <w:vAlign w:val="center"/>
                </w:tcPr>
                <w:p w14:paraId="3B98A3F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4307D639">
                  <w:pPr>
                    <w:jc w:val="center"/>
                    <w:rPr>
                      <w:rFonts w:hint="default" w:ascii="Times New Roman" w:hAnsi="Times New Roman" w:eastAsia="仿宋" w:cs="Times New Roman"/>
                      <w:color w:val="auto"/>
                      <w:szCs w:val="21"/>
                      <w:lang w:val="en-US" w:eastAsia="zh-CN"/>
                    </w:rPr>
                  </w:pPr>
                </w:p>
              </w:tc>
            </w:tr>
            <w:tr w14:paraId="32135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027AC39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11</w:t>
                  </w:r>
                </w:p>
              </w:tc>
              <w:tc>
                <w:tcPr>
                  <w:tcW w:w="284" w:type="pct"/>
                  <w:vMerge w:val="continue"/>
                  <w:vAlign w:val="center"/>
                </w:tcPr>
                <w:p w14:paraId="053F4DEE">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2E0B4CEA">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51FB9EE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2D测量系统</w:t>
                  </w:r>
                </w:p>
              </w:tc>
              <w:tc>
                <w:tcPr>
                  <w:tcW w:w="1140" w:type="pct"/>
                  <w:shd w:val="clear" w:color="auto" w:fill="auto"/>
                  <w:vAlign w:val="center"/>
                </w:tcPr>
                <w:p w14:paraId="160E41D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2BCCE69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6CB9DD74">
                  <w:pPr>
                    <w:jc w:val="center"/>
                    <w:rPr>
                      <w:rFonts w:hint="default" w:ascii="Times New Roman" w:hAnsi="Times New Roman" w:eastAsia="仿宋" w:cs="Times New Roman"/>
                      <w:color w:val="auto"/>
                      <w:szCs w:val="21"/>
                      <w:lang w:val="en-US" w:eastAsia="zh-CN"/>
                    </w:rPr>
                  </w:pPr>
                </w:p>
              </w:tc>
            </w:tr>
            <w:tr w14:paraId="00BC6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0C84532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12</w:t>
                  </w:r>
                </w:p>
              </w:tc>
              <w:tc>
                <w:tcPr>
                  <w:tcW w:w="284" w:type="pct"/>
                  <w:vMerge w:val="continue"/>
                  <w:vAlign w:val="center"/>
                </w:tcPr>
                <w:p w14:paraId="03507C43">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00B96246">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20B2F24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拉伸测试机</w:t>
                  </w:r>
                </w:p>
              </w:tc>
              <w:tc>
                <w:tcPr>
                  <w:tcW w:w="1140" w:type="pct"/>
                  <w:shd w:val="clear" w:color="auto" w:fill="auto"/>
                  <w:vAlign w:val="center"/>
                </w:tcPr>
                <w:p w14:paraId="6E3C717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63D597F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581BD8DA">
                  <w:pPr>
                    <w:jc w:val="center"/>
                    <w:rPr>
                      <w:rFonts w:hint="default" w:ascii="Times New Roman" w:hAnsi="Times New Roman" w:eastAsia="仿宋" w:cs="Times New Roman"/>
                      <w:color w:val="auto"/>
                      <w:szCs w:val="21"/>
                      <w:lang w:val="en-US" w:eastAsia="zh-CN"/>
                    </w:rPr>
                  </w:pPr>
                </w:p>
              </w:tc>
            </w:tr>
            <w:tr w14:paraId="711F8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6678980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13</w:t>
                  </w:r>
                </w:p>
              </w:tc>
              <w:tc>
                <w:tcPr>
                  <w:tcW w:w="284" w:type="pct"/>
                  <w:vMerge w:val="continue"/>
                  <w:vAlign w:val="center"/>
                </w:tcPr>
                <w:p w14:paraId="111CDF61">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5707F769">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51E9BFE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精密电阻测试仪</w:t>
                  </w:r>
                </w:p>
              </w:tc>
              <w:tc>
                <w:tcPr>
                  <w:tcW w:w="1140" w:type="pct"/>
                  <w:shd w:val="clear" w:color="auto" w:fill="auto"/>
                  <w:vAlign w:val="center"/>
                </w:tcPr>
                <w:p w14:paraId="3CE932D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0DB5D3F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2A9ED232">
                  <w:pPr>
                    <w:jc w:val="center"/>
                    <w:rPr>
                      <w:rFonts w:hint="default" w:ascii="Times New Roman" w:hAnsi="Times New Roman" w:eastAsia="仿宋" w:cs="Times New Roman"/>
                      <w:color w:val="auto"/>
                      <w:szCs w:val="21"/>
                      <w:lang w:val="en-US" w:eastAsia="zh-CN"/>
                    </w:rPr>
                  </w:pPr>
                </w:p>
              </w:tc>
            </w:tr>
            <w:tr w14:paraId="22099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2F17F1C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14</w:t>
                  </w:r>
                </w:p>
              </w:tc>
              <w:tc>
                <w:tcPr>
                  <w:tcW w:w="284" w:type="pct"/>
                  <w:vMerge w:val="continue"/>
                  <w:vAlign w:val="center"/>
                </w:tcPr>
                <w:p w14:paraId="06E43A21">
                  <w:pPr>
                    <w:jc w:val="center"/>
                    <w:rPr>
                      <w:rFonts w:hint="default" w:ascii="Times New Roman" w:hAnsi="Times New Roman" w:eastAsia="仿宋" w:cs="Times New Roman"/>
                      <w:color w:val="auto"/>
                      <w:szCs w:val="21"/>
                      <w:lang w:val="en-US" w:eastAsia="zh-CN"/>
                    </w:rPr>
                  </w:pPr>
                </w:p>
              </w:tc>
              <w:tc>
                <w:tcPr>
                  <w:tcW w:w="578" w:type="pct"/>
                  <w:vMerge w:val="continue"/>
                  <w:vAlign w:val="center"/>
                </w:tcPr>
                <w:p w14:paraId="05E21B05">
                  <w:pPr>
                    <w:jc w:val="center"/>
                    <w:rPr>
                      <w:rFonts w:hint="default" w:ascii="Times New Roman" w:hAnsi="Times New Roman" w:eastAsia="仿宋" w:cs="Times New Roman"/>
                      <w:color w:val="auto"/>
                      <w:szCs w:val="21"/>
                      <w:lang w:val="en-US" w:eastAsia="zh-CN"/>
                    </w:rPr>
                  </w:pPr>
                </w:p>
              </w:tc>
              <w:tc>
                <w:tcPr>
                  <w:tcW w:w="1544" w:type="pct"/>
                  <w:shd w:val="clear" w:color="auto" w:fill="auto"/>
                  <w:vAlign w:val="center"/>
                </w:tcPr>
                <w:p w14:paraId="52B6B0E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粗糙度测试仪</w:t>
                  </w:r>
                </w:p>
              </w:tc>
              <w:tc>
                <w:tcPr>
                  <w:tcW w:w="1140" w:type="pct"/>
                  <w:shd w:val="clear" w:color="auto" w:fill="auto"/>
                  <w:vAlign w:val="center"/>
                </w:tcPr>
                <w:p w14:paraId="6134BA4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w:t>
                  </w:r>
                </w:p>
              </w:tc>
              <w:tc>
                <w:tcPr>
                  <w:tcW w:w="631" w:type="pct"/>
                  <w:shd w:val="clear" w:color="auto" w:fill="auto"/>
                  <w:vAlign w:val="center"/>
                </w:tcPr>
                <w:p w14:paraId="308D23E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6F3DA3FD">
                  <w:pPr>
                    <w:jc w:val="center"/>
                    <w:rPr>
                      <w:rFonts w:hint="default" w:ascii="Times New Roman" w:hAnsi="Times New Roman" w:eastAsia="仿宋" w:cs="Times New Roman"/>
                      <w:color w:val="auto"/>
                      <w:szCs w:val="21"/>
                      <w:lang w:val="en-US" w:eastAsia="zh-CN"/>
                    </w:rPr>
                  </w:pPr>
                </w:p>
              </w:tc>
            </w:tr>
            <w:tr w14:paraId="4CC10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2FBD4CB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15</w:t>
                  </w:r>
                </w:p>
              </w:tc>
              <w:tc>
                <w:tcPr>
                  <w:tcW w:w="862" w:type="pct"/>
                  <w:gridSpan w:val="2"/>
                  <w:vAlign w:val="center"/>
                </w:tcPr>
                <w:p w14:paraId="7BEC972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公辅设备</w:t>
                  </w:r>
                </w:p>
              </w:tc>
              <w:tc>
                <w:tcPr>
                  <w:tcW w:w="1544" w:type="pct"/>
                  <w:vAlign w:val="center"/>
                </w:tcPr>
                <w:p w14:paraId="514B7C8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纯水制备机</w:t>
                  </w:r>
                </w:p>
              </w:tc>
              <w:tc>
                <w:tcPr>
                  <w:tcW w:w="1140" w:type="pct"/>
                  <w:vAlign w:val="center"/>
                </w:tcPr>
                <w:p w14:paraId="3DC5199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10L/h</w:t>
                  </w:r>
                </w:p>
              </w:tc>
              <w:tc>
                <w:tcPr>
                  <w:tcW w:w="631" w:type="pct"/>
                  <w:vAlign w:val="center"/>
                </w:tcPr>
                <w:p w14:paraId="4FF9AB9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388" w:type="pct"/>
                  <w:vMerge w:val="continue"/>
                  <w:vAlign w:val="center"/>
                </w:tcPr>
                <w:p w14:paraId="7205F6E8">
                  <w:pPr>
                    <w:jc w:val="center"/>
                    <w:rPr>
                      <w:rFonts w:hint="default" w:ascii="Times New Roman" w:hAnsi="Times New Roman" w:eastAsia="仿宋" w:cs="Times New Roman"/>
                      <w:color w:val="auto"/>
                      <w:szCs w:val="21"/>
                      <w:lang w:val="en-US" w:eastAsia="zh-CN"/>
                    </w:rPr>
                  </w:pPr>
                </w:p>
              </w:tc>
            </w:tr>
            <w:tr w14:paraId="7268E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2" w:type="pct"/>
                  <w:shd w:val="clear" w:color="auto" w:fill="auto"/>
                  <w:vAlign w:val="center"/>
                </w:tcPr>
                <w:p w14:paraId="25F4870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16</w:t>
                  </w:r>
                </w:p>
              </w:tc>
              <w:tc>
                <w:tcPr>
                  <w:tcW w:w="862" w:type="pct"/>
                  <w:gridSpan w:val="2"/>
                  <w:vAlign w:val="center"/>
                </w:tcPr>
                <w:p w14:paraId="3B7F29D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环保设备</w:t>
                  </w:r>
                </w:p>
              </w:tc>
              <w:tc>
                <w:tcPr>
                  <w:tcW w:w="1544" w:type="pct"/>
                  <w:vAlign w:val="center"/>
                </w:tcPr>
                <w:p w14:paraId="6190102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FF0000"/>
                      <w:szCs w:val="21"/>
                      <w:lang w:val="en-US" w:eastAsia="zh-CN"/>
                    </w:rPr>
                    <w:t>碱液喷淋塔</w:t>
                  </w:r>
                  <w:r>
                    <w:rPr>
                      <w:rFonts w:hint="eastAsia" w:eastAsia="仿宋" w:cs="Times New Roman"/>
                      <w:color w:val="FF0000"/>
                      <w:szCs w:val="21"/>
                      <w:lang w:val="en-US" w:eastAsia="zh-CN"/>
                    </w:rPr>
                    <w:t>（含吸水填料）</w:t>
                  </w:r>
                  <w:r>
                    <w:rPr>
                      <w:rFonts w:hint="default" w:ascii="Times New Roman" w:hAnsi="Times New Roman" w:eastAsia="仿宋" w:cs="Times New Roman"/>
                      <w:color w:val="auto"/>
                      <w:szCs w:val="21"/>
                      <w:lang w:val="en-US" w:eastAsia="zh-CN"/>
                    </w:rPr>
                    <w:t>+3#两级活性炭吸附装置+25m高3#排气筒</w:t>
                  </w:r>
                </w:p>
              </w:tc>
              <w:tc>
                <w:tcPr>
                  <w:tcW w:w="1140" w:type="pct"/>
                  <w:vAlign w:val="center"/>
                </w:tcPr>
                <w:p w14:paraId="25C4471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6000m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/h</w:t>
                  </w:r>
                </w:p>
              </w:tc>
              <w:tc>
                <w:tcPr>
                  <w:tcW w:w="631" w:type="pct"/>
                  <w:vAlign w:val="center"/>
                </w:tcPr>
                <w:p w14:paraId="43BA8C5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388" w:type="pct"/>
                  <w:vAlign w:val="center"/>
                </w:tcPr>
                <w:p w14:paraId="30BCD58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依托现有</w:t>
                  </w:r>
                </w:p>
              </w:tc>
            </w:tr>
          </w:tbl>
          <w:p w14:paraId="6A829249">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5、项目周边环境及车间平面布局</w:t>
            </w:r>
          </w:p>
          <w:p w14:paraId="1E2F4EA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（1）项目周边环境概况</w:t>
            </w:r>
          </w:p>
          <w:p w14:paraId="1ED82A67">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建设项目位于江苏省常州市金坛区龙湖路86号</w:t>
            </w:r>
            <w:r>
              <w:rPr>
                <w:rFonts w:hint="eastAsia" w:eastAsia="仿宋" w:cs="Times New Roman"/>
                <w:bCs/>
                <w:color w:val="auto"/>
                <w:sz w:val="24"/>
                <w:lang w:eastAsia="zh-CN"/>
              </w:rPr>
              <w:t>（江苏省</w:t>
            </w:r>
            <w:r>
              <w:rPr>
                <w:rFonts w:hint="eastAsia" w:eastAsia="仿宋" w:cs="Times New Roman"/>
                <w:bCs/>
                <w:color w:val="auto"/>
                <w:sz w:val="24"/>
                <w:lang w:val="en-US" w:eastAsia="zh-CN"/>
              </w:rPr>
              <w:t>常州市</w:t>
            </w:r>
            <w:r>
              <w:rPr>
                <w:rFonts w:hint="eastAsia" w:eastAsia="仿宋" w:cs="Times New Roman"/>
                <w:bCs/>
                <w:color w:val="auto"/>
                <w:sz w:val="24"/>
                <w:lang w:eastAsia="zh-CN"/>
              </w:rPr>
              <w:t>金坛经济开发区珠山路北侧、汇福路东侧、龙湖路西侧和鑫城大道南侧</w:t>
            </w:r>
            <w:r>
              <w:rPr>
                <w:rFonts w:hint="eastAsia" w:eastAsia="仿宋" w:cs="Times New Roman"/>
                <w:bCs/>
                <w:color w:val="auto"/>
                <w:sz w:val="24"/>
                <w:lang w:val="en-US" w:eastAsia="zh-CN"/>
              </w:rPr>
              <w:t>地块</w:t>
            </w:r>
            <w:r>
              <w:rPr>
                <w:rFonts w:hint="eastAsia" w:eastAsia="仿宋" w:cs="Times New Roman"/>
                <w:bCs/>
                <w:color w:val="auto"/>
                <w:sz w:val="24"/>
                <w:lang w:eastAsia="zh-CN"/>
              </w:rPr>
              <w:t>）</w:t>
            </w:r>
            <w:r>
              <w:rPr>
                <w:rFonts w:hint="default" w:ascii="Times New Roman" w:hAnsi="Times New Roman" w:eastAsia="仿宋" w:cs="Times New Roman"/>
                <w:bCs/>
                <w:color w:val="auto"/>
                <w:sz w:val="24"/>
                <w:highlight w:val="none"/>
              </w:rPr>
              <w:t>，隔路为空地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已规划为工业用地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；南侧为常州艾迪信轴承制造有限公司；西侧</w:t>
            </w:r>
            <w:r>
              <w:rPr>
                <w:rFonts w:hint="eastAsia" w:eastAsia="仿宋" w:cs="Times New Roman"/>
                <w:bCs/>
                <w:color w:val="auto"/>
                <w:sz w:val="24"/>
                <w:highlight w:val="none"/>
                <w:lang w:eastAsia="zh-CN"/>
              </w:rPr>
              <w:t>为</w:t>
            </w:r>
            <w:r>
              <w:rPr>
                <w:rFonts w:hint="default" w:ascii="Times New Roman" w:hAnsi="Times New Roman" w:eastAsia="仿宋" w:cs="Times New Roman"/>
                <w:bCs/>
                <w:color w:val="auto"/>
                <w:sz w:val="24"/>
                <w:highlight w:val="none"/>
              </w:rPr>
              <w:t>空地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已规划为工业用地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，北侧为空地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已规划为工业用地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，周边500米范围内无敏感点，</w:t>
            </w:r>
            <w:r>
              <w:rPr>
                <w:rFonts w:hint="default" w:ascii="Times New Roman" w:hAnsi="Times New Roman" w:eastAsia="仿宋" w:cs="Times New Roman"/>
                <w:bCs/>
                <w:color w:val="auto"/>
                <w:sz w:val="24"/>
              </w:rPr>
              <w:t>具体用地现状见附图2。</w:t>
            </w:r>
          </w:p>
          <w:p w14:paraId="15957294">
            <w:pPr>
              <w:numPr>
                <w:ilvl w:val="0"/>
                <w:numId w:val="8"/>
              </w:num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厂区</w:t>
            </w:r>
            <w:r>
              <w:rPr>
                <w:rFonts w:hint="default" w:ascii="Times New Roman" w:hAnsi="Times New Roman" w:eastAsia="仿宋" w:cs="Times New Roman"/>
                <w:bCs/>
                <w:color w:val="auto"/>
                <w:sz w:val="24"/>
                <w:highlight w:val="none"/>
              </w:rPr>
              <w:t>平面布局</w:t>
            </w:r>
          </w:p>
          <w:p w14:paraId="550BF8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lang w:val="en-US"/>
              </w:rPr>
            </w:pPr>
            <w:r>
              <w:rPr>
                <w:rFonts w:hint="default" w:ascii="Times New Roman" w:hAnsi="Times New Roman" w:eastAsia="仿宋" w:cs="Times New Roman"/>
                <w:bCs/>
                <w:color w:val="auto"/>
                <w:sz w:val="24"/>
                <w:highlight w:val="none"/>
                <w:lang w:val="en-US" w:eastAsia="zh-CN"/>
              </w:rPr>
              <w:t>厂区出入口</w:t>
            </w:r>
            <w:r>
              <w:rPr>
                <w:rFonts w:hint="eastAsia" w:ascii="Times New Roman" w:hAnsi="Times New Roman" w:eastAsia="仿宋" w:cs="Times New Roman"/>
                <w:bCs/>
                <w:color w:val="auto"/>
                <w:sz w:val="24"/>
                <w:highlight w:val="none"/>
                <w:lang w:val="en-US" w:eastAsia="zh-CN"/>
              </w:rPr>
              <w:t>沿厂区东侧龙湖路设置，</w:t>
            </w:r>
            <w:r>
              <w:rPr>
                <w:rFonts w:hint="default" w:ascii="Times New Roman" w:hAnsi="Times New Roman" w:eastAsia="仿宋" w:cs="Times New Roman"/>
                <w:bCs/>
                <w:color w:val="auto"/>
                <w:sz w:val="24"/>
                <w:highlight w:val="none"/>
                <w:lang w:val="en-US" w:eastAsia="zh-CN"/>
              </w:rPr>
              <w:t>厂区内建有1栋厂房，包含生产车间及办公楼区域，厂房共有3层。雨、污排口位于厂区外东北侧，应急事故池位于厂区内东北角。</w:t>
            </w:r>
          </w:p>
          <w:p w14:paraId="5FF0457B">
            <w:pPr>
              <w:numPr>
                <w:ilvl w:val="0"/>
                <w:numId w:val="8"/>
              </w:num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项目车间平面布局</w:t>
            </w:r>
          </w:p>
          <w:p w14:paraId="3D1F6E2D">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位于生产车间2层，设2个实验室（1#、2#）</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1个维修间</w:t>
            </w:r>
            <w:r>
              <w:rPr>
                <w:rFonts w:hint="eastAsia" w:eastAsia="仿宋" w:cs="Times New Roman"/>
                <w:bCs/>
                <w:color w:val="auto"/>
                <w:sz w:val="24"/>
                <w:highlight w:val="none"/>
                <w:lang w:val="en-US" w:eastAsia="zh-CN"/>
              </w:rPr>
              <w:t>和1个纯水制备机房</w:t>
            </w:r>
            <w:r>
              <w:rPr>
                <w:rFonts w:hint="default" w:ascii="Times New Roman" w:hAnsi="Times New Roman" w:eastAsia="仿宋" w:cs="Times New Roman"/>
                <w:bCs/>
                <w:color w:val="auto"/>
                <w:sz w:val="24"/>
                <w:highlight w:val="none"/>
                <w:lang w:val="en-US" w:eastAsia="zh-CN"/>
              </w:rPr>
              <w:t>，西侧1#实验室用于滴定实验、制样测试和焊接测试</w:t>
            </w:r>
            <w:r>
              <w:rPr>
                <w:rFonts w:hint="eastAsia" w:eastAsia="仿宋" w:cs="Times New Roman"/>
                <w:bCs/>
                <w:color w:val="auto"/>
                <w:sz w:val="24"/>
                <w:highlight w:val="none"/>
                <w:lang w:val="en-US" w:eastAsia="zh-CN"/>
              </w:rPr>
              <w:t>，设有2个防爆柜放置各种实验药剂</w:t>
            </w:r>
            <w:r>
              <w:rPr>
                <w:rFonts w:hint="default" w:ascii="Times New Roman" w:hAnsi="Times New Roman" w:eastAsia="仿宋" w:cs="Times New Roman"/>
                <w:bCs/>
                <w:color w:val="auto"/>
                <w:sz w:val="24"/>
                <w:highlight w:val="none"/>
                <w:lang w:val="en-US" w:eastAsia="zh-CN"/>
              </w:rPr>
              <w:t>，南侧2#实验室用于其他实验，维修间用于设备保养维修</w:t>
            </w:r>
            <w:r>
              <w:rPr>
                <w:rFonts w:hint="eastAsia" w:eastAsia="仿宋" w:cs="Times New Roman"/>
                <w:bCs/>
                <w:color w:val="auto"/>
                <w:sz w:val="24"/>
                <w:highlight w:val="none"/>
                <w:lang w:val="en-US" w:eastAsia="zh-CN"/>
              </w:rPr>
              <w:t>和暂存碱性清洗剂、设备润滑剂和切削液，纯水制备机房放置纯水制备机</w:t>
            </w: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依托的</w:t>
            </w:r>
            <w:r>
              <w:rPr>
                <w:rFonts w:hint="default" w:ascii="Times New Roman" w:hAnsi="Times New Roman" w:eastAsia="仿宋" w:cs="Times New Roman"/>
                <w:bCs/>
                <w:color w:val="auto"/>
                <w:sz w:val="24"/>
                <w:highlight w:val="none"/>
              </w:rPr>
              <w:t>危废仓库及一般固废仓库</w:t>
            </w:r>
            <w:r>
              <w:rPr>
                <w:rFonts w:hint="default" w:ascii="Times New Roman" w:hAnsi="Times New Roman" w:eastAsia="仿宋" w:cs="Times New Roman"/>
                <w:bCs/>
                <w:color w:val="auto"/>
                <w:sz w:val="24"/>
                <w:highlight w:val="none"/>
                <w:lang w:val="en-US" w:eastAsia="zh-CN"/>
              </w:rPr>
              <w:t>均</w:t>
            </w:r>
            <w:r>
              <w:rPr>
                <w:rFonts w:hint="default" w:ascii="Times New Roman" w:hAnsi="Times New Roman" w:eastAsia="仿宋" w:cs="Times New Roman"/>
                <w:bCs/>
                <w:color w:val="auto"/>
                <w:sz w:val="24"/>
                <w:highlight w:val="none"/>
              </w:rPr>
              <w:t>位于车间1F，</w:t>
            </w:r>
            <w:r>
              <w:rPr>
                <w:rFonts w:hint="default" w:ascii="Times New Roman" w:hAnsi="Times New Roman" w:eastAsia="仿宋" w:cs="Times New Roman"/>
                <w:bCs/>
                <w:color w:val="auto"/>
                <w:sz w:val="24"/>
                <w:highlight w:val="none"/>
                <w:lang w:val="en-US" w:eastAsia="zh-CN"/>
              </w:rPr>
              <w:t>新增实验设备位于车间2F两间实验室内。本项目</w:t>
            </w:r>
            <w:r>
              <w:rPr>
                <w:rFonts w:hint="default" w:ascii="Times New Roman" w:hAnsi="Times New Roman" w:eastAsia="仿宋" w:cs="Times New Roman"/>
                <w:bCs/>
                <w:color w:val="auto"/>
                <w:sz w:val="24"/>
                <w:highlight w:val="none"/>
              </w:rPr>
              <w:t>平面布置情况见附图4。</w:t>
            </w:r>
          </w:p>
          <w:p w14:paraId="5EF65C49">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5、职工人数、工作制度</w:t>
            </w:r>
          </w:p>
          <w:p w14:paraId="7644571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bookmarkStart w:id="12" w:name="_Hlk103240068"/>
            <w:r>
              <w:rPr>
                <w:rFonts w:hint="default" w:ascii="Times New Roman" w:hAnsi="Times New Roman" w:eastAsia="仿宋" w:cs="Times New Roman"/>
                <w:bCs/>
                <w:color w:val="auto"/>
                <w:sz w:val="24"/>
                <w:highlight w:val="none"/>
                <w:lang w:val="en-US" w:eastAsia="zh-CN"/>
              </w:rPr>
              <w:t>现有</w:t>
            </w:r>
            <w:r>
              <w:rPr>
                <w:rFonts w:hint="default" w:ascii="Times New Roman" w:hAnsi="Times New Roman" w:eastAsia="仿宋" w:cs="Times New Roman"/>
                <w:bCs/>
                <w:color w:val="auto"/>
                <w:sz w:val="24"/>
                <w:highlight w:val="none"/>
              </w:rPr>
              <w:t>职工定员150人，本项目</w:t>
            </w:r>
            <w:r>
              <w:rPr>
                <w:rFonts w:hint="default" w:ascii="Times New Roman" w:hAnsi="Times New Roman" w:eastAsia="仿宋" w:cs="Times New Roman"/>
                <w:bCs/>
                <w:color w:val="auto"/>
                <w:sz w:val="24"/>
                <w:highlight w:val="none"/>
                <w:lang w:val="en-US" w:eastAsia="zh-CN"/>
              </w:rPr>
              <w:t>不新增员工，厂内自行调配。本项目</w:t>
            </w:r>
            <w:r>
              <w:rPr>
                <w:rFonts w:hint="default" w:ascii="Times New Roman" w:hAnsi="Times New Roman" w:eastAsia="仿宋" w:cs="Times New Roman"/>
                <w:bCs/>
                <w:color w:val="auto"/>
                <w:sz w:val="24"/>
                <w:highlight w:val="none"/>
              </w:rPr>
              <w:t>采用</w:t>
            </w:r>
            <w:r>
              <w:rPr>
                <w:rFonts w:hint="default" w:ascii="Times New Roman" w:hAnsi="Times New Roman" w:eastAsia="仿宋" w:cs="Times New Roman"/>
                <w:bCs/>
                <w:color w:val="auto"/>
                <w:sz w:val="24"/>
                <w:highlight w:val="none"/>
                <w:lang w:val="en-US" w:eastAsia="zh-CN"/>
              </w:rPr>
              <w:t>两</w:t>
            </w:r>
            <w:r>
              <w:rPr>
                <w:rFonts w:hint="default" w:ascii="Times New Roman" w:hAnsi="Times New Roman" w:eastAsia="仿宋" w:cs="Times New Roman"/>
                <w:bCs/>
                <w:color w:val="auto"/>
                <w:sz w:val="24"/>
                <w:highlight w:val="none"/>
              </w:rPr>
              <w:t>班制，每班</w:t>
            </w:r>
            <w:r>
              <w:rPr>
                <w:rFonts w:hint="default"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h，年工作300天，</w:t>
            </w:r>
            <w:bookmarkEnd w:id="12"/>
            <w:r>
              <w:rPr>
                <w:rFonts w:hint="default" w:ascii="Times New Roman" w:hAnsi="Times New Roman" w:eastAsia="仿宋" w:cs="Times New Roman"/>
                <w:bCs/>
                <w:color w:val="auto"/>
                <w:sz w:val="24"/>
                <w:highlight w:val="none"/>
              </w:rPr>
              <w:t>年工作时数按</w:t>
            </w:r>
            <w:r>
              <w:rPr>
                <w:rFonts w:hint="default" w:ascii="Times New Roman" w:hAnsi="Times New Roman" w:eastAsia="仿宋" w:cs="Times New Roman"/>
                <w:bCs/>
                <w:color w:val="auto"/>
                <w:sz w:val="24"/>
                <w:highlight w:val="none"/>
                <w:lang w:val="en-US" w:eastAsia="zh-CN"/>
              </w:rPr>
              <w:t>3600</w:t>
            </w:r>
            <w:r>
              <w:rPr>
                <w:rFonts w:hint="default" w:ascii="Times New Roman" w:hAnsi="Times New Roman" w:eastAsia="仿宋" w:cs="Times New Roman"/>
                <w:bCs/>
                <w:color w:val="auto"/>
                <w:sz w:val="24"/>
                <w:highlight w:val="none"/>
              </w:rPr>
              <w:t>h计。</w:t>
            </w:r>
            <w:bookmarkStart w:id="13" w:name="_Hlk110966986"/>
            <w:r>
              <w:rPr>
                <w:rFonts w:hint="default" w:ascii="Times New Roman" w:hAnsi="Times New Roman" w:eastAsia="仿宋" w:cs="Times New Roman"/>
                <w:bCs/>
                <w:color w:val="auto"/>
                <w:sz w:val="24"/>
                <w:highlight w:val="none"/>
              </w:rPr>
              <w:t>本项目不设食堂、浴室、宿舍，员工就餐外购解决。</w:t>
            </w:r>
          </w:p>
          <w:bookmarkEnd w:id="13"/>
          <w:p w14:paraId="78FDF470">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二、公辅及环保工程</w:t>
            </w:r>
          </w:p>
          <w:p w14:paraId="366273B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1、公用及辅助工程</w:t>
            </w:r>
          </w:p>
          <w:p w14:paraId="322B600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（1）给水</w:t>
            </w:r>
          </w:p>
          <w:p w14:paraId="1825201C">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新增</w:t>
            </w:r>
            <w:r>
              <w:rPr>
                <w:rFonts w:hint="default" w:ascii="Times New Roman" w:hAnsi="Times New Roman" w:eastAsia="仿宋" w:cs="Times New Roman"/>
                <w:bCs/>
                <w:color w:val="auto"/>
                <w:sz w:val="24"/>
                <w:highlight w:val="none"/>
              </w:rPr>
              <w:t>自来水用量</w:t>
            </w:r>
            <w:r>
              <w:rPr>
                <w:rFonts w:hint="default" w:ascii="Times New Roman" w:hAnsi="Times New Roman" w:eastAsia="仿宋" w:cs="Times New Roman"/>
                <w:bCs/>
                <w:color w:val="auto"/>
                <w:sz w:val="24"/>
                <w:highlight w:val="none"/>
                <w:lang w:val="en-US" w:eastAsia="zh-CN"/>
              </w:rPr>
              <w:t>3.7</w:t>
            </w:r>
            <w:r>
              <w:rPr>
                <w:rFonts w:hint="default" w:ascii="Times New Roman" w:hAnsi="Times New Roman" w:eastAsia="仿宋" w:cs="Times New Roman"/>
                <w:bCs/>
                <w:color w:val="auto"/>
                <w:sz w:val="24"/>
                <w:highlight w:val="none"/>
              </w:rPr>
              <w:t>t/a，</w:t>
            </w:r>
            <w:r>
              <w:rPr>
                <w:rFonts w:hint="default" w:ascii="Times New Roman" w:hAnsi="Times New Roman" w:eastAsia="仿宋" w:cs="Times New Roman"/>
                <w:bCs/>
                <w:color w:val="auto"/>
                <w:sz w:val="24"/>
                <w:highlight w:val="none"/>
                <w:lang w:val="en-US" w:eastAsia="zh-CN"/>
              </w:rPr>
              <w:t>为制纯水用水</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lang w:val="en-US" w:eastAsia="zh-CN"/>
              </w:rPr>
              <w:t>项目建成后</w:t>
            </w:r>
            <w:r>
              <w:rPr>
                <w:rFonts w:hint="default" w:ascii="Times New Roman" w:hAnsi="Times New Roman" w:eastAsia="仿宋" w:cs="Times New Roman"/>
                <w:bCs/>
                <w:color w:val="auto"/>
                <w:sz w:val="24"/>
                <w:highlight w:val="none"/>
                <w:lang w:val="en-US" w:eastAsia="zh-CN"/>
              </w:rPr>
              <w:t>全厂自来水用量为8407.7t/a</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来自当地市政自来水管网，可满足需要。</w:t>
            </w:r>
          </w:p>
          <w:p w14:paraId="637CB3BA">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本项目新增1台10L/h纯水制备机，纯水用量为2.2t/a，纯水制备机运行时间约220h，可满足本项目制水要求。</w:t>
            </w:r>
          </w:p>
          <w:p w14:paraId="0B483E7A">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（2）排水</w:t>
            </w:r>
          </w:p>
          <w:p w14:paraId="5FBBC337">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yellow"/>
                <w:lang w:val="en-US" w:eastAsia="zh-CN"/>
              </w:rPr>
            </w:pPr>
            <w:r>
              <w:rPr>
                <w:rFonts w:hint="default" w:ascii="Times New Roman" w:hAnsi="Times New Roman" w:eastAsia="仿宋" w:cs="Times New Roman"/>
                <w:bCs/>
                <w:color w:val="auto"/>
                <w:sz w:val="24"/>
              </w:rPr>
              <w:t>厂区排水实施“雨污分流”，雨水经雨水管网收集后，排入当地市政雨水管网，最终汇入附近河流。</w:t>
            </w: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新增的纯水制备弃水1.5t/a，全部用于员工冲厕。</w:t>
            </w:r>
          </w:p>
          <w:p w14:paraId="65C9AE4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（3）供电</w:t>
            </w:r>
          </w:p>
          <w:p w14:paraId="4E7A757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本项目用电量约</w:t>
            </w:r>
            <w:r>
              <w:rPr>
                <w:rFonts w:hint="default" w:ascii="Times New Roman" w:hAnsi="Times New Roman" w:eastAsia="仿宋" w:cs="Times New Roman"/>
                <w:bCs/>
                <w:color w:val="auto"/>
                <w:sz w:val="24"/>
                <w:highlight w:val="none"/>
                <w:lang w:val="en-US" w:eastAsia="zh-CN"/>
              </w:rPr>
              <w:t>0.6</w:t>
            </w:r>
            <w:r>
              <w:rPr>
                <w:rFonts w:hint="default" w:ascii="Times New Roman" w:hAnsi="Times New Roman" w:eastAsia="仿宋" w:cs="Times New Roman"/>
                <w:bCs/>
                <w:color w:val="auto"/>
                <w:sz w:val="24"/>
              </w:rPr>
              <w:t>万度/年</w:t>
            </w:r>
            <w:r>
              <w:rPr>
                <w:rFonts w:hint="default" w:ascii="Times New Roman" w:hAnsi="Times New Roman" w:eastAsia="仿宋" w:cs="Times New Roman"/>
                <w:bCs/>
                <w:color w:val="auto"/>
                <w:sz w:val="24"/>
                <w:lang w:eastAsia="zh-CN"/>
              </w:rPr>
              <w:t>，</w:t>
            </w:r>
            <w:r>
              <w:rPr>
                <w:rFonts w:hint="eastAsia" w:eastAsia="仿宋" w:cs="Times New Roman"/>
                <w:bCs/>
                <w:color w:val="auto"/>
                <w:sz w:val="24"/>
                <w:lang w:val="en-US" w:eastAsia="zh-CN"/>
              </w:rPr>
              <w:t>项目建成后全厂用电量约850.6万度/年，</w:t>
            </w:r>
            <w:r>
              <w:rPr>
                <w:rFonts w:hint="default" w:ascii="Times New Roman" w:hAnsi="Times New Roman" w:eastAsia="仿宋" w:cs="Times New Roman"/>
                <w:bCs/>
                <w:color w:val="auto"/>
                <w:sz w:val="24"/>
              </w:rPr>
              <w:t>由当地市政电网提供，可满足需要。</w:t>
            </w:r>
          </w:p>
          <w:p w14:paraId="70600D1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）绿化</w:t>
            </w:r>
          </w:p>
          <w:p w14:paraId="211CFB7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w:t>
            </w:r>
            <w:r>
              <w:rPr>
                <w:rFonts w:hint="default" w:ascii="Times New Roman" w:hAnsi="Times New Roman" w:eastAsia="仿宋" w:cs="Times New Roman"/>
                <w:bCs/>
                <w:color w:val="auto"/>
                <w:sz w:val="24"/>
                <w:lang w:val="en-US" w:eastAsia="zh-CN"/>
              </w:rPr>
              <w:t>依托现有厂区绿化，</w:t>
            </w:r>
            <w:r>
              <w:rPr>
                <w:rFonts w:hint="default" w:ascii="Times New Roman" w:hAnsi="Times New Roman" w:eastAsia="仿宋" w:cs="Times New Roman"/>
                <w:bCs/>
                <w:color w:val="auto"/>
                <w:sz w:val="24"/>
              </w:rPr>
              <w:t>绿化率</w:t>
            </w:r>
            <w:r>
              <w:rPr>
                <w:rFonts w:hint="default" w:ascii="Times New Roman" w:hAnsi="Times New Roman" w:eastAsia="仿宋" w:cs="Times New Roman"/>
                <w:bCs/>
                <w:color w:val="auto"/>
                <w:sz w:val="24"/>
                <w:lang w:val="en-US" w:eastAsia="zh-CN"/>
              </w:rPr>
              <w:t>为</w:t>
            </w:r>
            <w:r>
              <w:rPr>
                <w:rFonts w:hint="default" w:ascii="Times New Roman" w:hAnsi="Times New Roman" w:eastAsia="仿宋" w:cs="Times New Roman"/>
                <w:bCs/>
                <w:color w:val="auto"/>
                <w:sz w:val="24"/>
              </w:rPr>
              <w:t>5.92%。</w:t>
            </w:r>
          </w:p>
          <w:p w14:paraId="14189618">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5</w:t>
            </w:r>
            <w:r>
              <w:rPr>
                <w:rFonts w:hint="default" w:ascii="Times New Roman" w:hAnsi="Times New Roman" w:eastAsia="仿宋" w:cs="Times New Roman"/>
                <w:bCs/>
                <w:color w:val="auto"/>
                <w:sz w:val="24"/>
              </w:rPr>
              <w:t>）贮运</w:t>
            </w:r>
          </w:p>
          <w:p w14:paraId="14B4BC4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本项目实验试剂等原辅料</w:t>
            </w:r>
            <w:r>
              <w:rPr>
                <w:rFonts w:hint="default" w:ascii="Times New Roman" w:hAnsi="Times New Roman" w:eastAsia="仿宋" w:cs="Times New Roman"/>
                <w:bCs/>
                <w:color w:val="auto"/>
                <w:sz w:val="24"/>
              </w:rPr>
              <w:t>进出厂均使用汽车运输</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实验试剂贮存于1#实验室防爆柜，碱性清洗剂、设备润滑剂和切削液贮存于维修间。</w:t>
            </w:r>
            <w:r>
              <w:rPr>
                <w:rFonts w:hint="default" w:ascii="Times New Roman" w:hAnsi="Times New Roman" w:eastAsia="仿宋" w:cs="Times New Roman"/>
                <w:bCs/>
                <w:color w:val="auto"/>
                <w:sz w:val="24"/>
              </w:rPr>
              <w:t>公用及辅助工程见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2D395AE2">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5</w:t>
            </w:r>
            <w:r>
              <w:rPr>
                <w:rFonts w:hint="default" w:ascii="Times New Roman" w:hAnsi="Times New Roman" w:eastAsia="仿宋" w:cs="Times New Roman"/>
                <w:b/>
                <w:bCs/>
                <w:color w:val="auto"/>
                <w:sz w:val="24"/>
              </w:rPr>
              <w:t xml:space="preserve">  本项目公用及辅助工程一览表</w:t>
            </w:r>
          </w:p>
          <w:tbl>
            <w:tblPr>
              <w:tblStyle w:val="2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45" w:type="dxa"/>
                <w:bottom w:w="0" w:type="dxa"/>
                <w:right w:w="45" w:type="dxa"/>
              </w:tblCellMar>
            </w:tblPr>
            <w:tblGrid>
              <w:gridCol w:w="717"/>
              <w:gridCol w:w="549"/>
              <w:gridCol w:w="5"/>
              <w:gridCol w:w="2224"/>
              <w:gridCol w:w="2125"/>
              <w:gridCol w:w="2776"/>
            </w:tblGrid>
            <w:tr w14:paraId="77744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251" w:hRule="atLeast"/>
              </w:trPr>
              <w:tc>
                <w:tcPr>
                  <w:tcW w:w="427" w:type="pct"/>
                  <w:vAlign w:val="center"/>
                </w:tcPr>
                <w:p w14:paraId="0D6620D7">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类别</w:t>
                  </w:r>
                </w:p>
              </w:tc>
              <w:tc>
                <w:tcPr>
                  <w:tcW w:w="1654" w:type="pct"/>
                  <w:gridSpan w:val="3"/>
                  <w:vAlign w:val="center"/>
                </w:tcPr>
                <w:p w14:paraId="66D6C04A">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建设名称</w:t>
                  </w:r>
                </w:p>
              </w:tc>
              <w:tc>
                <w:tcPr>
                  <w:tcW w:w="1265" w:type="pct"/>
                  <w:vAlign w:val="center"/>
                </w:tcPr>
                <w:p w14:paraId="304B2D62">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设计能力</w:t>
                  </w:r>
                </w:p>
              </w:tc>
              <w:tc>
                <w:tcPr>
                  <w:tcW w:w="1652" w:type="pct"/>
                  <w:vAlign w:val="center"/>
                </w:tcPr>
                <w:p w14:paraId="2825AB4A">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备注</w:t>
                  </w:r>
                </w:p>
              </w:tc>
            </w:tr>
            <w:tr w14:paraId="6FAF9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50" w:hRule="atLeast"/>
              </w:trPr>
              <w:tc>
                <w:tcPr>
                  <w:tcW w:w="427" w:type="pct"/>
                  <w:vMerge w:val="restart"/>
                  <w:vAlign w:val="center"/>
                </w:tcPr>
                <w:p w14:paraId="1FF30B7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贮运</w:t>
                  </w:r>
                </w:p>
                <w:p w14:paraId="3EC706D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工程</w:t>
                  </w:r>
                </w:p>
              </w:tc>
              <w:tc>
                <w:tcPr>
                  <w:tcW w:w="1654" w:type="pct"/>
                  <w:gridSpan w:val="3"/>
                  <w:tcBorders>
                    <w:bottom w:val="single" w:color="auto" w:sz="4" w:space="0"/>
                  </w:tcBorders>
                  <w:vAlign w:val="center"/>
                </w:tcPr>
                <w:p w14:paraId="43BECC3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1#实验室防爆柜</w:t>
                  </w:r>
                </w:p>
              </w:tc>
              <w:tc>
                <w:tcPr>
                  <w:tcW w:w="1265" w:type="pct"/>
                  <w:shd w:val="clear" w:color="auto" w:fill="auto"/>
                  <w:vAlign w:val="center"/>
                </w:tcPr>
                <w:p w14:paraId="71079B0B">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用于存放</w:t>
                  </w:r>
                  <w:r>
                    <w:rPr>
                      <w:rFonts w:hint="default" w:ascii="Times New Roman" w:hAnsi="Times New Roman" w:eastAsia="仿宋" w:cs="Times New Roman"/>
                      <w:color w:val="auto"/>
                      <w:szCs w:val="21"/>
                      <w:lang w:val="en-US" w:eastAsia="zh-CN"/>
                    </w:rPr>
                    <w:t>实验试剂</w:t>
                  </w:r>
                </w:p>
              </w:tc>
              <w:tc>
                <w:tcPr>
                  <w:tcW w:w="1652" w:type="pct"/>
                  <w:vAlign w:val="center"/>
                </w:tcPr>
                <w:p w14:paraId="68EBEB6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新增</w:t>
                  </w:r>
                  <w:r>
                    <w:rPr>
                      <w:rFonts w:hint="default" w:ascii="Times New Roman" w:hAnsi="Times New Roman" w:eastAsia="仿宋" w:cs="Times New Roman"/>
                      <w:color w:val="auto"/>
                      <w:szCs w:val="21"/>
                    </w:rPr>
                    <w:t>，位于生产车间</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F</w:t>
                  </w:r>
                </w:p>
              </w:tc>
            </w:tr>
            <w:tr w14:paraId="7431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50" w:hRule="atLeast"/>
              </w:trPr>
              <w:tc>
                <w:tcPr>
                  <w:tcW w:w="427" w:type="pct"/>
                  <w:vMerge w:val="continue"/>
                  <w:vAlign w:val="center"/>
                </w:tcPr>
                <w:p w14:paraId="38F3C97F">
                  <w:pPr>
                    <w:jc w:val="center"/>
                    <w:rPr>
                      <w:rFonts w:hint="default" w:ascii="Times New Roman" w:hAnsi="Times New Roman" w:eastAsia="仿宋" w:cs="Times New Roman"/>
                      <w:color w:val="auto"/>
                      <w:szCs w:val="21"/>
                    </w:rPr>
                  </w:pPr>
                </w:p>
              </w:tc>
              <w:tc>
                <w:tcPr>
                  <w:tcW w:w="1654" w:type="pct"/>
                  <w:gridSpan w:val="3"/>
                  <w:tcBorders>
                    <w:bottom w:val="single" w:color="auto" w:sz="4" w:space="0"/>
                  </w:tcBorders>
                  <w:vAlign w:val="center"/>
                </w:tcPr>
                <w:p w14:paraId="3BF00D7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维修间</w:t>
                  </w:r>
                </w:p>
              </w:tc>
              <w:tc>
                <w:tcPr>
                  <w:tcW w:w="1265" w:type="pct"/>
                  <w:shd w:val="clear" w:color="auto" w:fill="auto"/>
                  <w:vAlign w:val="center"/>
                </w:tcPr>
                <w:p w14:paraId="018B14F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用于存放碱性清洗剂、设备润滑剂和切削液</w:t>
                  </w:r>
                </w:p>
              </w:tc>
              <w:tc>
                <w:tcPr>
                  <w:tcW w:w="1652" w:type="pct"/>
                  <w:vAlign w:val="center"/>
                </w:tcPr>
                <w:p w14:paraId="52AC53E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新增</w:t>
                  </w:r>
                  <w:r>
                    <w:rPr>
                      <w:rFonts w:hint="default" w:ascii="Times New Roman" w:hAnsi="Times New Roman" w:eastAsia="仿宋" w:cs="Times New Roman"/>
                      <w:color w:val="auto"/>
                      <w:szCs w:val="21"/>
                    </w:rPr>
                    <w:t>，位于生产车间</w:t>
                  </w:r>
                  <w:r>
                    <w:rPr>
                      <w:rFonts w:hint="default" w:ascii="Times New Roman" w:hAnsi="Times New Roman" w:eastAsia="仿宋" w:cs="Times New Roman"/>
                      <w:color w:val="auto"/>
                      <w:szCs w:val="21"/>
                      <w:lang w:val="en-US" w:eastAsia="zh-CN"/>
                    </w:rPr>
                    <w:t>2</w:t>
                  </w:r>
                  <w:r>
                    <w:rPr>
                      <w:rFonts w:hint="default" w:ascii="Times New Roman" w:hAnsi="Times New Roman" w:eastAsia="仿宋" w:cs="Times New Roman"/>
                      <w:color w:val="auto"/>
                      <w:szCs w:val="21"/>
                    </w:rPr>
                    <w:t>F</w:t>
                  </w:r>
                </w:p>
              </w:tc>
            </w:tr>
            <w:tr w14:paraId="39E31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523" w:hRule="atLeast"/>
              </w:trPr>
              <w:tc>
                <w:tcPr>
                  <w:tcW w:w="427" w:type="pct"/>
                  <w:vMerge w:val="restart"/>
                  <w:vAlign w:val="center"/>
                </w:tcPr>
                <w:p w14:paraId="3F9F3E3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公用</w:t>
                  </w:r>
                </w:p>
                <w:p w14:paraId="7A3A23E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工程</w:t>
                  </w:r>
                </w:p>
              </w:tc>
              <w:tc>
                <w:tcPr>
                  <w:tcW w:w="327" w:type="pct"/>
                  <w:vMerge w:val="restart"/>
                  <w:vAlign w:val="center"/>
                </w:tcPr>
                <w:p w14:paraId="0D4A918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给水</w:t>
                  </w:r>
                </w:p>
              </w:tc>
              <w:tc>
                <w:tcPr>
                  <w:tcW w:w="1326" w:type="pct"/>
                  <w:gridSpan w:val="2"/>
                  <w:vAlign w:val="center"/>
                </w:tcPr>
                <w:p w14:paraId="337B1B5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自来水</w:t>
                  </w:r>
                </w:p>
              </w:tc>
              <w:tc>
                <w:tcPr>
                  <w:tcW w:w="1265" w:type="pct"/>
                  <w:shd w:val="clear" w:color="auto" w:fill="auto"/>
                  <w:vAlign w:val="center"/>
                </w:tcPr>
                <w:p w14:paraId="75E3017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3.7t/a</w:t>
                  </w:r>
                </w:p>
              </w:tc>
              <w:tc>
                <w:tcPr>
                  <w:tcW w:w="1652" w:type="pct"/>
                  <w:vAlign w:val="center"/>
                </w:tcPr>
                <w:p w14:paraId="6E80496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用于制纯水，来自</w:t>
                  </w:r>
                  <w:r>
                    <w:rPr>
                      <w:rFonts w:hint="default" w:ascii="Times New Roman" w:hAnsi="Times New Roman" w:eastAsia="仿宋" w:cs="Times New Roman"/>
                      <w:color w:val="auto"/>
                      <w:szCs w:val="21"/>
                    </w:rPr>
                    <w:t>当地市政自来水管网</w:t>
                  </w:r>
                </w:p>
              </w:tc>
            </w:tr>
            <w:tr w14:paraId="35067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271" w:hRule="atLeast"/>
              </w:trPr>
              <w:tc>
                <w:tcPr>
                  <w:tcW w:w="427" w:type="pct"/>
                  <w:vMerge w:val="continue"/>
                  <w:vAlign w:val="center"/>
                </w:tcPr>
                <w:p w14:paraId="58CDE346">
                  <w:pPr>
                    <w:jc w:val="center"/>
                    <w:rPr>
                      <w:rFonts w:hint="default" w:ascii="Times New Roman" w:hAnsi="Times New Roman" w:eastAsia="仿宋" w:cs="Times New Roman"/>
                      <w:color w:val="auto"/>
                      <w:szCs w:val="21"/>
                    </w:rPr>
                  </w:pPr>
                </w:p>
              </w:tc>
              <w:tc>
                <w:tcPr>
                  <w:tcW w:w="327" w:type="pct"/>
                  <w:vMerge w:val="continue"/>
                  <w:vAlign w:val="center"/>
                </w:tcPr>
                <w:p w14:paraId="3F1D14BC">
                  <w:pPr>
                    <w:jc w:val="center"/>
                    <w:rPr>
                      <w:rFonts w:hint="default" w:ascii="Times New Roman" w:hAnsi="Times New Roman" w:eastAsia="仿宋" w:cs="Times New Roman"/>
                      <w:color w:val="auto"/>
                      <w:szCs w:val="21"/>
                    </w:rPr>
                  </w:pPr>
                </w:p>
              </w:tc>
              <w:tc>
                <w:tcPr>
                  <w:tcW w:w="1326" w:type="pct"/>
                  <w:gridSpan w:val="2"/>
                  <w:vAlign w:val="center"/>
                </w:tcPr>
                <w:p w14:paraId="2CC482B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纯水</w:t>
                  </w:r>
                </w:p>
              </w:tc>
              <w:tc>
                <w:tcPr>
                  <w:tcW w:w="1265" w:type="pct"/>
                  <w:shd w:val="clear" w:color="auto" w:fill="auto"/>
                  <w:vAlign w:val="center"/>
                </w:tcPr>
                <w:p w14:paraId="68EEC87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2.2t/a</w:t>
                  </w:r>
                </w:p>
              </w:tc>
              <w:tc>
                <w:tcPr>
                  <w:tcW w:w="1652" w:type="pct"/>
                  <w:vAlign w:val="center"/>
                </w:tcPr>
                <w:p w14:paraId="09F1FB7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新增纯水制备机，可满足</w:t>
                  </w:r>
                  <w:r>
                    <w:rPr>
                      <w:rFonts w:hint="eastAsia" w:ascii="Times New Roman" w:hAnsi="Times New Roman" w:eastAsia="仿宋" w:cs="Times New Roman"/>
                      <w:color w:val="auto"/>
                      <w:szCs w:val="21"/>
                      <w:lang w:val="en-US" w:eastAsia="zh-CN"/>
                    </w:rPr>
                    <w:t>实验用水</w:t>
                  </w:r>
                  <w:r>
                    <w:rPr>
                      <w:rFonts w:hint="default" w:ascii="Times New Roman" w:hAnsi="Times New Roman" w:eastAsia="仿宋" w:cs="Times New Roman"/>
                      <w:color w:val="auto"/>
                      <w:szCs w:val="21"/>
                      <w:lang w:val="en-US" w:eastAsia="zh-CN"/>
                    </w:rPr>
                    <w:t>需求</w:t>
                  </w:r>
                </w:p>
              </w:tc>
            </w:tr>
            <w:tr w14:paraId="49E16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90" w:hRule="atLeast"/>
              </w:trPr>
              <w:tc>
                <w:tcPr>
                  <w:tcW w:w="427" w:type="pct"/>
                  <w:vMerge w:val="continue"/>
                  <w:vAlign w:val="center"/>
                </w:tcPr>
                <w:p w14:paraId="0F6CD62E">
                  <w:pPr>
                    <w:jc w:val="center"/>
                    <w:rPr>
                      <w:rFonts w:hint="default" w:ascii="Times New Roman" w:hAnsi="Times New Roman" w:eastAsia="仿宋" w:cs="Times New Roman"/>
                      <w:color w:val="auto"/>
                      <w:szCs w:val="21"/>
                    </w:rPr>
                  </w:pPr>
                </w:p>
              </w:tc>
              <w:tc>
                <w:tcPr>
                  <w:tcW w:w="1654" w:type="pct"/>
                  <w:gridSpan w:val="3"/>
                  <w:vAlign w:val="center"/>
                </w:tcPr>
                <w:p w14:paraId="527EB8E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排水</w:t>
                  </w:r>
                </w:p>
              </w:tc>
              <w:tc>
                <w:tcPr>
                  <w:tcW w:w="1265" w:type="pct"/>
                  <w:shd w:val="clear" w:color="auto" w:fill="auto"/>
                  <w:vAlign w:val="center"/>
                </w:tcPr>
                <w:p w14:paraId="444C8F7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1652" w:type="pct"/>
                  <w:vAlign w:val="center"/>
                </w:tcPr>
                <w:p w14:paraId="32C4D9F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新增的纯水制备弃水1.5t/a全部用于员工冲厕</w:t>
                  </w:r>
                </w:p>
              </w:tc>
            </w:tr>
            <w:tr w14:paraId="5E27C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90" w:hRule="atLeast"/>
              </w:trPr>
              <w:tc>
                <w:tcPr>
                  <w:tcW w:w="427" w:type="pct"/>
                  <w:vMerge w:val="continue"/>
                  <w:vAlign w:val="center"/>
                </w:tcPr>
                <w:p w14:paraId="5F869E27">
                  <w:pPr>
                    <w:jc w:val="center"/>
                    <w:rPr>
                      <w:rFonts w:hint="default" w:ascii="Times New Roman" w:hAnsi="Times New Roman" w:eastAsia="仿宋" w:cs="Times New Roman"/>
                      <w:color w:val="auto"/>
                      <w:szCs w:val="21"/>
                    </w:rPr>
                  </w:pPr>
                </w:p>
              </w:tc>
              <w:tc>
                <w:tcPr>
                  <w:tcW w:w="1654" w:type="pct"/>
                  <w:gridSpan w:val="3"/>
                  <w:vAlign w:val="center"/>
                </w:tcPr>
                <w:p w14:paraId="4D77D25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供电</w:t>
                  </w:r>
                </w:p>
              </w:tc>
              <w:tc>
                <w:tcPr>
                  <w:tcW w:w="1265" w:type="pct"/>
                  <w:tcMar>
                    <w:left w:w="0" w:type="dxa"/>
                    <w:right w:w="0" w:type="dxa"/>
                  </w:tcMar>
                  <w:vAlign w:val="center"/>
                </w:tcPr>
                <w:p w14:paraId="4C63418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0.6</w:t>
                  </w:r>
                  <w:r>
                    <w:rPr>
                      <w:rFonts w:hint="default" w:ascii="Times New Roman" w:hAnsi="Times New Roman" w:eastAsia="仿宋" w:cs="Times New Roman"/>
                      <w:color w:val="auto"/>
                      <w:szCs w:val="21"/>
                    </w:rPr>
                    <w:t>万度/年</w:t>
                  </w:r>
                </w:p>
              </w:tc>
              <w:tc>
                <w:tcPr>
                  <w:tcW w:w="1652" w:type="pct"/>
                  <w:vAlign w:val="center"/>
                </w:tcPr>
                <w:p w14:paraId="493608B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当地市政电网提供</w:t>
                  </w:r>
                </w:p>
              </w:tc>
            </w:tr>
            <w:tr w14:paraId="062C1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90" w:hRule="atLeast"/>
              </w:trPr>
              <w:tc>
                <w:tcPr>
                  <w:tcW w:w="427" w:type="pct"/>
                  <w:vMerge w:val="continue"/>
                  <w:vAlign w:val="center"/>
                </w:tcPr>
                <w:p w14:paraId="1A4FF480">
                  <w:pPr>
                    <w:jc w:val="center"/>
                    <w:rPr>
                      <w:rFonts w:hint="default" w:ascii="Times New Roman" w:hAnsi="Times New Roman" w:eastAsia="仿宋" w:cs="Times New Roman"/>
                      <w:color w:val="auto"/>
                      <w:szCs w:val="21"/>
                    </w:rPr>
                  </w:pPr>
                </w:p>
              </w:tc>
              <w:tc>
                <w:tcPr>
                  <w:tcW w:w="1654" w:type="pct"/>
                  <w:gridSpan w:val="3"/>
                  <w:vAlign w:val="center"/>
                </w:tcPr>
                <w:p w14:paraId="34C0AB6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绿化</w:t>
                  </w:r>
                </w:p>
              </w:tc>
              <w:tc>
                <w:tcPr>
                  <w:tcW w:w="1265" w:type="pct"/>
                  <w:tcMar>
                    <w:left w:w="0" w:type="dxa"/>
                    <w:right w:w="0" w:type="dxa"/>
                  </w:tcMar>
                  <w:vAlign w:val="center"/>
                </w:tcPr>
                <w:p w14:paraId="0293466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绿化率5.92%</w:t>
                  </w:r>
                </w:p>
              </w:tc>
              <w:tc>
                <w:tcPr>
                  <w:tcW w:w="1652" w:type="pct"/>
                  <w:vAlign w:val="center"/>
                </w:tcPr>
                <w:p w14:paraId="20BE3EE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依托现有</w:t>
                  </w:r>
                </w:p>
              </w:tc>
            </w:tr>
            <w:tr w14:paraId="71AC2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168" w:hRule="atLeast"/>
              </w:trPr>
              <w:tc>
                <w:tcPr>
                  <w:tcW w:w="427" w:type="pct"/>
                  <w:vMerge w:val="restart"/>
                  <w:vAlign w:val="center"/>
                </w:tcPr>
                <w:p w14:paraId="4FE77C9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环保工程</w:t>
                  </w:r>
                </w:p>
              </w:tc>
              <w:tc>
                <w:tcPr>
                  <w:tcW w:w="330" w:type="pct"/>
                  <w:gridSpan w:val="2"/>
                  <w:vAlign w:val="center"/>
                </w:tcPr>
                <w:p w14:paraId="057B374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w:t>
                  </w:r>
                </w:p>
              </w:tc>
              <w:tc>
                <w:tcPr>
                  <w:tcW w:w="1323" w:type="pct"/>
                  <w:vAlign w:val="center"/>
                </w:tcPr>
                <w:p w14:paraId="3F6E9E6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FF0000"/>
                      <w:szCs w:val="21"/>
                    </w:rPr>
                    <w:t>碱液喷淋塔</w:t>
                  </w:r>
                  <w:r>
                    <w:rPr>
                      <w:rFonts w:hint="eastAsia" w:eastAsia="仿宋" w:cs="Times New Roman"/>
                      <w:color w:val="FF0000"/>
                      <w:szCs w:val="21"/>
                      <w:lang w:eastAsia="zh-CN"/>
                    </w:rPr>
                    <w:t>（</w:t>
                  </w:r>
                  <w:r>
                    <w:rPr>
                      <w:rFonts w:hint="eastAsia" w:eastAsia="仿宋" w:cs="Times New Roman"/>
                      <w:color w:val="FF0000"/>
                      <w:szCs w:val="21"/>
                      <w:lang w:val="en-US" w:eastAsia="zh-CN"/>
                    </w:rPr>
                    <w:t>含吸水填料</w:t>
                  </w:r>
                  <w:r>
                    <w:rPr>
                      <w:rFonts w:hint="eastAsia" w:eastAsia="仿宋" w:cs="Times New Roman"/>
                      <w:color w:val="FF0000"/>
                      <w:szCs w:val="21"/>
                      <w:lang w:eastAsia="zh-CN"/>
                    </w:rPr>
                    <w:t>）</w:t>
                  </w:r>
                  <w:r>
                    <w:rPr>
                      <w:rFonts w:hint="default" w:ascii="Times New Roman" w:hAnsi="Times New Roman" w:eastAsia="仿宋" w:cs="Times New Roman"/>
                      <w:color w:val="auto"/>
                      <w:szCs w:val="21"/>
                    </w:rPr>
                    <w:t>+3#</w:t>
                  </w:r>
                  <w:r>
                    <w:rPr>
                      <w:rFonts w:hint="default" w:ascii="Times New Roman" w:hAnsi="Times New Roman" w:eastAsia="仿宋" w:cs="Times New Roman"/>
                      <w:color w:val="auto"/>
                      <w:szCs w:val="21"/>
                      <w:lang w:eastAsia="zh-CN"/>
                    </w:rPr>
                    <w:t>两级活性炭</w:t>
                  </w:r>
                  <w:r>
                    <w:rPr>
                      <w:rFonts w:hint="default" w:ascii="Times New Roman" w:hAnsi="Times New Roman" w:eastAsia="仿宋" w:cs="Times New Roman"/>
                      <w:color w:val="auto"/>
                      <w:szCs w:val="21"/>
                    </w:rPr>
                    <w:t>吸附装置</w:t>
                  </w:r>
                  <w:r>
                    <w:rPr>
                      <w:rFonts w:hint="default" w:ascii="Times New Roman" w:hAnsi="Times New Roman" w:eastAsia="仿宋" w:cs="Times New Roman"/>
                      <w:color w:val="auto"/>
                      <w:szCs w:val="21"/>
                      <w:lang w:val="en-US" w:eastAsia="zh-CN"/>
                    </w:rPr>
                    <w:t>+25米3#排气筒</w:t>
                  </w:r>
                </w:p>
              </w:tc>
              <w:tc>
                <w:tcPr>
                  <w:tcW w:w="1265" w:type="pct"/>
                  <w:tcMar>
                    <w:left w:w="0" w:type="dxa"/>
                    <w:right w:w="0" w:type="dxa"/>
                  </w:tcMar>
                  <w:vAlign w:val="center"/>
                </w:tcPr>
                <w:p w14:paraId="1052129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6000m</w:t>
                  </w:r>
                  <w:r>
                    <w:rPr>
                      <w:rFonts w:hint="default" w:ascii="Times New Roman" w:hAnsi="Times New Roman" w:eastAsia="仿宋" w:cs="Times New Roman"/>
                      <w:color w:val="auto"/>
                      <w:szCs w:val="21"/>
                      <w:vertAlign w:val="superscript"/>
                      <w:lang w:val="en-US" w:eastAsia="zh-CN"/>
                    </w:rPr>
                    <w:t>3</w:t>
                  </w:r>
                  <w:r>
                    <w:rPr>
                      <w:rFonts w:hint="default" w:ascii="Times New Roman" w:hAnsi="Times New Roman" w:eastAsia="仿宋" w:cs="Times New Roman"/>
                      <w:color w:val="auto"/>
                      <w:szCs w:val="21"/>
                      <w:lang w:val="en-US" w:eastAsia="zh-CN"/>
                    </w:rPr>
                    <w:t>/h</w:t>
                  </w:r>
                </w:p>
              </w:tc>
              <w:tc>
                <w:tcPr>
                  <w:tcW w:w="1652" w:type="pct"/>
                  <w:vAlign w:val="center"/>
                </w:tcPr>
                <w:p w14:paraId="6776D83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依托现有，</w:t>
                  </w:r>
                  <w:r>
                    <w:rPr>
                      <w:rFonts w:hint="default" w:ascii="Times New Roman" w:hAnsi="Times New Roman" w:eastAsia="仿宋" w:cs="Times New Roman"/>
                      <w:color w:val="auto"/>
                      <w:szCs w:val="21"/>
                    </w:rPr>
                    <w:t>废气有组织达标排放</w:t>
                  </w:r>
                </w:p>
              </w:tc>
            </w:tr>
            <w:tr w14:paraId="1AB23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168" w:hRule="atLeast"/>
              </w:trPr>
              <w:tc>
                <w:tcPr>
                  <w:tcW w:w="427" w:type="pct"/>
                  <w:vMerge w:val="continue"/>
                  <w:vAlign w:val="center"/>
                </w:tcPr>
                <w:p w14:paraId="3EB7D794">
                  <w:pPr>
                    <w:jc w:val="center"/>
                    <w:rPr>
                      <w:rFonts w:hint="default" w:ascii="Times New Roman" w:hAnsi="Times New Roman" w:eastAsia="仿宋" w:cs="Times New Roman"/>
                      <w:color w:val="auto"/>
                      <w:szCs w:val="21"/>
                    </w:rPr>
                  </w:pPr>
                </w:p>
              </w:tc>
              <w:tc>
                <w:tcPr>
                  <w:tcW w:w="330" w:type="pct"/>
                  <w:gridSpan w:val="2"/>
                  <w:vAlign w:val="center"/>
                </w:tcPr>
                <w:p w14:paraId="724C993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w:t>
                  </w:r>
                </w:p>
              </w:tc>
              <w:tc>
                <w:tcPr>
                  <w:tcW w:w="1323" w:type="pct"/>
                  <w:vAlign w:val="center"/>
                </w:tcPr>
                <w:p w14:paraId="60BC102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highlight w:val="none"/>
                      <w:lang w:val="en-US" w:eastAsia="zh-CN"/>
                    </w:rPr>
                    <w:t>厂房隔声、</w:t>
                  </w:r>
                  <w:r>
                    <w:rPr>
                      <w:rFonts w:hint="default" w:ascii="Times New Roman" w:hAnsi="Times New Roman" w:eastAsia="仿宋" w:cs="Times New Roman"/>
                      <w:color w:val="auto"/>
                      <w:highlight w:val="none"/>
                    </w:rPr>
                    <w:t>安装减震垫、距离衰减</w:t>
                  </w:r>
                  <w:r>
                    <w:rPr>
                      <w:rFonts w:hint="default" w:ascii="Times New Roman" w:hAnsi="Times New Roman" w:eastAsia="仿宋" w:cs="Times New Roman"/>
                      <w:color w:val="auto"/>
                      <w:highlight w:val="none"/>
                      <w:lang w:val="en-US" w:eastAsia="zh-CN"/>
                    </w:rPr>
                    <w:t>等</w:t>
                  </w:r>
                </w:p>
              </w:tc>
              <w:tc>
                <w:tcPr>
                  <w:tcW w:w="1265" w:type="pct"/>
                  <w:tcMar>
                    <w:left w:w="0" w:type="dxa"/>
                    <w:right w:w="0" w:type="dxa"/>
                  </w:tcMar>
                  <w:vAlign w:val="center"/>
                </w:tcPr>
                <w:p w14:paraId="5621F35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highlight w:val="none"/>
                    </w:rPr>
                    <w:t>降噪2</w:t>
                  </w:r>
                  <w:r>
                    <w:rPr>
                      <w:rFonts w:hint="default" w:ascii="Times New Roman" w:hAnsi="Times New Roman" w:eastAsia="仿宋" w:cs="Times New Roman"/>
                      <w:color w:val="auto"/>
                      <w:highlight w:val="none"/>
                      <w:lang w:val="en-US" w:eastAsia="zh-CN"/>
                    </w:rPr>
                    <w:t>5</w:t>
                  </w:r>
                  <w:r>
                    <w:rPr>
                      <w:rFonts w:hint="default" w:ascii="Times New Roman" w:hAnsi="Times New Roman" w:eastAsia="仿宋" w:cs="Times New Roman"/>
                      <w:color w:val="auto"/>
                      <w:highlight w:val="none"/>
                    </w:rPr>
                    <w:t>dB(A)</w:t>
                  </w:r>
                </w:p>
              </w:tc>
              <w:tc>
                <w:tcPr>
                  <w:tcW w:w="1652" w:type="pct"/>
                  <w:vAlign w:val="center"/>
                </w:tcPr>
                <w:p w14:paraId="1C5EF5F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highlight w:val="none"/>
                    </w:rPr>
                    <w:t>厂界噪声达标排放</w:t>
                  </w:r>
                </w:p>
              </w:tc>
            </w:tr>
            <w:tr w14:paraId="1181D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136" w:hRule="atLeast"/>
              </w:trPr>
              <w:tc>
                <w:tcPr>
                  <w:tcW w:w="427" w:type="pct"/>
                  <w:vMerge w:val="continue"/>
                  <w:vAlign w:val="center"/>
                </w:tcPr>
                <w:p w14:paraId="3884E699">
                  <w:pPr>
                    <w:jc w:val="center"/>
                    <w:rPr>
                      <w:rFonts w:hint="default" w:ascii="Times New Roman" w:hAnsi="Times New Roman" w:eastAsia="仿宋" w:cs="Times New Roman"/>
                      <w:color w:val="auto"/>
                      <w:szCs w:val="21"/>
                    </w:rPr>
                  </w:pPr>
                </w:p>
              </w:tc>
              <w:tc>
                <w:tcPr>
                  <w:tcW w:w="330" w:type="pct"/>
                  <w:gridSpan w:val="2"/>
                  <w:vMerge w:val="restart"/>
                  <w:vAlign w:val="center"/>
                </w:tcPr>
                <w:p w14:paraId="3E228EB8">
                  <w:pPr>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固废</w:t>
                  </w:r>
                </w:p>
              </w:tc>
              <w:tc>
                <w:tcPr>
                  <w:tcW w:w="1323" w:type="pct"/>
                  <w:vAlign w:val="center"/>
                </w:tcPr>
                <w:p w14:paraId="1A0740BA">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一般固废仓库</w:t>
                  </w:r>
                </w:p>
              </w:tc>
              <w:tc>
                <w:tcPr>
                  <w:tcW w:w="1265" w:type="pct"/>
                  <w:tcMar>
                    <w:left w:w="0" w:type="dxa"/>
                    <w:right w:w="0" w:type="dxa"/>
                  </w:tcMar>
                  <w:vAlign w:val="center"/>
                </w:tcPr>
                <w:p w14:paraId="03D2EBE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占地面积10m</w:t>
                  </w:r>
                  <w:r>
                    <w:rPr>
                      <w:rFonts w:hint="default" w:ascii="Times New Roman" w:hAnsi="Times New Roman" w:eastAsia="仿宋" w:cs="Times New Roman"/>
                      <w:color w:val="auto"/>
                      <w:szCs w:val="21"/>
                      <w:vertAlign w:val="superscript"/>
                    </w:rPr>
                    <w:t>2</w:t>
                  </w:r>
                </w:p>
              </w:tc>
              <w:tc>
                <w:tcPr>
                  <w:tcW w:w="1652" w:type="pct"/>
                  <w:vMerge w:val="restart"/>
                  <w:vAlign w:val="center"/>
                </w:tcPr>
                <w:p w14:paraId="6C12B1B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依托现有</w:t>
                  </w:r>
                  <w:r>
                    <w:rPr>
                      <w:rFonts w:hint="default" w:ascii="Times New Roman" w:hAnsi="Times New Roman" w:eastAsia="仿宋" w:cs="Times New Roman"/>
                      <w:color w:val="auto"/>
                      <w:szCs w:val="21"/>
                    </w:rPr>
                    <w:t>，满足环境管理要求</w:t>
                  </w:r>
                </w:p>
              </w:tc>
            </w:tr>
            <w:tr w14:paraId="79C4B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45" w:type="dxa"/>
                  <w:bottom w:w="0" w:type="dxa"/>
                  <w:right w:w="45" w:type="dxa"/>
                </w:tblCellMar>
              </w:tblPrEx>
              <w:trPr>
                <w:trHeight w:val="136" w:hRule="atLeast"/>
              </w:trPr>
              <w:tc>
                <w:tcPr>
                  <w:tcW w:w="427" w:type="pct"/>
                  <w:vMerge w:val="continue"/>
                  <w:vAlign w:val="center"/>
                </w:tcPr>
                <w:p w14:paraId="76147CE9">
                  <w:pPr>
                    <w:jc w:val="center"/>
                    <w:rPr>
                      <w:rFonts w:hint="default" w:ascii="Times New Roman" w:hAnsi="Times New Roman" w:eastAsia="仿宋" w:cs="Times New Roman"/>
                      <w:color w:val="auto"/>
                      <w:szCs w:val="21"/>
                    </w:rPr>
                  </w:pPr>
                </w:p>
              </w:tc>
              <w:tc>
                <w:tcPr>
                  <w:tcW w:w="330" w:type="pct"/>
                  <w:gridSpan w:val="2"/>
                  <w:vMerge w:val="continue"/>
                  <w:vAlign w:val="center"/>
                </w:tcPr>
                <w:p w14:paraId="6F25A903">
                  <w:pPr>
                    <w:jc w:val="center"/>
                    <w:rPr>
                      <w:rFonts w:hint="default" w:ascii="Times New Roman" w:hAnsi="Times New Roman" w:eastAsia="仿宋" w:cs="Times New Roman"/>
                      <w:color w:val="auto"/>
                      <w:kern w:val="0"/>
                      <w:szCs w:val="21"/>
                    </w:rPr>
                  </w:pPr>
                </w:p>
              </w:tc>
              <w:tc>
                <w:tcPr>
                  <w:tcW w:w="1323" w:type="pct"/>
                  <w:vAlign w:val="center"/>
                </w:tcPr>
                <w:p w14:paraId="709AF05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危废仓库</w:t>
                  </w:r>
                </w:p>
              </w:tc>
              <w:tc>
                <w:tcPr>
                  <w:tcW w:w="1265" w:type="pct"/>
                  <w:tcMar>
                    <w:left w:w="0" w:type="dxa"/>
                    <w:right w:w="0" w:type="dxa"/>
                  </w:tcMar>
                  <w:vAlign w:val="center"/>
                </w:tcPr>
                <w:p w14:paraId="7BDD565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占地面积30m</w:t>
                  </w:r>
                  <w:r>
                    <w:rPr>
                      <w:rFonts w:hint="default" w:ascii="Times New Roman" w:hAnsi="Times New Roman" w:eastAsia="仿宋" w:cs="Times New Roman"/>
                      <w:color w:val="auto"/>
                      <w:szCs w:val="21"/>
                      <w:vertAlign w:val="superscript"/>
                    </w:rPr>
                    <w:t>2</w:t>
                  </w:r>
                </w:p>
              </w:tc>
              <w:tc>
                <w:tcPr>
                  <w:tcW w:w="1652" w:type="pct"/>
                  <w:vMerge w:val="continue"/>
                  <w:vAlign w:val="center"/>
                </w:tcPr>
                <w:p w14:paraId="11FBDD66">
                  <w:pPr>
                    <w:jc w:val="center"/>
                    <w:rPr>
                      <w:rFonts w:hint="default" w:ascii="Times New Roman" w:hAnsi="Times New Roman" w:eastAsia="仿宋" w:cs="Times New Roman"/>
                      <w:color w:val="auto"/>
                      <w:szCs w:val="21"/>
                    </w:rPr>
                  </w:pPr>
                </w:p>
              </w:tc>
            </w:tr>
          </w:tbl>
          <w:p w14:paraId="23117952">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2、环保投资</w:t>
            </w:r>
          </w:p>
          <w:p w14:paraId="7BF7966E">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本项目总投资</w:t>
            </w:r>
            <w:r>
              <w:rPr>
                <w:rFonts w:hint="default" w:ascii="Times New Roman" w:hAnsi="Times New Roman" w:eastAsia="仿宋" w:cs="Times New Roman"/>
                <w:color w:val="auto"/>
                <w:sz w:val="24"/>
                <w:lang w:val="en-US" w:eastAsia="zh-CN"/>
              </w:rPr>
              <w:t>400</w:t>
            </w:r>
            <w:r>
              <w:rPr>
                <w:rFonts w:hint="default" w:ascii="Times New Roman" w:hAnsi="Times New Roman" w:eastAsia="仿宋" w:cs="Times New Roman"/>
                <w:bCs/>
                <w:color w:val="auto"/>
                <w:sz w:val="24"/>
              </w:rPr>
              <w:t>万元，其中环保投资</w:t>
            </w:r>
            <w:r>
              <w:rPr>
                <w:rFonts w:hint="default"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rPr>
              <w:t>万元人民币，占总投资额的</w:t>
            </w:r>
            <w:r>
              <w:rPr>
                <w:rFonts w:hint="default" w:ascii="Times New Roman" w:hAnsi="Times New Roman" w:eastAsia="仿宋" w:cs="Times New Roman"/>
                <w:bCs/>
                <w:color w:val="auto"/>
                <w:sz w:val="24"/>
                <w:lang w:val="en-US" w:eastAsia="zh-CN"/>
              </w:rPr>
              <w:t>0.5</w:t>
            </w:r>
            <w:r>
              <w:rPr>
                <w:rFonts w:hint="default" w:ascii="Times New Roman" w:hAnsi="Times New Roman" w:eastAsia="仿宋" w:cs="Times New Roman"/>
                <w:bCs/>
                <w:color w:val="auto"/>
                <w:sz w:val="24"/>
              </w:rPr>
              <w:t>％，具体环保投资估算情况见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06560751">
            <w:pPr>
              <w:jc w:val="center"/>
              <w:rPr>
                <w:rFonts w:hint="default" w:ascii="Times New Roman" w:hAnsi="Times New Roman" w:eastAsia="仿宋" w:cs="Times New Roman"/>
                <w:b/>
                <w:bCs/>
                <w:color w:val="auto"/>
                <w:sz w:val="24"/>
              </w:rPr>
            </w:pPr>
          </w:p>
          <w:p w14:paraId="0708191E">
            <w:pPr>
              <w:jc w:val="center"/>
              <w:rPr>
                <w:rFonts w:hint="default" w:ascii="Times New Roman" w:hAnsi="Times New Roman" w:eastAsia="仿宋" w:cs="Times New Roman"/>
                <w:b/>
                <w:bCs/>
                <w:color w:val="auto"/>
                <w:sz w:val="24"/>
              </w:rPr>
            </w:pPr>
          </w:p>
          <w:p w14:paraId="28257CC9">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6</w:t>
            </w:r>
            <w:r>
              <w:rPr>
                <w:rFonts w:hint="default" w:ascii="Times New Roman" w:hAnsi="Times New Roman" w:eastAsia="仿宋" w:cs="Times New Roman"/>
                <w:b/>
                <w:bCs/>
                <w:color w:val="auto"/>
                <w:sz w:val="24"/>
              </w:rPr>
              <w:t xml:space="preserve">  环保投资估算一览表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721"/>
              <w:gridCol w:w="3173"/>
              <w:gridCol w:w="1082"/>
              <w:gridCol w:w="616"/>
              <w:gridCol w:w="1453"/>
              <w:gridCol w:w="1351"/>
            </w:tblGrid>
            <w:tr w14:paraId="080D27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0" w:hRule="atLeast"/>
                <w:jc w:val="center"/>
              </w:trPr>
              <w:tc>
                <w:tcPr>
                  <w:tcW w:w="429" w:type="pct"/>
                  <w:vAlign w:val="center"/>
                </w:tcPr>
                <w:p w14:paraId="7B90213F">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污染源</w:t>
                  </w:r>
                </w:p>
              </w:tc>
              <w:tc>
                <w:tcPr>
                  <w:tcW w:w="1889" w:type="pct"/>
                  <w:vAlign w:val="center"/>
                </w:tcPr>
                <w:p w14:paraId="064A811A">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环保设施名称</w:t>
                  </w:r>
                </w:p>
              </w:tc>
              <w:tc>
                <w:tcPr>
                  <w:tcW w:w="644" w:type="pct"/>
                  <w:shd w:val="clear" w:color="auto" w:fill="auto"/>
                  <w:vAlign w:val="center"/>
                </w:tcPr>
                <w:p w14:paraId="7E611C26">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环保投资</w:t>
                  </w:r>
                </w:p>
                <w:p w14:paraId="4BCE4FD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（万元）</w:t>
                  </w:r>
                </w:p>
              </w:tc>
              <w:tc>
                <w:tcPr>
                  <w:tcW w:w="367" w:type="pct"/>
                  <w:shd w:val="clear" w:color="auto" w:fill="auto"/>
                  <w:vAlign w:val="center"/>
                </w:tcPr>
                <w:p w14:paraId="51118419">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数量</w:t>
                  </w:r>
                </w:p>
              </w:tc>
              <w:tc>
                <w:tcPr>
                  <w:tcW w:w="865" w:type="pct"/>
                  <w:shd w:val="clear" w:color="auto" w:fill="auto"/>
                  <w:vAlign w:val="center"/>
                </w:tcPr>
                <w:p w14:paraId="06B78F12">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处理能力</w:t>
                  </w:r>
                </w:p>
              </w:tc>
              <w:tc>
                <w:tcPr>
                  <w:tcW w:w="804" w:type="pct"/>
                  <w:shd w:val="clear" w:color="auto" w:fill="auto"/>
                  <w:vAlign w:val="center"/>
                </w:tcPr>
                <w:p w14:paraId="722686DF">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处理效果</w:t>
                  </w:r>
                </w:p>
              </w:tc>
            </w:tr>
            <w:tr w14:paraId="0FC063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429" w:type="pct"/>
                  <w:vAlign w:val="center"/>
                </w:tcPr>
                <w:p w14:paraId="1F0CC25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废气</w:t>
                  </w:r>
                </w:p>
              </w:tc>
              <w:tc>
                <w:tcPr>
                  <w:tcW w:w="1889" w:type="pct"/>
                  <w:vAlign w:val="center"/>
                </w:tcPr>
                <w:p w14:paraId="5042ED24">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color w:val="auto"/>
                      <w:sz w:val="21"/>
                      <w:szCs w:val="21"/>
                      <w:highlight w:val="none"/>
                      <w:lang w:val="en-US" w:eastAsia="zh-CN"/>
                    </w:rPr>
                    <w:t>集气罩</w:t>
                  </w:r>
                </w:p>
              </w:tc>
              <w:tc>
                <w:tcPr>
                  <w:tcW w:w="644" w:type="pct"/>
                  <w:shd w:val="clear" w:color="auto" w:fill="auto"/>
                  <w:vAlign w:val="center"/>
                </w:tcPr>
                <w:p w14:paraId="21D67789">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0.2</w:t>
                  </w:r>
                </w:p>
              </w:tc>
              <w:tc>
                <w:tcPr>
                  <w:tcW w:w="367" w:type="pct"/>
                  <w:shd w:val="clear" w:color="auto" w:fill="auto"/>
                  <w:vAlign w:val="center"/>
                </w:tcPr>
                <w:p w14:paraId="3DB878E9">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w:t>
                  </w:r>
                </w:p>
              </w:tc>
              <w:tc>
                <w:tcPr>
                  <w:tcW w:w="865" w:type="pct"/>
                  <w:shd w:val="clear" w:color="auto" w:fill="auto"/>
                  <w:vAlign w:val="center"/>
                </w:tcPr>
                <w:p w14:paraId="655C5261">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6000m</w:t>
                  </w:r>
                  <w:r>
                    <w:rPr>
                      <w:rFonts w:hint="default" w:ascii="Times New Roman" w:hAnsi="Times New Roman" w:eastAsia="仿宋" w:cs="Times New Roman"/>
                      <w:color w:val="auto"/>
                      <w:szCs w:val="21"/>
                      <w:highlight w:val="none"/>
                      <w:vertAlign w:val="superscript"/>
                      <w:lang w:val="en-US" w:eastAsia="zh-CN"/>
                    </w:rPr>
                    <w:t>3</w:t>
                  </w:r>
                  <w:r>
                    <w:rPr>
                      <w:rFonts w:hint="default" w:ascii="Times New Roman" w:hAnsi="Times New Roman" w:eastAsia="仿宋" w:cs="Times New Roman"/>
                      <w:color w:val="auto"/>
                      <w:szCs w:val="21"/>
                      <w:highlight w:val="none"/>
                      <w:lang w:val="en-US" w:eastAsia="zh-CN"/>
                    </w:rPr>
                    <w:t>/h</w:t>
                  </w:r>
                </w:p>
              </w:tc>
              <w:tc>
                <w:tcPr>
                  <w:tcW w:w="804" w:type="pct"/>
                  <w:shd w:val="clear" w:color="auto" w:fill="auto"/>
                  <w:vAlign w:val="center"/>
                </w:tcPr>
                <w:p w14:paraId="1B0FADE2">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废气有组织达标排放</w:t>
                  </w:r>
                </w:p>
              </w:tc>
            </w:tr>
            <w:tr w14:paraId="270701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429" w:type="pct"/>
                  <w:tcBorders>
                    <w:bottom w:val="single" w:color="auto" w:sz="4" w:space="0"/>
                  </w:tcBorders>
                  <w:vAlign w:val="center"/>
                </w:tcPr>
                <w:p w14:paraId="01A3998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w:t>
                  </w:r>
                </w:p>
              </w:tc>
              <w:tc>
                <w:tcPr>
                  <w:tcW w:w="1889" w:type="pct"/>
                  <w:vAlign w:val="center"/>
                </w:tcPr>
                <w:p w14:paraId="1B1B120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隔声、消声及减振等</w:t>
                  </w:r>
                </w:p>
              </w:tc>
              <w:tc>
                <w:tcPr>
                  <w:tcW w:w="644" w:type="pct"/>
                  <w:shd w:val="clear" w:color="auto" w:fill="auto"/>
                  <w:vAlign w:val="center"/>
                </w:tcPr>
                <w:p w14:paraId="3DBDA73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highlight w:val="none"/>
                      <w:lang w:val="en-US" w:eastAsia="zh-CN"/>
                    </w:rPr>
                    <w:t>0.8</w:t>
                  </w:r>
                </w:p>
              </w:tc>
              <w:tc>
                <w:tcPr>
                  <w:tcW w:w="367" w:type="pct"/>
                  <w:shd w:val="clear" w:color="auto" w:fill="auto"/>
                  <w:vAlign w:val="center"/>
                </w:tcPr>
                <w:p w14:paraId="4A2FC9A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865" w:type="pct"/>
                  <w:shd w:val="clear" w:color="auto" w:fill="auto"/>
                  <w:vAlign w:val="center"/>
                </w:tcPr>
                <w:p w14:paraId="5DE24B8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降噪25dB(A)</w:t>
                  </w:r>
                </w:p>
              </w:tc>
              <w:tc>
                <w:tcPr>
                  <w:tcW w:w="804" w:type="pct"/>
                  <w:shd w:val="clear" w:color="auto" w:fill="auto"/>
                  <w:vAlign w:val="center"/>
                </w:tcPr>
                <w:p w14:paraId="7C07745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厂界噪声达标</w:t>
                  </w:r>
                </w:p>
              </w:tc>
            </w:tr>
            <w:tr w14:paraId="418235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5" w:hRule="atLeast"/>
                <w:jc w:val="center"/>
              </w:trPr>
              <w:tc>
                <w:tcPr>
                  <w:tcW w:w="429" w:type="pct"/>
                  <w:tcBorders>
                    <w:top w:val="single" w:color="auto" w:sz="4" w:space="0"/>
                  </w:tcBorders>
                  <w:vAlign w:val="center"/>
                </w:tcPr>
                <w:p w14:paraId="06BD42B4">
                  <w:pPr>
                    <w:jc w:val="center"/>
                    <w:rPr>
                      <w:rFonts w:hint="default" w:ascii="Times New Roman" w:hAnsi="Times New Roman" w:eastAsia="仿宋" w:cs="Times New Roman"/>
                      <w:color w:val="auto"/>
                      <w:szCs w:val="21"/>
                    </w:rPr>
                  </w:pPr>
                  <w:r>
                    <w:rPr>
                      <w:rFonts w:hint="eastAsia" w:ascii="仿宋" w:hAnsi="仿宋" w:eastAsia="仿宋" w:cs="宋体"/>
                      <w:color w:val="auto"/>
                      <w:szCs w:val="21"/>
                      <w:highlight w:val="none"/>
                    </w:rPr>
                    <w:t>排污口规范化</w:t>
                  </w:r>
                  <w:r>
                    <w:rPr>
                      <w:rFonts w:hint="eastAsia" w:ascii="仿宋" w:hAnsi="仿宋" w:eastAsia="仿宋" w:cs="宋体"/>
                      <w:color w:val="auto"/>
                      <w:szCs w:val="21"/>
                      <w:highlight w:val="none"/>
                      <w:lang w:val="en-US" w:eastAsia="zh-CN"/>
                    </w:rPr>
                    <w:t>设置</w:t>
                  </w:r>
                </w:p>
              </w:tc>
              <w:tc>
                <w:tcPr>
                  <w:tcW w:w="1889" w:type="pct"/>
                  <w:vAlign w:val="center"/>
                </w:tcPr>
                <w:p w14:paraId="3C779BA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规范排污口，设置与排污口相应的环境保护图形标志牌等</w:t>
                  </w:r>
                </w:p>
              </w:tc>
              <w:tc>
                <w:tcPr>
                  <w:tcW w:w="644" w:type="pct"/>
                  <w:shd w:val="clear" w:color="auto" w:fill="auto"/>
                  <w:vAlign w:val="center"/>
                </w:tcPr>
                <w:p w14:paraId="57EA0DB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367" w:type="pct"/>
                  <w:shd w:val="clear" w:color="auto" w:fill="auto"/>
                  <w:vAlign w:val="center"/>
                </w:tcPr>
                <w:p w14:paraId="15C726DE">
                  <w:pPr>
                    <w:widowControl/>
                    <w:adjustRightInd w:val="0"/>
                    <w:snapToGrid w:val="0"/>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w:t>
                  </w:r>
                </w:p>
              </w:tc>
              <w:tc>
                <w:tcPr>
                  <w:tcW w:w="865" w:type="pct"/>
                  <w:shd w:val="clear" w:color="auto" w:fill="auto"/>
                  <w:vAlign w:val="center"/>
                </w:tcPr>
                <w:p w14:paraId="6B1A068C">
                  <w:pPr>
                    <w:widowControl/>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w:t>
                  </w:r>
                </w:p>
              </w:tc>
              <w:tc>
                <w:tcPr>
                  <w:tcW w:w="804" w:type="pct"/>
                  <w:shd w:val="clear" w:color="auto" w:fill="auto"/>
                  <w:vAlign w:val="center"/>
                </w:tcPr>
                <w:p w14:paraId="25953CA5">
                  <w:pPr>
                    <w:widowControl/>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rPr>
                    <w:t>符合排污口规范</w:t>
                  </w:r>
                </w:p>
              </w:tc>
            </w:tr>
            <w:tr w14:paraId="15A01F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83" w:hRule="atLeast"/>
                <w:jc w:val="center"/>
              </w:trPr>
              <w:tc>
                <w:tcPr>
                  <w:tcW w:w="2318" w:type="pct"/>
                  <w:gridSpan w:val="2"/>
                  <w:vAlign w:val="center"/>
                </w:tcPr>
                <w:p w14:paraId="163044E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644" w:type="pct"/>
                  <w:shd w:val="clear" w:color="auto" w:fill="auto"/>
                  <w:vAlign w:val="center"/>
                </w:tcPr>
                <w:p w14:paraId="0E7E7A36">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2</w:t>
                  </w:r>
                </w:p>
              </w:tc>
              <w:tc>
                <w:tcPr>
                  <w:tcW w:w="367" w:type="pct"/>
                  <w:shd w:val="clear" w:color="auto" w:fill="auto"/>
                  <w:vAlign w:val="center"/>
                </w:tcPr>
                <w:p w14:paraId="6E3D373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865" w:type="pct"/>
                  <w:shd w:val="clear" w:color="auto" w:fill="auto"/>
                  <w:vAlign w:val="center"/>
                </w:tcPr>
                <w:p w14:paraId="62924FA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804" w:type="pct"/>
                  <w:shd w:val="clear" w:color="auto" w:fill="auto"/>
                  <w:vAlign w:val="center"/>
                </w:tcPr>
                <w:p w14:paraId="4A75B0E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bl>
          <w:p w14:paraId="71896F16">
            <w:pPr>
              <w:adjustRightInd w:val="0"/>
              <w:snapToGrid w:val="0"/>
              <w:spacing w:line="240" w:lineRule="auto"/>
              <w:jc w:val="left"/>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注：</w:t>
            </w:r>
            <w:r>
              <w:rPr>
                <w:rFonts w:hint="default" w:ascii="Times New Roman" w:hAnsi="Times New Roman" w:eastAsia="仿宋" w:cs="Times New Roman"/>
                <w:color w:val="auto"/>
                <w:sz w:val="18"/>
                <w:szCs w:val="18"/>
              </w:rPr>
              <w:t>雨污分流管网</w:t>
            </w:r>
            <w:r>
              <w:rPr>
                <w:rFonts w:hint="default" w:ascii="Times New Roman" w:hAnsi="Times New Roman" w:eastAsia="仿宋" w:cs="Times New Roman"/>
                <w:color w:val="auto"/>
                <w:sz w:val="18"/>
                <w:szCs w:val="18"/>
                <w:lang w:eastAsia="zh-CN"/>
              </w:rPr>
              <w:t>、</w:t>
            </w:r>
            <w:r>
              <w:rPr>
                <w:rFonts w:hint="default" w:ascii="Times New Roman" w:hAnsi="Times New Roman" w:eastAsia="仿宋" w:cs="Times New Roman"/>
                <w:color w:val="auto"/>
                <w:sz w:val="18"/>
                <w:szCs w:val="18"/>
              </w:rPr>
              <w:t>碱液喷淋塔</w:t>
            </w:r>
            <w:r>
              <w:rPr>
                <w:rFonts w:hint="eastAsia" w:eastAsia="仿宋" w:cs="Times New Roman"/>
                <w:color w:val="auto"/>
                <w:sz w:val="18"/>
                <w:szCs w:val="18"/>
                <w:lang w:eastAsia="zh-CN"/>
              </w:rPr>
              <w:t>（</w:t>
            </w:r>
            <w:r>
              <w:rPr>
                <w:rFonts w:hint="eastAsia" w:eastAsia="仿宋" w:cs="Times New Roman"/>
                <w:color w:val="auto"/>
                <w:sz w:val="18"/>
                <w:szCs w:val="18"/>
                <w:lang w:val="en-US" w:eastAsia="zh-CN"/>
              </w:rPr>
              <w:t>含吸水填料</w:t>
            </w:r>
            <w:r>
              <w:rPr>
                <w:rFonts w:hint="eastAsia" w:eastAsia="仿宋" w:cs="Times New Roman"/>
                <w:color w:val="auto"/>
                <w:sz w:val="18"/>
                <w:szCs w:val="18"/>
                <w:lang w:eastAsia="zh-CN"/>
              </w:rPr>
              <w:t>）</w:t>
            </w:r>
            <w:r>
              <w:rPr>
                <w:rFonts w:hint="default" w:ascii="Times New Roman" w:hAnsi="Times New Roman" w:eastAsia="仿宋" w:cs="Times New Roman"/>
                <w:color w:val="auto"/>
                <w:sz w:val="18"/>
                <w:szCs w:val="18"/>
              </w:rPr>
              <w:t>+3#</w:t>
            </w:r>
            <w:r>
              <w:rPr>
                <w:rFonts w:hint="default" w:ascii="Times New Roman" w:hAnsi="Times New Roman" w:eastAsia="仿宋" w:cs="Times New Roman"/>
                <w:color w:val="auto"/>
                <w:sz w:val="18"/>
                <w:szCs w:val="18"/>
                <w:lang w:eastAsia="zh-CN"/>
              </w:rPr>
              <w:t>两级活性炭吸附装置</w:t>
            </w:r>
            <w:r>
              <w:rPr>
                <w:rFonts w:hint="default" w:ascii="Times New Roman" w:hAnsi="Times New Roman" w:eastAsia="仿宋" w:cs="Times New Roman"/>
                <w:color w:val="auto"/>
                <w:sz w:val="18"/>
                <w:szCs w:val="18"/>
              </w:rPr>
              <w:t>+25m高3#排气筒</w:t>
            </w:r>
            <w:r>
              <w:rPr>
                <w:rFonts w:hint="default" w:ascii="Times New Roman" w:hAnsi="Times New Roman" w:eastAsia="仿宋" w:cs="Times New Roman"/>
                <w:color w:val="auto"/>
                <w:sz w:val="18"/>
                <w:szCs w:val="18"/>
                <w:lang w:eastAsia="zh-CN"/>
              </w:rPr>
              <w:t>、</w:t>
            </w:r>
            <w:r>
              <w:rPr>
                <w:rFonts w:hint="default" w:ascii="Times New Roman" w:hAnsi="Times New Roman" w:eastAsia="仿宋" w:cs="Times New Roman"/>
                <w:color w:val="auto"/>
                <w:sz w:val="18"/>
                <w:szCs w:val="18"/>
                <w:lang w:val="en-US" w:eastAsia="zh-CN"/>
              </w:rPr>
              <w:t>一般固废仓库、危废仓库</w:t>
            </w:r>
            <w:r>
              <w:rPr>
                <w:rFonts w:hint="eastAsia" w:eastAsia="仿宋" w:cs="Times New Roman"/>
                <w:color w:val="auto"/>
                <w:sz w:val="18"/>
                <w:szCs w:val="18"/>
                <w:lang w:val="en-US" w:eastAsia="zh-CN"/>
              </w:rPr>
              <w:t>、事故应急池及阀门、绿化</w:t>
            </w:r>
            <w:r>
              <w:rPr>
                <w:rFonts w:hint="default" w:ascii="Times New Roman" w:hAnsi="Times New Roman" w:eastAsia="仿宋" w:cs="Times New Roman"/>
                <w:color w:val="auto"/>
                <w:sz w:val="18"/>
                <w:szCs w:val="18"/>
                <w:lang w:val="en-US" w:eastAsia="zh-CN"/>
              </w:rPr>
              <w:t>均依托现有</w:t>
            </w:r>
            <w:r>
              <w:rPr>
                <w:rFonts w:hint="default" w:ascii="Times New Roman" w:hAnsi="Times New Roman" w:eastAsia="仿宋" w:cs="Times New Roman"/>
                <w:color w:val="auto"/>
                <w:sz w:val="18"/>
                <w:szCs w:val="18"/>
              </w:rPr>
              <w:t>，不纳入本次环保投资估算范围之内。</w:t>
            </w:r>
          </w:p>
          <w:p w14:paraId="00B88DA1">
            <w:pPr>
              <w:numPr>
                <w:ilvl w:val="0"/>
                <w:numId w:val="7"/>
              </w:numPr>
              <w:adjustRightInd w:val="0"/>
              <w:snapToGrid w:val="0"/>
              <w:spacing w:line="360" w:lineRule="auto"/>
              <w:ind w:left="0" w:leftChars="0"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水平衡</w:t>
            </w:r>
          </w:p>
          <w:p w14:paraId="250D35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val="en-US" w:eastAsia="zh-CN"/>
              </w:rPr>
              <w:t>现有项目水平衡图见图2-1，</w:t>
            </w:r>
            <w:r>
              <w:rPr>
                <w:rFonts w:hint="default" w:ascii="Times New Roman" w:hAnsi="Times New Roman" w:eastAsia="仿宋" w:cs="Times New Roman"/>
                <w:bCs/>
                <w:color w:val="auto"/>
                <w:sz w:val="24"/>
              </w:rPr>
              <w:t>本项目水平衡图见图2-</w:t>
            </w:r>
            <w:r>
              <w:rPr>
                <w:rFonts w:hint="default" w:ascii="Times New Roman" w:hAnsi="Times New Roman" w:eastAsia="仿宋" w:cs="Times New Roman"/>
                <w:bCs/>
                <w:color w:val="auto"/>
                <w:sz w:val="24"/>
                <w:lang w:val="en-US" w:eastAsia="zh-CN"/>
              </w:rPr>
              <w:t>2，项目建成后全厂水平衡图见图2-3</w:t>
            </w:r>
            <w:r>
              <w:rPr>
                <w:rFonts w:hint="default" w:ascii="Times New Roman" w:hAnsi="Times New Roman" w:eastAsia="仿宋" w:cs="Times New Roman"/>
                <w:bCs/>
                <w:color w:val="auto"/>
                <w:sz w:val="24"/>
                <w:lang w:eastAsia="zh-CN"/>
              </w:rPr>
              <w:t>。</w:t>
            </w:r>
          </w:p>
          <w:p w14:paraId="3DD0F0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left"/>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color w:val="auto"/>
                <w:sz w:val="21"/>
                <w:szCs w:val="21"/>
              </w:rPr>
              <w:object>
                <v:shape id="_x0000_i1025" o:spt="75" type="#_x0000_t75" style="height:338.85pt;width:391.15pt;" o:ole="t" filled="f" o:preferrelative="t" stroked="f" coordsize="21600,21600">
                  <v:path/>
                  <v:fill on="f" focussize="0,0"/>
                  <v:stroke on="f"/>
                  <v:imagedata r:id="rId9" cropleft="2542f" croptop="2477f" cropright="-2982f" o:title=""/>
                  <o:lock v:ext="edit" aspectratio="f"/>
                  <w10:wrap type="none"/>
                  <w10:anchorlock/>
                </v:shape>
                <o:OLEObject Type="Embed" ProgID="Visio.Drawing.15" ShapeID="_x0000_i1025" DrawAspect="Content" ObjectID="_1468075725" r:id="rId8">
                  <o:LockedField>false</o:LockedField>
                </o:OLEObject>
              </w:object>
            </w:r>
          </w:p>
          <w:p w14:paraId="11DBA7F4">
            <w:pPr>
              <w:numPr>
                <w:ilvl w:val="0"/>
                <w:numId w:val="0"/>
              </w:numPr>
              <w:adjustRightInd w:val="0"/>
              <w:snapToGrid w:val="0"/>
              <w:spacing w:line="360" w:lineRule="auto"/>
              <w:ind w:leftChars="200"/>
              <w:jc w:val="center"/>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
                <w:bCs/>
                <w:color w:val="auto"/>
                <w:sz w:val="24"/>
              </w:rPr>
              <w:t>图2-</w:t>
            </w: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现有项目</w:t>
            </w:r>
            <w:r>
              <w:rPr>
                <w:rFonts w:hint="default" w:ascii="Times New Roman" w:hAnsi="Times New Roman" w:eastAsia="仿宋" w:cs="Times New Roman"/>
                <w:b/>
                <w:bCs/>
                <w:color w:val="auto"/>
                <w:sz w:val="24"/>
                <w:highlight w:val="none"/>
              </w:rPr>
              <w:t>水平衡图（单位：t/a）</w:t>
            </w:r>
          </w:p>
          <w:p w14:paraId="3F6BA615">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 w:cs="Times New Roman"/>
                <w:color w:val="auto"/>
              </w:rPr>
            </w:pPr>
          </w:p>
          <w:p w14:paraId="67FF65CF">
            <w:pPr>
              <w:numPr>
                <w:ilvl w:val="0"/>
                <w:numId w:val="0"/>
              </w:numPr>
              <w:adjustRightInd w:val="0"/>
              <w:snapToGrid w:val="0"/>
              <w:spacing w:line="360" w:lineRule="auto"/>
              <w:ind w:leftChars="200"/>
              <w:jc w:val="center"/>
              <w:rPr>
                <w:rFonts w:hint="default" w:ascii="Times New Roman" w:hAnsi="Times New Roman" w:eastAsia="仿宋" w:cs="Times New Roman"/>
                <w:b/>
                <w:bCs/>
                <w:color w:val="auto"/>
                <w:sz w:val="24"/>
              </w:rPr>
            </w:pPr>
          </w:p>
          <w:p w14:paraId="62954560">
            <w:pPr>
              <w:numPr>
                <w:ilvl w:val="0"/>
                <w:numId w:val="0"/>
              </w:numPr>
              <w:adjustRightInd w:val="0"/>
              <w:snapToGrid w:val="0"/>
              <w:spacing w:line="360" w:lineRule="auto"/>
              <w:ind w:leftChars="20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object>
                <v:shape id="_x0000_i1026" o:spt="75" type="#_x0000_t75" style="height:122.1pt;width:313.15pt;" o:ole="t" filled="f" o:preferrelative="t" stroked="f" coordsize="21600,21600">
                  <v:path/>
                  <v:fill on="f" focussize="0,0"/>
                  <v:stroke on="f"/>
                  <v:imagedata r:id="rId11" o:title=""/>
                  <o:lock v:ext="edit" aspectratio="t"/>
                  <w10:wrap type="none"/>
                  <w10:anchorlock/>
                </v:shape>
                <o:OLEObject Type="Embed" ProgID="Visio.Drawing.15" ShapeID="_x0000_i1026" DrawAspect="Content" ObjectID="_1468075726" r:id="rId10">
                  <o:LockedField>false</o:LockedField>
                </o:OLEObject>
              </w:object>
            </w:r>
          </w:p>
          <w:p w14:paraId="699609D3">
            <w:pPr>
              <w:numPr>
                <w:ilvl w:val="0"/>
                <w:numId w:val="0"/>
              </w:numPr>
              <w:adjustRightInd w:val="0"/>
              <w:snapToGrid w:val="0"/>
              <w:spacing w:line="360" w:lineRule="auto"/>
              <w:ind w:leftChars="200"/>
              <w:jc w:val="center"/>
              <w:rPr>
                <w:rFonts w:hint="default" w:ascii="Times New Roman" w:hAnsi="Times New Roman" w:eastAsia="仿宋" w:cs="Times New Roman"/>
                <w:bCs/>
                <w:color w:val="auto"/>
                <w:sz w:val="24"/>
              </w:rPr>
            </w:pPr>
            <w:r>
              <w:rPr>
                <w:rFonts w:hint="default" w:ascii="Times New Roman" w:hAnsi="Times New Roman" w:eastAsia="仿宋" w:cs="Times New Roman"/>
                <w:b/>
                <w:bCs/>
                <w:color w:val="auto"/>
                <w:sz w:val="24"/>
              </w:rPr>
              <w:t>图2-</w:t>
            </w:r>
            <w:r>
              <w:rPr>
                <w:rFonts w:hint="default" w:ascii="Times New Roman" w:hAnsi="Times New Roman"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本项目</w:t>
            </w:r>
            <w:r>
              <w:rPr>
                <w:rFonts w:hint="default" w:ascii="Times New Roman" w:hAnsi="Times New Roman" w:eastAsia="仿宋" w:cs="Times New Roman"/>
                <w:b/>
                <w:bCs/>
                <w:color w:val="auto"/>
                <w:sz w:val="24"/>
                <w:highlight w:val="none"/>
              </w:rPr>
              <w:t>水平衡图（单位：t/a）</w:t>
            </w:r>
          </w:p>
          <w:p w14:paraId="03A8F03E">
            <w:pPr>
              <w:adjustRightInd w:val="0"/>
              <w:snapToGrid w:val="0"/>
              <w:spacing w:line="360" w:lineRule="auto"/>
              <w:jc w:val="left"/>
              <w:rPr>
                <w:rFonts w:hint="default" w:ascii="Times New Roman" w:hAnsi="Times New Roman" w:eastAsia="仿宋" w:cs="Times New Roman"/>
                <w:color w:val="auto"/>
                <w:sz w:val="24"/>
              </w:rPr>
            </w:pPr>
          </w:p>
          <w:p w14:paraId="127B90B6">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 w:cs="Times New Roman"/>
                <w:color w:val="auto"/>
                <w:sz w:val="10"/>
                <w:szCs w:val="10"/>
              </w:rPr>
            </w:pPr>
            <w:r>
              <w:rPr>
                <w:rFonts w:hint="default" w:ascii="Times New Roman" w:hAnsi="Times New Roman" w:eastAsia="仿宋" w:cs="Times New Roman"/>
                <w:color w:val="auto"/>
                <w:sz w:val="21"/>
                <w:szCs w:val="21"/>
              </w:rPr>
              <w:object>
                <v:shape id="_x0000_i1027" o:spt="75" type="#_x0000_t75" style="height:360.25pt;width:434.2pt;" o:ole="t" filled="f" o:preferrelative="t" stroked="f" coordsize="21600,21600">
                  <v:path/>
                  <v:fill on="f" focussize="0,0"/>
                  <v:stroke on="f"/>
                  <v:imagedata r:id="rId13" cropleft="2542f" croptop="2477f" cropright="-2982f" o:title=""/>
                  <o:lock v:ext="edit" aspectratio="f"/>
                  <w10:wrap type="none"/>
                  <w10:anchorlock/>
                </v:shape>
                <o:OLEObject Type="Embed" ProgID="Visio.Drawing.15" ShapeID="_x0000_i1027" DrawAspect="Content" ObjectID="_1468075727" r:id="rId12">
                  <o:LockedField>false</o:LockedField>
                </o:OLEObject>
              </w:object>
            </w:r>
            <w:r>
              <w:rPr>
                <w:rFonts w:hint="default" w:ascii="Times New Roman" w:hAnsi="Times New Roman" w:eastAsia="仿宋" w:cs="Times New Roman"/>
                <w:b/>
                <w:bCs/>
                <w:color w:val="auto"/>
                <w:sz w:val="24"/>
                <w:highlight w:val="none"/>
              </w:rPr>
              <w:t>图2-</w:t>
            </w:r>
            <w:r>
              <w:rPr>
                <w:rFonts w:hint="default" w:ascii="Times New Roman" w:hAnsi="Times New Roman" w:eastAsia="仿宋" w:cs="Times New Roman"/>
                <w:b/>
                <w:bCs/>
                <w:color w:val="auto"/>
                <w:sz w:val="24"/>
                <w:highlight w:val="none"/>
                <w:lang w:val="en-US" w:eastAsia="zh-CN"/>
              </w:rPr>
              <w:t>3</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全厂</w:t>
            </w:r>
            <w:r>
              <w:rPr>
                <w:rFonts w:hint="default" w:ascii="Times New Roman" w:hAnsi="Times New Roman" w:eastAsia="仿宋" w:cs="Times New Roman"/>
                <w:b/>
                <w:bCs/>
                <w:color w:val="auto"/>
                <w:sz w:val="24"/>
                <w:highlight w:val="none"/>
              </w:rPr>
              <w:t>水平衡图（单位：t/a）</w:t>
            </w:r>
          </w:p>
        </w:tc>
      </w:tr>
      <w:tr w14:paraId="3D06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456" w:type="dxa"/>
            <w:vAlign w:val="center"/>
          </w:tcPr>
          <w:p w14:paraId="072C1C94">
            <w:pPr>
              <w:pStyle w:val="21"/>
              <w:adjustRightInd w:val="0"/>
              <w:snapToGrid w:val="0"/>
              <w:spacing w:before="0" w:beforeAutospacing="0" w:after="0" w:afterAutospacing="0"/>
              <w:jc w:val="center"/>
              <w:rPr>
                <w:rFonts w:hint="default" w:ascii="Times New Roman" w:hAnsi="Times New Roman" w:eastAsia="仿宋" w:cs="Times New Roman"/>
                <w:color w:val="auto"/>
                <w:szCs w:val="24"/>
              </w:rPr>
            </w:pPr>
            <w:bookmarkStart w:id="14" w:name="OLE_LINK23" w:colFirst="0" w:colLast="1"/>
            <w:r>
              <w:rPr>
                <w:rFonts w:hint="default" w:ascii="Times New Roman" w:hAnsi="Times New Roman" w:eastAsia="仿宋" w:cs="Times New Roman"/>
                <w:color w:val="auto"/>
                <w:szCs w:val="24"/>
              </w:rPr>
              <w:t>工艺流程和产排污环节</w:t>
            </w:r>
          </w:p>
        </w:tc>
        <w:tc>
          <w:tcPr>
            <w:tcW w:w="8510" w:type="dxa"/>
            <w:vAlign w:val="center"/>
          </w:tcPr>
          <w:p w14:paraId="64296C41">
            <w:pPr>
              <w:numPr>
                <w:ilvl w:val="0"/>
                <w:numId w:val="0"/>
              </w:num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kern w:val="2"/>
                <w:sz w:val="24"/>
                <w:szCs w:val="24"/>
                <w:lang w:val="en-US" w:eastAsia="zh-CN" w:bidi="ar-SA"/>
              </w:rPr>
              <w:t>一、</w:t>
            </w:r>
            <w:r>
              <w:rPr>
                <w:rFonts w:hint="default" w:ascii="Times New Roman" w:hAnsi="Times New Roman" w:eastAsia="仿宋" w:cs="Times New Roman"/>
                <w:b/>
                <w:bCs/>
                <w:color w:val="auto"/>
                <w:sz w:val="24"/>
              </w:rPr>
              <w:t>工艺流程及产污环节</w:t>
            </w:r>
          </w:p>
          <w:p w14:paraId="10CBD3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lang w:val="en-US" w:eastAsia="zh-CN"/>
              </w:rPr>
              <w:t>本项目主要对本厂区内生产的产品及生产配套需求提供实验及检测服务，包括</w:t>
            </w:r>
            <w:r>
              <w:rPr>
                <w:rFonts w:hint="default" w:ascii="Times New Roman" w:hAnsi="Times New Roman" w:eastAsia="仿宋" w:cs="Times New Roman"/>
                <w:bCs/>
                <w:color w:val="auto"/>
                <w:sz w:val="24"/>
                <w:highlight w:val="none"/>
                <w:lang w:val="en-US" w:eastAsia="zh-CN"/>
              </w:rPr>
              <w:t>生产配套化学检测、样品质量检测及设备保养维修</w:t>
            </w:r>
            <w:r>
              <w:rPr>
                <w:rFonts w:hint="default" w:ascii="Times New Roman" w:hAnsi="Times New Roman" w:eastAsia="仿宋" w:cs="Times New Roman"/>
                <w:b w:val="0"/>
                <w:bCs w:val="0"/>
                <w:color w:val="auto"/>
                <w:sz w:val="24"/>
                <w:lang w:val="en-US" w:eastAsia="zh-CN"/>
              </w:rPr>
              <w:t>。</w:t>
            </w:r>
          </w:p>
          <w:p w14:paraId="5B6C552C">
            <w:pPr>
              <w:numPr>
                <w:ilvl w:val="0"/>
                <w:numId w:val="0"/>
              </w:numPr>
              <w:adjustRightInd w:val="0"/>
              <w:snapToGrid w:val="0"/>
              <w:spacing w:line="360" w:lineRule="auto"/>
              <w:ind w:firstLine="480" w:firstLineChars="200"/>
              <w:jc w:val="left"/>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kern w:val="2"/>
                <w:sz w:val="24"/>
                <w:szCs w:val="24"/>
                <w:lang w:val="en-US" w:eastAsia="zh-CN" w:bidi="ar-SA"/>
              </w:rPr>
              <w:t>1、</w:t>
            </w:r>
            <w:r>
              <w:rPr>
                <w:rFonts w:hint="default" w:ascii="Times New Roman" w:hAnsi="Times New Roman" w:eastAsia="仿宋" w:cs="Times New Roman"/>
                <w:bCs/>
                <w:color w:val="auto"/>
                <w:sz w:val="24"/>
                <w:highlight w:val="none"/>
                <w:lang w:val="en-US" w:eastAsia="zh-CN"/>
              </w:rPr>
              <w:t>生产配套化学检测</w:t>
            </w:r>
          </w:p>
          <w:p w14:paraId="35957D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（1）检测清洗液含量（滴定实验）</w:t>
            </w:r>
          </w:p>
          <w:p w14:paraId="60015AE3">
            <w:pPr>
              <w:adjustRightInd w:val="0"/>
              <w:snapToGrid w:val="0"/>
              <w:spacing w:line="360" w:lineRule="auto"/>
              <w:ind w:firstLine="480" w:firstLineChars="200"/>
              <w:jc w:val="both"/>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工艺流程及产污环节简述</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本项目利用自动电位滴定仪及滴定试剂盐酸或氢氧化钠检测生产所需各类清洗剂的有效成分的浓度。待检测的清洗剂分别为生产使用的WBC457清洗剂、WBC151清洗剂、SurTec472F清洗剂、SurTec025清洗剂，每种清洗剂检测量约45kg/a。其中WBC457清洗剂为碱性，WBC151清洗剂、SurTec472F清洗剂、SurTec025清洗剂为酸性。根据清洗液的酸碱性，选择不同酸碱性的滴定试剂进行滴定，滴定原理为酸碱中和。本项目选用的盐酸浓度分别为0.1mol/L、1.0mol/L，氢氧化钠浓度分别为0.1mol/L、0.33mol/L，属于浓度较低的稀酸、稀碱。</w:t>
            </w:r>
          </w:p>
          <w:p w14:paraId="6AA878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本项目自动电位滴定仪配有1个pH测量仪和1个电导率测量仪，为维持滴定仪的性能稳定，非使用状态下测量仪探头需暂存于氯化钾中，实验前使用pH校准溶液进行校准。</w:t>
            </w:r>
          </w:p>
          <w:p w14:paraId="39BDD5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根据检测需求将酸性清洗剂和碱性滴定试剂（或碱性清洗剂和酸性滴定试剂）分别加入仪器的试剂瓶，仪器自动通过加液单元添加到滴定管中，完成检测。</w:t>
            </w:r>
          </w:p>
          <w:p w14:paraId="332FEA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仿宋" w:cs="Times New Roman"/>
                <w:b w:val="0"/>
                <w:bCs/>
                <w:color w:val="auto"/>
                <w:sz w:val="24"/>
                <w:lang w:val="en-US" w:eastAsia="zh-CN"/>
              </w:rPr>
            </w:pPr>
            <w:r>
              <w:rPr>
                <w:rFonts w:hint="default" w:ascii="Times New Roman" w:hAnsi="Times New Roman" w:eastAsia="仿宋" w:cs="Times New Roman"/>
                <w:bCs/>
                <w:color w:val="auto"/>
                <w:sz w:val="24"/>
                <w:lang w:val="en-US" w:eastAsia="zh-CN"/>
              </w:rPr>
              <w:t>滴定试剂装在密闭试剂瓶中，只在试剂使用时短时间打开瓶子，随后立即封闭，滴定过程全程密闭。该检测过程打开试剂瓶时有酸雾废气氯化氢G1产生，</w:t>
            </w:r>
            <w:r>
              <w:rPr>
                <w:rFonts w:hint="default" w:ascii="Times New Roman" w:hAnsi="Times New Roman" w:eastAsia="仿宋" w:cs="Times New Roman"/>
                <w:b w:val="0"/>
                <w:bCs/>
                <w:color w:val="auto"/>
                <w:sz w:val="24"/>
                <w:lang w:val="en-US" w:eastAsia="zh-CN"/>
              </w:rPr>
              <w:t>检测完毕有实验室废液S1产生。</w:t>
            </w:r>
          </w:p>
          <w:p w14:paraId="28BC5B73">
            <w:pPr>
              <w:adjustRightInd w:val="0"/>
              <w:snapToGrid w:val="0"/>
              <w:spacing w:line="360" w:lineRule="auto"/>
              <w:ind w:firstLine="420" w:firstLineChars="20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114300" distR="114300">
                  <wp:extent cx="1316355" cy="1896745"/>
                  <wp:effectExtent l="0" t="0" r="17145" b="825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4"/>
                          <a:stretch>
                            <a:fillRect/>
                          </a:stretch>
                        </pic:blipFill>
                        <pic:spPr>
                          <a:xfrm>
                            <a:off x="0" y="0"/>
                            <a:ext cx="1316355" cy="1896745"/>
                          </a:xfrm>
                          <a:prstGeom prst="rect">
                            <a:avLst/>
                          </a:prstGeom>
                          <a:noFill/>
                          <a:ln>
                            <a:noFill/>
                          </a:ln>
                        </pic:spPr>
                      </pic:pic>
                    </a:graphicData>
                  </a:graphic>
                </wp:inline>
              </w:drawing>
            </w:r>
          </w:p>
          <w:p w14:paraId="4836AF5A">
            <w:pPr>
              <w:adjustRightInd w:val="0"/>
              <w:snapToGrid w:val="0"/>
              <w:spacing w:line="360" w:lineRule="auto"/>
              <w:ind w:firstLine="482" w:firstLineChars="200"/>
              <w:jc w:val="center"/>
              <w:rPr>
                <w:rFonts w:hint="default" w:ascii="Times New Roman" w:hAnsi="Times New Roman" w:eastAsia="仿宋" w:cs="Times New Roman"/>
                <w:b/>
                <w:bCs w:val="0"/>
                <w:color w:val="auto"/>
                <w:sz w:val="24"/>
                <w:lang w:val="en-US" w:eastAsia="zh-CN"/>
              </w:rPr>
            </w:pPr>
            <w:r>
              <w:rPr>
                <w:rFonts w:hint="default" w:ascii="Times New Roman" w:hAnsi="Times New Roman" w:eastAsia="仿宋" w:cs="Times New Roman"/>
                <w:b/>
                <w:bCs w:val="0"/>
                <w:color w:val="auto"/>
                <w:sz w:val="24"/>
                <w:lang w:val="en-US" w:eastAsia="zh-CN"/>
              </w:rPr>
              <w:t xml:space="preserve">图2-4  </w:t>
            </w:r>
            <w:r>
              <w:rPr>
                <w:rFonts w:hint="default" w:ascii="Times New Roman" w:hAnsi="Times New Roman" w:eastAsia="仿宋" w:cs="Times New Roman"/>
                <w:b/>
                <w:bCs w:val="0"/>
                <w:color w:val="auto"/>
                <w:sz w:val="24"/>
              </w:rPr>
              <w:t>滴定仪</w:t>
            </w:r>
            <w:r>
              <w:rPr>
                <w:rFonts w:hint="default" w:ascii="Times New Roman" w:hAnsi="Times New Roman" w:eastAsia="仿宋" w:cs="Times New Roman"/>
                <w:b/>
                <w:bCs w:val="0"/>
                <w:color w:val="auto"/>
                <w:sz w:val="24"/>
                <w:lang w:val="en-US" w:eastAsia="zh-CN"/>
              </w:rPr>
              <w:t>示意图</w:t>
            </w:r>
          </w:p>
          <w:p w14:paraId="177448D2">
            <w:pPr>
              <w:adjustRightInd w:val="0"/>
              <w:snapToGrid w:val="0"/>
              <w:spacing w:line="360" w:lineRule="auto"/>
              <w:ind w:firstLine="480" w:firstLineChars="200"/>
              <w:jc w:val="left"/>
              <w:rPr>
                <w:rFonts w:hint="default" w:ascii="Times New Roman" w:hAnsi="Times New Roman" w:eastAsia="仿宋" w:cs="Times New Roman"/>
                <w:b w:val="0"/>
                <w:bCs/>
                <w:color w:val="auto"/>
                <w:sz w:val="24"/>
                <w:lang w:val="en-US" w:eastAsia="zh-CN"/>
              </w:rPr>
            </w:pPr>
            <w:r>
              <w:rPr>
                <w:rFonts w:hint="default" w:ascii="Times New Roman" w:hAnsi="Times New Roman" w:eastAsia="仿宋" w:cs="Times New Roman"/>
                <w:b w:val="0"/>
                <w:bCs/>
                <w:color w:val="auto"/>
                <w:sz w:val="24"/>
                <w:lang w:val="en-US" w:eastAsia="zh-CN"/>
              </w:rPr>
              <w:t>（2）清洗液表面张力</w:t>
            </w:r>
            <w:r>
              <w:rPr>
                <w:rFonts w:hint="eastAsia" w:eastAsia="仿宋" w:cs="Times New Roman"/>
                <w:b w:val="0"/>
                <w:bCs/>
                <w:color w:val="auto"/>
                <w:sz w:val="24"/>
                <w:lang w:val="en-US" w:eastAsia="zh-CN"/>
              </w:rPr>
              <w:t>测试</w:t>
            </w:r>
          </w:p>
          <w:p w14:paraId="038D56CE">
            <w:pPr>
              <w:adjustRightInd w:val="0"/>
              <w:snapToGrid w:val="0"/>
              <w:spacing w:line="360" w:lineRule="auto"/>
              <w:ind w:firstLine="480" w:firstLineChars="200"/>
              <w:jc w:val="left"/>
              <w:rPr>
                <w:rFonts w:hint="default" w:ascii="Times New Roman" w:hAnsi="Times New Roman" w:eastAsia="仿宋" w:cs="Times New Roman"/>
                <w:b w:val="0"/>
                <w:bCs/>
                <w:color w:val="auto"/>
                <w:sz w:val="24"/>
                <w:lang w:val="en-US" w:eastAsia="zh-CN"/>
              </w:rPr>
            </w:pPr>
            <w:r>
              <w:rPr>
                <w:rFonts w:hint="default" w:ascii="Times New Roman" w:hAnsi="Times New Roman" w:eastAsia="仿宋" w:cs="Times New Roman"/>
                <w:bCs/>
                <w:color w:val="auto"/>
                <w:sz w:val="24"/>
              </w:rPr>
              <w:t>工艺流程及产污环节简述</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分别</w:t>
            </w:r>
            <w:r>
              <w:rPr>
                <w:rFonts w:hint="default" w:ascii="Times New Roman" w:hAnsi="Times New Roman" w:eastAsia="仿宋" w:cs="Times New Roman"/>
                <w:b w:val="0"/>
                <w:bCs/>
                <w:color w:val="auto"/>
                <w:sz w:val="24"/>
                <w:lang w:val="en-US" w:eastAsia="zh-CN"/>
              </w:rPr>
              <w:t>取少量生产所需</w:t>
            </w:r>
            <w:r>
              <w:rPr>
                <w:rFonts w:hint="default" w:ascii="Times New Roman" w:hAnsi="Times New Roman" w:eastAsia="仿宋" w:cs="Times New Roman"/>
                <w:bCs/>
                <w:color w:val="auto"/>
                <w:sz w:val="24"/>
                <w:lang w:val="en-US" w:eastAsia="zh-CN"/>
              </w:rPr>
              <w:t>WBC457清洗剂、WBC151清洗剂、SurTec472F清洗剂、SurTec025清洗剂</w:t>
            </w:r>
            <w:r>
              <w:rPr>
                <w:rFonts w:hint="default" w:ascii="Times New Roman" w:hAnsi="Times New Roman" w:eastAsia="仿宋" w:cs="Times New Roman"/>
                <w:b w:val="0"/>
                <w:bCs/>
                <w:color w:val="auto"/>
                <w:sz w:val="24"/>
                <w:lang w:val="en-US" w:eastAsia="zh-CN"/>
              </w:rPr>
              <w:t>，利用表面张力测试仪进行检测，</w:t>
            </w:r>
            <w:r>
              <w:rPr>
                <w:rFonts w:hint="default" w:ascii="Times New Roman" w:hAnsi="Times New Roman" w:eastAsia="仿宋" w:cs="Times New Roman"/>
                <w:bCs/>
                <w:color w:val="auto"/>
                <w:sz w:val="24"/>
                <w:lang w:val="en-US" w:eastAsia="zh-CN"/>
              </w:rPr>
              <w:t>每种清洗剂检测量约22.5kg/a，</w:t>
            </w:r>
            <w:r>
              <w:rPr>
                <w:rFonts w:hint="default" w:ascii="Times New Roman" w:hAnsi="Times New Roman" w:eastAsia="仿宋" w:cs="Times New Roman"/>
                <w:b w:val="0"/>
                <w:bCs/>
                <w:color w:val="auto"/>
                <w:sz w:val="24"/>
                <w:lang w:val="en-US" w:eastAsia="zh-CN"/>
              </w:rPr>
              <w:t>检测完毕有实验室废液S2产生。</w:t>
            </w:r>
          </w:p>
          <w:p w14:paraId="23D6E10E">
            <w:pPr>
              <w:numPr>
                <w:ilvl w:val="0"/>
                <w:numId w:val="0"/>
              </w:numPr>
              <w:adjustRightInd w:val="0"/>
              <w:snapToGrid w:val="0"/>
              <w:spacing w:line="360" w:lineRule="auto"/>
              <w:ind w:firstLine="480" w:firstLineChars="200"/>
              <w:jc w:val="left"/>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（3）铜分流器的表面张力</w:t>
            </w:r>
            <w:r>
              <w:rPr>
                <w:rFonts w:hint="eastAsia" w:eastAsia="仿宋" w:cs="Times New Roman"/>
                <w:bCs/>
                <w:color w:val="auto"/>
                <w:sz w:val="24"/>
                <w:lang w:val="en-US" w:eastAsia="zh-CN"/>
              </w:rPr>
              <w:t>测试</w:t>
            </w:r>
          </w:p>
          <w:p w14:paraId="4F72F33E">
            <w:pPr>
              <w:adjustRightInd w:val="0"/>
              <w:snapToGrid w:val="0"/>
              <w:spacing w:line="360" w:lineRule="auto"/>
              <w:ind w:firstLine="480" w:firstLineChars="200"/>
              <w:jc w:val="both"/>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工艺流程及产污环节简述</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利用测试笔在生产原料铜分流器样品上画出痕迹，目测铜分流器的表面张力，检测完毕有废样品S3产生。</w:t>
            </w:r>
          </w:p>
          <w:p w14:paraId="44BAB6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（4）</w:t>
            </w:r>
            <w:r>
              <w:rPr>
                <w:rFonts w:hint="eastAsia" w:eastAsia="仿宋" w:cs="Times New Roman"/>
                <w:bCs/>
                <w:color w:val="auto"/>
                <w:sz w:val="24"/>
                <w:lang w:val="en-US" w:eastAsia="zh-CN"/>
              </w:rPr>
              <w:t>检测</w:t>
            </w:r>
            <w:r>
              <w:rPr>
                <w:rFonts w:hint="default" w:ascii="Times New Roman" w:hAnsi="Times New Roman" w:eastAsia="仿宋" w:cs="Times New Roman"/>
                <w:bCs/>
                <w:color w:val="auto"/>
                <w:sz w:val="24"/>
                <w:lang w:val="en-US" w:eastAsia="zh-CN"/>
              </w:rPr>
              <w:t>液体中铜和镍含量</w:t>
            </w:r>
          </w:p>
          <w:p w14:paraId="7F6073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工艺流程及产污环节简述</w:t>
            </w:r>
            <w:r>
              <w:rPr>
                <w:rFonts w:hint="default" w:ascii="Times New Roman" w:hAnsi="Times New Roman" w:eastAsia="仿宋" w:cs="Times New Roman"/>
                <w:bCs/>
                <w:color w:val="auto"/>
                <w:sz w:val="24"/>
                <w:lang w:eastAsia="zh-CN"/>
              </w:rPr>
              <w:t>：</w:t>
            </w:r>
            <w:r>
              <w:rPr>
                <w:rFonts w:hint="eastAsia" w:eastAsia="仿宋" w:cs="Times New Roman"/>
                <w:bCs/>
                <w:color w:val="auto"/>
                <w:sz w:val="24"/>
                <w:lang w:val="en-US" w:eastAsia="zh-CN"/>
              </w:rPr>
              <w:t>每次</w:t>
            </w:r>
            <w:r>
              <w:rPr>
                <w:rFonts w:hint="default" w:ascii="Times New Roman" w:hAnsi="Times New Roman" w:eastAsia="仿宋" w:cs="Times New Roman"/>
                <w:bCs/>
                <w:color w:val="auto"/>
                <w:sz w:val="24"/>
                <w:lang w:val="en-US" w:eastAsia="zh-CN"/>
              </w:rPr>
              <w:t>取1ml生产过程的WBC457清洗剂、WBC151清洗剂、SurTec472F清洗剂、SurTec025清洗剂或清洗后产生的废水，利用分光光度计、测铜试剂或测镍试剂，快速测定水中铜或镍的含量。检测完毕有</w:t>
            </w:r>
            <w:r>
              <w:rPr>
                <w:rFonts w:hint="default" w:ascii="Times New Roman" w:hAnsi="Times New Roman" w:eastAsia="仿宋" w:cs="Times New Roman"/>
                <w:b w:val="0"/>
                <w:bCs/>
                <w:color w:val="auto"/>
                <w:sz w:val="24"/>
                <w:lang w:val="en-US" w:eastAsia="zh-CN"/>
              </w:rPr>
              <w:t>实验室废液</w:t>
            </w:r>
            <w:r>
              <w:rPr>
                <w:rFonts w:hint="default" w:ascii="Times New Roman" w:hAnsi="Times New Roman" w:eastAsia="仿宋" w:cs="Times New Roman"/>
                <w:bCs/>
                <w:color w:val="auto"/>
                <w:sz w:val="24"/>
                <w:lang w:val="en-US" w:eastAsia="zh-CN"/>
              </w:rPr>
              <w:t>S4产生。</w:t>
            </w:r>
          </w:p>
          <w:p w14:paraId="78183F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各类仪器使用前后需使用纯水进行冲洗，有</w:t>
            </w:r>
            <w:r>
              <w:rPr>
                <w:rFonts w:hint="default" w:ascii="Times New Roman" w:hAnsi="Times New Roman" w:eastAsia="仿宋" w:cs="Times New Roman"/>
                <w:b w:val="0"/>
                <w:bCs/>
                <w:color w:val="auto"/>
                <w:sz w:val="24"/>
                <w:lang w:val="en-US" w:eastAsia="zh-CN"/>
              </w:rPr>
              <w:t>实验室废液</w:t>
            </w:r>
            <w:r>
              <w:rPr>
                <w:rFonts w:hint="default" w:ascii="Times New Roman" w:hAnsi="Times New Roman" w:eastAsia="仿宋" w:cs="Times New Roman"/>
                <w:bCs/>
                <w:color w:val="auto"/>
                <w:sz w:val="24"/>
                <w:lang w:val="en-US" w:eastAsia="zh-CN"/>
              </w:rPr>
              <w:t>S5产生。</w:t>
            </w:r>
          </w:p>
          <w:p w14:paraId="5A79362B">
            <w:pPr>
              <w:numPr>
                <w:ilvl w:val="0"/>
                <w:numId w:val="0"/>
              </w:numPr>
              <w:spacing w:line="360" w:lineRule="auto"/>
              <w:ind w:left="0" w:leftChars="0"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kern w:val="2"/>
                <w:sz w:val="24"/>
                <w:szCs w:val="24"/>
                <w:lang w:val="en-US" w:eastAsia="zh-CN" w:bidi="ar-SA"/>
              </w:rPr>
              <w:t>2、</w:t>
            </w:r>
            <w:r>
              <w:rPr>
                <w:rFonts w:hint="default" w:ascii="Times New Roman" w:hAnsi="Times New Roman" w:eastAsia="仿宋" w:cs="Times New Roman"/>
                <w:bCs/>
                <w:color w:val="auto"/>
                <w:sz w:val="24"/>
                <w:highlight w:val="none"/>
                <w:lang w:val="en-US" w:eastAsia="zh-CN"/>
              </w:rPr>
              <w:t>样品质量检测</w:t>
            </w:r>
          </w:p>
          <w:p w14:paraId="3543000F">
            <w:pPr>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样品质量检测分三种方式：1）制样测试；2）焊接检测；3）物理检测。</w:t>
            </w:r>
          </w:p>
          <w:p w14:paraId="692FFB75">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1）制样测试</w:t>
            </w:r>
            <w:r>
              <w:rPr>
                <w:rFonts w:hint="default" w:ascii="Times New Roman" w:hAnsi="Times New Roman" w:eastAsia="仿宋" w:cs="Times New Roman"/>
                <w:bCs/>
                <w:color w:val="auto"/>
                <w:sz w:val="24"/>
                <w:highlight w:val="none"/>
              </w:rPr>
              <w:t>工艺流程及产污环节见图2-</w:t>
            </w:r>
            <w:r>
              <w:rPr>
                <w:rFonts w:hint="default" w:ascii="Times New Roman" w:hAnsi="Times New Roman"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w:t>
            </w:r>
          </w:p>
          <w:p w14:paraId="1879E8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object>
                <v:shape id="_x0000_i1028" o:spt="75" type="#_x0000_t75" style="height:221.35pt;width:280.85pt;" o:ole="t" filled="f" o:preferrelative="t" stroked="f" coordsize="21600,21600">
                  <v:path/>
                  <v:fill on="f" focussize="0,0"/>
                  <v:stroke on="f"/>
                  <v:imagedata r:id="rId16" o:title=""/>
                  <o:lock v:ext="edit" aspectratio="f"/>
                  <w10:wrap type="none"/>
                  <w10:anchorlock/>
                </v:shape>
                <o:OLEObject Type="Embed" ProgID="Visio.Drawing.15" ShapeID="_x0000_i1028" DrawAspect="Content" ObjectID="_1468075728" r:id="rId15">
                  <o:LockedField>false</o:LockedField>
                </o:OLEObject>
              </w:object>
            </w:r>
          </w:p>
          <w:p w14:paraId="311E3F8F">
            <w:pPr>
              <w:spacing w:line="360" w:lineRule="auto"/>
              <w:ind w:firstLine="482" w:firstLineChars="200"/>
              <w:jc w:val="center"/>
              <w:rPr>
                <w:rFonts w:hint="default" w:ascii="Times New Roman" w:hAnsi="Times New Roman" w:eastAsia="仿宋" w:cs="Times New Roman"/>
                <w:bCs/>
                <w:color w:val="auto"/>
                <w:sz w:val="24"/>
              </w:rPr>
            </w:pPr>
            <w:r>
              <w:rPr>
                <w:rFonts w:hint="default" w:ascii="Times New Roman" w:hAnsi="Times New Roman" w:eastAsia="仿宋" w:cs="Times New Roman"/>
                <w:b/>
                <w:bCs w:val="0"/>
                <w:color w:val="auto"/>
                <w:sz w:val="24"/>
                <w:highlight w:val="none"/>
                <w:lang w:val="en-US" w:eastAsia="zh-CN"/>
              </w:rPr>
              <w:t>图2-5  制样测试</w:t>
            </w:r>
            <w:r>
              <w:rPr>
                <w:rFonts w:hint="default" w:ascii="Times New Roman" w:hAnsi="Times New Roman" w:eastAsia="仿宋" w:cs="Times New Roman"/>
                <w:b/>
                <w:bCs w:val="0"/>
                <w:color w:val="auto"/>
                <w:sz w:val="24"/>
                <w:highlight w:val="none"/>
              </w:rPr>
              <w:t>工艺流程及产污环节</w:t>
            </w:r>
          </w:p>
          <w:p w14:paraId="7A1A655D">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工艺流程及产污环节简述：</w:t>
            </w:r>
          </w:p>
          <w:p w14:paraId="3002DE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3105785</wp:posOffset>
                      </wp:positionH>
                      <wp:positionV relativeFrom="paragraph">
                        <wp:posOffset>2827020</wp:posOffset>
                      </wp:positionV>
                      <wp:extent cx="1190625" cy="478790"/>
                      <wp:effectExtent l="0" t="0" r="9525" b="16510"/>
                      <wp:wrapNone/>
                      <wp:docPr id="62" name="文本框 62"/>
                      <wp:cNvGraphicFramePr/>
                      <a:graphic xmlns:a="http://schemas.openxmlformats.org/drawingml/2006/main">
                        <a:graphicData uri="http://schemas.microsoft.com/office/word/2010/wordprocessingShape">
                          <wps:wsp>
                            <wps:cNvSpPr txBox="1"/>
                            <wps:spPr>
                              <a:xfrm>
                                <a:off x="4547235" y="3858260"/>
                                <a:ext cx="1190625" cy="478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3929D">
                                  <w:pPr>
                                    <w:rPr>
                                      <w:rFonts w:hint="eastAsia" w:ascii="仿宋" w:hAnsi="仿宋" w:eastAsia="仿宋" w:cs="仿宋"/>
                                      <w:b/>
                                      <w:bCs/>
                                      <w:lang w:val="en-US" w:eastAsia="zh-CN"/>
                                    </w:rPr>
                                  </w:pPr>
                                  <w:r>
                                    <w:rPr>
                                      <w:rFonts w:hint="eastAsia" w:ascii="仿宋" w:hAnsi="仿宋" w:eastAsia="仿宋" w:cs="仿宋"/>
                                      <w:b/>
                                      <w:bCs/>
                                      <w:lang w:val="en-US" w:eastAsia="zh-CN"/>
                                    </w:rPr>
                                    <w:t>片式元器件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5pt;margin-top:222.6pt;height:37.7pt;width:93.75pt;z-index:251668480;mso-width-relative:page;mso-height-relative:page;" filled="f" stroked="f" coordsize="21600,21600" o:gfxdata="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3pIs3AAAAAsBAAAPAAAA&#10;AAAAAAEAIAAAACIAAABkcnMvZG93bnJldi54bWxQSwECFAAUAAAACACHTuJAYlzz/UoCAAB0BAAA&#10;DgAAAAAAAAABACAAAAArAQAAZHJzL2Uyb0RvYy54bWxQSwUGAAAAAAYABgBZAQAA5wUAAAAA&#10;">
                      <v:fill on="f" focussize="0,0"/>
                      <v:stroke on="f" weight="0.5pt"/>
                      <v:imagedata o:title=""/>
                      <o:lock v:ext="edit" aspectratio="f"/>
                      <v:textbox>
                        <w:txbxContent>
                          <w:p w14:paraId="08F3929D">
                            <w:pPr>
                              <w:rPr>
                                <w:rFonts w:hint="eastAsia" w:ascii="仿宋" w:hAnsi="仿宋" w:eastAsia="仿宋" w:cs="仿宋"/>
                                <w:b/>
                                <w:bCs/>
                                <w:lang w:val="en-US" w:eastAsia="zh-CN"/>
                              </w:rPr>
                            </w:pPr>
                            <w:r>
                              <w:rPr>
                                <w:rFonts w:hint="eastAsia" w:ascii="仿宋" w:hAnsi="仿宋" w:eastAsia="仿宋" w:cs="仿宋"/>
                                <w:b/>
                                <w:bCs/>
                                <w:lang w:val="en-US" w:eastAsia="zh-CN"/>
                              </w:rPr>
                              <w:t>片式元器件</w:t>
                            </w:r>
                          </w:p>
                        </w:txbxContent>
                      </v:textbox>
                    </v:shape>
                  </w:pict>
                </mc:Fallback>
              </mc:AlternateContent>
            </w:r>
            <w:r>
              <w:rPr>
                <w:rFonts w:hint="default" w:ascii="Times New Roman" w:hAnsi="Times New Roman" w:eastAsia="仿宋" w:cs="Times New Roman"/>
                <w:bCs/>
                <w:color w:val="auto"/>
                <w:kern w:val="2"/>
                <w:sz w:val="24"/>
                <w:szCs w:val="24"/>
                <w:lang w:val="en-US" w:eastAsia="zh-CN" w:bidi="ar-SA"/>
              </w:rPr>
              <w:t>（1）</w:t>
            </w:r>
            <w:r>
              <w:rPr>
                <w:rFonts w:hint="default" w:ascii="Times New Roman" w:hAnsi="Times New Roman" w:eastAsia="仿宋" w:cs="Times New Roman"/>
                <w:bCs/>
                <w:color w:val="auto"/>
                <w:sz w:val="24"/>
                <w:lang w:val="en-US" w:eastAsia="zh-CN"/>
              </w:rPr>
              <w:t>制样：先称取18gTechnovit 4006 Liquid（液体）和30gTechnovit 4006 Powder（粉体），在烧杯中将Technovit 4006 Liquid缓慢加入Technovit 4006 Powder中，用搅拌棒调拌均匀。调拌1分钟至粉液混合均匀，再将混合</w:t>
            </w:r>
            <w:r>
              <w:rPr>
                <w:rFonts w:hint="eastAsia" w:eastAsia="仿宋" w:cs="Times New Roman"/>
                <w:bCs/>
                <w:color w:val="auto"/>
                <w:sz w:val="24"/>
                <w:lang w:val="en-US" w:eastAsia="zh-CN"/>
              </w:rPr>
              <w:t>物</w:t>
            </w:r>
            <w:r>
              <w:rPr>
                <w:rFonts w:hint="default" w:ascii="Times New Roman" w:hAnsi="Times New Roman" w:eastAsia="仿宋" w:cs="Times New Roman"/>
                <w:bCs/>
                <w:color w:val="auto"/>
                <w:sz w:val="24"/>
                <w:lang w:val="en-US" w:eastAsia="zh-CN"/>
              </w:rPr>
              <w:t>缓慢注入固定好</w:t>
            </w:r>
            <w:r>
              <w:rPr>
                <w:rFonts w:hint="default" w:ascii="Times New Roman" w:hAnsi="Times New Roman" w:eastAsia="仿宋" w:cs="Times New Roman"/>
                <w:bCs/>
                <w:color w:val="auto"/>
                <w:sz w:val="24"/>
                <w:highlight w:val="none"/>
                <w:lang w:val="en-US" w:eastAsia="zh-CN"/>
              </w:rPr>
              <w:t>片式元器件样品</w:t>
            </w:r>
            <w:r>
              <w:rPr>
                <w:rFonts w:hint="default" w:ascii="Times New Roman" w:hAnsi="Times New Roman" w:eastAsia="仿宋" w:cs="Times New Roman"/>
                <w:bCs/>
                <w:color w:val="auto"/>
                <w:sz w:val="24"/>
                <w:lang w:val="en-US" w:eastAsia="zh-CN"/>
              </w:rPr>
              <w:t>的模具内，可在常温下快速固化成为透明型树脂，将样品包裹在中间（制样示意图见图2-6）。由于称量过程中使用药匙，且每次使用量较小，因此制样过程中不考虑颗粒物产生。固化原理为Technovit 4006是一种粉液双组分固化型丙烯酸树脂，粉体与液体混合后，产生自由基，引发单体与预聚物发生自由基聚合反应，形成高分子聚合物网络，从而固化成固态树脂。Technovit 4006</w:t>
            </w:r>
            <w:r>
              <w:rPr>
                <w:rFonts w:hint="eastAsia" w:eastAsia="仿宋" w:cs="Times New Roman"/>
                <w:bCs/>
                <w:color w:val="auto"/>
                <w:sz w:val="24"/>
                <w:lang w:val="en-US" w:eastAsia="zh-CN"/>
              </w:rPr>
              <w:t xml:space="preserve"> 粉体和液体原料中均含有有机组分，</w:t>
            </w:r>
            <w:r>
              <w:rPr>
                <w:rFonts w:hint="default" w:ascii="Times New Roman" w:hAnsi="Times New Roman" w:eastAsia="仿宋" w:cs="Times New Roman"/>
                <w:bCs/>
                <w:color w:val="auto"/>
                <w:sz w:val="24"/>
                <w:lang w:val="en-US" w:eastAsia="zh-CN"/>
              </w:rPr>
              <w:t>此工序有制样固化</w:t>
            </w:r>
            <w:r>
              <w:rPr>
                <w:rFonts w:hint="eastAsia" w:eastAsia="仿宋" w:cs="Times New Roman"/>
                <w:bCs/>
                <w:color w:val="auto"/>
                <w:sz w:val="24"/>
                <w:lang w:val="en-US" w:eastAsia="zh-CN"/>
              </w:rPr>
              <w:t>有机</w:t>
            </w:r>
            <w:r>
              <w:rPr>
                <w:rFonts w:hint="default" w:ascii="Times New Roman" w:hAnsi="Times New Roman" w:eastAsia="仿宋" w:cs="Times New Roman"/>
                <w:bCs/>
                <w:color w:val="auto"/>
                <w:sz w:val="24"/>
                <w:lang w:val="en-US" w:eastAsia="zh-CN"/>
              </w:rPr>
              <w:t>废气G2产生。</w:t>
            </w:r>
          </w:p>
          <w:p w14:paraId="57B3F060">
            <w:pPr>
              <w:numPr>
                <w:ilvl w:val="0"/>
                <w:numId w:val="0"/>
              </w:numPr>
              <w:spacing w:line="360" w:lineRule="auto"/>
              <w:ind w:leftChars="200"/>
              <w:jc w:val="center"/>
              <w:rPr>
                <w:rFonts w:hint="default" w:ascii="Times New Roman" w:hAnsi="Times New Roman" w:eastAsia="仿宋"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3575050</wp:posOffset>
                      </wp:positionH>
                      <wp:positionV relativeFrom="paragraph">
                        <wp:posOffset>1089025</wp:posOffset>
                      </wp:positionV>
                      <wp:extent cx="1190625" cy="47879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190625" cy="478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884C9">
                                  <w:pPr>
                                    <w:rPr>
                                      <w:rFonts w:hint="default" w:ascii="仿宋" w:hAnsi="仿宋" w:eastAsia="仿宋" w:cs="仿宋"/>
                                      <w:b/>
                                      <w:bCs/>
                                      <w:lang w:val="en-US" w:eastAsia="zh-CN"/>
                                    </w:rPr>
                                  </w:pPr>
                                  <w:r>
                                    <w:rPr>
                                      <w:rFonts w:hint="eastAsia" w:ascii="仿宋" w:hAnsi="仿宋" w:eastAsia="仿宋" w:cs="仿宋"/>
                                      <w:b/>
                                      <w:bCs/>
                                      <w:lang w:val="en-US" w:eastAsia="zh-CN"/>
                                    </w:rPr>
                                    <w:t>固化后的树脂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85.75pt;height:37.7pt;width:93.75pt;z-index:251669504;mso-width-relative:page;mso-height-relative:page;" filled="f" stroked="f" coordsize="21600,21600" o:gfxdata="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&#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bGcOtwAAAALAQAADwAAAAAAAAABACAAAAAiAAAA&#10;ZHJzL2Rvd25yZXYueG1sUEsBAhQAFAAAAAgAh07iQHJ8NK88AgAAaAQAAA4AAAAAAAAAAQAgAAAA&#10;KwEAAGRycy9lMm9Eb2MueG1sUEsFBgAAAAAGAAYAWQEAANkFAAAAAA==&#10;">
                      <v:fill on="f" focussize="0,0"/>
                      <v:stroke on="f" weight="0.5pt"/>
                      <v:imagedata o:title=""/>
                      <o:lock v:ext="edit" aspectratio="f"/>
                      <v:textbox>
                        <w:txbxContent>
                          <w:p w14:paraId="7DE884C9">
                            <w:pPr>
                              <w:rPr>
                                <w:rFonts w:hint="default" w:ascii="仿宋" w:hAnsi="仿宋" w:eastAsia="仿宋" w:cs="仿宋"/>
                                <w:b/>
                                <w:bCs/>
                                <w:lang w:val="en-US" w:eastAsia="zh-CN"/>
                              </w:rPr>
                            </w:pPr>
                            <w:r>
                              <w:rPr>
                                <w:rFonts w:hint="eastAsia" w:ascii="仿宋" w:hAnsi="仿宋" w:eastAsia="仿宋" w:cs="仿宋"/>
                                <w:b/>
                                <w:bCs/>
                                <w:lang w:val="en-US" w:eastAsia="zh-CN"/>
                              </w:rPr>
                              <w:t>固化后的树脂</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67456" behindDoc="0" locked="0" layoutInCell="1" allowOverlap="1">
                      <wp:simplePos x="0" y="0"/>
                      <wp:positionH relativeFrom="column">
                        <wp:posOffset>3231515</wp:posOffset>
                      </wp:positionH>
                      <wp:positionV relativeFrom="paragraph">
                        <wp:posOffset>848995</wp:posOffset>
                      </wp:positionV>
                      <wp:extent cx="421005" cy="238125"/>
                      <wp:effectExtent l="6350" t="10795" r="10795" b="17780"/>
                      <wp:wrapNone/>
                      <wp:docPr id="55" name="直接箭头连接符 55"/>
                      <wp:cNvGraphicFramePr/>
                      <a:graphic xmlns:a="http://schemas.openxmlformats.org/drawingml/2006/main">
                        <a:graphicData uri="http://schemas.microsoft.com/office/word/2010/wordprocessingShape">
                          <wps:wsp>
                            <wps:cNvCnPr/>
                            <wps:spPr>
                              <a:xfrm>
                                <a:off x="4523105" y="4906010"/>
                                <a:ext cx="421005" cy="2381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4.45pt;margin-top:66.85pt;height:18.75pt;width:33.15pt;z-index:251667456;mso-width-relative:page;mso-height-relative:page;" filled="f" stroked="t" coordsize="21600,21600" o:gfxdata="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KN6NgAAAALAQAADwAAAAAAAAABACAAAAAi&#10;AAAAZHJzL2Rvd25yZXYueG1sUEsBAhQAFAAAAAgAh07iQOSGmgAKAgAA2gMAAA4AAAAAAAAAAQAg&#10;AAAAJwEAAGRycy9lMm9Eb2MueG1sUEsFBgAAAAAGAAYAWQEAAKMFAAAAAA==&#10;">
                      <v:fill on="f" focussize="0,0"/>
                      <v:stroke weight="2pt" color="#FF0000 [3204]" joinstyle="round" endarrow="open"/>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2802255</wp:posOffset>
                      </wp:positionH>
                      <wp:positionV relativeFrom="paragraph">
                        <wp:posOffset>127000</wp:posOffset>
                      </wp:positionV>
                      <wp:extent cx="285750" cy="428625"/>
                      <wp:effectExtent l="10795" t="0" r="8255" b="9525"/>
                      <wp:wrapNone/>
                      <wp:docPr id="2" name="直接箭头连接符 2"/>
                      <wp:cNvGraphicFramePr/>
                      <a:graphic xmlns:a="http://schemas.openxmlformats.org/drawingml/2006/main">
                        <a:graphicData uri="http://schemas.microsoft.com/office/word/2010/wordprocessingShape">
                          <wps:wsp>
                            <wps:cNvCnPr/>
                            <wps:spPr>
                              <a:xfrm flipV="1">
                                <a:off x="4093845" y="4184015"/>
                                <a:ext cx="285750" cy="42862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0.65pt;margin-top:10pt;height:33.75pt;width:22.5pt;z-index:251666432;mso-width-relative:page;mso-height-relative:page;" filled="f" stroked="t" coordsize="21600,21600" o:gfxdata="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TBYTNcAAAAJAQAADwAAAAAAAAAB&#10;ACAAAAAiAAAAZHJzL2Rvd25yZXYueG1sUEsBAhQAFAAAAAgAh07iQLLu6LwRAgAA4gMAAA4AAAAA&#10;AAAAAQAgAAAAJgEAAGRycy9lMm9Eb2MueG1sUEsFBgAAAAAGAAYAWQEAAKkFAAAAAA==&#10;">
                      <v:fill on="f" focussize="0,0"/>
                      <v:stroke weight="2pt" color="#FF0000 [3204]" joinstyle="round" endarrow="open"/>
                      <v:imagedata o:title=""/>
                      <o:lock v:ext="edit" aspectratio="f"/>
                    </v:shape>
                  </w:pict>
                </mc:Fallback>
              </mc:AlternateContent>
            </w:r>
            <w:r>
              <w:rPr>
                <w:rFonts w:hint="default" w:ascii="Times New Roman" w:hAnsi="Times New Roman" w:eastAsia="仿宋" w:cs="Times New Roman"/>
                <w:color w:val="auto"/>
              </w:rPr>
              <w:drawing>
                <wp:inline distT="0" distB="0" distL="114300" distR="114300">
                  <wp:extent cx="1457960" cy="1583690"/>
                  <wp:effectExtent l="0" t="0" r="8890" b="1651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1457960" cy="1583690"/>
                          </a:xfrm>
                          <a:prstGeom prst="rect">
                            <a:avLst/>
                          </a:prstGeom>
                          <a:noFill/>
                          <a:ln>
                            <a:noFill/>
                          </a:ln>
                        </pic:spPr>
                      </pic:pic>
                    </a:graphicData>
                  </a:graphic>
                </wp:inline>
              </w:drawing>
            </w:r>
          </w:p>
          <w:p w14:paraId="29ACAAD8">
            <w:pPr>
              <w:numPr>
                <w:ilvl w:val="0"/>
                <w:numId w:val="0"/>
              </w:numPr>
              <w:spacing w:line="360" w:lineRule="auto"/>
              <w:ind w:leftChars="200"/>
              <w:jc w:val="center"/>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图2-6  制样示意图</w:t>
            </w:r>
          </w:p>
          <w:p w14:paraId="21D3615E">
            <w:pPr>
              <w:numPr>
                <w:ilvl w:val="0"/>
                <w:numId w:val="0"/>
              </w:numPr>
              <w:spacing w:line="360" w:lineRule="auto"/>
              <w:ind w:left="0" w:leftChars="0"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kern w:val="2"/>
                <w:sz w:val="24"/>
                <w:szCs w:val="24"/>
                <w:lang w:val="en-US" w:eastAsia="zh-CN" w:bidi="ar-SA"/>
              </w:rPr>
              <w:t>（3）</w:t>
            </w:r>
            <w:r>
              <w:rPr>
                <w:rFonts w:hint="default" w:ascii="Times New Roman" w:hAnsi="Times New Roman" w:eastAsia="仿宋" w:cs="Times New Roman"/>
                <w:bCs/>
                <w:color w:val="auto"/>
                <w:sz w:val="24"/>
                <w:highlight w:val="none"/>
                <w:lang w:val="en-US" w:eastAsia="zh-CN"/>
              </w:rPr>
              <w:t>研磨：将样品放置在研磨夹持位置，研磨机中加入金刚石悬浮研磨液，启动研磨机，对样品进行研磨抛光。本项目研磨属于湿式湿磨，且金刚石悬浮研磨液成分不具有挥发性，故本工序无废气产生。此工序产生实验室废液S6和噪声N。</w:t>
            </w:r>
          </w:p>
          <w:p w14:paraId="02259F05">
            <w:pPr>
              <w:numPr>
                <w:ilvl w:val="0"/>
                <w:numId w:val="0"/>
              </w:numPr>
              <w:spacing w:line="360" w:lineRule="auto"/>
              <w:ind w:left="0" w:leftChars="0"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kern w:val="2"/>
                <w:sz w:val="24"/>
                <w:szCs w:val="24"/>
                <w:lang w:val="en-US" w:eastAsia="zh-CN" w:bidi="ar-SA"/>
              </w:rPr>
              <w:t>（4）</w:t>
            </w:r>
            <w:r>
              <w:rPr>
                <w:rFonts w:hint="default" w:ascii="Times New Roman" w:hAnsi="Times New Roman" w:eastAsia="仿宋" w:cs="Times New Roman"/>
                <w:bCs/>
                <w:color w:val="auto"/>
                <w:sz w:val="24"/>
                <w:highlight w:val="none"/>
                <w:lang w:val="en-US" w:eastAsia="zh-CN"/>
              </w:rPr>
              <w:t>腐蚀、清洁：将研磨好的样品蘸取腐蚀皿中的乙醇氯化铁，再用抹布蘸取乙醇清洁擦拭样品的腐蚀面，乙醇氯化铁含有乙醇和盐酸，此工序有腐蚀废气G3、清洁废气G4和</w:t>
            </w:r>
            <w:r>
              <w:rPr>
                <w:rFonts w:hint="default" w:ascii="Times New Roman" w:hAnsi="Times New Roman" w:eastAsia="仿宋" w:cs="Times New Roman"/>
                <w:bCs/>
                <w:color w:val="auto"/>
                <w:sz w:val="24"/>
                <w:lang w:val="en-US" w:eastAsia="zh-CN"/>
              </w:rPr>
              <w:t>废</w:t>
            </w:r>
            <w:r>
              <w:rPr>
                <w:rFonts w:hint="default" w:ascii="Times New Roman" w:hAnsi="Times New Roman" w:eastAsia="仿宋" w:cs="Times New Roman"/>
                <w:bCs/>
                <w:color w:val="auto"/>
                <w:sz w:val="24"/>
              </w:rPr>
              <w:t>劳保用品</w:t>
            </w:r>
            <w:r>
              <w:rPr>
                <w:rFonts w:hint="default" w:ascii="Times New Roman" w:hAnsi="Times New Roman" w:eastAsia="仿宋" w:cs="Times New Roman"/>
                <w:bCs/>
                <w:color w:val="auto"/>
                <w:sz w:val="24"/>
                <w:lang w:val="en-US" w:eastAsia="zh-CN"/>
              </w:rPr>
              <w:t>及抹布S7</w:t>
            </w:r>
            <w:r>
              <w:rPr>
                <w:rFonts w:hint="default" w:ascii="Times New Roman" w:hAnsi="Times New Roman" w:eastAsia="仿宋" w:cs="Times New Roman"/>
                <w:bCs/>
                <w:color w:val="auto"/>
                <w:sz w:val="24"/>
                <w:highlight w:val="none"/>
                <w:lang w:val="en-US" w:eastAsia="zh-CN"/>
              </w:rPr>
              <w:t>产生。</w:t>
            </w:r>
          </w:p>
          <w:p w14:paraId="241E950D">
            <w:pPr>
              <w:numPr>
                <w:ilvl w:val="0"/>
                <w:numId w:val="0"/>
              </w:numPr>
              <w:spacing w:line="360" w:lineRule="auto"/>
              <w:ind w:left="0" w:leftChars="0"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kern w:val="2"/>
                <w:sz w:val="24"/>
                <w:szCs w:val="24"/>
                <w:lang w:val="en-US" w:eastAsia="zh-CN" w:bidi="ar-SA"/>
              </w:rPr>
              <w:t>（5）</w:t>
            </w:r>
            <w:r>
              <w:rPr>
                <w:rFonts w:hint="default" w:ascii="Times New Roman" w:hAnsi="Times New Roman" w:eastAsia="仿宋" w:cs="Times New Roman"/>
                <w:bCs/>
                <w:color w:val="auto"/>
                <w:sz w:val="24"/>
                <w:highlight w:val="none"/>
                <w:lang w:val="en-US" w:eastAsia="zh-CN"/>
              </w:rPr>
              <w:t>检测：利用显微镜目测观察样品的外观，查看样品的耐腐蚀性，此工序有废样品S8产生。</w:t>
            </w:r>
          </w:p>
          <w:p w14:paraId="174C4CAC">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lang w:val="en-US" w:eastAsia="zh-CN"/>
              </w:rPr>
              <w:t>2）产品片式元器件样品、生产使用的</w:t>
            </w:r>
            <w:r>
              <w:rPr>
                <w:rFonts w:hint="eastAsia" w:eastAsia="仿宋" w:cs="Times New Roman"/>
                <w:bCs/>
                <w:color w:val="auto"/>
                <w:sz w:val="24"/>
                <w:highlight w:val="none"/>
                <w:lang w:val="en-US" w:eastAsia="zh-CN"/>
              </w:rPr>
              <w:t>原料</w:t>
            </w:r>
            <w:r>
              <w:rPr>
                <w:rFonts w:hint="default" w:ascii="Times New Roman" w:hAnsi="Times New Roman" w:eastAsia="仿宋" w:cs="Times New Roman"/>
                <w:bCs/>
                <w:color w:val="auto"/>
                <w:sz w:val="24"/>
                <w:highlight w:val="none"/>
                <w:lang w:val="en-US" w:eastAsia="zh-CN"/>
              </w:rPr>
              <w:t>PCB板、分流器样品需要单独进行焊接测试，</w:t>
            </w:r>
            <w:r>
              <w:rPr>
                <w:rFonts w:hint="default" w:ascii="Times New Roman" w:hAnsi="Times New Roman" w:eastAsia="仿宋" w:cs="Times New Roman"/>
                <w:bCs/>
                <w:color w:val="auto"/>
                <w:sz w:val="24"/>
              </w:rPr>
              <w:t>工艺流程及产污环节简述：</w:t>
            </w:r>
          </w:p>
          <w:p w14:paraId="5C10B2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bCs/>
                <w:color w:val="auto"/>
                <w:sz w:val="24"/>
                <w:highlight w:val="yellow"/>
                <w:lang w:val="en-US" w:eastAsia="zh-CN"/>
              </w:rPr>
            </w:pPr>
            <w:r>
              <w:rPr>
                <w:rFonts w:hint="default" w:ascii="Times New Roman" w:hAnsi="Times New Roman" w:eastAsia="仿宋" w:cs="Times New Roman"/>
                <w:bCs/>
                <w:color w:val="auto"/>
                <w:sz w:val="24"/>
                <w:highlight w:val="none"/>
                <w:lang w:val="en-US" w:eastAsia="zh-CN"/>
              </w:rPr>
              <w:t>（1）锡焊：根据检测需求，选用不同的焊材（助焊剂+焊锡丝或焊锡膏），利用电烙铁对片式元器件样品进行焊接，观察焊材的熔化状态。此工序有焊接测试废气G5和废样品S9产生。</w:t>
            </w:r>
          </w:p>
          <w:p w14:paraId="43E50B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（2）可焊性测试：根据检测需求，在清洗槽中使用酒石酸或ZESTRON FA+清洗剂常温冲洗PCB板样品的表面，再用电烙铁通过焊锡膏将其和分流器样品焊接在一起，对其可焊接性能做评估。酒石酸和ZESTRON FA+清洗剂常温下均不具有挥发性</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bCs/>
                <w:color w:val="auto"/>
                <w:sz w:val="24"/>
                <w:highlight w:val="none"/>
                <w:lang w:val="en-US" w:eastAsia="zh-CN"/>
              </w:rPr>
              <w:t>此工序有</w:t>
            </w:r>
            <w:r>
              <w:rPr>
                <w:rFonts w:hint="default" w:ascii="Times New Roman" w:hAnsi="Times New Roman" w:eastAsia="仿宋" w:cs="Times New Roman"/>
                <w:b w:val="0"/>
                <w:bCs/>
                <w:color w:val="auto"/>
                <w:sz w:val="24"/>
                <w:lang w:val="en-US" w:eastAsia="zh-CN"/>
              </w:rPr>
              <w:t>实验室废液</w:t>
            </w:r>
            <w:r>
              <w:rPr>
                <w:rFonts w:hint="default" w:ascii="Times New Roman" w:hAnsi="Times New Roman" w:eastAsia="仿宋" w:cs="Times New Roman"/>
                <w:bCs/>
                <w:color w:val="auto"/>
                <w:sz w:val="24"/>
                <w:highlight w:val="none"/>
                <w:lang w:val="en-US" w:eastAsia="zh-CN"/>
              </w:rPr>
              <w:t>S10、废样品S11和焊接测试废气G6产生。</w:t>
            </w:r>
          </w:p>
          <w:p w14:paraId="6D8637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3）物理测试</w:t>
            </w:r>
          </w:p>
          <w:p w14:paraId="042586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使用仪器</w:t>
            </w:r>
            <w:r>
              <w:rPr>
                <w:rFonts w:hint="eastAsia" w:eastAsia="仿宋" w:cs="Times New Roman"/>
                <w:bCs/>
                <w:color w:val="auto"/>
                <w:sz w:val="24"/>
                <w:highlight w:val="none"/>
                <w:lang w:val="en-US" w:eastAsia="zh-CN"/>
              </w:rPr>
              <w:t>对</w:t>
            </w:r>
            <w:r>
              <w:rPr>
                <w:rFonts w:hint="default" w:ascii="Times New Roman" w:hAnsi="Times New Roman" w:eastAsia="仿宋" w:cs="Times New Roman"/>
                <w:bCs/>
                <w:color w:val="auto"/>
                <w:sz w:val="24"/>
                <w:highlight w:val="none"/>
                <w:lang w:val="en-US" w:eastAsia="zh-CN"/>
              </w:rPr>
              <w:t>产品片式元器件样品进行物理检测，此工序有废样品S12产生。</w:t>
            </w:r>
          </w:p>
          <w:p w14:paraId="0150FE9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3、设备维修</w:t>
            </w:r>
          </w:p>
          <w:p w14:paraId="00C59A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本项目设1个维修间，为生产提供设备维修保养需求，主要为用抹布蘸取碱性清洗剂清洁擦拭设备，无清洗废液产生，碱性清洗剂不含有机成分，无废气产生；为设备添加润滑剂、乳化液</w:t>
            </w:r>
            <w:r>
              <w:rPr>
                <w:rFonts w:hint="eastAsia" w:ascii="Times New Roman" w:hAnsi="Times New Roman" w:eastAsia="仿宋" w:cs="Times New Roman"/>
                <w:bCs/>
                <w:color w:val="auto"/>
                <w:sz w:val="24"/>
                <w:highlight w:val="none"/>
                <w:lang w:val="en-US" w:eastAsia="zh-CN"/>
              </w:rPr>
              <w:t>，</w:t>
            </w:r>
            <w:r>
              <w:rPr>
                <w:rFonts w:hint="eastAsia" w:eastAsia="仿宋" w:cs="Times New Roman"/>
                <w:bCs/>
                <w:color w:val="auto"/>
                <w:sz w:val="24"/>
                <w:highlight w:val="none"/>
                <w:lang w:val="en-US" w:eastAsia="zh-CN"/>
              </w:rPr>
              <w:t>不涉及更换，无</w:t>
            </w:r>
            <w:r>
              <w:rPr>
                <w:rFonts w:hint="eastAsia" w:ascii="Times New Roman" w:hAnsi="Times New Roman" w:eastAsia="仿宋" w:cs="Times New Roman"/>
                <w:bCs/>
                <w:color w:val="auto"/>
                <w:sz w:val="24"/>
                <w:highlight w:val="none"/>
                <w:lang w:val="en-US" w:eastAsia="zh-CN"/>
              </w:rPr>
              <w:t>污染物产生</w:t>
            </w:r>
            <w:r>
              <w:rPr>
                <w:rFonts w:hint="default" w:ascii="Times New Roman" w:hAnsi="Times New Roman" w:eastAsia="仿宋" w:cs="Times New Roman"/>
                <w:bCs/>
                <w:color w:val="auto"/>
                <w:sz w:val="24"/>
                <w:highlight w:val="none"/>
                <w:lang w:val="en-US" w:eastAsia="zh-CN"/>
              </w:rPr>
              <w:t>。</w:t>
            </w:r>
            <w:r>
              <w:rPr>
                <w:rFonts w:hint="eastAsia" w:eastAsia="仿宋" w:cs="Times New Roman"/>
                <w:bCs/>
                <w:color w:val="auto"/>
                <w:sz w:val="24"/>
                <w:highlight w:val="none"/>
                <w:lang w:val="en-US" w:eastAsia="zh-CN"/>
              </w:rPr>
              <w:t>由于</w:t>
            </w:r>
            <w:r>
              <w:rPr>
                <w:rFonts w:hint="default" w:ascii="Times New Roman" w:hAnsi="Times New Roman" w:eastAsia="仿宋" w:cs="Times New Roman"/>
                <w:bCs/>
                <w:color w:val="auto"/>
                <w:sz w:val="24"/>
                <w:highlight w:val="none"/>
                <w:lang w:val="en-US" w:eastAsia="zh-CN"/>
              </w:rPr>
              <w:t>擦拭污渍粘附于抹布上，此工序有废劳保用品及抹布S13产生。</w:t>
            </w:r>
          </w:p>
          <w:p w14:paraId="7D3E7996">
            <w:pPr>
              <w:adjustRightInd w:val="0"/>
              <w:snapToGrid w:val="0"/>
              <w:spacing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4、其他污染物产生环节</w:t>
            </w:r>
          </w:p>
          <w:p w14:paraId="64E6271A">
            <w:pPr>
              <w:adjustRightInd w:val="0"/>
              <w:snapToGrid w:val="0"/>
              <w:spacing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（1）原辅料使用产污分析</w:t>
            </w:r>
          </w:p>
          <w:p w14:paraId="67231851">
            <w:pPr>
              <w:adjustRightInd w:val="0"/>
              <w:snapToGrid w:val="0"/>
              <w:spacing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本项目实验所需各类药剂、设备保养维修原料使用完后会有废包装物S14产生</w:t>
            </w:r>
            <w:r>
              <w:rPr>
                <w:rFonts w:hint="default" w:ascii="Times New Roman" w:hAnsi="Times New Roman" w:eastAsia="仿宋" w:cs="Times New Roman"/>
                <w:bCs/>
                <w:color w:val="auto"/>
                <w:sz w:val="24"/>
                <w:lang w:eastAsia="zh-CN"/>
              </w:rPr>
              <w:t>。</w:t>
            </w:r>
          </w:p>
          <w:p w14:paraId="6D096D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（2）公辅设备产污环节分析</w:t>
            </w:r>
          </w:p>
          <w:p w14:paraId="107D92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本项目新增1台制水能力为10L/h的纯水制备机，制备工艺为：砂滤、精滤、反渗透。</w:t>
            </w:r>
          </w:p>
          <w:p w14:paraId="024D39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color w:val="auto"/>
                <w:sz w:val="21"/>
                <w:szCs w:val="21"/>
              </w:rPr>
            </w:pPr>
          </w:p>
          <w:p w14:paraId="456D99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object>
                <v:shape id="_x0000_i1029" o:spt="75" type="#_x0000_t75" style="height:224.6pt;width:149.0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7DE07A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图2-7  制备</w:t>
            </w:r>
            <w:r>
              <w:rPr>
                <w:rFonts w:hint="default" w:ascii="Times New Roman" w:hAnsi="Times New Roman" w:eastAsia="仿宋" w:cs="Times New Roman"/>
                <w:b/>
                <w:bCs/>
                <w:color w:val="auto"/>
                <w:sz w:val="24"/>
                <w:szCs w:val="24"/>
              </w:rPr>
              <w:t>工艺流程及产污环节图</w:t>
            </w:r>
          </w:p>
          <w:p w14:paraId="0170D3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制备纯水过程会产生制纯水弃水W1和废过滤材料S15。</w:t>
            </w:r>
          </w:p>
          <w:p w14:paraId="7EE36E2B">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环保设施</w:t>
            </w:r>
          </w:p>
          <w:p w14:paraId="414F5BD2">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滴定实验、制样测试和焊接测试产生废气，均在1#实验室内</w:t>
            </w:r>
            <w:r>
              <w:rPr>
                <w:rFonts w:hint="eastAsia" w:eastAsia="仿宋" w:cs="Times New Roman"/>
                <w:bCs/>
                <w:color w:val="auto"/>
                <w:sz w:val="24"/>
                <w:highlight w:val="none"/>
                <w:lang w:val="en-US" w:eastAsia="zh-CN"/>
              </w:rPr>
              <w:t>实验台上完成</w:t>
            </w:r>
            <w:r>
              <w:rPr>
                <w:rFonts w:hint="default"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rPr>
              <w:t>废气经集气罩收集后</w:t>
            </w:r>
            <w:r>
              <w:rPr>
                <w:rFonts w:hint="default" w:ascii="Times New Roman" w:hAnsi="Times New Roman" w:eastAsia="仿宋" w:cs="Times New Roman"/>
                <w:bCs/>
                <w:color w:val="auto"/>
                <w:sz w:val="24"/>
                <w:highlight w:val="none"/>
                <w:lang w:val="en-US" w:eastAsia="zh-CN"/>
              </w:rPr>
              <w:t>依托现有</w:t>
            </w:r>
            <w:r>
              <w:rPr>
                <w:rFonts w:hint="default" w:ascii="Times New Roman" w:hAnsi="Times New Roman" w:eastAsia="仿宋" w:cs="Times New Roman"/>
                <w:bCs/>
                <w:color w:val="auto"/>
                <w:sz w:val="24"/>
                <w:highlight w:val="none"/>
              </w:rPr>
              <w:t>一套碱液喷淋塔</w:t>
            </w:r>
            <w:r>
              <w:rPr>
                <w:rFonts w:hint="eastAsia" w:eastAsia="仿宋" w:cs="Times New Roman"/>
                <w:bCs/>
                <w:color w:val="auto"/>
                <w:sz w:val="24"/>
                <w:highlight w:val="none"/>
                <w:lang w:eastAsia="zh-CN"/>
              </w:rPr>
              <w:t>（</w:t>
            </w:r>
            <w:r>
              <w:rPr>
                <w:rFonts w:hint="eastAsia" w:eastAsia="仿宋" w:cs="Times New Roman"/>
                <w:bCs/>
                <w:color w:val="auto"/>
                <w:sz w:val="24"/>
                <w:highlight w:val="none"/>
                <w:lang w:val="en-US" w:eastAsia="zh-CN"/>
              </w:rPr>
              <w:t>含吸水填料</w:t>
            </w:r>
            <w:r>
              <w:rPr>
                <w:rFonts w:hint="eastAsia"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+3#</w:t>
            </w:r>
            <w:r>
              <w:rPr>
                <w:rFonts w:hint="default" w:ascii="Times New Roman" w:hAnsi="Times New Roman" w:eastAsia="仿宋" w:cs="Times New Roman"/>
                <w:bCs/>
                <w:color w:val="auto"/>
                <w:sz w:val="24"/>
                <w:highlight w:val="none"/>
                <w:lang w:eastAsia="zh-CN"/>
              </w:rPr>
              <w:t>两级活性炭</w:t>
            </w:r>
            <w:r>
              <w:rPr>
                <w:rFonts w:hint="default" w:ascii="Times New Roman" w:hAnsi="Times New Roman" w:eastAsia="仿宋" w:cs="Times New Roman"/>
                <w:bCs/>
                <w:color w:val="auto"/>
                <w:sz w:val="24"/>
                <w:highlight w:val="none"/>
              </w:rPr>
              <w:t>吸附装置</w:t>
            </w:r>
            <w:r>
              <w:rPr>
                <w:rFonts w:hint="default" w:ascii="Times New Roman" w:hAnsi="Times New Roman" w:eastAsia="仿宋" w:cs="Times New Roman"/>
                <w:bCs/>
                <w:color w:val="auto"/>
                <w:sz w:val="24"/>
                <w:highlight w:val="none"/>
                <w:lang w:val="en-US" w:eastAsia="zh-CN"/>
              </w:rPr>
              <w:t>处理</w:t>
            </w:r>
            <w:r>
              <w:rPr>
                <w:rFonts w:hint="eastAsia" w:eastAsia="仿宋" w:cs="Times New Roman"/>
                <w:bCs/>
                <w:color w:val="auto"/>
                <w:sz w:val="24"/>
                <w:highlight w:val="none"/>
                <w:lang w:val="en-US" w:eastAsia="zh-CN"/>
              </w:rPr>
              <w:t>；</w:t>
            </w:r>
            <w:r>
              <w:rPr>
                <w:rFonts w:hint="eastAsia" w:eastAsia="仿宋" w:cs="Times New Roman"/>
                <w:bCs/>
                <w:color w:val="auto"/>
                <w:sz w:val="24"/>
                <w:lang w:val="en-US" w:eastAsia="zh-CN"/>
              </w:rPr>
              <w:t>本项目新增危废依托现有危废仓库暂存，新增危废暂存废气G7，主要污染物为氯化氢和非甲烷总烃，依托</w:t>
            </w:r>
            <w:r>
              <w:rPr>
                <w:rFonts w:hint="default" w:ascii="Times New Roman" w:hAnsi="Times New Roman" w:eastAsia="仿宋" w:cs="Times New Roman"/>
                <w:bCs/>
                <w:color w:val="auto"/>
                <w:sz w:val="24"/>
                <w:highlight w:val="none"/>
                <w:lang w:val="en-US" w:eastAsia="zh-CN"/>
              </w:rPr>
              <w:t>现有</w:t>
            </w:r>
            <w:r>
              <w:rPr>
                <w:rFonts w:hint="default" w:ascii="Times New Roman" w:hAnsi="Times New Roman" w:eastAsia="仿宋" w:cs="Times New Roman"/>
                <w:bCs/>
                <w:color w:val="auto"/>
                <w:sz w:val="24"/>
                <w:highlight w:val="none"/>
              </w:rPr>
              <w:t>一套碱液喷淋塔+3#</w:t>
            </w:r>
            <w:r>
              <w:rPr>
                <w:rFonts w:hint="default" w:ascii="Times New Roman" w:hAnsi="Times New Roman" w:eastAsia="仿宋" w:cs="Times New Roman"/>
                <w:bCs/>
                <w:color w:val="auto"/>
                <w:sz w:val="24"/>
                <w:highlight w:val="none"/>
                <w:lang w:eastAsia="zh-CN"/>
              </w:rPr>
              <w:t>两级活性炭</w:t>
            </w:r>
            <w:r>
              <w:rPr>
                <w:rFonts w:hint="default" w:ascii="Times New Roman" w:hAnsi="Times New Roman" w:eastAsia="仿宋" w:cs="Times New Roman"/>
                <w:bCs/>
                <w:color w:val="auto"/>
                <w:sz w:val="24"/>
                <w:highlight w:val="none"/>
              </w:rPr>
              <w:t>吸附装置</w:t>
            </w:r>
            <w:r>
              <w:rPr>
                <w:rFonts w:hint="default" w:ascii="Times New Roman" w:hAnsi="Times New Roman" w:eastAsia="仿宋" w:cs="Times New Roman"/>
                <w:bCs/>
                <w:color w:val="auto"/>
                <w:sz w:val="24"/>
                <w:highlight w:val="none"/>
                <w:lang w:val="en-US" w:eastAsia="zh-CN"/>
              </w:rPr>
              <w:t>处理，最终</w:t>
            </w:r>
            <w:r>
              <w:rPr>
                <w:rFonts w:hint="eastAsia" w:ascii="Times New Roman" w:hAnsi="Times New Roman" w:eastAsia="仿宋" w:cs="Times New Roman"/>
                <w:bCs/>
                <w:color w:val="auto"/>
                <w:sz w:val="24"/>
                <w:highlight w:val="none"/>
                <w:lang w:val="en-US" w:eastAsia="zh-CN"/>
              </w:rPr>
              <w:t>一并</w:t>
            </w:r>
            <w:r>
              <w:rPr>
                <w:rFonts w:hint="default" w:ascii="Times New Roman" w:hAnsi="Times New Roman" w:eastAsia="仿宋" w:cs="Times New Roman"/>
                <w:bCs/>
                <w:color w:val="auto"/>
                <w:sz w:val="24"/>
                <w:highlight w:val="none"/>
                <w:lang w:val="en-US" w:eastAsia="zh-CN"/>
              </w:rPr>
              <w:t>依托现有1根</w:t>
            </w:r>
            <w:r>
              <w:rPr>
                <w:rFonts w:hint="default" w:ascii="Times New Roman" w:hAnsi="Times New Roman" w:eastAsia="仿宋" w:cs="Times New Roman"/>
                <w:bCs/>
                <w:color w:val="auto"/>
                <w:sz w:val="24"/>
                <w:highlight w:val="none"/>
              </w:rPr>
              <w:t>25m高3#排气筒</w:t>
            </w:r>
            <w:r>
              <w:rPr>
                <w:rFonts w:hint="default" w:ascii="Times New Roman" w:hAnsi="Times New Roman" w:eastAsia="仿宋" w:cs="Times New Roman"/>
                <w:bCs/>
                <w:color w:val="auto"/>
                <w:sz w:val="24"/>
                <w:highlight w:val="none"/>
                <w:lang w:val="en-US" w:eastAsia="zh-CN"/>
              </w:rPr>
              <w:t>排放</w:t>
            </w:r>
            <w:r>
              <w:rPr>
                <w:rFonts w:hint="default" w:ascii="Times New Roman" w:hAnsi="Times New Roman" w:eastAsia="仿宋" w:cs="Times New Roman"/>
                <w:bCs/>
                <w:color w:val="auto"/>
                <w:sz w:val="24"/>
                <w:highlight w:val="none"/>
              </w:rPr>
              <w:t>。</w:t>
            </w:r>
          </w:p>
          <w:p w14:paraId="11889ABD">
            <w:pPr>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喷淋塔</w:t>
            </w:r>
            <w:r>
              <w:rPr>
                <w:rFonts w:hint="default" w:ascii="Times New Roman" w:hAnsi="Times New Roman" w:eastAsia="仿宋" w:cs="Times New Roman"/>
                <w:bCs/>
                <w:color w:val="auto"/>
                <w:sz w:val="24"/>
                <w:highlight w:val="none"/>
                <w:lang w:val="en-US" w:eastAsia="zh-CN"/>
              </w:rPr>
              <w:t>内采用碱液</w:t>
            </w:r>
            <w:r>
              <w:rPr>
                <w:rFonts w:hint="default" w:ascii="Times New Roman" w:hAnsi="Times New Roman" w:eastAsia="仿宋" w:cs="Times New Roman"/>
                <w:bCs/>
                <w:color w:val="auto"/>
                <w:sz w:val="24"/>
                <w:highlight w:val="none"/>
              </w:rPr>
              <w:t>循环，定期更换补充，活性炭吸附装置需定期更换活性炭</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本项目实验</w:t>
            </w:r>
            <w:r>
              <w:rPr>
                <w:rFonts w:hint="eastAsia" w:eastAsia="仿宋" w:cs="Times New Roman"/>
                <w:bCs/>
                <w:color w:val="auto"/>
                <w:sz w:val="24"/>
                <w:highlight w:val="none"/>
                <w:lang w:val="en-US" w:eastAsia="zh-CN"/>
              </w:rPr>
              <w:t>废气中</w:t>
            </w:r>
            <w:r>
              <w:rPr>
                <w:rFonts w:hint="eastAsia" w:ascii="Times New Roman" w:hAnsi="Times New Roman" w:eastAsia="仿宋" w:cs="Times New Roman"/>
                <w:bCs/>
                <w:color w:val="auto"/>
                <w:sz w:val="24"/>
                <w:highlight w:val="none"/>
                <w:lang w:val="en-US" w:eastAsia="zh-CN"/>
              </w:rPr>
              <w:t>氯化氢产生量较小</w:t>
            </w:r>
            <w:r>
              <w:rPr>
                <w:rFonts w:hint="default" w:ascii="Times New Roman" w:hAnsi="Times New Roman" w:eastAsia="仿宋" w:cs="Times New Roman"/>
                <w:bCs/>
                <w:color w:val="auto"/>
                <w:sz w:val="24"/>
                <w:highlight w:val="none"/>
                <w:lang w:val="en-US" w:eastAsia="zh-CN"/>
              </w:rPr>
              <w:t>，建成后现有喷淋塔喷淋液的更换频次不变，</w:t>
            </w:r>
            <w:r>
              <w:rPr>
                <w:rFonts w:hint="eastAsia" w:ascii="Times New Roman" w:hAnsi="Times New Roman" w:eastAsia="仿宋" w:cs="Times New Roman"/>
                <w:bCs/>
                <w:color w:val="auto"/>
                <w:sz w:val="24"/>
                <w:highlight w:val="none"/>
                <w:lang w:val="en-US" w:eastAsia="zh-CN"/>
              </w:rPr>
              <w:t>吸收的废气量极小，</w:t>
            </w:r>
            <w:r>
              <w:rPr>
                <w:rFonts w:hint="eastAsia" w:eastAsia="仿宋" w:cs="Times New Roman"/>
                <w:bCs/>
                <w:color w:val="auto"/>
                <w:sz w:val="24"/>
                <w:highlight w:val="none"/>
                <w:lang w:val="en-US" w:eastAsia="zh-CN"/>
              </w:rPr>
              <w:t>不再</w:t>
            </w:r>
            <w:r>
              <w:rPr>
                <w:rFonts w:hint="eastAsia" w:ascii="Times New Roman" w:hAnsi="Times New Roman" w:eastAsia="仿宋" w:cs="Times New Roman"/>
                <w:bCs/>
                <w:color w:val="auto"/>
                <w:sz w:val="24"/>
                <w:highlight w:val="none"/>
                <w:lang w:val="en-US" w:eastAsia="zh-CN"/>
              </w:rPr>
              <w:t>定量分析，故本项目</w:t>
            </w:r>
            <w:r>
              <w:rPr>
                <w:rFonts w:hint="default" w:ascii="Times New Roman" w:hAnsi="Times New Roman" w:eastAsia="仿宋" w:cs="Times New Roman"/>
                <w:bCs/>
                <w:color w:val="auto"/>
                <w:sz w:val="24"/>
                <w:highlight w:val="none"/>
                <w:lang w:val="en-US" w:eastAsia="zh-CN"/>
              </w:rPr>
              <w:t>不新增</w:t>
            </w:r>
            <w:r>
              <w:rPr>
                <w:rFonts w:hint="default" w:ascii="Times New Roman" w:hAnsi="Times New Roman" w:eastAsia="仿宋" w:cs="Times New Roman"/>
                <w:bCs/>
                <w:color w:val="auto"/>
                <w:sz w:val="24"/>
                <w:highlight w:val="none"/>
              </w:rPr>
              <w:t>喷淋废液，有废活性炭S</w:t>
            </w:r>
            <w:r>
              <w:rPr>
                <w:rFonts w:hint="default" w:ascii="Times New Roman" w:hAnsi="Times New Roman" w:eastAsia="仿宋" w:cs="Times New Roman"/>
                <w:bCs/>
                <w:color w:val="auto"/>
                <w:sz w:val="24"/>
                <w:highlight w:val="none"/>
                <w:lang w:val="en-US" w:eastAsia="zh-CN"/>
              </w:rPr>
              <w:t>16</w:t>
            </w:r>
            <w:r>
              <w:rPr>
                <w:rFonts w:hint="default" w:ascii="Times New Roman" w:hAnsi="Times New Roman" w:eastAsia="仿宋" w:cs="Times New Roman"/>
                <w:bCs/>
                <w:color w:val="auto"/>
                <w:sz w:val="24"/>
                <w:highlight w:val="none"/>
              </w:rPr>
              <w:t>产生</w:t>
            </w:r>
            <w:r>
              <w:rPr>
                <w:rFonts w:hint="default" w:ascii="Times New Roman" w:hAnsi="Times New Roman" w:eastAsia="仿宋" w:cs="Times New Roman"/>
                <w:bCs/>
                <w:color w:val="auto"/>
                <w:sz w:val="24"/>
                <w:lang w:val="en-US" w:eastAsia="zh-CN"/>
              </w:rPr>
              <w:t>。</w:t>
            </w:r>
          </w:p>
          <w:p w14:paraId="20B4845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二</w:t>
            </w:r>
            <w:r>
              <w:rPr>
                <w:rFonts w:hint="default" w:ascii="Times New Roman" w:hAnsi="Times New Roman" w:eastAsia="仿宋" w:cs="Times New Roman"/>
                <w:bCs/>
                <w:color w:val="auto"/>
                <w:sz w:val="24"/>
              </w:rPr>
              <w:t>、本项目产污环节统计</w:t>
            </w:r>
          </w:p>
          <w:p w14:paraId="15225C7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本项目产污环节见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424B2E7C">
            <w:pPr>
              <w:adjustRightInd w:val="0"/>
              <w:snapToGrid w:val="0"/>
              <w:jc w:val="center"/>
              <w:rPr>
                <w:rFonts w:hint="default" w:ascii="Times New Roman" w:hAnsi="Times New Roman" w:eastAsia="仿宋" w:cs="Times New Roman"/>
                <w:b/>
                <w:bCs/>
                <w:color w:val="auto"/>
                <w:sz w:val="24"/>
              </w:rPr>
            </w:pPr>
          </w:p>
          <w:p w14:paraId="522B754E">
            <w:pPr>
              <w:adjustRightInd w:val="0"/>
              <w:snapToGrid w:val="0"/>
              <w:jc w:val="center"/>
              <w:rPr>
                <w:rFonts w:hint="default" w:ascii="Times New Roman" w:hAnsi="Times New Roman" w:eastAsia="仿宋" w:cs="Times New Roman"/>
                <w:b/>
                <w:bCs/>
                <w:color w:val="auto"/>
                <w:sz w:val="24"/>
              </w:rPr>
            </w:pPr>
          </w:p>
          <w:p w14:paraId="39E890AF">
            <w:pPr>
              <w:adjustRightInd w:val="0"/>
              <w:snapToGrid w:val="0"/>
              <w:jc w:val="center"/>
              <w:rPr>
                <w:rFonts w:hint="default" w:ascii="Times New Roman" w:hAnsi="Times New Roman" w:eastAsia="仿宋" w:cs="Times New Roman"/>
                <w:b/>
                <w:bCs/>
                <w:color w:val="auto"/>
                <w:sz w:val="24"/>
              </w:rPr>
            </w:pPr>
          </w:p>
          <w:p w14:paraId="73036D4C">
            <w:pPr>
              <w:adjustRightInd w:val="0"/>
              <w:snapToGrid w:val="0"/>
              <w:jc w:val="center"/>
              <w:rPr>
                <w:rFonts w:hint="default" w:ascii="Times New Roman" w:hAnsi="Times New Roman" w:eastAsia="仿宋" w:cs="Times New Roman"/>
                <w:b/>
                <w:bCs/>
                <w:color w:val="auto"/>
                <w:sz w:val="24"/>
              </w:rPr>
            </w:pPr>
          </w:p>
          <w:p w14:paraId="21B772D4">
            <w:pPr>
              <w:adjustRightInd w:val="0"/>
              <w:snapToGrid w:val="0"/>
              <w:jc w:val="center"/>
              <w:rPr>
                <w:rFonts w:hint="default" w:ascii="Times New Roman" w:hAnsi="Times New Roman" w:eastAsia="仿宋" w:cs="Times New Roman"/>
                <w:b/>
                <w:bCs/>
                <w:color w:val="auto"/>
                <w:sz w:val="24"/>
              </w:rPr>
            </w:pPr>
          </w:p>
          <w:p w14:paraId="7B1D074C">
            <w:pPr>
              <w:adjustRightInd w:val="0"/>
              <w:snapToGrid w:val="0"/>
              <w:jc w:val="center"/>
              <w:rPr>
                <w:rFonts w:hint="default" w:ascii="Times New Roman" w:hAnsi="Times New Roman" w:eastAsia="仿宋" w:cs="Times New Roman"/>
                <w:b/>
                <w:bCs/>
                <w:color w:val="auto"/>
                <w:sz w:val="24"/>
              </w:rPr>
            </w:pPr>
          </w:p>
          <w:p w14:paraId="50901203">
            <w:pPr>
              <w:adjustRightInd w:val="0"/>
              <w:snapToGrid w:val="0"/>
              <w:jc w:val="center"/>
              <w:rPr>
                <w:rFonts w:hint="default" w:ascii="Times New Roman" w:hAnsi="Times New Roman" w:eastAsia="仿宋" w:cs="Times New Roman"/>
                <w:b/>
                <w:bCs/>
                <w:color w:val="auto"/>
                <w:sz w:val="24"/>
              </w:rPr>
            </w:pPr>
          </w:p>
          <w:p w14:paraId="507B1EEC">
            <w:pPr>
              <w:adjustRightInd w:val="0"/>
              <w:snapToGrid w:val="0"/>
              <w:jc w:val="center"/>
              <w:rPr>
                <w:rFonts w:hint="default" w:ascii="Times New Roman" w:hAnsi="Times New Roman" w:eastAsia="仿宋" w:cs="Times New Roman"/>
                <w:b/>
                <w:bCs/>
                <w:color w:val="auto"/>
                <w:sz w:val="24"/>
              </w:rPr>
            </w:pPr>
          </w:p>
          <w:p w14:paraId="5B8E8289">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7</w:t>
            </w:r>
            <w:r>
              <w:rPr>
                <w:rFonts w:hint="default" w:ascii="Times New Roman" w:hAnsi="Times New Roman" w:eastAsia="仿宋" w:cs="Times New Roman"/>
                <w:b/>
                <w:bCs/>
                <w:color w:val="auto"/>
                <w:sz w:val="24"/>
              </w:rPr>
              <w:t xml:space="preserve">  产污环节</w:t>
            </w:r>
            <w:r>
              <w:rPr>
                <w:rFonts w:hint="default" w:ascii="Times New Roman" w:hAnsi="Times New Roman" w:eastAsia="仿宋" w:cs="Times New Roman"/>
                <w:b/>
                <w:bCs/>
                <w:color w:val="auto"/>
                <w:sz w:val="24"/>
                <w:lang w:eastAsia="zh-CN"/>
              </w:rPr>
              <w:t>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14"/>
              <w:gridCol w:w="1367"/>
              <w:gridCol w:w="2106"/>
              <w:gridCol w:w="3542"/>
            </w:tblGrid>
            <w:tr w14:paraId="17983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90" w:type="pct"/>
                  <w:gridSpan w:val="4"/>
                  <w:vAlign w:val="center"/>
                </w:tcPr>
                <w:p w14:paraId="35F11604">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产生环节及编号</w:t>
                  </w:r>
                </w:p>
              </w:tc>
              <w:tc>
                <w:tcPr>
                  <w:tcW w:w="2109" w:type="pct"/>
                  <w:vAlign w:val="center"/>
                </w:tcPr>
                <w:p w14:paraId="27142F26">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r>
            <w:tr w14:paraId="4F7F1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restart"/>
                  <w:vAlign w:val="center"/>
                </w:tcPr>
                <w:p w14:paraId="369D8BBF">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废气</w:t>
                  </w:r>
                </w:p>
              </w:tc>
              <w:tc>
                <w:tcPr>
                  <w:tcW w:w="1239" w:type="pct"/>
                  <w:gridSpan w:val="2"/>
                  <w:vAlign w:val="center"/>
                </w:tcPr>
                <w:p w14:paraId="056A1B2D">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滴定实验</w:t>
                  </w:r>
                </w:p>
              </w:tc>
              <w:tc>
                <w:tcPr>
                  <w:tcW w:w="1252" w:type="pct"/>
                  <w:vAlign w:val="center"/>
                </w:tcPr>
                <w:p w14:paraId="553D1AE5">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G1</w:t>
                  </w:r>
                </w:p>
              </w:tc>
              <w:tc>
                <w:tcPr>
                  <w:tcW w:w="2109" w:type="pct"/>
                  <w:vAlign w:val="center"/>
                </w:tcPr>
                <w:p w14:paraId="3F7E0D0C">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w:t>
                  </w:r>
                </w:p>
              </w:tc>
            </w:tr>
            <w:tr w14:paraId="3EDD4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14:paraId="255FE83B">
                  <w:pPr>
                    <w:adjustRightInd w:val="0"/>
                    <w:snapToGrid w:val="0"/>
                    <w:jc w:val="center"/>
                    <w:rPr>
                      <w:rFonts w:hint="default" w:ascii="Times New Roman" w:hAnsi="Times New Roman" w:eastAsia="仿宋" w:cs="Times New Roman"/>
                      <w:bCs/>
                      <w:color w:val="auto"/>
                      <w:szCs w:val="21"/>
                    </w:rPr>
                  </w:pPr>
                </w:p>
              </w:tc>
              <w:tc>
                <w:tcPr>
                  <w:tcW w:w="425" w:type="pct"/>
                  <w:vMerge w:val="restart"/>
                  <w:vAlign w:val="center"/>
                </w:tcPr>
                <w:p w14:paraId="010AFAD4">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制样测试</w:t>
                  </w:r>
                </w:p>
              </w:tc>
              <w:tc>
                <w:tcPr>
                  <w:tcW w:w="814" w:type="pct"/>
                  <w:vAlign w:val="center"/>
                </w:tcPr>
                <w:p w14:paraId="16C47786">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制样固化</w:t>
                  </w:r>
                </w:p>
              </w:tc>
              <w:tc>
                <w:tcPr>
                  <w:tcW w:w="1252" w:type="pct"/>
                  <w:vAlign w:val="center"/>
                </w:tcPr>
                <w:p w14:paraId="70D8D21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G2</w:t>
                  </w:r>
                </w:p>
              </w:tc>
              <w:tc>
                <w:tcPr>
                  <w:tcW w:w="2109" w:type="pct"/>
                  <w:vAlign w:val="center"/>
                </w:tcPr>
                <w:p w14:paraId="30ACAE7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非甲烷总烃</w:t>
                  </w:r>
                </w:p>
              </w:tc>
            </w:tr>
            <w:tr w14:paraId="406E0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75EB0B1F">
                  <w:pPr>
                    <w:adjustRightInd w:val="0"/>
                    <w:snapToGrid w:val="0"/>
                    <w:jc w:val="center"/>
                    <w:rPr>
                      <w:rFonts w:hint="default" w:ascii="Times New Roman" w:hAnsi="Times New Roman" w:eastAsia="仿宋" w:cs="Times New Roman"/>
                      <w:bCs/>
                      <w:color w:val="auto"/>
                      <w:szCs w:val="21"/>
                    </w:rPr>
                  </w:pPr>
                </w:p>
              </w:tc>
              <w:tc>
                <w:tcPr>
                  <w:tcW w:w="425" w:type="pct"/>
                  <w:vMerge w:val="continue"/>
                  <w:vAlign w:val="center"/>
                </w:tcPr>
                <w:p w14:paraId="0511434D">
                  <w:pPr>
                    <w:adjustRightInd w:val="0"/>
                    <w:snapToGrid w:val="0"/>
                    <w:jc w:val="center"/>
                    <w:rPr>
                      <w:rFonts w:hint="default" w:ascii="Times New Roman" w:hAnsi="Times New Roman" w:eastAsia="仿宋" w:cs="Times New Roman"/>
                      <w:bCs/>
                      <w:color w:val="auto"/>
                      <w:szCs w:val="21"/>
                      <w:lang w:val="en-US"/>
                    </w:rPr>
                  </w:pPr>
                </w:p>
              </w:tc>
              <w:tc>
                <w:tcPr>
                  <w:tcW w:w="814" w:type="pct"/>
                  <w:vAlign w:val="center"/>
                </w:tcPr>
                <w:p w14:paraId="35BD8F97">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腐蚀</w:t>
                  </w:r>
                </w:p>
              </w:tc>
              <w:tc>
                <w:tcPr>
                  <w:tcW w:w="1252" w:type="pct"/>
                  <w:vAlign w:val="center"/>
                </w:tcPr>
                <w:p w14:paraId="6EF662AA">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G3</w:t>
                  </w:r>
                </w:p>
              </w:tc>
              <w:tc>
                <w:tcPr>
                  <w:tcW w:w="2109" w:type="pct"/>
                  <w:vAlign w:val="center"/>
                </w:tcPr>
                <w:p w14:paraId="430EB4F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氯化氢、非甲烷总烃</w:t>
                  </w:r>
                </w:p>
              </w:tc>
            </w:tr>
            <w:tr w14:paraId="6E9A7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07F97453">
                  <w:pPr>
                    <w:adjustRightInd w:val="0"/>
                    <w:snapToGrid w:val="0"/>
                    <w:jc w:val="center"/>
                    <w:rPr>
                      <w:rFonts w:hint="default" w:ascii="Times New Roman" w:hAnsi="Times New Roman" w:eastAsia="仿宋" w:cs="Times New Roman"/>
                      <w:bCs/>
                      <w:color w:val="auto"/>
                      <w:szCs w:val="21"/>
                    </w:rPr>
                  </w:pPr>
                </w:p>
              </w:tc>
              <w:tc>
                <w:tcPr>
                  <w:tcW w:w="425" w:type="pct"/>
                  <w:vMerge w:val="continue"/>
                  <w:vAlign w:val="center"/>
                </w:tcPr>
                <w:p w14:paraId="3455B890">
                  <w:pPr>
                    <w:adjustRightInd w:val="0"/>
                    <w:snapToGrid w:val="0"/>
                    <w:jc w:val="center"/>
                    <w:rPr>
                      <w:rFonts w:hint="default" w:ascii="Times New Roman" w:hAnsi="Times New Roman" w:eastAsia="仿宋" w:cs="Times New Roman"/>
                      <w:bCs/>
                      <w:color w:val="auto"/>
                      <w:szCs w:val="21"/>
                      <w:lang w:val="en-US"/>
                    </w:rPr>
                  </w:pPr>
                </w:p>
              </w:tc>
              <w:tc>
                <w:tcPr>
                  <w:tcW w:w="814" w:type="pct"/>
                  <w:vAlign w:val="center"/>
                </w:tcPr>
                <w:p w14:paraId="6CE02443">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清洁</w:t>
                  </w:r>
                </w:p>
              </w:tc>
              <w:tc>
                <w:tcPr>
                  <w:tcW w:w="1252" w:type="pct"/>
                  <w:vAlign w:val="center"/>
                </w:tcPr>
                <w:p w14:paraId="5DFD8BD1">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G4</w:t>
                  </w:r>
                </w:p>
              </w:tc>
              <w:tc>
                <w:tcPr>
                  <w:tcW w:w="2109" w:type="pct"/>
                  <w:vAlign w:val="center"/>
                </w:tcPr>
                <w:p w14:paraId="4C72478C">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非甲烷总烃</w:t>
                  </w:r>
                </w:p>
              </w:tc>
            </w:tr>
            <w:tr w14:paraId="021C2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5C1C6F5B">
                  <w:pPr>
                    <w:adjustRightInd w:val="0"/>
                    <w:snapToGrid w:val="0"/>
                    <w:jc w:val="center"/>
                    <w:rPr>
                      <w:rFonts w:hint="default" w:ascii="Times New Roman" w:hAnsi="Times New Roman" w:eastAsia="仿宋" w:cs="Times New Roman"/>
                      <w:bCs/>
                      <w:color w:val="auto"/>
                      <w:szCs w:val="21"/>
                    </w:rPr>
                  </w:pPr>
                </w:p>
              </w:tc>
              <w:tc>
                <w:tcPr>
                  <w:tcW w:w="425" w:type="pct"/>
                  <w:vMerge w:val="restart"/>
                  <w:vAlign w:val="center"/>
                </w:tcPr>
                <w:p w14:paraId="408F573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焊接测试</w:t>
                  </w:r>
                </w:p>
              </w:tc>
              <w:tc>
                <w:tcPr>
                  <w:tcW w:w="814" w:type="pct"/>
                  <w:vAlign w:val="center"/>
                </w:tcPr>
                <w:p w14:paraId="7875F0BC">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锡焊</w:t>
                  </w:r>
                </w:p>
              </w:tc>
              <w:tc>
                <w:tcPr>
                  <w:tcW w:w="1252" w:type="pct"/>
                  <w:shd w:val="clear" w:color="auto" w:fill="auto"/>
                  <w:vAlign w:val="center"/>
                </w:tcPr>
                <w:p w14:paraId="35BEF488">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G5</w:t>
                  </w:r>
                </w:p>
              </w:tc>
              <w:tc>
                <w:tcPr>
                  <w:tcW w:w="2109" w:type="pct"/>
                  <w:vAlign w:val="center"/>
                </w:tcPr>
                <w:p w14:paraId="2460D404">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锡烟（锡及其化合物）、非甲烷总烃</w:t>
                  </w:r>
                </w:p>
              </w:tc>
            </w:tr>
            <w:tr w14:paraId="3C816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14:paraId="208EF060">
                  <w:pPr>
                    <w:adjustRightInd w:val="0"/>
                    <w:snapToGrid w:val="0"/>
                    <w:jc w:val="center"/>
                    <w:rPr>
                      <w:rFonts w:hint="default" w:ascii="Times New Roman" w:hAnsi="Times New Roman" w:eastAsia="仿宋" w:cs="Times New Roman"/>
                      <w:bCs/>
                      <w:color w:val="auto"/>
                      <w:szCs w:val="21"/>
                    </w:rPr>
                  </w:pPr>
                </w:p>
              </w:tc>
              <w:tc>
                <w:tcPr>
                  <w:tcW w:w="425" w:type="pct"/>
                  <w:vMerge w:val="continue"/>
                  <w:vAlign w:val="center"/>
                </w:tcPr>
                <w:p w14:paraId="4E795ED3">
                  <w:pPr>
                    <w:adjustRightInd w:val="0"/>
                    <w:snapToGrid w:val="0"/>
                    <w:jc w:val="center"/>
                    <w:rPr>
                      <w:rFonts w:hint="default" w:ascii="Times New Roman" w:hAnsi="Times New Roman" w:eastAsia="仿宋" w:cs="Times New Roman"/>
                      <w:bCs/>
                      <w:color w:val="auto"/>
                      <w:szCs w:val="21"/>
                    </w:rPr>
                  </w:pPr>
                </w:p>
              </w:tc>
              <w:tc>
                <w:tcPr>
                  <w:tcW w:w="814" w:type="pct"/>
                  <w:vAlign w:val="center"/>
                </w:tcPr>
                <w:p w14:paraId="4A9E7BD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可焊性测试</w:t>
                  </w:r>
                </w:p>
              </w:tc>
              <w:tc>
                <w:tcPr>
                  <w:tcW w:w="1252" w:type="pct"/>
                  <w:shd w:val="clear" w:color="auto" w:fill="auto"/>
                  <w:vAlign w:val="center"/>
                </w:tcPr>
                <w:p w14:paraId="435B3760">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G6</w:t>
                  </w:r>
                </w:p>
              </w:tc>
              <w:tc>
                <w:tcPr>
                  <w:tcW w:w="2109" w:type="pct"/>
                  <w:vAlign w:val="center"/>
                </w:tcPr>
                <w:p w14:paraId="76BDD75D">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锡烟（锡及其化合物）、非甲烷总烃</w:t>
                  </w:r>
                </w:p>
              </w:tc>
            </w:tr>
            <w:tr w14:paraId="1A184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7" w:type="pct"/>
                  <w:vMerge w:val="continue"/>
                  <w:vAlign w:val="center"/>
                </w:tcPr>
                <w:p w14:paraId="2EC14256">
                  <w:pPr>
                    <w:adjustRightInd w:val="0"/>
                    <w:snapToGrid w:val="0"/>
                    <w:jc w:val="center"/>
                    <w:rPr>
                      <w:rFonts w:hint="default" w:ascii="Times New Roman" w:hAnsi="Times New Roman" w:eastAsia="仿宋" w:cs="Times New Roman"/>
                      <w:bCs/>
                      <w:color w:val="auto"/>
                      <w:szCs w:val="21"/>
                    </w:rPr>
                  </w:pPr>
                </w:p>
              </w:tc>
              <w:tc>
                <w:tcPr>
                  <w:tcW w:w="1239" w:type="pct"/>
                  <w:gridSpan w:val="2"/>
                  <w:vAlign w:val="center"/>
                </w:tcPr>
                <w:p w14:paraId="562759F2">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危废仓库</w:t>
                  </w:r>
                </w:p>
              </w:tc>
              <w:tc>
                <w:tcPr>
                  <w:tcW w:w="1252" w:type="pct"/>
                  <w:shd w:val="clear" w:color="auto" w:fill="auto"/>
                  <w:vAlign w:val="center"/>
                </w:tcPr>
                <w:p w14:paraId="2F80A44E">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G7</w:t>
                  </w:r>
                </w:p>
              </w:tc>
              <w:tc>
                <w:tcPr>
                  <w:tcW w:w="2109" w:type="pct"/>
                  <w:vAlign w:val="center"/>
                </w:tcPr>
                <w:p w14:paraId="658134B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氯化氢、非甲烷总烃</w:t>
                  </w:r>
                </w:p>
              </w:tc>
            </w:tr>
            <w:tr w14:paraId="5CCCD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397" w:type="pct"/>
                  <w:vAlign w:val="center"/>
                </w:tcPr>
                <w:p w14:paraId="743EE951">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废水</w:t>
                  </w:r>
                </w:p>
              </w:tc>
              <w:tc>
                <w:tcPr>
                  <w:tcW w:w="1239" w:type="pct"/>
                  <w:gridSpan w:val="2"/>
                  <w:shd w:val="clear" w:color="auto" w:fill="auto"/>
                  <w:vAlign w:val="center"/>
                </w:tcPr>
                <w:p w14:paraId="10FE6D19">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纯水制备弃水</w:t>
                  </w:r>
                </w:p>
              </w:tc>
              <w:tc>
                <w:tcPr>
                  <w:tcW w:w="1252" w:type="pct"/>
                  <w:shd w:val="clear" w:color="auto" w:fill="auto"/>
                  <w:vAlign w:val="center"/>
                </w:tcPr>
                <w:p w14:paraId="437F9E5F">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W1</w:t>
                  </w:r>
                </w:p>
              </w:tc>
              <w:tc>
                <w:tcPr>
                  <w:tcW w:w="2109" w:type="pct"/>
                  <w:shd w:val="clear" w:color="auto" w:fill="auto"/>
                  <w:vAlign w:val="center"/>
                </w:tcPr>
                <w:p w14:paraId="3FEE0AB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rPr>
                    <w:t>pH、COD、SS</w:t>
                  </w:r>
                </w:p>
              </w:tc>
            </w:tr>
            <w:tr w14:paraId="2A4D3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restart"/>
                  <w:vAlign w:val="center"/>
                </w:tcPr>
                <w:p w14:paraId="159AFAE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固废</w:t>
                  </w:r>
                </w:p>
              </w:tc>
              <w:tc>
                <w:tcPr>
                  <w:tcW w:w="1239" w:type="pct"/>
                  <w:gridSpan w:val="2"/>
                  <w:vMerge w:val="restart"/>
                  <w:vAlign w:val="center"/>
                </w:tcPr>
                <w:p w14:paraId="2398C566">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实验检测</w:t>
                  </w:r>
                </w:p>
              </w:tc>
              <w:tc>
                <w:tcPr>
                  <w:tcW w:w="1252" w:type="pct"/>
                  <w:vAlign w:val="center"/>
                </w:tcPr>
                <w:p w14:paraId="756B45B4">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S1、S2、S4、S5、S6、S10</w:t>
                  </w:r>
                </w:p>
              </w:tc>
              <w:tc>
                <w:tcPr>
                  <w:tcW w:w="2109" w:type="pct"/>
                  <w:vAlign w:val="center"/>
                </w:tcPr>
                <w:p w14:paraId="226FB24F">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实验室废液</w:t>
                  </w:r>
                </w:p>
              </w:tc>
            </w:tr>
            <w:tr w14:paraId="4B4A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37C964DC">
                  <w:pPr>
                    <w:adjustRightInd w:val="0"/>
                    <w:snapToGrid w:val="0"/>
                    <w:jc w:val="center"/>
                    <w:rPr>
                      <w:rFonts w:hint="default" w:ascii="Times New Roman" w:hAnsi="Times New Roman" w:eastAsia="仿宋" w:cs="Times New Roman"/>
                      <w:bCs/>
                      <w:color w:val="auto"/>
                      <w:szCs w:val="21"/>
                    </w:rPr>
                  </w:pPr>
                </w:p>
              </w:tc>
              <w:tc>
                <w:tcPr>
                  <w:tcW w:w="1239" w:type="pct"/>
                  <w:gridSpan w:val="2"/>
                  <w:vMerge w:val="continue"/>
                  <w:vAlign w:val="center"/>
                </w:tcPr>
                <w:p w14:paraId="192BAEE0">
                  <w:pPr>
                    <w:adjustRightInd w:val="0"/>
                    <w:snapToGrid w:val="0"/>
                    <w:jc w:val="center"/>
                    <w:rPr>
                      <w:rFonts w:hint="default" w:ascii="Times New Roman" w:hAnsi="Times New Roman" w:eastAsia="仿宋" w:cs="Times New Roman"/>
                      <w:bCs/>
                      <w:color w:val="auto"/>
                      <w:szCs w:val="21"/>
                      <w:lang w:val="en-US" w:eastAsia="zh-CN"/>
                    </w:rPr>
                  </w:pPr>
                </w:p>
              </w:tc>
              <w:tc>
                <w:tcPr>
                  <w:tcW w:w="1252" w:type="pct"/>
                  <w:vAlign w:val="center"/>
                </w:tcPr>
                <w:p w14:paraId="5F066FB2">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S3、S8、S9、S11、S12</w:t>
                  </w:r>
                </w:p>
              </w:tc>
              <w:tc>
                <w:tcPr>
                  <w:tcW w:w="2109" w:type="pct"/>
                  <w:vAlign w:val="center"/>
                </w:tcPr>
                <w:p w14:paraId="0C0E90A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废样品</w:t>
                  </w:r>
                </w:p>
              </w:tc>
            </w:tr>
            <w:tr w14:paraId="3AA3F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7" w:type="pct"/>
                  <w:vMerge w:val="continue"/>
                  <w:vAlign w:val="center"/>
                </w:tcPr>
                <w:p w14:paraId="476434AA">
                  <w:pPr>
                    <w:adjustRightInd w:val="0"/>
                    <w:snapToGrid w:val="0"/>
                    <w:jc w:val="center"/>
                    <w:rPr>
                      <w:rFonts w:hint="default" w:ascii="Times New Roman" w:hAnsi="Times New Roman" w:eastAsia="仿宋" w:cs="Times New Roman"/>
                      <w:bCs/>
                      <w:color w:val="auto"/>
                      <w:szCs w:val="21"/>
                    </w:rPr>
                  </w:pPr>
                </w:p>
              </w:tc>
              <w:tc>
                <w:tcPr>
                  <w:tcW w:w="1239" w:type="pct"/>
                  <w:gridSpan w:val="2"/>
                  <w:vMerge w:val="restart"/>
                  <w:vAlign w:val="center"/>
                </w:tcPr>
                <w:p w14:paraId="2E4E4C2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原辅料使用</w:t>
                  </w:r>
                </w:p>
              </w:tc>
              <w:tc>
                <w:tcPr>
                  <w:tcW w:w="1252" w:type="pct"/>
                  <w:vAlign w:val="center"/>
                </w:tcPr>
                <w:p w14:paraId="3D65FABD">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S14</w:t>
                  </w:r>
                </w:p>
              </w:tc>
              <w:tc>
                <w:tcPr>
                  <w:tcW w:w="2109" w:type="pct"/>
                  <w:vAlign w:val="center"/>
                </w:tcPr>
                <w:p w14:paraId="10E74E9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废包装物</w:t>
                  </w:r>
                </w:p>
              </w:tc>
            </w:tr>
            <w:tr w14:paraId="39836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43D57F77">
                  <w:pPr>
                    <w:adjustRightInd w:val="0"/>
                    <w:snapToGrid w:val="0"/>
                    <w:jc w:val="center"/>
                    <w:rPr>
                      <w:rFonts w:hint="default" w:ascii="Times New Roman" w:hAnsi="Times New Roman" w:eastAsia="仿宋" w:cs="Times New Roman"/>
                      <w:bCs/>
                      <w:color w:val="auto"/>
                      <w:szCs w:val="21"/>
                    </w:rPr>
                  </w:pPr>
                </w:p>
              </w:tc>
              <w:tc>
                <w:tcPr>
                  <w:tcW w:w="1239" w:type="pct"/>
                  <w:gridSpan w:val="2"/>
                  <w:vMerge w:val="continue"/>
                  <w:vAlign w:val="center"/>
                </w:tcPr>
                <w:p w14:paraId="035CD90D">
                  <w:pPr>
                    <w:adjustRightInd w:val="0"/>
                    <w:snapToGrid w:val="0"/>
                    <w:jc w:val="center"/>
                    <w:rPr>
                      <w:rFonts w:hint="default" w:ascii="Times New Roman" w:hAnsi="Times New Roman" w:eastAsia="仿宋" w:cs="Times New Roman"/>
                      <w:bCs/>
                      <w:color w:val="auto"/>
                      <w:szCs w:val="21"/>
                      <w:lang w:val="en-US" w:eastAsia="zh-CN"/>
                    </w:rPr>
                  </w:pPr>
                </w:p>
              </w:tc>
              <w:tc>
                <w:tcPr>
                  <w:tcW w:w="1252" w:type="pct"/>
                  <w:vAlign w:val="center"/>
                </w:tcPr>
                <w:p w14:paraId="478F3076">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S7、S13</w:t>
                  </w:r>
                </w:p>
              </w:tc>
              <w:tc>
                <w:tcPr>
                  <w:tcW w:w="2109" w:type="pct"/>
                  <w:vAlign w:val="center"/>
                </w:tcPr>
                <w:p w14:paraId="3344A4B8">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废劳保用品及抹布</w:t>
                  </w:r>
                </w:p>
              </w:tc>
            </w:tr>
            <w:tr w14:paraId="0465B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429260E1">
                  <w:pPr>
                    <w:adjustRightInd w:val="0"/>
                    <w:snapToGrid w:val="0"/>
                    <w:jc w:val="center"/>
                    <w:rPr>
                      <w:rFonts w:hint="default" w:ascii="Times New Roman" w:hAnsi="Times New Roman" w:eastAsia="仿宋" w:cs="Times New Roman"/>
                      <w:bCs/>
                      <w:color w:val="auto"/>
                      <w:szCs w:val="21"/>
                    </w:rPr>
                  </w:pPr>
                </w:p>
              </w:tc>
              <w:tc>
                <w:tcPr>
                  <w:tcW w:w="1239" w:type="pct"/>
                  <w:gridSpan w:val="2"/>
                  <w:vAlign w:val="center"/>
                </w:tcPr>
                <w:p w14:paraId="7417E094">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制备纯水</w:t>
                  </w:r>
                </w:p>
              </w:tc>
              <w:tc>
                <w:tcPr>
                  <w:tcW w:w="1252" w:type="pct"/>
                  <w:vAlign w:val="center"/>
                </w:tcPr>
                <w:p w14:paraId="26A9E76A">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S15</w:t>
                  </w:r>
                </w:p>
              </w:tc>
              <w:tc>
                <w:tcPr>
                  <w:tcW w:w="2109" w:type="pct"/>
                  <w:vAlign w:val="center"/>
                </w:tcPr>
                <w:p w14:paraId="70098E0F">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废过滤材料</w:t>
                  </w:r>
                </w:p>
              </w:tc>
            </w:tr>
            <w:tr w14:paraId="1F6E1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14:paraId="3B51B480">
                  <w:pPr>
                    <w:adjustRightInd w:val="0"/>
                    <w:snapToGrid w:val="0"/>
                    <w:jc w:val="center"/>
                    <w:rPr>
                      <w:rFonts w:hint="default" w:ascii="Times New Roman" w:hAnsi="Times New Roman" w:eastAsia="仿宋" w:cs="Times New Roman"/>
                      <w:bCs/>
                      <w:color w:val="auto"/>
                      <w:szCs w:val="21"/>
                    </w:rPr>
                  </w:pPr>
                </w:p>
              </w:tc>
              <w:tc>
                <w:tcPr>
                  <w:tcW w:w="1239" w:type="pct"/>
                  <w:gridSpan w:val="2"/>
                  <w:shd w:val="clear" w:color="auto" w:fill="auto"/>
                  <w:vAlign w:val="center"/>
                </w:tcPr>
                <w:p w14:paraId="4D9D893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废气处理</w:t>
                  </w:r>
                </w:p>
              </w:tc>
              <w:tc>
                <w:tcPr>
                  <w:tcW w:w="1252" w:type="pct"/>
                  <w:shd w:val="clear" w:color="auto" w:fill="auto"/>
                  <w:vAlign w:val="center"/>
                </w:tcPr>
                <w:p w14:paraId="4F552F85">
                  <w:pPr>
                    <w:adjustRightInd w:val="0"/>
                    <w:snapToGrid w:val="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S16</w:t>
                  </w:r>
                </w:p>
              </w:tc>
              <w:tc>
                <w:tcPr>
                  <w:tcW w:w="2109" w:type="pct"/>
                  <w:shd w:val="clear" w:color="auto" w:fill="auto"/>
                  <w:vAlign w:val="center"/>
                </w:tcPr>
                <w:p w14:paraId="68ED065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废活性炭</w:t>
                  </w:r>
                </w:p>
              </w:tc>
            </w:tr>
            <w:tr w14:paraId="74368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97" w:type="pct"/>
                  <w:vAlign w:val="center"/>
                </w:tcPr>
                <w:p w14:paraId="28E20656">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噪声</w:t>
                  </w:r>
                </w:p>
              </w:tc>
              <w:tc>
                <w:tcPr>
                  <w:tcW w:w="1239" w:type="pct"/>
                  <w:gridSpan w:val="2"/>
                  <w:shd w:val="clear" w:color="auto" w:fill="auto"/>
                  <w:vAlign w:val="center"/>
                </w:tcPr>
                <w:p w14:paraId="5BDD82D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研磨机</w:t>
                  </w:r>
                  <w:r>
                    <w:rPr>
                      <w:rFonts w:hint="default" w:ascii="Times New Roman" w:hAnsi="Times New Roman" w:eastAsia="仿宋" w:cs="Times New Roman"/>
                      <w:bCs/>
                      <w:color w:val="auto"/>
                      <w:szCs w:val="21"/>
                    </w:rPr>
                    <w:t>运行</w:t>
                  </w:r>
                </w:p>
              </w:tc>
              <w:tc>
                <w:tcPr>
                  <w:tcW w:w="1252" w:type="pct"/>
                  <w:shd w:val="clear" w:color="auto" w:fill="auto"/>
                  <w:vAlign w:val="center"/>
                </w:tcPr>
                <w:p w14:paraId="68A5A42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N</w:t>
                  </w:r>
                </w:p>
              </w:tc>
              <w:tc>
                <w:tcPr>
                  <w:tcW w:w="2109" w:type="pct"/>
                  <w:shd w:val="clear" w:color="auto" w:fill="auto"/>
                  <w:vAlign w:val="center"/>
                </w:tcPr>
                <w:p w14:paraId="1C84B9D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噪声</w:t>
                  </w:r>
                </w:p>
              </w:tc>
            </w:tr>
          </w:tbl>
          <w:p w14:paraId="3CE366B9">
            <w:pPr>
              <w:spacing w:line="360" w:lineRule="auto"/>
              <w:jc w:val="center"/>
              <w:rPr>
                <w:rFonts w:hint="default" w:ascii="Times New Roman" w:hAnsi="Times New Roman" w:eastAsia="仿宋" w:cs="Times New Roman"/>
                <w:color w:val="auto"/>
                <w:sz w:val="10"/>
                <w:szCs w:val="10"/>
              </w:rPr>
            </w:pPr>
          </w:p>
        </w:tc>
      </w:tr>
      <w:bookmarkEnd w:id="11"/>
      <w:tr w14:paraId="3A4EB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56" w:type="dxa"/>
            <w:vAlign w:val="center"/>
          </w:tcPr>
          <w:p w14:paraId="29749D8B">
            <w:pPr>
              <w:pStyle w:val="21"/>
              <w:adjustRightInd w:val="0"/>
              <w:snapToGrid w:val="0"/>
              <w:spacing w:before="0" w:beforeAutospacing="0" w:after="0" w:afterAutospacing="0" w:line="360" w:lineRule="auto"/>
              <w:jc w:val="center"/>
              <w:rPr>
                <w:rFonts w:hint="default" w:ascii="Times New Roman" w:hAnsi="Times New Roman" w:eastAsia="仿宋" w:cs="Times New Roman"/>
                <w:color w:val="auto"/>
                <w:szCs w:val="24"/>
              </w:rPr>
            </w:pPr>
            <w:r>
              <w:rPr>
                <w:rFonts w:hint="default" w:ascii="Times New Roman" w:hAnsi="Times New Roman" w:eastAsia="仿宋" w:cs="Times New Roman"/>
                <w:bCs/>
                <w:color w:val="auto"/>
                <w:kern w:val="2"/>
                <w:szCs w:val="24"/>
              </w:rPr>
              <w:t>与项目有关的原有环境污染问题</w:t>
            </w:r>
          </w:p>
        </w:tc>
        <w:tc>
          <w:tcPr>
            <w:tcW w:w="8510" w:type="dxa"/>
          </w:tcPr>
          <w:p w14:paraId="3C8FB6AE">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与本项目有关的原有环境污染问题</w:t>
            </w:r>
          </w:p>
          <w:p w14:paraId="52C2DEB9">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1、企业现有环保手续履行情况</w:t>
            </w:r>
          </w:p>
          <w:p w14:paraId="4E2777ED">
            <w:pPr>
              <w:spacing w:after="0"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企业于202</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月报批了《</w:t>
            </w:r>
            <w:r>
              <w:rPr>
                <w:rFonts w:hint="default" w:ascii="Times New Roman" w:hAnsi="Times New Roman" w:eastAsia="仿宋" w:cs="Times New Roman"/>
                <w:bCs/>
                <w:color w:val="auto"/>
                <w:sz w:val="24"/>
                <w:highlight w:val="none"/>
                <w:lang w:eastAsia="zh-CN"/>
              </w:rPr>
              <w:t>新型电子元器件开发与制造项目</w:t>
            </w:r>
            <w:r>
              <w:rPr>
                <w:rFonts w:hint="default" w:ascii="Times New Roman" w:hAnsi="Times New Roman" w:eastAsia="仿宋" w:cs="Times New Roman"/>
                <w:bCs/>
                <w:color w:val="auto"/>
                <w:sz w:val="24"/>
                <w:highlight w:val="none"/>
              </w:rPr>
              <w:t>环境影响报告表》，并于2024年4月9日</w:t>
            </w:r>
            <w:r>
              <w:rPr>
                <w:rFonts w:hint="default" w:ascii="Times New Roman" w:hAnsi="Times New Roman" w:eastAsia="仿宋" w:cs="Times New Roman"/>
                <w:bCs/>
                <w:color w:val="auto"/>
                <w:sz w:val="24"/>
                <w:highlight w:val="none"/>
                <w:lang w:val="en-US" w:eastAsia="zh-CN"/>
              </w:rPr>
              <w:t>取得了</w:t>
            </w:r>
            <w:r>
              <w:rPr>
                <w:rFonts w:hint="default" w:ascii="Times New Roman" w:hAnsi="Times New Roman" w:eastAsia="仿宋" w:cs="Times New Roman"/>
                <w:bCs/>
                <w:color w:val="auto"/>
                <w:sz w:val="24"/>
                <w:highlight w:val="none"/>
              </w:rPr>
              <w:t>常州市</w:t>
            </w:r>
            <w:r>
              <w:rPr>
                <w:rFonts w:hint="default" w:ascii="Times New Roman" w:hAnsi="Times New Roman" w:eastAsia="仿宋" w:cs="Times New Roman"/>
                <w:bCs/>
                <w:color w:val="auto"/>
                <w:sz w:val="24"/>
                <w:highlight w:val="none"/>
                <w:lang w:val="en-US" w:eastAsia="zh-CN"/>
              </w:rPr>
              <w:t>生态环境局</w:t>
            </w:r>
            <w:r>
              <w:rPr>
                <w:rFonts w:hint="default" w:ascii="Times New Roman" w:hAnsi="Times New Roman" w:eastAsia="仿宋" w:cs="Times New Roman"/>
                <w:bCs/>
                <w:color w:val="auto"/>
                <w:sz w:val="24"/>
                <w:highlight w:val="none"/>
              </w:rPr>
              <w:t>审批意见（常金环审〔2024〕48号），设计产能为年产传感器300万片/年、片式元器件14000万片/年</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该项目于2024年</w:t>
            </w:r>
            <w:r>
              <w:rPr>
                <w:rFonts w:hint="default" w:ascii="Times New Roman" w:hAnsi="Times New Roman"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月开工建设，</w:t>
            </w:r>
            <w:r>
              <w:rPr>
                <w:rFonts w:hint="default" w:ascii="Times New Roman" w:hAnsi="Times New Roman" w:eastAsia="仿宋" w:cs="Times New Roman"/>
                <w:bCs/>
                <w:color w:val="auto"/>
                <w:sz w:val="24"/>
                <w:highlight w:val="none"/>
                <w:lang w:val="en-US" w:eastAsia="zh-CN"/>
              </w:rPr>
              <w:t>于2025</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9</w:t>
            </w:r>
            <w:r>
              <w:rPr>
                <w:rFonts w:hint="default" w:ascii="Times New Roman" w:hAnsi="Times New Roman" w:eastAsia="仿宋" w:cs="Times New Roman"/>
                <w:bCs/>
                <w:color w:val="auto"/>
                <w:sz w:val="24"/>
                <w:highlight w:val="none"/>
              </w:rPr>
              <w:t>月建成片式元器件生产线</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打孔、研磨、测试工段委外</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szCs w:val="24"/>
                <w:lang w:val="en-US" w:eastAsia="zh-CN"/>
              </w:rPr>
              <w:t>暂</w:t>
            </w:r>
            <w:r>
              <w:rPr>
                <w:rFonts w:hint="default" w:ascii="Times New Roman" w:hAnsi="Times New Roman" w:eastAsia="仿宋" w:cs="Times New Roman"/>
                <w:bCs/>
                <w:color w:val="auto"/>
                <w:sz w:val="24"/>
                <w:szCs w:val="24"/>
              </w:rPr>
              <w:t>未建设</w:t>
            </w:r>
            <w:r>
              <w:rPr>
                <w:rFonts w:hint="default" w:ascii="Times New Roman" w:hAnsi="Times New Roman" w:eastAsia="仿宋" w:cs="Times New Roman"/>
                <w:bCs/>
                <w:color w:val="auto"/>
                <w:sz w:val="24"/>
                <w:szCs w:val="24"/>
                <w:lang w:val="en-US" w:eastAsia="zh-CN"/>
              </w:rPr>
              <w:t>传感器</w:t>
            </w:r>
            <w:r>
              <w:rPr>
                <w:rFonts w:hint="default" w:ascii="Times New Roman" w:hAnsi="Times New Roman" w:eastAsia="仿宋" w:cs="Times New Roman"/>
                <w:bCs/>
                <w:color w:val="auto"/>
                <w:sz w:val="24"/>
                <w:szCs w:val="24"/>
              </w:rPr>
              <w:t>生产线</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实际产能为</w:t>
            </w:r>
            <w:r>
              <w:rPr>
                <w:rFonts w:hint="default" w:ascii="Times New Roman" w:hAnsi="Times New Roman" w:eastAsia="仿宋" w:cs="Times New Roman"/>
                <w:bCs/>
                <w:color w:val="auto"/>
                <w:sz w:val="24"/>
                <w:highlight w:val="none"/>
              </w:rPr>
              <w:t>年产片式元器件</w:t>
            </w:r>
            <w:r>
              <w:rPr>
                <w:rFonts w:hint="default" w:ascii="Times New Roman" w:hAnsi="Times New Roman" w:eastAsia="仿宋" w:cs="Times New Roman"/>
                <w:bCs/>
                <w:color w:val="auto"/>
                <w:sz w:val="24"/>
                <w:highlight w:val="none"/>
                <w:lang w:val="en-US" w:eastAsia="zh-CN"/>
              </w:rPr>
              <w:t>7</w:t>
            </w:r>
            <w:r>
              <w:rPr>
                <w:rFonts w:hint="default" w:ascii="Times New Roman" w:hAnsi="Times New Roman" w:eastAsia="仿宋" w:cs="Times New Roman"/>
                <w:bCs/>
                <w:color w:val="auto"/>
                <w:sz w:val="24"/>
                <w:highlight w:val="none"/>
              </w:rPr>
              <w:t>000万片/年</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于2025年</w:t>
            </w:r>
            <w:r>
              <w:rPr>
                <w:rFonts w:hint="eastAsia" w:ascii="Times New Roman" w:hAnsi="Times New Roman" w:eastAsia="仿宋" w:cs="Times New Roman"/>
                <w:bCs/>
                <w:color w:val="auto"/>
                <w:sz w:val="24"/>
                <w:highlight w:val="none"/>
                <w:lang w:val="en-US" w:eastAsia="zh-CN"/>
              </w:rPr>
              <w:t>9</w:t>
            </w:r>
            <w:r>
              <w:rPr>
                <w:rFonts w:hint="default" w:ascii="Times New Roman" w:hAnsi="Times New Roman" w:eastAsia="仿宋" w:cs="Times New Roman"/>
                <w:bCs/>
                <w:color w:val="auto"/>
                <w:sz w:val="24"/>
                <w:highlight w:val="none"/>
                <w:lang w:val="en-US" w:eastAsia="zh-CN"/>
              </w:rPr>
              <w:t>月</w:t>
            </w:r>
            <w:r>
              <w:rPr>
                <w:rFonts w:hint="eastAsia" w:ascii="Times New Roman" w:hAnsi="Times New Roman" w:eastAsia="仿宋" w:cs="Times New Roman"/>
                <w:bCs/>
                <w:color w:val="auto"/>
                <w:sz w:val="24"/>
                <w:highlight w:val="none"/>
                <w:lang w:val="en-US" w:eastAsia="zh-CN"/>
              </w:rPr>
              <w:t>28日</w:t>
            </w:r>
            <w:r>
              <w:rPr>
                <w:rFonts w:hint="default" w:ascii="Times New Roman" w:hAnsi="Times New Roman" w:eastAsia="仿宋" w:cs="Times New Roman"/>
                <w:bCs/>
                <w:color w:val="auto"/>
                <w:sz w:val="24"/>
                <w:highlight w:val="none"/>
                <w:lang w:val="en-US" w:eastAsia="zh-CN"/>
              </w:rPr>
              <w:t>通过竣工环境保护部分验收（自主验收）</w:t>
            </w:r>
            <w:r>
              <w:rPr>
                <w:rFonts w:hint="default" w:ascii="Times New Roman" w:hAnsi="Times New Roman" w:eastAsia="仿宋" w:cs="Times New Roman"/>
                <w:bCs/>
                <w:color w:val="auto"/>
                <w:sz w:val="24"/>
                <w:highlight w:val="none"/>
              </w:rPr>
              <w:t>。</w:t>
            </w:r>
          </w:p>
          <w:p w14:paraId="32CC0A8C">
            <w:pPr>
              <w:spacing w:after="0" w:line="360" w:lineRule="auto"/>
              <w:ind w:firstLine="480" w:firstLineChars="200"/>
              <w:jc w:val="both"/>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bCs/>
                <w:color w:val="auto"/>
                <w:sz w:val="24"/>
                <w:highlight w:val="none"/>
                <w:lang w:val="en-US" w:eastAsia="zh-CN"/>
              </w:rPr>
              <w:t>企业于</w:t>
            </w:r>
            <w:r>
              <w:rPr>
                <w:rFonts w:hint="default" w:ascii="Times New Roman" w:hAnsi="Times New Roman" w:eastAsia="仿宋" w:cs="Times New Roman"/>
                <w:bCs/>
                <w:color w:val="auto"/>
                <w:sz w:val="24"/>
                <w:szCs w:val="24"/>
                <w:highlight w:val="none"/>
              </w:rPr>
              <w:t>202</w:t>
            </w:r>
            <w:r>
              <w:rPr>
                <w:rFonts w:hint="default" w:ascii="Times New Roman" w:hAnsi="Times New Roman" w:eastAsia="仿宋" w:cs="Times New Roman"/>
                <w:bCs/>
                <w:color w:val="auto"/>
                <w:sz w:val="24"/>
                <w:szCs w:val="24"/>
                <w:highlight w:val="none"/>
                <w:lang w:val="en-US" w:eastAsia="zh-CN"/>
              </w:rPr>
              <w:t>5</w:t>
            </w:r>
            <w:r>
              <w:rPr>
                <w:rFonts w:hint="default" w:ascii="Times New Roman" w:hAnsi="Times New Roman" w:eastAsia="仿宋" w:cs="Times New Roman"/>
                <w:bCs/>
                <w:color w:val="auto"/>
                <w:sz w:val="24"/>
                <w:szCs w:val="24"/>
                <w:highlight w:val="none"/>
              </w:rPr>
              <w:t>年</w:t>
            </w:r>
            <w:r>
              <w:rPr>
                <w:rFonts w:hint="default" w:ascii="Times New Roman" w:hAnsi="Times New Roman" w:eastAsia="仿宋" w:cs="Times New Roman"/>
                <w:bCs/>
                <w:color w:val="auto"/>
                <w:sz w:val="24"/>
                <w:szCs w:val="24"/>
                <w:highlight w:val="none"/>
                <w:lang w:val="en-US" w:eastAsia="zh-CN"/>
              </w:rPr>
              <w:t>9</w:t>
            </w:r>
            <w:r>
              <w:rPr>
                <w:rFonts w:hint="default" w:ascii="Times New Roman" w:hAnsi="Times New Roman" w:eastAsia="仿宋" w:cs="Times New Roman"/>
                <w:bCs/>
                <w:color w:val="auto"/>
                <w:sz w:val="24"/>
                <w:szCs w:val="24"/>
                <w:highlight w:val="none"/>
              </w:rPr>
              <w:t>月</w:t>
            </w:r>
            <w:r>
              <w:rPr>
                <w:rFonts w:hint="default" w:ascii="Times New Roman" w:hAnsi="Times New Roman" w:eastAsia="仿宋" w:cs="Times New Roman"/>
                <w:bCs/>
                <w:color w:val="auto"/>
                <w:sz w:val="24"/>
                <w:szCs w:val="24"/>
                <w:highlight w:val="none"/>
                <w:lang w:val="en-US" w:eastAsia="zh-CN"/>
              </w:rPr>
              <w:t>1</w:t>
            </w:r>
            <w:r>
              <w:rPr>
                <w:rFonts w:hint="default" w:ascii="Times New Roman" w:hAnsi="Times New Roman" w:eastAsia="仿宋" w:cs="Times New Roman"/>
                <w:bCs/>
                <w:color w:val="auto"/>
                <w:sz w:val="24"/>
                <w:szCs w:val="24"/>
                <w:highlight w:val="none"/>
              </w:rPr>
              <w:t>日</w:t>
            </w:r>
            <w:r>
              <w:rPr>
                <w:rFonts w:hint="default" w:ascii="Times New Roman" w:hAnsi="Times New Roman" w:eastAsia="仿宋" w:cs="Times New Roman"/>
                <w:color w:val="auto"/>
                <w:sz w:val="24"/>
                <w:szCs w:val="24"/>
                <w:highlight w:val="none"/>
              </w:rPr>
              <w:t>进行了首次排污登记，登记编号为91320413MA7EQLYD4G001Y</w:t>
            </w:r>
            <w:r>
              <w:rPr>
                <w:rFonts w:hint="default" w:ascii="Times New Roman" w:hAnsi="Times New Roman" w:eastAsia="仿宋" w:cs="Times New Roman"/>
                <w:color w:val="auto"/>
                <w:kern w:val="2"/>
                <w:sz w:val="24"/>
                <w:szCs w:val="24"/>
                <w:lang w:val="en-US" w:eastAsia="zh-CN" w:bidi="ar-SA"/>
              </w:rPr>
              <w:t>。企业于2025年11月10日取得突发环境事件应急预案备案表（备案编号320413-2025-244-L）。</w:t>
            </w:r>
          </w:p>
          <w:p w14:paraId="5DFE3F48">
            <w:pPr>
              <w:spacing w:after="0" w:line="360" w:lineRule="auto"/>
              <w:ind w:firstLine="480" w:firstLineChars="200"/>
              <w:jc w:val="both"/>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现有项目环保手续履行情况见下表。</w:t>
            </w:r>
          </w:p>
          <w:p w14:paraId="3570F979">
            <w:pPr>
              <w:pStyle w:val="3"/>
              <w:keepNext w:val="0"/>
              <w:keepLines w:val="0"/>
              <w:pageBreakBefore w:val="0"/>
              <w:widowControl w:val="0"/>
              <w:tabs>
                <w:tab w:val="left" w:pos="3503"/>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表2-</w:t>
            </w:r>
            <w:r>
              <w:rPr>
                <w:rFonts w:hint="default" w:ascii="Times New Roman" w:hAnsi="Times New Roman" w:eastAsia="仿宋" w:cs="Times New Roman"/>
                <w:color w:val="auto"/>
                <w:lang w:val="en-US" w:eastAsia="zh-CN"/>
              </w:rPr>
              <w:t>8</w:t>
            </w:r>
            <w:r>
              <w:rPr>
                <w:rFonts w:hint="default" w:ascii="Times New Roman" w:hAnsi="Times New Roman" w:eastAsia="仿宋" w:cs="Times New Roman"/>
                <w:color w:val="auto"/>
                <w:lang w:val="en-US"/>
              </w:rPr>
              <w:t xml:space="preserve">  </w:t>
            </w:r>
            <w:r>
              <w:rPr>
                <w:rFonts w:hint="default" w:ascii="Times New Roman" w:hAnsi="Times New Roman" w:eastAsia="仿宋" w:cs="Times New Roman"/>
                <w:color w:val="auto"/>
              </w:rPr>
              <w:t>现有项目环保手续履行情况</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046"/>
              <w:gridCol w:w="2486"/>
              <w:gridCol w:w="3218"/>
            </w:tblGrid>
            <w:tr w14:paraId="7E306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 w:type="pct"/>
                  <w:tcBorders>
                    <w:tl2br w:val="nil"/>
                    <w:tr2bl w:val="nil"/>
                  </w:tcBorders>
                  <w:shd w:val="clear" w:color="auto" w:fill="auto"/>
                  <w:vAlign w:val="center"/>
                </w:tcPr>
                <w:p w14:paraId="10564F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1218" w:type="pct"/>
                  <w:tcBorders>
                    <w:tl2br w:val="nil"/>
                    <w:tr2bl w:val="nil"/>
                  </w:tcBorders>
                  <w:shd w:val="clear" w:color="auto" w:fill="auto"/>
                  <w:vAlign w:val="center"/>
                </w:tcPr>
                <w:p w14:paraId="3A7963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项目名称</w:t>
                  </w:r>
                </w:p>
              </w:tc>
              <w:tc>
                <w:tcPr>
                  <w:tcW w:w="1480" w:type="pct"/>
                  <w:tcBorders>
                    <w:tl2br w:val="nil"/>
                    <w:tr2bl w:val="nil"/>
                  </w:tcBorders>
                  <w:shd w:val="clear" w:color="auto" w:fill="auto"/>
                  <w:vAlign w:val="center"/>
                </w:tcPr>
                <w:p w14:paraId="2392F8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审批情况</w:t>
                  </w:r>
                </w:p>
              </w:tc>
              <w:tc>
                <w:tcPr>
                  <w:tcW w:w="1914" w:type="pct"/>
                  <w:tcBorders>
                    <w:tl2br w:val="nil"/>
                    <w:tr2bl w:val="nil"/>
                  </w:tcBorders>
                  <w:shd w:val="clear" w:color="auto" w:fill="auto"/>
                  <w:vAlign w:val="center"/>
                </w:tcPr>
                <w:p w14:paraId="53175F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竣工环境保护“三同时”验收</w:t>
                  </w:r>
                </w:p>
              </w:tc>
            </w:tr>
            <w:tr w14:paraId="2D9F0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85" w:type="pct"/>
                  <w:tcBorders>
                    <w:tl2br w:val="nil"/>
                    <w:tr2bl w:val="nil"/>
                  </w:tcBorders>
                  <w:shd w:val="clear" w:color="auto" w:fill="auto"/>
                  <w:vAlign w:val="center"/>
                </w:tcPr>
                <w:p w14:paraId="779F28D6">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1</w:t>
                  </w:r>
                </w:p>
              </w:tc>
              <w:tc>
                <w:tcPr>
                  <w:tcW w:w="1218" w:type="pct"/>
                  <w:tcBorders>
                    <w:tl2br w:val="nil"/>
                    <w:tr2bl w:val="nil"/>
                  </w:tcBorders>
                  <w:shd w:val="clear" w:color="auto" w:fill="auto"/>
                  <w:vAlign w:val="center"/>
                </w:tcPr>
                <w:p w14:paraId="4672F121">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新型电子元器件开发与制造项目</w:t>
                  </w:r>
                </w:p>
              </w:tc>
              <w:tc>
                <w:tcPr>
                  <w:tcW w:w="1480" w:type="pct"/>
                  <w:tcBorders>
                    <w:tl2br w:val="nil"/>
                    <w:tr2bl w:val="nil"/>
                  </w:tcBorders>
                  <w:shd w:val="clear" w:color="auto" w:fill="auto"/>
                  <w:vAlign w:val="center"/>
                </w:tcPr>
                <w:p w14:paraId="1821BD17">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2024</w:t>
                  </w:r>
                  <w:r>
                    <w:rPr>
                      <w:rFonts w:hint="eastAsia" w:eastAsia="仿宋" w:cs="Times New Roman"/>
                      <w:bCs/>
                      <w:color w:val="auto"/>
                      <w:szCs w:val="21"/>
                      <w:lang w:val="en-US" w:eastAsia="zh-CN"/>
                    </w:rPr>
                    <w:t>年</w:t>
                  </w:r>
                  <w:r>
                    <w:rPr>
                      <w:rFonts w:hint="default" w:ascii="Times New Roman" w:hAnsi="Times New Roman" w:eastAsia="仿宋" w:cs="Times New Roman"/>
                      <w:bCs/>
                      <w:color w:val="auto"/>
                      <w:szCs w:val="21"/>
                      <w:lang w:val="en-US" w:eastAsia="zh-CN"/>
                    </w:rPr>
                    <w:t>4</w:t>
                  </w:r>
                  <w:r>
                    <w:rPr>
                      <w:rFonts w:hint="eastAsia" w:eastAsia="仿宋" w:cs="Times New Roman"/>
                      <w:bCs/>
                      <w:color w:val="auto"/>
                      <w:szCs w:val="21"/>
                      <w:lang w:val="en-US" w:eastAsia="zh-CN"/>
                    </w:rPr>
                    <w:t>月</w:t>
                  </w:r>
                  <w:r>
                    <w:rPr>
                      <w:rFonts w:hint="default" w:ascii="Times New Roman" w:hAnsi="Times New Roman" w:eastAsia="仿宋" w:cs="Times New Roman"/>
                      <w:bCs/>
                      <w:color w:val="auto"/>
                      <w:szCs w:val="21"/>
                      <w:lang w:val="en-US" w:eastAsia="zh-CN"/>
                    </w:rPr>
                    <w:t>9日取得常州市生态环境局批复（常金环审〔2024〕48号）</w:t>
                  </w:r>
                </w:p>
              </w:tc>
              <w:tc>
                <w:tcPr>
                  <w:tcW w:w="1914" w:type="pct"/>
                  <w:tcBorders>
                    <w:tl2br w:val="nil"/>
                    <w:tr2bl w:val="nil"/>
                  </w:tcBorders>
                  <w:shd w:val="clear" w:color="auto" w:fill="auto"/>
                  <w:vAlign w:val="center"/>
                </w:tcPr>
                <w:p w14:paraId="5E9832CA">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2025年9月28日通过竣工环境保护部分验收（自主验收），实际年产片式元器件7000万片/年</w:t>
                  </w:r>
                </w:p>
              </w:tc>
            </w:tr>
            <w:tr w14:paraId="6EABA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 w:type="pct"/>
                  <w:tcBorders>
                    <w:tl2br w:val="nil"/>
                    <w:tr2bl w:val="nil"/>
                  </w:tcBorders>
                  <w:shd w:val="clear" w:color="auto" w:fill="auto"/>
                  <w:vAlign w:val="center"/>
                </w:tcPr>
                <w:p w14:paraId="201B0EAE">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w:t>
                  </w:r>
                </w:p>
              </w:tc>
              <w:tc>
                <w:tcPr>
                  <w:tcW w:w="4614" w:type="pct"/>
                  <w:gridSpan w:val="3"/>
                  <w:tcBorders>
                    <w:tl2br w:val="nil"/>
                    <w:tr2bl w:val="nil"/>
                  </w:tcBorders>
                  <w:shd w:val="clear" w:color="auto" w:fill="auto"/>
                  <w:vAlign w:val="center"/>
                </w:tcPr>
                <w:p w14:paraId="7B951264">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2025年9月1日进行了首次排污登记，登记编号为91320413MA7EQLYD4G001Y</w:t>
                  </w:r>
                </w:p>
              </w:tc>
            </w:tr>
            <w:tr w14:paraId="7A477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5" w:type="pct"/>
                  <w:tcBorders>
                    <w:tl2br w:val="nil"/>
                    <w:tr2bl w:val="nil"/>
                  </w:tcBorders>
                  <w:shd w:val="clear" w:color="auto" w:fill="auto"/>
                  <w:vAlign w:val="center"/>
                </w:tcPr>
                <w:p w14:paraId="4FB417F2">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3</w:t>
                  </w:r>
                </w:p>
              </w:tc>
              <w:tc>
                <w:tcPr>
                  <w:tcW w:w="4614" w:type="pct"/>
                  <w:gridSpan w:val="3"/>
                  <w:tcBorders>
                    <w:tl2br w:val="nil"/>
                    <w:tr2bl w:val="nil"/>
                  </w:tcBorders>
                  <w:shd w:val="clear" w:color="auto" w:fill="auto"/>
                  <w:vAlign w:val="center"/>
                </w:tcPr>
                <w:p w14:paraId="67AA60E9">
                  <w:pPr>
                    <w:jc w:val="both"/>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2025年11月10日取得突发环境事件应急预案备案表，备案编号320413-2025-244-L。</w:t>
                  </w:r>
                </w:p>
              </w:tc>
            </w:tr>
          </w:tbl>
          <w:p w14:paraId="7058ED9F">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现有项目产品方案见下表。</w:t>
            </w:r>
          </w:p>
          <w:p w14:paraId="15EEB542">
            <w:pPr>
              <w:pStyle w:val="3"/>
              <w:keepNext w:val="0"/>
              <w:keepLines w:val="0"/>
              <w:pageBreakBefore w:val="0"/>
              <w:widowControl w:val="0"/>
              <w:tabs>
                <w:tab w:val="left" w:pos="3503"/>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表</w:t>
            </w:r>
            <w:r>
              <w:rPr>
                <w:rFonts w:hint="default" w:ascii="Times New Roman" w:hAnsi="Times New Roman" w:eastAsia="仿宋" w:cs="Times New Roman"/>
                <w:color w:val="auto"/>
                <w:lang w:val="en-US" w:eastAsia="zh-CN"/>
              </w:rPr>
              <w:t>2-9</w:t>
            </w:r>
            <w:r>
              <w:rPr>
                <w:rFonts w:hint="default" w:ascii="Times New Roman" w:hAnsi="Times New Roman" w:eastAsia="仿宋" w:cs="Times New Roman"/>
                <w:color w:val="auto"/>
              </w:rPr>
              <w:t xml:space="preserve">  产品方案</w:t>
            </w:r>
          </w:p>
          <w:tbl>
            <w:tblPr>
              <w:tblStyle w:val="26"/>
              <w:tblW w:w="83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0"/>
              <w:gridCol w:w="686"/>
              <w:gridCol w:w="1206"/>
              <w:gridCol w:w="838"/>
              <w:gridCol w:w="841"/>
              <w:gridCol w:w="1766"/>
              <w:gridCol w:w="773"/>
              <w:gridCol w:w="851"/>
            </w:tblGrid>
            <w:tr w14:paraId="00203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27" w:hRule="atLeast"/>
              </w:trPr>
              <w:tc>
                <w:tcPr>
                  <w:tcW w:w="837" w:type="pct"/>
                  <w:vAlign w:val="center"/>
                </w:tcPr>
                <w:p w14:paraId="01AC6831">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主体工程名称</w:t>
                  </w:r>
                </w:p>
              </w:tc>
              <w:tc>
                <w:tcPr>
                  <w:tcW w:w="1131" w:type="pct"/>
                  <w:gridSpan w:val="2"/>
                  <w:vAlign w:val="center"/>
                </w:tcPr>
                <w:p w14:paraId="4E25D0A7">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产品名称及规格</w:t>
                  </w:r>
                </w:p>
              </w:tc>
              <w:tc>
                <w:tcPr>
                  <w:tcW w:w="1004" w:type="pct"/>
                  <w:gridSpan w:val="2"/>
                  <w:vAlign w:val="center"/>
                </w:tcPr>
                <w:p w14:paraId="1BC280FF">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设计能力</w:t>
                  </w:r>
                </w:p>
                <w:p w14:paraId="0FDB7774">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（万</w:t>
                  </w:r>
                  <w:r>
                    <w:rPr>
                      <w:rFonts w:hint="default" w:ascii="Times New Roman" w:hAnsi="Times New Roman" w:eastAsia="仿宋" w:cs="Times New Roman"/>
                      <w:b/>
                      <w:bCs/>
                      <w:color w:val="auto"/>
                      <w:kern w:val="2"/>
                      <w:sz w:val="21"/>
                      <w:szCs w:val="21"/>
                      <w:lang w:val="en-US" w:eastAsia="zh-CN"/>
                    </w:rPr>
                    <w:t>片</w:t>
                  </w:r>
                  <w:r>
                    <w:rPr>
                      <w:rFonts w:hint="default" w:ascii="Times New Roman" w:hAnsi="Times New Roman" w:eastAsia="仿宋" w:cs="Times New Roman"/>
                      <w:b/>
                      <w:bCs/>
                      <w:color w:val="auto"/>
                      <w:kern w:val="2"/>
                      <w:sz w:val="21"/>
                      <w:szCs w:val="21"/>
                    </w:rPr>
                    <w:t>/</w:t>
                  </w:r>
                  <w:r>
                    <w:rPr>
                      <w:rFonts w:hint="default" w:ascii="Times New Roman" w:hAnsi="Times New Roman" w:eastAsia="仿宋" w:cs="Times New Roman"/>
                      <w:b/>
                      <w:bCs/>
                      <w:color w:val="auto"/>
                      <w:kern w:val="2"/>
                      <w:sz w:val="21"/>
                      <w:szCs w:val="21"/>
                      <w:lang w:val="en-US" w:eastAsia="zh-CN"/>
                    </w:rPr>
                    <w:t>年</w:t>
                  </w:r>
                  <w:r>
                    <w:rPr>
                      <w:rFonts w:hint="default" w:ascii="Times New Roman" w:hAnsi="Times New Roman" w:eastAsia="仿宋" w:cs="Times New Roman"/>
                      <w:b/>
                      <w:bCs/>
                      <w:color w:val="auto"/>
                      <w:kern w:val="2"/>
                      <w:sz w:val="21"/>
                      <w:szCs w:val="21"/>
                    </w:rPr>
                    <w:t>）</w:t>
                  </w:r>
                </w:p>
              </w:tc>
              <w:tc>
                <w:tcPr>
                  <w:tcW w:w="1056" w:type="pct"/>
                  <w:vAlign w:val="center"/>
                </w:tcPr>
                <w:p w14:paraId="7182552F">
                  <w:pPr>
                    <w:widowControl w:val="0"/>
                    <w:adjustRightInd/>
                    <w:snapToGrid/>
                    <w:spacing w:after="0"/>
                    <w:jc w:val="center"/>
                    <w:rPr>
                      <w:rFonts w:hint="default" w:ascii="Times New Roman" w:hAnsi="Times New Roman" w:eastAsia="仿宋" w:cs="Times New Roman"/>
                      <w:b/>
                      <w:color w:val="auto"/>
                      <w:kern w:val="2"/>
                      <w:sz w:val="21"/>
                      <w:szCs w:val="21"/>
                    </w:rPr>
                  </w:pPr>
                  <w:r>
                    <w:rPr>
                      <w:rFonts w:hint="default" w:ascii="Times New Roman" w:hAnsi="Times New Roman" w:eastAsia="仿宋" w:cs="Times New Roman"/>
                      <w:b/>
                      <w:color w:val="auto"/>
                      <w:kern w:val="2"/>
                      <w:sz w:val="21"/>
                      <w:szCs w:val="21"/>
                      <w:lang w:val="en-US" w:eastAsia="zh-CN"/>
                    </w:rPr>
                    <w:t>已</w:t>
                  </w:r>
                  <w:r>
                    <w:rPr>
                      <w:rFonts w:hint="default" w:ascii="Times New Roman" w:hAnsi="Times New Roman" w:eastAsia="仿宋" w:cs="Times New Roman"/>
                      <w:b/>
                      <w:color w:val="auto"/>
                      <w:kern w:val="2"/>
                      <w:sz w:val="21"/>
                      <w:szCs w:val="21"/>
                    </w:rPr>
                    <w:t>验收产能</w:t>
                  </w:r>
                </w:p>
                <w:p w14:paraId="300AE72F">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（万</w:t>
                  </w:r>
                  <w:r>
                    <w:rPr>
                      <w:rFonts w:hint="default" w:ascii="Times New Roman" w:hAnsi="Times New Roman" w:eastAsia="仿宋" w:cs="Times New Roman"/>
                      <w:b/>
                      <w:bCs/>
                      <w:color w:val="auto"/>
                      <w:kern w:val="2"/>
                      <w:sz w:val="21"/>
                      <w:szCs w:val="21"/>
                      <w:lang w:val="en-US" w:eastAsia="zh-CN"/>
                    </w:rPr>
                    <w:t>片</w:t>
                  </w:r>
                  <w:r>
                    <w:rPr>
                      <w:rFonts w:hint="default" w:ascii="Times New Roman" w:hAnsi="Times New Roman" w:eastAsia="仿宋" w:cs="Times New Roman"/>
                      <w:b/>
                      <w:bCs/>
                      <w:color w:val="auto"/>
                      <w:kern w:val="2"/>
                      <w:sz w:val="21"/>
                      <w:szCs w:val="21"/>
                    </w:rPr>
                    <w:t>/</w:t>
                  </w:r>
                  <w:r>
                    <w:rPr>
                      <w:rFonts w:hint="default" w:ascii="Times New Roman" w:hAnsi="Times New Roman" w:eastAsia="仿宋" w:cs="Times New Roman"/>
                      <w:b/>
                      <w:bCs/>
                      <w:color w:val="auto"/>
                      <w:kern w:val="2"/>
                      <w:sz w:val="21"/>
                      <w:szCs w:val="21"/>
                      <w:lang w:val="en-US" w:eastAsia="zh-CN"/>
                    </w:rPr>
                    <w:t>年</w:t>
                  </w:r>
                  <w:r>
                    <w:rPr>
                      <w:rFonts w:hint="default" w:ascii="Times New Roman" w:hAnsi="Times New Roman" w:eastAsia="仿宋" w:cs="Times New Roman"/>
                      <w:b/>
                      <w:bCs/>
                      <w:color w:val="auto"/>
                      <w:kern w:val="2"/>
                      <w:sz w:val="21"/>
                      <w:szCs w:val="21"/>
                    </w:rPr>
                    <w:t>）</w:t>
                  </w:r>
                </w:p>
              </w:tc>
              <w:tc>
                <w:tcPr>
                  <w:tcW w:w="971" w:type="pct"/>
                  <w:gridSpan w:val="2"/>
                  <w:vAlign w:val="center"/>
                </w:tcPr>
                <w:p w14:paraId="45511D3B">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未建设产能</w:t>
                  </w:r>
                </w:p>
                <w:p w14:paraId="2D53BA56">
                  <w:pPr>
                    <w:widowControl w:val="0"/>
                    <w:adjustRightInd/>
                    <w:snapToGrid/>
                    <w:spacing w:after="0"/>
                    <w:jc w:val="center"/>
                    <w:rPr>
                      <w:rFonts w:hint="default" w:ascii="Times New Roman" w:hAnsi="Times New Roman" w:eastAsia="仿宋" w:cs="Times New Roman"/>
                      <w:b/>
                      <w:bCs/>
                      <w:color w:val="auto"/>
                      <w:kern w:val="2"/>
                      <w:sz w:val="21"/>
                      <w:szCs w:val="21"/>
                    </w:rPr>
                  </w:pPr>
                  <w:r>
                    <w:rPr>
                      <w:rFonts w:hint="default" w:ascii="Times New Roman" w:hAnsi="Times New Roman" w:eastAsia="仿宋" w:cs="Times New Roman"/>
                      <w:b/>
                      <w:bCs/>
                      <w:color w:val="auto"/>
                      <w:kern w:val="2"/>
                      <w:sz w:val="21"/>
                      <w:szCs w:val="21"/>
                    </w:rPr>
                    <w:t>（万</w:t>
                  </w:r>
                  <w:r>
                    <w:rPr>
                      <w:rFonts w:hint="default" w:ascii="Times New Roman" w:hAnsi="Times New Roman" w:eastAsia="仿宋" w:cs="Times New Roman"/>
                      <w:b/>
                      <w:bCs/>
                      <w:color w:val="auto"/>
                      <w:kern w:val="2"/>
                      <w:sz w:val="21"/>
                      <w:szCs w:val="21"/>
                      <w:lang w:val="en-US" w:eastAsia="zh-CN"/>
                    </w:rPr>
                    <w:t>片</w:t>
                  </w:r>
                  <w:r>
                    <w:rPr>
                      <w:rFonts w:hint="default" w:ascii="Times New Roman" w:hAnsi="Times New Roman" w:eastAsia="仿宋" w:cs="Times New Roman"/>
                      <w:b/>
                      <w:bCs/>
                      <w:color w:val="auto"/>
                      <w:kern w:val="2"/>
                      <w:sz w:val="21"/>
                      <w:szCs w:val="21"/>
                    </w:rPr>
                    <w:t>/</w:t>
                  </w:r>
                  <w:r>
                    <w:rPr>
                      <w:rFonts w:hint="default" w:ascii="Times New Roman" w:hAnsi="Times New Roman" w:eastAsia="仿宋" w:cs="Times New Roman"/>
                      <w:b/>
                      <w:bCs/>
                      <w:color w:val="auto"/>
                      <w:kern w:val="2"/>
                      <w:sz w:val="21"/>
                      <w:szCs w:val="21"/>
                      <w:lang w:val="en-US" w:eastAsia="zh-CN"/>
                    </w:rPr>
                    <w:t>年</w:t>
                  </w:r>
                  <w:r>
                    <w:rPr>
                      <w:rFonts w:hint="default" w:ascii="Times New Roman" w:hAnsi="Times New Roman" w:eastAsia="仿宋" w:cs="Times New Roman"/>
                      <w:b/>
                      <w:bCs/>
                      <w:color w:val="auto"/>
                      <w:kern w:val="2"/>
                      <w:sz w:val="21"/>
                      <w:szCs w:val="21"/>
                    </w:rPr>
                    <w:t>）</w:t>
                  </w:r>
                </w:p>
              </w:tc>
            </w:tr>
            <w:tr w14:paraId="021D4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0" w:hRule="atLeast"/>
              </w:trPr>
              <w:tc>
                <w:tcPr>
                  <w:tcW w:w="837" w:type="pct"/>
                  <w:vMerge w:val="restart"/>
                  <w:vAlign w:val="center"/>
                </w:tcPr>
                <w:p w14:paraId="6F816D16">
                  <w:pPr>
                    <w:widowControl w:val="0"/>
                    <w:adjustRightInd/>
                    <w:snapToGrid/>
                    <w:spacing w:after="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kern w:val="2"/>
                      <w:sz w:val="21"/>
                      <w:szCs w:val="21"/>
                    </w:rPr>
                    <w:t>生产车间</w:t>
                  </w:r>
                </w:p>
              </w:tc>
              <w:tc>
                <w:tcPr>
                  <w:tcW w:w="410" w:type="pct"/>
                  <w:vMerge w:val="restart"/>
                  <w:vAlign w:val="center"/>
                </w:tcPr>
                <w:p w14:paraId="05F80D1A">
                  <w:pPr>
                    <w:widowControl w:val="0"/>
                    <w:adjustRightInd/>
                    <w:snapToGrid/>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传感器</w:t>
                  </w:r>
                </w:p>
              </w:tc>
              <w:tc>
                <w:tcPr>
                  <w:tcW w:w="721" w:type="pct"/>
                  <w:shd w:val="clear" w:color="auto" w:fill="auto"/>
                  <w:vAlign w:val="center"/>
                </w:tcPr>
                <w:p w14:paraId="33C198BA">
                  <w:pPr>
                    <w:widowControl w:val="0"/>
                    <w:adjustRightInd/>
                    <w:snapToGrid/>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IVT-3传感器</w:t>
                  </w:r>
                </w:p>
              </w:tc>
              <w:tc>
                <w:tcPr>
                  <w:tcW w:w="501" w:type="pct"/>
                  <w:vMerge w:val="restart"/>
                  <w:vAlign w:val="center"/>
                </w:tcPr>
                <w:p w14:paraId="07FF3A3A">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300</w:t>
                  </w:r>
                </w:p>
              </w:tc>
              <w:tc>
                <w:tcPr>
                  <w:tcW w:w="502" w:type="pct"/>
                  <w:vAlign w:val="center"/>
                </w:tcPr>
                <w:p w14:paraId="654AA0E2">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40</w:t>
                  </w:r>
                </w:p>
              </w:tc>
              <w:tc>
                <w:tcPr>
                  <w:tcW w:w="1056" w:type="pct"/>
                  <w:vAlign w:val="center"/>
                </w:tcPr>
                <w:p w14:paraId="6BF9B49E">
                  <w:pPr>
                    <w:widowControl w:val="0"/>
                    <w:adjustRightInd/>
                    <w:snapToGrid/>
                    <w:spacing w:after="0"/>
                    <w:jc w:val="center"/>
                    <w:rPr>
                      <w:rFonts w:hint="default" w:ascii="Times New Roman" w:hAnsi="Times New Roman" w:eastAsia="仿宋" w:cs="Times New Roman"/>
                      <w:bCs/>
                      <w:color w:val="auto"/>
                      <w:kern w:val="2"/>
                      <w:sz w:val="21"/>
                      <w:szCs w:val="21"/>
                      <w:lang w:eastAsia="zh-CN"/>
                    </w:rPr>
                  </w:pPr>
                  <w:r>
                    <w:rPr>
                      <w:rFonts w:hint="default" w:ascii="Times New Roman" w:hAnsi="Times New Roman" w:eastAsia="仿宋" w:cs="Times New Roman"/>
                      <w:bCs/>
                      <w:color w:val="auto"/>
                      <w:kern w:val="2"/>
                      <w:sz w:val="21"/>
                      <w:szCs w:val="21"/>
                      <w:lang w:val="en-US" w:eastAsia="zh-CN"/>
                    </w:rPr>
                    <w:t>0</w:t>
                  </w:r>
                </w:p>
              </w:tc>
              <w:tc>
                <w:tcPr>
                  <w:tcW w:w="462" w:type="pct"/>
                  <w:vMerge w:val="restart"/>
                  <w:vAlign w:val="center"/>
                </w:tcPr>
                <w:p w14:paraId="0703355B">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300</w:t>
                  </w:r>
                </w:p>
              </w:tc>
              <w:tc>
                <w:tcPr>
                  <w:tcW w:w="508" w:type="pct"/>
                  <w:vAlign w:val="center"/>
                </w:tcPr>
                <w:p w14:paraId="43287E20">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40</w:t>
                  </w:r>
                </w:p>
              </w:tc>
            </w:tr>
            <w:tr w14:paraId="5A3E9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0" w:hRule="atLeast"/>
              </w:trPr>
              <w:tc>
                <w:tcPr>
                  <w:tcW w:w="837" w:type="pct"/>
                  <w:vMerge w:val="continue"/>
                  <w:vAlign w:val="center"/>
                </w:tcPr>
                <w:p w14:paraId="0177EF0E">
                  <w:pPr>
                    <w:widowControl w:val="0"/>
                    <w:adjustRightInd/>
                    <w:snapToGrid/>
                    <w:spacing w:after="0"/>
                    <w:jc w:val="center"/>
                    <w:rPr>
                      <w:rFonts w:hint="default" w:ascii="Times New Roman" w:hAnsi="Times New Roman" w:eastAsia="仿宋" w:cs="Times New Roman"/>
                      <w:bCs/>
                      <w:color w:val="auto"/>
                      <w:kern w:val="2"/>
                      <w:sz w:val="21"/>
                      <w:szCs w:val="21"/>
                    </w:rPr>
                  </w:pPr>
                </w:p>
              </w:tc>
              <w:tc>
                <w:tcPr>
                  <w:tcW w:w="410" w:type="pct"/>
                  <w:vMerge w:val="continue"/>
                  <w:vAlign w:val="center"/>
                </w:tcPr>
                <w:p w14:paraId="2739D409">
                  <w:pPr>
                    <w:widowControl w:val="0"/>
                    <w:adjustRightInd/>
                    <w:snapToGrid/>
                    <w:spacing w:after="0"/>
                    <w:jc w:val="center"/>
                    <w:rPr>
                      <w:rFonts w:hint="default" w:ascii="Times New Roman" w:hAnsi="Times New Roman" w:eastAsia="仿宋" w:cs="Times New Roman"/>
                      <w:color w:val="auto"/>
                      <w:sz w:val="21"/>
                      <w:szCs w:val="21"/>
                    </w:rPr>
                  </w:pPr>
                </w:p>
              </w:tc>
              <w:tc>
                <w:tcPr>
                  <w:tcW w:w="721" w:type="pct"/>
                  <w:shd w:val="clear" w:color="auto" w:fill="auto"/>
                  <w:vAlign w:val="center"/>
                </w:tcPr>
                <w:p w14:paraId="586AAF7E">
                  <w:pPr>
                    <w:widowControl w:val="0"/>
                    <w:adjustRightInd/>
                    <w:snapToGrid/>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传感器模块</w:t>
                  </w:r>
                </w:p>
              </w:tc>
              <w:tc>
                <w:tcPr>
                  <w:tcW w:w="501" w:type="pct"/>
                  <w:vMerge w:val="continue"/>
                  <w:vAlign w:val="center"/>
                </w:tcPr>
                <w:p w14:paraId="708832C3">
                  <w:pPr>
                    <w:widowControl w:val="0"/>
                    <w:adjustRightInd/>
                    <w:snapToGrid/>
                    <w:spacing w:after="0"/>
                    <w:jc w:val="center"/>
                    <w:rPr>
                      <w:rFonts w:hint="default" w:ascii="Times New Roman" w:hAnsi="Times New Roman" w:eastAsia="仿宋" w:cs="Times New Roman"/>
                      <w:bCs/>
                      <w:color w:val="auto"/>
                      <w:kern w:val="2"/>
                      <w:sz w:val="21"/>
                      <w:szCs w:val="21"/>
                    </w:rPr>
                  </w:pPr>
                </w:p>
              </w:tc>
              <w:tc>
                <w:tcPr>
                  <w:tcW w:w="502" w:type="pct"/>
                  <w:vAlign w:val="center"/>
                </w:tcPr>
                <w:p w14:paraId="273E9B74">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260</w:t>
                  </w:r>
                </w:p>
              </w:tc>
              <w:tc>
                <w:tcPr>
                  <w:tcW w:w="1056" w:type="pct"/>
                  <w:vAlign w:val="center"/>
                </w:tcPr>
                <w:p w14:paraId="34104658">
                  <w:pPr>
                    <w:widowControl w:val="0"/>
                    <w:adjustRightInd/>
                    <w:snapToGrid/>
                    <w:spacing w:after="0"/>
                    <w:jc w:val="center"/>
                    <w:rPr>
                      <w:rFonts w:hint="default" w:ascii="Times New Roman" w:hAnsi="Times New Roman" w:eastAsia="仿宋" w:cs="Times New Roman"/>
                      <w:bCs/>
                      <w:color w:val="auto"/>
                      <w:kern w:val="2"/>
                      <w:sz w:val="21"/>
                      <w:szCs w:val="21"/>
                      <w:lang w:eastAsia="zh-CN"/>
                    </w:rPr>
                  </w:pPr>
                  <w:r>
                    <w:rPr>
                      <w:rFonts w:hint="default" w:ascii="Times New Roman" w:hAnsi="Times New Roman" w:eastAsia="仿宋" w:cs="Times New Roman"/>
                      <w:bCs/>
                      <w:color w:val="auto"/>
                      <w:kern w:val="2"/>
                      <w:sz w:val="21"/>
                      <w:szCs w:val="21"/>
                      <w:lang w:val="en-US" w:eastAsia="zh-CN"/>
                    </w:rPr>
                    <w:t>0</w:t>
                  </w:r>
                </w:p>
              </w:tc>
              <w:tc>
                <w:tcPr>
                  <w:tcW w:w="462" w:type="pct"/>
                  <w:vMerge w:val="continue"/>
                  <w:vAlign w:val="center"/>
                </w:tcPr>
                <w:p w14:paraId="6F678032">
                  <w:pPr>
                    <w:widowControl w:val="0"/>
                    <w:adjustRightInd/>
                    <w:snapToGrid/>
                    <w:spacing w:after="0"/>
                    <w:jc w:val="center"/>
                    <w:rPr>
                      <w:rFonts w:hint="default" w:ascii="Times New Roman" w:hAnsi="Times New Roman" w:eastAsia="仿宋" w:cs="Times New Roman"/>
                      <w:bCs/>
                      <w:color w:val="auto"/>
                      <w:kern w:val="2"/>
                      <w:sz w:val="21"/>
                      <w:szCs w:val="21"/>
                    </w:rPr>
                  </w:pPr>
                </w:p>
              </w:tc>
              <w:tc>
                <w:tcPr>
                  <w:tcW w:w="508" w:type="pct"/>
                  <w:vAlign w:val="center"/>
                </w:tcPr>
                <w:p w14:paraId="1468C87B">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260</w:t>
                  </w:r>
                </w:p>
              </w:tc>
            </w:tr>
            <w:tr w14:paraId="6A5F1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0" w:hRule="atLeast"/>
              </w:trPr>
              <w:tc>
                <w:tcPr>
                  <w:tcW w:w="837" w:type="pct"/>
                  <w:vMerge w:val="continue"/>
                  <w:vAlign w:val="center"/>
                </w:tcPr>
                <w:p w14:paraId="5EC4C54E">
                  <w:pPr>
                    <w:widowControl w:val="0"/>
                    <w:adjustRightInd/>
                    <w:snapToGrid/>
                    <w:spacing w:after="0"/>
                    <w:jc w:val="center"/>
                    <w:rPr>
                      <w:rFonts w:hint="default" w:ascii="Times New Roman" w:hAnsi="Times New Roman" w:eastAsia="仿宋" w:cs="Times New Roman"/>
                      <w:bCs/>
                      <w:color w:val="auto"/>
                      <w:kern w:val="2"/>
                      <w:sz w:val="21"/>
                      <w:szCs w:val="21"/>
                    </w:rPr>
                  </w:pPr>
                </w:p>
              </w:tc>
              <w:tc>
                <w:tcPr>
                  <w:tcW w:w="1131" w:type="pct"/>
                  <w:gridSpan w:val="2"/>
                  <w:vAlign w:val="center"/>
                </w:tcPr>
                <w:p w14:paraId="414F54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片式元器件</w:t>
                  </w:r>
                </w:p>
              </w:tc>
              <w:tc>
                <w:tcPr>
                  <w:tcW w:w="1004" w:type="pct"/>
                  <w:gridSpan w:val="2"/>
                  <w:vAlign w:val="center"/>
                </w:tcPr>
                <w:p w14:paraId="1B703376">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14000</w:t>
                  </w:r>
                </w:p>
              </w:tc>
              <w:tc>
                <w:tcPr>
                  <w:tcW w:w="1056" w:type="pct"/>
                  <w:vAlign w:val="center"/>
                </w:tcPr>
                <w:p w14:paraId="3A72FBB3">
                  <w:pPr>
                    <w:widowControl w:val="0"/>
                    <w:adjustRightInd/>
                    <w:snapToGrid/>
                    <w:spacing w:after="0"/>
                    <w:jc w:val="center"/>
                    <w:rPr>
                      <w:rFonts w:hint="default" w:ascii="Times New Roman" w:hAnsi="Times New Roman" w:eastAsia="仿宋" w:cs="Times New Roman"/>
                      <w:bCs/>
                      <w:color w:val="auto"/>
                      <w:kern w:val="2"/>
                      <w:sz w:val="21"/>
                      <w:szCs w:val="21"/>
                      <w:lang w:val="en-US" w:eastAsia="zh-CN"/>
                    </w:rPr>
                  </w:pPr>
                  <w:r>
                    <w:rPr>
                      <w:rFonts w:hint="default" w:ascii="Times New Roman" w:hAnsi="Times New Roman" w:eastAsia="仿宋" w:cs="Times New Roman"/>
                      <w:bCs/>
                      <w:color w:val="auto"/>
                      <w:kern w:val="2"/>
                      <w:sz w:val="21"/>
                      <w:szCs w:val="21"/>
                      <w:lang w:val="en-US" w:eastAsia="zh-CN"/>
                    </w:rPr>
                    <w:t>7000</w:t>
                  </w:r>
                </w:p>
              </w:tc>
              <w:tc>
                <w:tcPr>
                  <w:tcW w:w="971" w:type="pct"/>
                  <w:gridSpan w:val="2"/>
                  <w:vAlign w:val="center"/>
                </w:tcPr>
                <w:p w14:paraId="682EE6F4">
                  <w:pPr>
                    <w:widowControl w:val="0"/>
                    <w:adjustRightInd/>
                    <w:snapToGrid/>
                    <w:spacing w:after="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kern w:val="2"/>
                      <w:sz w:val="21"/>
                      <w:szCs w:val="21"/>
                      <w:lang w:val="en-US" w:eastAsia="zh-CN"/>
                    </w:rPr>
                    <w:t>700</w:t>
                  </w:r>
                  <w:r>
                    <w:rPr>
                      <w:rFonts w:hint="default" w:ascii="Times New Roman" w:hAnsi="Times New Roman" w:eastAsia="仿宋" w:cs="Times New Roman"/>
                      <w:bCs/>
                      <w:color w:val="auto"/>
                      <w:kern w:val="2"/>
                      <w:sz w:val="21"/>
                      <w:szCs w:val="21"/>
                    </w:rPr>
                    <w:t>0</w:t>
                  </w:r>
                </w:p>
              </w:tc>
            </w:tr>
          </w:tbl>
          <w:p w14:paraId="1D84C45D">
            <w:pPr>
              <w:pStyle w:val="2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注：已建成的</w:t>
            </w:r>
            <w:r>
              <w:rPr>
                <w:rFonts w:hint="default" w:ascii="Times New Roman" w:hAnsi="Times New Roman" w:eastAsia="仿宋" w:cs="Times New Roman"/>
                <w:color w:val="auto"/>
                <w:sz w:val="21"/>
                <w:szCs w:val="21"/>
              </w:rPr>
              <w:t>片式元器件</w:t>
            </w:r>
            <w:r>
              <w:rPr>
                <w:rFonts w:hint="default" w:ascii="Times New Roman" w:hAnsi="Times New Roman" w:eastAsia="仿宋" w:cs="Times New Roman"/>
                <w:color w:val="auto"/>
                <w:sz w:val="21"/>
                <w:szCs w:val="21"/>
                <w:lang w:val="en-US" w:eastAsia="zh-CN"/>
              </w:rPr>
              <w:t>生产工艺不含</w:t>
            </w:r>
            <w:r>
              <w:rPr>
                <w:rFonts w:hint="default" w:ascii="Times New Roman" w:hAnsi="Times New Roman" w:eastAsia="仿宋" w:cs="Times New Roman"/>
                <w:bCs/>
                <w:color w:val="auto"/>
                <w:sz w:val="21"/>
                <w:szCs w:val="21"/>
                <w:highlight w:val="none"/>
              </w:rPr>
              <w:t>打孔、研磨、测试工段</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均委外。</w:t>
            </w:r>
          </w:p>
          <w:p w14:paraId="5A961C6D">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2、现有项目生产工艺</w:t>
            </w:r>
          </w:p>
          <w:p w14:paraId="0943F06A">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color w:val="auto"/>
                <w:kern w:val="2"/>
                <w:sz w:val="24"/>
                <w:szCs w:val="24"/>
                <w:highlight w:val="none"/>
                <w:lang w:val="en-US" w:eastAsia="zh-CN" w:bidi="ar-SA"/>
              </w:rPr>
              <w:t>根据现有环评、批复及验收材料，目前</w:t>
            </w:r>
            <w:r>
              <w:rPr>
                <w:rFonts w:hint="default" w:ascii="Times New Roman" w:hAnsi="Times New Roman" w:eastAsia="仿宋" w:cs="Times New Roman"/>
                <w:bCs/>
                <w:color w:val="auto"/>
                <w:sz w:val="24"/>
                <w:szCs w:val="24"/>
                <w:lang w:val="en-US" w:eastAsia="zh-CN"/>
              </w:rPr>
              <w:t>暂</w:t>
            </w:r>
            <w:r>
              <w:rPr>
                <w:rFonts w:hint="default" w:ascii="Times New Roman" w:hAnsi="Times New Roman" w:eastAsia="仿宋" w:cs="Times New Roman"/>
                <w:bCs/>
                <w:color w:val="auto"/>
                <w:sz w:val="24"/>
                <w:szCs w:val="24"/>
              </w:rPr>
              <w:t>未建设</w:t>
            </w:r>
            <w:r>
              <w:rPr>
                <w:rFonts w:hint="default" w:ascii="Times New Roman" w:hAnsi="Times New Roman" w:eastAsia="仿宋" w:cs="Times New Roman"/>
                <w:bCs/>
                <w:color w:val="auto"/>
                <w:sz w:val="24"/>
                <w:szCs w:val="24"/>
                <w:lang w:val="en-US" w:eastAsia="zh-CN"/>
              </w:rPr>
              <w:t>传感器</w:t>
            </w:r>
            <w:r>
              <w:rPr>
                <w:rFonts w:hint="default" w:ascii="Times New Roman" w:hAnsi="Times New Roman" w:eastAsia="仿宋" w:cs="Times New Roman"/>
                <w:bCs/>
                <w:color w:val="auto"/>
                <w:sz w:val="24"/>
                <w:szCs w:val="24"/>
              </w:rPr>
              <w:t>生产线</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color w:val="auto"/>
                <w:kern w:val="2"/>
                <w:sz w:val="24"/>
                <w:szCs w:val="24"/>
                <w:highlight w:val="none"/>
                <w:lang w:val="en-US" w:eastAsia="zh-CN" w:bidi="ar-SA"/>
              </w:rPr>
              <w:t>在产的</w:t>
            </w:r>
            <w:r>
              <w:rPr>
                <w:rFonts w:hint="default" w:ascii="Times New Roman" w:hAnsi="Times New Roman" w:eastAsia="仿宋" w:cs="Times New Roman"/>
                <w:bCs/>
                <w:color w:val="auto"/>
                <w:sz w:val="24"/>
                <w:highlight w:val="none"/>
              </w:rPr>
              <w:t>片式元器件生产工艺流程及产污环节</w:t>
            </w:r>
            <w:r>
              <w:rPr>
                <w:rFonts w:hint="default" w:ascii="Times New Roman" w:hAnsi="Times New Roman" w:eastAsia="仿宋" w:cs="Times New Roman"/>
                <w:bCs/>
                <w:color w:val="auto"/>
                <w:sz w:val="24"/>
                <w:highlight w:val="none"/>
                <w:lang w:val="en-US" w:eastAsia="zh-CN"/>
              </w:rPr>
              <w:t>图如下：</w:t>
            </w:r>
          </w:p>
          <w:p w14:paraId="1F03D62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lang w:val="en-US" w:eastAsia="zh-CN"/>
              </w:rPr>
            </w:pPr>
          </w:p>
          <w:p w14:paraId="4AB68174">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lang w:val="en-US" w:eastAsia="zh-CN"/>
              </w:rPr>
            </w:pPr>
          </w:p>
          <w:p w14:paraId="04C91B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color w:val="auto"/>
              </w:rPr>
              <w:drawing>
                <wp:inline distT="0" distB="0" distL="114300" distR="114300">
                  <wp:extent cx="5220970" cy="2727960"/>
                  <wp:effectExtent l="0" t="0" r="17780"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20970" cy="2727960"/>
                          </a:xfrm>
                          <a:prstGeom prst="rect">
                            <a:avLst/>
                          </a:prstGeom>
                          <a:noFill/>
                          <a:ln>
                            <a:noFill/>
                          </a:ln>
                        </pic:spPr>
                      </pic:pic>
                    </a:graphicData>
                  </a:graphic>
                </wp:inline>
              </w:drawing>
            </w:r>
          </w:p>
          <w:p w14:paraId="1ADF8A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
                <w:bCs/>
                <w:color w:val="auto"/>
                <w:sz w:val="24"/>
              </w:rPr>
              <w:t>图2-</w:t>
            </w:r>
            <w:r>
              <w:rPr>
                <w:rFonts w:hint="default" w:ascii="Times New Roman" w:hAnsi="Times New Roman" w:eastAsia="仿宋" w:cs="Times New Roman"/>
                <w:b/>
                <w:bCs/>
                <w:color w:val="auto"/>
                <w:sz w:val="24"/>
                <w:lang w:val="en-US" w:eastAsia="zh-CN"/>
              </w:rPr>
              <w:t>7</w:t>
            </w:r>
            <w:r>
              <w:rPr>
                <w:rFonts w:hint="default" w:ascii="Times New Roman" w:hAnsi="Times New Roman" w:eastAsia="仿宋" w:cs="Times New Roman"/>
                <w:b/>
                <w:bCs/>
                <w:color w:val="auto"/>
                <w:sz w:val="24"/>
              </w:rPr>
              <w:t xml:space="preserve">  片式元器件生产工艺流程图</w:t>
            </w:r>
          </w:p>
          <w:p w14:paraId="06B8115B">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3、现有项目污染物产排情况及达标排放情况</w:t>
            </w:r>
          </w:p>
          <w:p w14:paraId="68F07629">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根据现有环评、批复及验收材料，目前在产的</w:t>
            </w:r>
            <w:r>
              <w:rPr>
                <w:rFonts w:hint="default" w:ascii="Times New Roman" w:hAnsi="Times New Roman" w:eastAsia="仿宋" w:cs="Times New Roman"/>
                <w:bCs/>
                <w:color w:val="auto"/>
                <w:sz w:val="24"/>
                <w:highlight w:val="none"/>
              </w:rPr>
              <w:t>片式元器件</w:t>
            </w:r>
            <w:r>
              <w:rPr>
                <w:rFonts w:hint="default" w:ascii="Times New Roman" w:hAnsi="Times New Roman" w:eastAsia="仿宋" w:cs="Times New Roman"/>
                <w:bCs/>
                <w:color w:val="auto"/>
                <w:sz w:val="24"/>
                <w:highlight w:val="none"/>
                <w:lang w:val="en-US" w:eastAsia="zh-CN"/>
              </w:rPr>
              <w:t>污染物</w:t>
            </w:r>
            <w:r>
              <w:rPr>
                <w:rFonts w:hint="default" w:ascii="Times New Roman" w:hAnsi="Times New Roman" w:eastAsia="仿宋" w:cs="Times New Roman"/>
                <w:color w:val="auto"/>
                <w:kern w:val="2"/>
                <w:sz w:val="24"/>
                <w:szCs w:val="24"/>
                <w:lang w:val="en-US" w:eastAsia="zh-CN" w:bidi="ar-SA"/>
              </w:rPr>
              <w:t>产排情况及达标排放情况如下：</w:t>
            </w:r>
          </w:p>
          <w:p w14:paraId="0369F61A">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（1）废气</w:t>
            </w:r>
          </w:p>
          <w:p w14:paraId="2D3094EC">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现有项目稳定废气经集气管收集进入2#干式过滤+油雾过滤+2#两级活性炭吸附装置后通过1根25m高2#排气筒排放；酸洗、防氧化废气经集气罩收集后与危废仓库废气一并进入碱液喷淋塔</w:t>
            </w:r>
            <w:r>
              <w:rPr>
                <w:rFonts w:hint="eastAsia" w:eastAsia="仿宋" w:cs="Times New Roman"/>
                <w:color w:val="auto"/>
                <w:kern w:val="2"/>
                <w:sz w:val="24"/>
                <w:szCs w:val="24"/>
                <w:lang w:val="en-US" w:eastAsia="zh-CN" w:bidi="ar-SA"/>
              </w:rPr>
              <w:t>（含吸水填料）</w:t>
            </w:r>
            <w:r>
              <w:rPr>
                <w:rFonts w:hint="default" w:ascii="Times New Roman" w:hAnsi="Times New Roman" w:eastAsia="仿宋" w:cs="Times New Roman"/>
                <w:color w:val="auto"/>
                <w:kern w:val="2"/>
                <w:sz w:val="24"/>
                <w:szCs w:val="24"/>
                <w:lang w:val="en-US" w:eastAsia="zh-CN" w:bidi="ar-SA"/>
              </w:rPr>
              <w:t>+3#两级活性炭吸附装置，最后通过1根25m高3#排气筒排放。未捕集的废气无组织排放。</w:t>
            </w:r>
          </w:p>
          <w:p w14:paraId="0EFE0B20">
            <w:pPr>
              <w:pStyle w:val="9"/>
              <w:spacing w:line="360" w:lineRule="auto"/>
              <w:ind w:firstLine="480" w:firstLineChars="200"/>
              <w:rPr>
                <w:rFonts w:hint="default" w:ascii="Times New Roman" w:hAnsi="Times New Roman" w:eastAsia="仿宋" w:cs="Times New Roman"/>
                <w:bCs/>
                <w:color w:val="auto"/>
                <w:szCs w:val="24"/>
                <w:highlight w:val="none"/>
              </w:rPr>
            </w:pPr>
            <w:r>
              <w:rPr>
                <w:rFonts w:hint="default" w:ascii="Times New Roman" w:hAnsi="Times New Roman" w:eastAsia="仿宋" w:cs="Times New Roman"/>
                <w:bCs/>
                <w:color w:val="auto"/>
                <w:szCs w:val="24"/>
                <w:highlight w:val="none"/>
              </w:rPr>
              <w:t>现有项目</w:t>
            </w:r>
            <w:r>
              <w:rPr>
                <w:rFonts w:hint="default" w:ascii="Times New Roman" w:hAnsi="Times New Roman" w:eastAsia="仿宋" w:cs="Times New Roman"/>
                <w:bCs/>
                <w:color w:val="auto"/>
                <w:szCs w:val="24"/>
                <w:highlight w:val="none"/>
                <w:lang w:val="en-US" w:eastAsia="zh-CN"/>
              </w:rPr>
              <w:t>有组织</w:t>
            </w:r>
            <w:r>
              <w:rPr>
                <w:rFonts w:hint="default" w:ascii="Times New Roman" w:hAnsi="Times New Roman" w:eastAsia="仿宋" w:cs="Times New Roman"/>
                <w:bCs/>
                <w:color w:val="auto"/>
                <w:szCs w:val="24"/>
                <w:highlight w:val="none"/>
              </w:rPr>
              <w:t>废气验收监测结果见</w:t>
            </w:r>
            <w:r>
              <w:rPr>
                <w:rFonts w:hint="default" w:ascii="Times New Roman" w:hAnsi="Times New Roman" w:eastAsia="仿宋" w:cs="Times New Roman"/>
                <w:bCs/>
                <w:color w:val="auto"/>
                <w:szCs w:val="24"/>
                <w:highlight w:val="none"/>
                <w:lang w:val="en-US" w:eastAsia="zh-CN"/>
              </w:rPr>
              <w:t>表2-10，无组织废气</w:t>
            </w:r>
            <w:r>
              <w:rPr>
                <w:rFonts w:hint="default" w:ascii="Times New Roman" w:hAnsi="Times New Roman" w:eastAsia="仿宋" w:cs="Times New Roman"/>
                <w:bCs/>
                <w:color w:val="auto"/>
                <w:szCs w:val="24"/>
                <w:highlight w:val="none"/>
              </w:rPr>
              <w:t>验收监测结果见</w:t>
            </w:r>
            <w:r>
              <w:rPr>
                <w:rFonts w:hint="default" w:ascii="Times New Roman" w:hAnsi="Times New Roman" w:eastAsia="仿宋" w:cs="Times New Roman"/>
                <w:bCs/>
                <w:color w:val="auto"/>
                <w:szCs w:val="24"/>
                <w:highlight w:val="none"/>
                <w:lang w:val="en-US" w:eastAsia="zh-CN"/>
              </w:rPr>
              <w:t>表2-11</w:t>
            </w:r>
            <w:r>
              <w:rPr>
                <w:rFonts w:hint="default" w:ascii="Times New Roman" w:hAnsi="Times New Roman" w:eastAsia="仿宋" w:cs="Times New Roman"/>
                <w:bCs/>
                <w:color w:val="auto"/>
                <w:szCs w:val="24"/>
                <w:highlight w:val="none"/>
              </w:rPr>
              <w:t>。</w:t>
            </w:r>
          </w:p>
          <w:p w14:paraId="19EEFB0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3A56004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0D3C88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4DC4AF2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5BE03FF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41D55EC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4D70A60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5FD88BE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509681A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22AEA72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7DE82A3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6C662C0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5EB9353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p>
          <w:p w14:paraId="15E5A3E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表</w:t>
            </w:r>
            <w:r>
              <w:rPr>
                <w:rFonts w:hint="default" w:ascii="Times New Roman" w:hAnsi="Times New Roman" w:eastAsia="仿宋" w:cs="Times New Roman"/>
                <w:b/>
                <w:bCs w:val="0"/>
                <w:color w:val="auto"/>
                <w:kern w:val="0"/>
                <w:sz w:val="24"/>
                <w:szCs w:val="24"/>
                <w:highlight w:val="none"/>
                <w:lang w:val="en-US" w:eastAsia="zh-CN" w:bidi="ar-SA"/>
              </w:rPr>
              <w:t>2-10</w:t>
            </w:r>
            <w:r>
              <w:rPr>
                <w:rFonts w:hint="default" w:ascii="Times New Roman" w:hAnsi="Times New Roman" w:eastAsia="仿宋" w:cs="Times New Roman"/>
                <w:b/>
                <w:bCs w:val="0"/>
                <w:color w:val="auto"/>
                <w:sz w:val="24"/>
                <w:szCs w:val="24"/>
                <w:highlight w:val="none"/>
              </w:rPr>
              <w:t xml:space="preserve">  </w:t>
            </w:r>
            <w:r>
              <w:rPr>
                <w:rFonts w:hint="default" w:ascii="Times New Roman" w:hAnsi="Times New Roman" w:eastAsia="仿宋" w:cs="Times New Roman"/>
                <w:b/>
                <w:color w:val="auto"/>
                <w:sz w:val="24"/>
                <w:szCs w:val="24"/>
              </w:rPr>
              <w:t>有组织废气监测结果一览表</w:t>
            </w:r>
          </w:p>
          <w:tbl>
            <w:tblPr>
              <w:tblStyle w:val="26"/>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947"/>
              <w:gridCol w:w="784"/>
              <w:gridCol w:w="1773"/>
              <w:gridCol w:w="1135"/>
              <w:gridCol w:w="1061"/>
              <w:gridCol w:w="1110"/>
              <w:gridCol w:w="792"/>
            </w:tblGrid>
            <w:tr w14:paraId="39F3A3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exact"/>
                <w:tblHeader/>
                <w:jc w:val="center"/>
              </w:trPr>
              <w:tc>
                <w:tcPr>
                  <w:tcW w:w="469" w:type="pct"/>
                  <w:tcBorders>
                    <w:tl2br w:val="nil"/>
                    <w:tr2bl w:val="nil"/>
                  </w:tcBorders>
                  <w:vAlign w:val="center"/>
                </w:tcPr>
                <w:p w14:paraId="25CE917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采样</w:t>
                  </w:r>
                </w:p>
                <w:p w14:paraId="00B052D0">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日期</w:t>
                  </w:r>
                </w:p>
              </w:tc>
              <w:tc>
                <w:tcPr>
                  <w:tcW w:w="564" w:type="pct"/>
                  <w:tcBorders>
                    <w:tl2br w:val="nil"/>
                    <w:tr2bl w:val="nil"/>
                  </w:tcBorders>
                  <w:vAlign w:val="center"/>
                </w:tcPr>
                <w:p w14:paraId="0765A658">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采样点位</w:t>
                  </w:r>
                </w:p>
              </w:tc>
              <w:tc>
                <w:tcPr>
                  <w:tcW w:w="1523" w:type="pct"/>
                  <w:gridSpan w:val="2"/>
                  <w:tcBorders>
                    <w:tl2br w:val="nil"/>
                    <w:tr2bl w:val="nil"/>
                  </w:tcBorders>
                  <w:vAlign w:val="center"/>
                </w:tcPr>
                <w:p w14:paraId="61AB3AF6">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检测项目</w:t>
                  </w:r>
                </w:p>
              </w:tc>
              <w:tc>
                <w:tcPr>
                  <w:tcW w:w="676" w:type="pct"/>
                  <w:tcBorders>
                    <w:tl2br w:val="nil"/>
                    <w:tr2bl w:val="nil"/>
                  </w:tcBorders>
                  <w:vAlign w:val="center"/>
                </w:tcPr>
                <w:p w14:paraId="0101CF2B">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w w:val="99"/>
                      <w:sz w:val="21"/>
                      <w:szCs w:val="21"/>
                    </w:rPr>
                    <w:t>第一次</w:t>
                  </w:r>
                </w:p>
              </w:tc>
              <w:tc>
                <w:tcPr>
                  <w:tcW w:w="632" w:type="pct"/>
                  <w:tcBorders>
                    <w:tl2br w:val="nil"/>
                    <w:tr2bl w:val="nil"/>
                  </w:tcBorders>
                  <w:vAlign w:val="center"/>
                </w:tcPr>
                <w:p w14:paraId="3D754DAF">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w w:val="99"/>
                      <w:sz w:val="21"/>
                      <w:szCs w:val="21"/>
                    </w:rPr>
                    <w:t>第二次</w:t>
                  </w:r>
                </w:p>
              </w:tc>
              <w:tc>
                <w:tcPr>
                  <w:tcW w:w="661" w:type="pct"/>
                  <w:tcBorders>
                    <w:tl2br w:val="nil"/>
                    <w:tr2bl w:val="nil"/>
                  </w:tcBorders>
                  <w:vAlign w:val="center"/>
                </w:tcPr>
                <w:p w14:paraId="5831FABB">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w w:val="99"/>
                      <w:sz w:val="21"/>
                      <w:szCs w:val="21"/>
                    </w:rPr>
                    <w:t>第三次</w:t>
                  </w:r>
                </w:p>
              </w:tc>
              <w:tc>
                <w:tcPr>
                  <w:tcW w:w="472" w:type="pct"/>
                  <w:tcBorders>
                    <w:tl2br w:val="nil"/>
                    <w:tr2bl w:val="nil"/>
                  </w:tcBorders>
                  <w:vAlign w:val="center"/>
                </w:tcPr>
                <w:p w14:paraId="106CBA2B">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验收</w:t>
                  </w:r>
                </w:p>
                <w:p w14:paraId="362EBC1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w:t>
                  </w:r>
                </w:p>
              </w:tc>
            </w:tr>
            <w:tr w14:paraId="45E16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jc w:val="center"/>
              </w:trPr>
              <w:tc>
                <w:tcPr>
                  <w:tcW w:w="469" w:type="pct"/>
                  <w:vMerge w:val="restart"/>
                  <w:tcBorders>
                    <w:tl2br w:val="nil"/>
                    <w:tr2bl w:val="nil"/>
                  </w:tcBorders>
                  <w:vAlign w:val="center"/>
                </w:tcPr>
                <w:p w14:paraId="56B654A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p>
              </w:tc>
              <w:tc>
                <w:tcPr>
                  <w:tcW w:w="564" w:type="pct"/>
                  <w:vMerge w:val="restart"/>
                  <w:tcBorders>
                    <w:tl2br w:val="nil"/>
                    <w:tr2bl w:val="nil"/>
                  </w:tcBorders>
                  <w:vAlign w:val="center"/>
                </w:tcPr>
                <w:p w14:paraId="2BDB36D5">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2#排气筒进</w:t>
                  </w:r>
                  <w:r>
                    <w:rPr>
                      <w:rFonts w:hint="default" w:ascii="Times New Roman" w:hAnsi="Times New Roman" w:eastAsia="仿宋" w:cs="Times New Roman"/>
                      <w:color w:val="auto"/>
                      <w:sz w:val="21"/>
                      <w:szCs w:val="21"/>
                    </w:rPr>
                    <w:t>口</w:t>
                  </w:r>
                </w:p>
              </w:tc>
              <w:tc>
                <w:tcPr>
                  <w:tcW w:w="1523" w:type="pct"/>
                  <w:gridSpan w:val="2"/>
                  <w:tcBorders>
                    <w:tl2br w:val="nil"/>
                    <w:tr2bl w:val="nil"/>
                  </w:tcBorders>
                  <w:vAlign w:val="center"/>
                </w:tcPr>
                <w:p w14:paraId="13D355E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2D928409">
                  <w:pPr>
                    <w:pStyle w:val="61"/>
                    <w:keepNext w:val="0"/>
                    <w:keepLines w:val="0"/>
                    <w:pageBreakBefore w:val="0"/>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1034</w:t>
                  </w:r>
                </w:p>
              </w:tc>
              <w:tc>
                <w:tcPr>
                  <w:tcW w:w="632" w:type="pct"/>
                  <w:tcBorders>
                    <w:tl2br w:val="nil"/>
                    <w:tr2bl w:val="nil"/>
                  </w:tcBorders>
                  <w:vAlign w:val="center"/>
                </w:tcPr>
                <w:p w14:paraId="68E02B4D">
                  <w:pPr>
                    <w:pStyle w:val="61"/>
                    <w:keepNext w:val="0"/>
                    <w:keepLines w:val="0"/>
                    <w:pageBreakBefore w:val="0"/>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1293</w:t>
                  </w:r>
                </w:p>
              </w:tc>
              <w:tc>
                <w:tcPr>
                  <w:tcW w:w="661" w:type="pct"/>
                  <w:tcBorders>
                    <w:tl2br w:val="nil"/>
                    <w:tr2bl w:val="nil"/>
                  </w:tcBorders>
                  <w:vAlign w:val="center"/>
                </w:tcPr>
                <w:p w14:paraId="7AEA2799">
                  <w:pPr>
                    <w:pStyle w:val="61"/>
                    <w:keepNext w:val="0"/>
                    <w:keepLines w:val="0"/>
                    <w:pageBreakBefore w:val="0"/>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1059</w:t>
                  </w:r>
                </w:p>
              </w:tc>
              <w:tc>
                <w:tcPr>
                  <w:tcW w:w="472" w:type="pct"/>
                  <w:tcBorders>
                    <w:tl2br w:val="nil"/>
                    <w:tr2bl w:val="nil"/>
                  </w:tcBorders>
                  <w:vAlign w:val="center"/>
                </w:tcPr>
                <w:p w14:paraId="03FE17BD">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11DBEE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3C27D17">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0745C695">
                  <w:pPr>
                    <w:keepNext w:val="0"/>
                    <w:keepLines w:val="0"/>
                    <w:pageBreakBefore w:val="0"/>
                    <w:widowControl/>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1ADFF2E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1C7691A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0BBDEE8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3"/>
                      <w:sz w:val="21"/>
                      <w:szCs w:val="21"/>
                    </w:rPr>
                    <w:t>9.93</w:t>
                  </w:r>
                </w:p>
              </w:tc>
              <w:tc>
                <w:tcPr>
                  <w:tcW w:w="632" w:type="pct"/>
                  <w:tcBorders>
                    <w:tl2br w:val="nil"/>
                    <w:tr2bl w:val="nil"/>
                  </w:tcBorders>
                  <w:vAlign w:val="center"/>
                </w:tcPr>
                <w:p w14:paraId="1073D85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10.1</w:t>
                  </w:r>
                </w:p>
              </w:tc>
              <w:tc>
                <w:tcPr>
                  <w:tcW w:w="661" w:type="pct"/>
                  <w:tcBorders>
                    <w:tl2br w:val="nil"/>
                    <w:tr2bl w:val="nil"/>
                  </w:tcBorders>
                  <w:vAlign w:val="center"/>
                </w:tcPr>
                <w:p w14:paraId="473EE5F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10.2</w:t>
                  </w:r>
                </w:p>
              </w:tc>
              <w:tc>
                <w:tcPr>
                  <w:tcW w:w="472" w:type="pct"/>
                  <w:tcBorders>
                    <w:tl2br w:val="nil"/>
                    <w:tr2bl w:val="nil"/>
                  </w:tcBorders>
                  <w:vAlign w:val="center"/>
                </w:tcPr>
                <w:p w14:paraId="5308C0D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14:paraId="1D8B05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3D65D6E4">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06F1B230">
                  <w:pPr>
                    <w:keepNext w:val="0"/>
                    <w:keepLines w:val="0"/>
                    <w:pageBreakBefore w:val="0"/>
                    <w:widowControl/>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014D8840">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1670A431">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7A57B45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1.03×10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11ADFFA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1.31×10</w:t>
                  </w:r>
                  <w:r>
                    <w:rPr>
                      <w:rFonts w:hint="default" w:ascii="Times New Roman" w:hAnsi="Times New Roman" w:eastAsia="仿宋" w:cs="Times New Roman"/>
                      <w:color w:val="auto"/>
                      <w:spacing w:val="-3"/>
                      <w:sz w:val="21"/>
                      <w:szCs w:val="21"/>
                      <w:vertAlign w:val="superscript"/>
                    </w:rPr>
                    <w:t>-2</w:t>
                  </w:r>
                </w:p>
              </w:tc>
              <w:tc>
                <w:tcPr>
                  <w:tcW w:w="661" w:type="pct"/>
                  <w:tcBorders>
                    <w:tl2br w:val="nil"/>
                    <w:tr2bl w:val="nil"/>
                  </w:tcBorders>
                  <w:vAlign w:val="center"/>
                </w:tcPr>
                <w:p w14:paraId="5B347E28">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1.08×10</w:t>
                  </w:r>
                  <w:r>
                    <w:rPr>
                      <w:rFonts w:hint="default" w:ascii="Times New Roman" w:hAnsi="Times New Roman" w:eastAsia="仿宋" w:cs="Times New Roman"/>
                      <w:color w:val="auto"/>
                      <w:spacing w:val="-3"/>
                      <w:sz w:val="21"/>
                      <w:szCs w:val="21"/>
                      <w:vertAlign w:val="superscript"/>
                    </w:rPr>
                    <w:t>-2</w:t>
                  </w:r>
                </w:p>
              </w:tc>
              <w:tc>
                <w:tcPr>
                  <w:tcW w:w="472" w:type="pct"/>
                  <w:tcBorders>
                    <w:tl2br w:val="nil"/>
                    <w:tr2bl w:val="nil"/>
                  </w:tcBorders>
                  <w:vAlign w:val="center"/>
                </w:tcPr>
                <w:p w14:paraId="07D8A6F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14:paraId="2FAA98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95799E3">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30B792C6">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2#排气筒</w:t>
                  </w:r>
                  <w:r>
                    <w:rPr>
                      <w:rFonts w:hint="default" w:ascii="Times New Roman" w:hAnsi="Times New Roman" w:eastAsia="仿宋" w:cs="Times New Roman"/>
                      <w:color w:val="auto"/>
                      <w:sz w:val="21"/>
                      <w:szCs w:val="21"/>
                    </w:rPr>
                    <w:t>出口</w:t>
                  </w:r>
                </w:p>
              </w:tc>
              <w:tc>
                <w:tcPr>
                  <w:tcW w:w="1523" w:type="pct"/>
                  <w:gridSpan w:val="2"/>
                  <w:tcBorders>
                    <w:tl2br w:val="nil"/>
                    <w:tr2bl w:val="nil"/>
                  </w:tcBorders>
                  <w:vAlign w:val="center"/>
                </w:tcPr>
                <w:p w14:paraId="0D8692C5">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7EB9451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1524</w:t>
                  </w:r>
                </w:p>
              </w:tc>
              <w:tc>
                <w:tcPr>
                  <w:tcW w:w="632" w:type="pct"/>
                  <w:tcBorders>
                    <w:tl2br w:val="nil"/>
                    <w:tr2bl w:val="nil"/>
                  </w:tcBorders>
                  <w:vAlign w:val="center"/>
                </w:tcPr>
                <w:p w14:paraId="249B6B2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1592</w:t>
                  </w:r>
                </w:p>
              </w:tc>
              <w:tc>
                <w:tcPr>
                  <w:tcW w:w="661" w:type="pct"/>
                  <w:tcBorders>
                    <w:tl2br w:val="nil"/>
                    <w:tr2bl w:val="nil"/>
                  </w:tcBorders>
                  <w:vAlign w:val="center"/>
                </w:tcPr>
                <w:p w14:paraId="796B7AA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1523</w:t>
                  </w:r>
                </w:p>
              </w:tc>
              <w:tc>
                <w:tcPr>
                  <w:tcW w:w="472" w:type="pct"/>
                  <w:tcBorders>
                    <w:tl2br w:val="nil"/>
                    <w:tr2bl w:val="nil"/>
                  </w:tcBorders>
                  <w:vAlign w:val="center"/>
                </w:tcPr>
                <w:p w14:paraId="2B4C782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7D98B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3EAA78DE">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2CEB9FDC">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6660922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21D3330A">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3E59D6C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1.03</w:t>
                  </w:r>
                </w:p>
              </w:tc>
              <w:tc>
                <w:tcPr>
                  <w:tcW w:w="632" w:type="pct"/>
                  <w:tcBorders>
                    <w:tl2br w:val="nil"/>
                    <w:tr2bl w:val="nil"/>
                  </w:tcBorders>
                  <w:vAlign w:val="center"/>
                </w:tcPr>
                <w:p w14:paraId="1792845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1.07</w:t>
                  </w:r>
                </w:p>
              </w:tc>
              <w:tc>
                <w:tcPr>
                  <w:tcW w:w="661" w:type="pct"/>
                  <w:tcBorders>
                    <w:tl2br w:val="nil"/>
                    <w:tr2bl w:val="nil"/>
                  </w:tcBorders>
                  <w:vAlign w:val="center"/>
                </w:tcPr>
                <w:p w14:paraId="6AEAC4F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1.02</w:t>
                  </w:r>
                </w:p>
              </w:tc>
              <w:tc>
                <w:tcPr>
                  <w:tcW w:w="472" w:type="pct"/>
                  <w:tcBorders>
                    <w:tl2br w:val="nil"/>
                    <w:tr2bl w:val="nil"/>
                  </w:tcBorders>
                  <w:vAlign w:val="center"/>
                </w:tcPr>
                <w:p w14:paraId="4B93BBCE">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w:t>
                  </w:r>
                </w:p>
              </w:tc>
            </w:tr>
            <w:tr w14:paraId="5CA01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6722C9F6">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3CAADA2E">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0180DB3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4765E7C1">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2B78A1B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1.57×10</w:t>
                  </w:r>
                  <w:r>
                    <w:rPr>
                      <w:rFonts w:hint="default" w:ascii="Times New Roman" w:hAnsi="Times New Roman" w:eastAsia="仿宋" w:cs="Times New Roman"/>
                      <w:color w:val="auto"/>
                      <w:spacing w:val="-3"/>
                      <w:sz w:val="21"/>
                      <w:szCs w:val="21"/>
                      <w:vertAlign w:val="superscript"/>
                    </w:rPr>
                    <w:t>-3</w:t>
                  </w:r>
                </w:p>
              </w:tc>
              <w:tc>
                <w:tcPr>
                  <w:tcW w:w="632" w:type="pct"/>
                  <w:tcBorders>
                    <w:tl2br w:val="nil"/>
                    <w:tr2bl w:val="nil"/>
                  </w:tcBorders>
                  <w:vAlign w:val="center"/>
                </w:tcPr>
                <w:p w14:paraId="4DE1D80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1.70×10</w:t>
                  </w:r>
                  <w:r>
                    <w:rPr>
                      <w:rFonts w:hint="default" w:ascii="Times New Roman" w:hAnsi="Times New Roman" w:eastAsia="仿宋" w:cs="Times New Roman"/>
                      <w:color w:val="auto"/>
                      <w:spacing w:val="-3"/>
                      <w:sz w:val="21"/>
                      <w:szCs w:val="21"/>
                      <w:vertAlign w:val="superscript"/>
                    </w:rPr>
                    <w:t>-3</w:t>
                  </w:r>
                </w:p>
              </w:tc>
              <w:tc>
                <w:tcPr>
                  <w:tcW w:w="661" w:type="pct"/>
                  <w:tcBorders>
                    <w:tl2br w:val="nil"/>
                    <w:tr2bl w:val="nil"/>
                  </w:tcBorders>
                  <w:vAlign w:val="center"/>
                </w:tcPr>
                <w:p w14:paraId="6C2974D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1.55×10</w:t>
                  </w:r>
                  <w:r>
                    <w:rPr>
                      <w:rFonts w:hint="default" w:ascii="Times New Roman" w:hAnsi="Times New Roman" w:eastAsia="仿宋" w:cs="Times New Roman"/>
                      <w:color w:val="auto"/>
                      <w:spacing w:val="-3"/>
                      <w:sz w:val="21"/>
                      <w:szCs w:val="21"/>
                      <w:vertAlign w:val="superscript"/>
                    </w:rPr>
                    <w:t>-3</w:t>
                  </w:r>
                </w:p>
              </w:tc>
              <w:tc>
                <w:tcPr>
                  <w:tcW w:w="472" w:type="pct"/>
                  <w:tcBorders>
                    <w:tl2br w:val="nil"/>
                    <w:tr2bl w:val="nil"/>
                  </w:tcBorders>
                  <w:vAlign w:val="center"/>
                </w:tcPr>
                <w:p w14:paraId="0D75007B">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37482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jc w:val="center"/>
              </w:trPr>
              <w:tc>
                <w:tcPr>
                  <w:tcW w:w="469" w:type="pct"/>
                  <w:vMerge w:val="continue"/>
                  <w:tcBorders>
                    <w:tl2br w:val="nil"/>
                    <w:tr2bl w:val="nil"/>
                  </w:tcBorders>
                  <w:vAlign w:val="center"/>
                </w:tcPr>
                <w:p w14:paraId="04F26017">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615D012F">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3#排气筒进</w:t>
                  </w:r>
                  <w:r>
                    <w:rPr>
                      <w:rFonts w:hint="default" w:ascii="Times New Roman" w:hAnsi="Times New Roman" w:eastAsia="仿宋" w:cs="Times New Roman"/>
                      <w:color w:val="auto"/>
                      <w:sz w:val="21"/>
                      <w:szCs w:val="21"/>
                    </w:rPr>
                    <w:t>口</w:t>
                  </w:r>
                </w:p>
              </w:tc>
              <w:tc>
                <w:tcPr>
                  <w:tcW w:w="1523" w:type="pct"/>
                  <w:gridSpan w:val="2"/>
                  <w:tcBorders>
                    <w:tl2br w:val="nil"/>
                    <w:tr2bl w:val="nil"/>
                  </w:tcBorders>
                  <w:vAlign w:val="center"/>
                </w:tcPr>
                <w:p w14:paraId="4803561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4309BCE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4557</w:t>
                  </w:r>
                </w:p>
              </w:tc>
              <w:tc>
                <w:tcPr>
                  <w:tcW w:w="632" w:type="pct"/>
                  <w:tcBorders>
                    <w:tl2br w:val="nil"/>
                    <w:tr2bl w:val="nil"/>
                  </w:tcBorders>
                  <w:vAlign w:val="center"/>
                </w:tcPr>
                <w:p w14:paraId="67A0543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4716</w:t>
                  </w:r>
                </w:p>
              </w:tc>
              <w:tc>
                <w:tcPr>
                  <w:tcW w:w="661" w:type="pct"/>
                  <w:tcBorders>
                    <w:tl2br w:val="nil"/>
                    <w:tr2bl w:val="nil"/>
                  </w:tcBorders>
                  <w:vAlign w:val="center"/>
                </w:tcPr>
                <w:p w14:paraId="0CCA9BB8">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4441</w:t>
                  </w:r>
                </w:p>
              </w:tc>
              <w:tc>
                <w:tcPr>
                  <w:tcW w:w="472" w:type="pct"/>
                  <w:tcBorders>
                    <w:tl2br w:val="nil"/>
                    <w:tr2bl w:val="nil"/>
                  </w:tcBorders>
                  <w:vAlign w:val="center"/>
                </w:tcPr>
                <w:p w14:paraId="53C492FF">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9799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651281A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12047FEB">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51AC2034">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535C4FD1">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176EF878">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9.66</w:t>
                  </w:r>
                </w:p>
              </w:tc>
              <w:tc>
                <w:tcPr>
                  <w:tcW w:w="632" w:type="pct"/>
                  <w:tcBorders>
                    <w:tl2br w:val="nil"/>
                    <w:tr2bl w:val="nil"/>
                  </w:tcBorders>
                  <w:vAlign w:val="center"/>
                </w:tcPr>
                <w:p w14:paraId="173ECA8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9.62</w:t>
                  </w:r>
                </w:p>
              </w:tc>
              <w:tc>
                <w:tcPr>
                  <w:tcW w:w="661" w:type="pct"/>
                  <w:tcBorders>
                    <w:tl2br w:val="nil"/>
                    <w:tr2bl w:val="nil"/>
                  </w:tcBorders>
                  <w:vAlign w:val="center"/>
                </w:tcPr>
                <w:p w14:paraId="5EEC094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10.2</w:t>
                  </w:r>
                </w:p>
              </w:tc>
              <w:tc>
                <w:tcPr>
                  <w:tcW w:w="472" w:type="pct"/>
                  <w:tcBorders>
                    <w:tl2br w:val="nil"/>
                    <w:tr2bl w:val="nil"/>
                  </w:tcBorders>
                  <w:vAlign w:val="center"/>
                </w:tcPr>
                <w:p w14:paraId="202C2AFB">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7BF73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28D3C55E">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5F477E5D">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54C7A01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0956225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4870717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rPr>
                    <w:t>4.40×10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1CBCF656">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4.54×10</w:t>
                  </w:r>
                  <w:r>
                    <w:rPr>
                      <w:rFonts w:hint="default" w:ascii="Times New Roman" w:hAnsi="Times New Roman" w:eastAsia="仿宋" w:cs="Times New Roman"/>
                      <w:color w:val="auto"/>
                      <w:spacing w:val="-3"/>
                      <w:sz w:val="21"/>
                      <w:szCs w:val="21"/>
                      <w:vertAlign w:val="superscript"/>
                    </w:rPr>
                    <w:t>-2</w:t>
                  </w:r>
                </w:p>
              </w:tc>
              <w:tc>
                <w:tcPr>
                  <w:tcW w:w="661" w:type="pct"/>
                  <w:tcBorders>
                    <w:tl2br w:val="nil"/>
                    <w:tr2bl w:val="nil"/>
                  </w:tcBorders>
                  <w:vAlign w:val="center"/>
                </w:tcPr>
                <w:p w14:paraId="1843058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4.53×10</w:t>
                  </w:r>
                  <w:r>
                    <w:rPr>
                      <w:rFonts w:hint="default" w:ascii="Times New Roman" w:hAnsi="Times New Roman" w:eastAsia="仿宋" w:cs="Times New Roman"/>
                      <w:color w:val="auto"/>
                      <w:spacing w:val="-3"/>
                      <w:sz w:val="21"/>
                      <w:szCs w:val="21"/>
                      <w:vertAlign w:val="superscript"/>
                    </w:rPr>
                    <w:t>-2</w:t>
                  </w:r>
                </w:p>
              </w:tc>
              <w:tc>
                <w:tcPr>
                  <w:tcW w:w="472" w:type="pct"/>
                  <w:tcBorders>
                    <w:tl2br w:val="nil"/>
                    <w:tr2bl w:val="nil"/>
                  </w:tcBorders>
                  <w:vAlign w:val="center"/>
                </w:tcPr>
                <w:p w14:paraId="5E36EB8C">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2B0F46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0097FDBF">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ED3D57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7F8B27D4">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1055" w:type="pct"/>
                  <w:tcBorders>
                    <w:tl2br w:val="nil"/>
                    <w:tr2bl w:val="nil"/>
                  </w:tcBorders>
                  <w:shd w:val="clear" w:color="auto" w:fill="auto"/>
                  <w:vAlign w:val="center"/>
                </w:tcPr>
                <w:p w14:paraId="10E6FC86">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30615F5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7.12</w:t>
                  </w:r>
                </w:p>
              </w:tc>
              <w:tc>
                <w:tcPr>
                  <w:tcW w:w="632" w:type="pct"/>
                  <w:tcBorders>
                    <w:tl2br w:val="nil"/>
                    <w:tr2bl w:val="nil"/>
                  </w:tcBorders>
                  <w:vAlign w:val="center"/>
                </w:tcPr>
                <w:p w14:paraId="00B4D4E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6.98</w:t>
                  </w:r>
                </w:p>
              </w:tc>
              <w:tc>
                <w:tcPr>
                  <w:tcW w:w="661" w:type="pct"/>
                  <w:tcBorders>
                    <w:tl2br w:val="nil"/>
                    <w:tr2bl w:val="nil"/>
                  </w:tcBorders>
                  <w:vAlign w:val="center"/>
                </w:tcPr>
                <w:p w14:paraId="14D4AF3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7.00</w:t>
                  </w:r>
                </w:p>
              </w:tc>
              <w:tc>
                <w:tcPr>
                  <w:tcW w:w="472" w:type="pct"/>
                  <w:tcBorders>
                    <w:tl2br w:val="nil"/>
                    <w:tr2bl w:val="nil"/>
                  </w:tcBorders>
                  <w:vAlign w:val="center"/>
                </w:tcPr>
                <w:p w14:paraId="4B20721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14:paraId="11509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21D30ED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0B514864">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788C9778">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shd w:val="clear" w:color="auto" w:fill="auto"/>
                  <w:vAlign w:val="center"/>
                </w:tcPr>
                <w:p w14:paraId="066C3D1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4328261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3.24×10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5E9C943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3.29×10</w:t>
                  </w:r>
                  <w:r>
                    <w:rPr>
                      <w:rFonts w:hint="default" w:ascii="Times New Roman" w:hAnsi="Times New Roman" w:eastAsia="仿宋" w:cs="Times New Roman"/>
                      <w:color w:val="auto"/>
                      <w:spacing w:val="-3"/>
                      <w:sz w:val="21"/>
                      <w:szCs w:val="21"/>
                      <w:vertAlign w:val="superscript"/>
                    </w:rPr>
                    <w:t>-2</w:t>
                  </w:r>
                </w:p>
              </w:tc>
              <w:tc>
                <w:tcPr>
                  <w:tcW w:w="661" w:type="pct"/>
                  <w:tcBorders>
                    <w:tl2br w:val="nil"/>
                    <w:tr2bl w:val="nil"/>
                  </w:tcBorders>
                  <w:vAlign w:val="center"/>
                </w:tcPr>
                <w:p w14:paraId="7B5DFBF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3.11×10</w:t>
                  </w:r>
                  <w:r>
                    <w:rPr>
                      <w:rFonts w:hint="default" w:ascii="Times New Roman" w:hAnsi="Times New Roman" w:eastAsia="仿宋" w:cs="Times New Roman"/>
                      <w:color w:val="auto"/>
                      <w:spacing w:val="-3"/>
                      <w:sz w:val="21"/>
                      <w:szCs w:val="21"/>
                      <w:vertAlign w:val="superscript"/>
                    </w:rPr>
                    <w:t>-2</w:t>
                  </w:r>
                </w:p>
              </w:tc>
              <w:tc>
                <w:tcPr>
                  <w:tcW w:w="472" w:type="pct"/>
                  <w:tcBorders>
                    <w:tl2br w:val="nil"/>
                    <w:tr2bl w:val="nil"/>
                  </w:tcBorders>
                  <w:vAlign w:val="center"/>
                </w:tcPr>
                <w:p w14:paraId="47F0010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r w14:paraId="00924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214E339F">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5F309392">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3#排气筒</w:t>
                  </w:r>
                  <w:r>
                    <w:rPr>
                      <w:rFonts w:hint="default" w:ascii="Times New Roman" w:hAnsi="Times New Roman" w:eastAsia="仿宋" w:cs="Times New Roman"/>
                      <w:color w:val="auto"/>
                      <w:sz w:val="21"/>
                      <w:szCs w:val="21"/>
                    </w:rPr>
                    <w:t>出口</w:t>
                  </w:r>
                </w:p>
              </w:tc>
              <w:tc>
                <w:tcPr>
                  <w:tcW w:w="1523" w:type="pct"/>
                  <w:gridSpan w:val="2"/>
                  <w:tcBorders>
                    <w:tl2br w:val="nil"/>
                    <w:tr2bl w:val="nil"/>
                  </w:tcBorders>
                  <w:vAlign w:val="center"/>
                </w:tcPr>
                <w:p w14:paraId="659A2E64">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66F290D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5083</w:t>
                  </w:r>
                </w:p>
              </w:tc>
              <w:tc>
                <w:tcPr>
                  <w:tcW w:w="632" w:type="pct"/>
                  <w:tcBorders>
                    <w:tl2br w:val="nil"/>
                    <w:tr2bl w:val="nil"/>
                  </w:tcBorders>
                  <w:vAlign w:val="center"/>
                </w:tcPr>
                <w:p w14:paraId="02AA574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5315</w:t>
                  </w:r>
                </w:p>
              </w:tc>
              <w:tc>
                <w:tcPr>
                  <w:tcW w:w="661" w:type="pct"/>
                  <w:tcBorders>
                    <w:tl2br w:val="nil"/>
                    <w:tr2bl w:val="nil"/>
                  </w:tcBorders>
                  <w:vAlign w:val="center"/>
                </w:tcPr>
                <w:p w14:paraId="5BE2FED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5304</w:t>
                  </w:r>
                </w:p>
              </w:tc>
              <w:tc>
                <w:tcPr>
                  <w:tcW w:w="472" w:type="pct"/>
                  <w:tcBorders>
                    <w:tl2br w:val="nil"/>
                    <w:tr2bl w:val="nil"/>
                  </w:tcBorders>
                  <w:vAlign w:val="center"/>
                </w:tcPr>
                <w:p w14:paraId="2E57FD04">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0DA0D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0747F950">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F342E74">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3FE70CEB">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1DE75D7A">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4FF9DD7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1.05</w:t>
                  </w:r>
                </w:p>
              </w:tc>
              <w:tc>
                <w:tcPr>
                  <w:tcW w:w="632" w:type="pct"/>
                  <w:tcBorders>
                    <w:tl2br w:val="nil"/>
                    <w:tr2bl w:val="nil"/>
                  </w:tcBorders>
                  <w:vAlign w:val="center"/>
                </w:tcPr>
                <w:p w14:paraId="3FB14D3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1.06</w:t>
                  </w:r>
                </w:p>
              </w:tc>
              <w:tc>
                <w:tcPr>
                  <w:tcW w:w="661" w:type="pct"/>
                  <w:tcBorders>
                    <w:tl2br w:val="nil"/>
                    <w:tr2bl w:val="nil"/>
                  </w:tcBorders>
                  <w:vAlign w:val="center"/>
                </w:tcPr>
                <w:p w14:paraId="0FECC31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1.04</w:t>
                  </w:r>
                </w:p>
              </w:tc>
              <w:tc>
                <w:tcPr>
                  <w:tcW w:w="472" w:type="pct"/>
                  <w:tcBorders>
                    <w:tl2br w:val="nil"/>
                    <w:tr2bl w:val="nil"/>
                  </w:tcBorders>
                  <w:vAlign w:val="center"/>
                </w:tcPr>
                <w:p w14:paraId="0904864C">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w:t>
                  </w:r>
                </w:p>
              </w:tc>
            </w:tr>
            <w:tr w14:paraId="63FEA5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6E30F21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6C3F2FB">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064D81FF">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6680BBF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73B7287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5.34×10</w:t>
                  </w:r>
                  <w:r>
                    <w:rPr>
                      <w:rFonts w:hint="default" w:ascii="Times New Roman" w:hAnsi="Times New Roman" w:eastAsia="仿宋" w:cs="Times New Roman"/>
                      <w:color w:val="auto"/>
                      <w:spacing w:val="-3"/>
                      <w:sz w:val="21"/>
                      <w:szCs w:val="21"/>
                      <w:vertAlign w:val="superscript"/>
                    </w:rPr>
                    <w:t>-3</w:t>
                  </w:r>
                </w:p>
              </w:tc>
              <w:tc>
                <w:tcPr>
                  <w:tcW w:w="632" w:type="pct"/>
                  <w:tcBorders>
                    <w:tl2br w:val="nil"/>
                    <w:tr2bl w:val="nil"/>
                  </w:tcBorders>
                  <w:vAlign w:val="center"/>
                </w:tcPr>
                <w:p w14:paraId="5498A9E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5.63×10</w:t>
                  </w:r>
                  <w:r>
                    <w:rPr>
                      <w:rFonts w:hint="default" w:ascii="Times New Roman" w:hAnsi="Times New Roman" w:eastAsia="仿宋" w:cs="Times New Roman"/>
                      <w:color w:val="auto"/>
                      <w:spacing w:val="-3"/>
                      <w:sz w:val="21"/>
                      <w:szCs w:val="21"/>
                      <w:vertAlign w:val="superscript"/>
                    </w:rPr>
                    <w:t>-3</w:t>
                  </w:r>
                </w:p>
              </w:tc>
              <w:tc>
                <w:tcPr>
                  <w:tcW w:w="661" w:type="pct"/>
                  <w:tcBorders>
                    <w:tl2br w:val="nil"/>
                    <w:tr2bl w:val="nil"/>
                  </w:tcBorders>
                  <w:vAlign w:val="center"/>
                </w:tcPr>
                <w:p w14:paraId="7FBC18F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5.52×10</w:t>
                  </w:r>
                  <w:r>
                    <w:rPr>
                      <w:rFonts w:hint="default" w:ascii="Times New Roman" w:hAnsi="Times New Roman" w:eastAsia="仿宋" w:cs="Times New Roman"/>
                      <w:color w:val="auto"/>
                      <w:spacing w:val="-3"/>
                      <w:sz w:val="21"/>
                      <w:szCs w:val="21"/>
                      <w:vertAlign w:val="superscript"/>
                    </w:rPr>
                    <w:t>-3</w:t>
                  </w:r>
                </w:p>
              </w:tc>
              <w:tc>
                <w:tcPr>
                  <w:tcW w:w="472" w:type="pct"/>
                  <w:tcBorders>
                    <w:tl2br w:val="nil"/>
                    <w:tr2bl w:val="nil"/>
                  </w:tcBorders>
                  <w:vAlign w:val="center"/>
                </w:tcPr>
                <w:p w14:paraId="6E162E64">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7DBE8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67D6257">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4AB7388E">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1A1A25D1">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1055" w:type="pct"/>
                  <w:tcBorders>
                    <w:tl2br w:val="nil"/>
                    <w:tr2bl w:val="nil"/>
                  </w:tcBorders>
                  <w:shd w:val="clear" w:color="auto" w:fill="auto"/>
                  <w:vAlign w:val="center"/>
                </w:tcPr>
                <w:p w14:paraId="1192FD5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53FAFE1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0.46</w:t>
                  </w:r>
                </w:p>
              </w:tc>
              <w:tc>
                <w:tcPr>
                  <w:tcW w:w="632" w:type="pct"/>
                  <w:tcBorders>
                    <w:tl2br w:val="nil"/>
                    <w:tr2bl w:val="nil"/>
                  </w:tcBorders>
                  <w:vAlign w:val="center"/>
                </w:tcPr>
                <w:p w14:paraId="130CD7C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0.54</w:t>
                  </w:r>
                </w:p>
              </w:tc>
              <w:tc>
                <w:tcPr>
                  <w:tcW w:w="661" w:type="pct"/>
                  <w:tcBorders>
                    <w:tl2br w:val="nil"/>
                    <w:tr2bl w:val="nil"/>
                  </w:tcBorders>
                  <w:vAlign w:val="center"/>
                </w:tcPr>
                <w:p w14:paraId="2E5BA216">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0.57</w:t>
                  </w:r>
                </w:p>
              </w:tc>
              <w:tc>
                <w:tcPr>
                  <w:tcW w:w="472" w:type="pct"/>
                  <w:tcBorders>
                    <w:tl2br w:val="nil"/>
                    <w:tr2bl w:val="nil"/>
                  </w:tcBorders>
                  <w:vAlign w:val="center"/>
                </w:tcPr>
                <w:p w14:paraId="1790D61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r>
            <w:tr w14:paraId="5456D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2D65FC6D">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4ED2C72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79EAE4D5">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shd w:val="clear" w:color="auto" w:fill="auto"/>
                  <w:vAlign w:val="center"/>
                </w:tcPr>
                <w:p w14:paraId="04D246E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68D83A1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rPr>
                    <w:t>2.</w:t>
                  </w:r>
                  <w:r>
                    <w:rPr>
                      <w:rFonts w:hint="default" w:ascii="Times New Roman" w:hAnsi="Times New Roman" w:eastAsia="仿宋" w:cs="Times New Roman"/>
                      <w:color w:val="auto"/>
                      <w:spacing w:val="-3"/>
                      <w:sz w:val="21"/>
                      <w:szCs w:val="21"/>
                      <w:lang w:val="en-US" w:eastAsia="zh-CN"/>
                    </w:rPr>
                    <w:t>3</w:t>
                  </w:r>
                  <w:r>
                    <w:rPr>
                      <w:rFonts w:hint="default" w:ascii="Times New Roman" w:hAnsi="Times New Roman" w:eastAsia="仿宋" w:cs="Times New Roman"/>
                      <w:color w:val="auto"/>
                      <w:spacing w:val="-3"/>
                      <w:sz w:val="21"/>
                      <w:szCs w:val="21"/>
                    </w:rPr>
                    <w:t>4×10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632" w:type="pct"/>
                  <w:tcBorders>
                    <w:tl2br w:val="nil"/>
                    <w:tr2bl w:val="nil"/>
                  </w:tcBorders>
                  <w:vAlign w:val="center"/>
                </w:tcPr>
                <w:p w14:paraId="4F72009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lang w:val="en-US" w:eastAsia="zh-CN"/>
                    </w:rPr>
                    <w:t>2.87</w:t>
                  </w:r>
                  <w:r>
                    <w:rPr>
                      <w:rFonts w:hint="default" w:ascii="Times New Roman" w:hAnsi="Times New Roman" w:eastAsia="仿宋" w:cs="Times New Roman"/>
                      <w:color w:val="auto"/>
                      <w:spacing w:val="-3"/>
                      <w:sz w:val="21"/>
                      <w:szCs w:val="21"/>
                    </w:rPr>
                    <w:t>×10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661" w:type="pct"/>
                  <w:tcBorders>
                    <w:tl2br w:val="nil"/>
                    <w:tr2bl w:val="nil"/>
                  </w:tcBorders>
                  <w:vAlign w:val="center"/>
                </w:tcPr>
                <w:p w14:paraId="14F9BF1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lang w:val="en-US" w:eastAsia="zh-CN"/>
                    </w:rPr>
                    <w:t>3.02</w:t>
                  </w:r>
                  <w:r>
                    <w:rPr>
                      <w:rFonts w:hint="default" w:ascii="Times New Roman" w:hAnsi="Times New Roman" w:eastAsia="仿宋" w:cs="Times New Roman"/>
                      <w:color w:val="auto"/>
                      <w:spacing w:val="-3"/>
                      <w:sz w:val="21"/>
                      <w:szCs w:val="21"/>
                    </w:rPr>
                    <w:t>×10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472" w:type="pct"/>
                  <w:tcBorders>
                    <w:tl2br w:val="nil"/>
                    <w:tr2bl w:val="nil"/>
                  </w:tcBorders>
                  <w:vAlign w:val="center"/>
                </w:tcPr>
                <w:p w14:paraId="5559A3D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w:t>
                  </w:r>
                </w:p>
              </w:tc>
            </w:tr>
            <w:tr w14:paraId="729C72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jc w:val="center"/>
              </w:trPr>
              <w:tc>
                <w:tcPr>
                  <w:tcW w:w="469" w:type="pct"/>
                  <w:vMerge w:val="restart"/>
                  <w:tcBorders>
                    <w:tl2br w:val="nil"/>
                    <w:tr2bl w:val="nil"/>
                  </w:tcBorders>
                  <w:vAlign w:val="center"/>
                </w:tcPr>
                <w:p w14:paraId="48A9AFC8">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w:t>
                  </w:r>
                </w:p>
              </w:tc>
              <w:tc>
                <w:tcPr>
                  <w:tcW w:w="564" w:type="pct"/>
                  <w:vMerge w:val="restart"/>
                  <w:tcBorders>
                    <w:tl2br w:val="nil"/>
                    <w:tr2bl w:val="nil"/>
                  </w:tcBorders>
                  <w:vAlign w:val="center"/>
                </w:tcPr>
                <w:p w14:paraId="30C96D84">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2#排气筒进</w:t>
                  </w:r>
                  <w:r>
                    <w:rPr>
                      <w:rFonts w:hint="default" w:ascii="Times New Roman" w:hAnsi="Times New Roman" w:eastAsia="仿宋" w:cs="Times New Roman"/>
                      <w:color w:val="auto"/>
                      <w:sz w:val="21"/>
                      <w:szCs w:val="21"/>
                    </w:rPr>
                    <w:t>口</w:t>
                  </w:r>
                </w:p>
              </w:tc>
              <w:tc>
                <w:tcPr>
                  <w:tcW w:w="1523" w:type="pct"/>
                  <w:gridSpan w:val="2"/>
                  <w:tcBorders>
                    <w:tl2br w:val="nil"/>
                    <w:tr2bl w:val="nil"/>
                  </w:tcBorders>
                  <w:vAlign w:val="center"/>
                </w:tcPr>
                <w:p w14:paraId="3A7B1CF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201342E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en-US"/>
                    </w:rPr>
                    <w:t>1222</w:t>
                  </w:r>
                </w:p>
              </w:tc>
              <w:tc>
                <w:tcPr>
                  <w:tcW w:w="632" w:type="pct"/>
                  <w:tcBorders>
                    <w:tl2br w:val="nil"/>
                    <w:tr2bl w:val="nil"/>
                  </w:tcBorders>
                  <w:vAlign w:val="center"/>
                </w:tcPr>
                <w:p w14:paraId="1DF9F4C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en-US"/>
                    </w:rPr>
                    <w:t>1144</w:t>
                  </w:r>
                </w:p>
              </w:tc>
              <w:tc>
                <w:tcPr>
                  <w:tcW w:w="661" w:type="pct"/>
                  <w:tcBorders>
                    <w:tl2br w:val="nil"/>
                    <w:tr2bl w:val="nil"/>
                  </w:tcBorders>
                  <w:vAlign w:val="center"/>
                </w:tcPr>
                <w:p w14:paraId="193048D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en-US"/>
                    </w:rPr>
                    <w:t>1061</w:t>
                  </w:r>
                </w:p>
              </w:tc>
              <w:tc>
                <w:tcPr>
                  <w:tcW w:w="472" w:type="pct"/>
                  <w:tcBorders>
                    <w:tl2br w:val="nil"/>
                    <w:tr2bl w:val="nil"/>
                  </w:tcBorders>
                  <w:vAlign w:val="center"/>
                </w:tcPr>
                <w:p w14:paraId="6C682691">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0E3B2B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6D4F898">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351CDBC">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544EA280">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67BCF658">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574372B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9.46</w:t>
                  </w:r>
                </w:p>
              </w:tc>
              <w:tc>
                <w:tcPr>
                  <w:tcW w:w="632" w:type="pct"/>
                  <w:tcBorders>
                    <w:tl2br w:val="nil"/>
                    <w:tr2bl w:val="nil"/>
                  </w:tcBorders>
                  <w:vAlign w:val="center"/>
                </w:tcPr>
                <w:p w14:paraId="5195EEFD">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8.71</w:t>
                  </w:r>
                </w:p>
              </w:tc>
              <w:tc>
                <w:tcPr>
                  <w:tcW w:w="661" w:type="pct"/>
                  <w:tcBorders>
                    <w:tl2br w:val="nil"/>
                    <w:tr2bl w:val="nil"/>
                  </w:tcBorders>
                  <w:vAlign w:val="center"/>
                </w:tcPr>
                <w:p w14:paraId="7FFE456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9.22</w:t>
                  </w:r>
                </w:p>
              </w:tc>
              <w:tc>
                <w:tcPr>
                  <w:tcW w:w="472" w:type="pct"/>
                  <w:tcBorders>
                    <w:tl2br w:val="nil"/>
                    <w:tr2bl w:val="nil"/>
                  </w:tcBorders>
                  <w:vAlign w:val="center"/>
                </w:tcPr>
                <w:p w14:paraId="58BAB83F">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00229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0F08FBBA">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6ADC5CA">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3389D191">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493972D4">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3BF70FF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1.16×10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102C9EF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9.96×10</w:t>
                  </w:r>
                  <w:r>
                    <w:rPr>
                      <w:rFonts w:hint="default" w:ascii="Times New Roman" w:hAnsi="Times New Roman" w:eastAsia="仿宋" w:cs="Times New Roman"/>
                      <w:color w:val="auto"/>
                      <w:spacing w:val="-3"/>
                      <w:sz w:val="21"/>
                      <w:szCs w:val="21"/>
                      <w:vertAlign w:val="superscript"/>
                    </w:rPr>
                    <w:t>-3</w:t>
                  </w:r>
                </w:p>
              </w:tc>
              <w:tc>
                <w:tcPr>
                  <w:tcW w:w="661" w:type="pct"/>
                  <w:tcBorders>
                    <w:tl2br w:val="nil"/>
                    <w:tr2bl w:val="nil"/>
                  </w:tcBorders>
                  <w:vAlign w:val="center"/>
                </w:tcPr>
                <w:p w14:paraId="1ADA7B7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9.78×10</w:t>
                  </w:r>
                  <w:r>
                    <w:rPr>
                      <w:rFonts w:hint="default" w:ascii="Times New Roman" w:hAnsi="Times New Roman" w:eastAsia="仿宋" w:cs="Times New Roman"/>
                      <w:color w:val="auto"/>
                      <w:spacing w:val="-3"/>
                      <w:sz w:val="21"/>
                      <w:szCs w:val="21"/>
                      <w:vertAlign w:val="superscript"/>
                    </w:rPr>
                    <w:t>-3</w:t>
                  </w:r>
                </w:p>
              </w:tc>
              <w:tc>
                <w:tcPr>
                  <w:tcW w:w="472" w:type="pct"/>
                  <w:tcBorders>
                    <w:tl2br w:val="nil"/>
                    <w:tr2bl w:val="nil"/>
                  </w:tcBorders>
                  <w:vAlign w:val="center"/>
                </w:tcPr>
                <w:p w14:paraId="4ABE4324">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4A5A1E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495CCFDD">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089F2450">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2#排气筒</w:t>
                  </w:r>
                  <w:r>
                    <w:rPr>
                      <w:rFonts w:hint="default" w:ascii="Times New Roman" w:hAnsi="Times New Roman" w:eastAsia="仿宋" w:cs="Times New Roman"/>
                      <w:color w:val="auto"/>
                      <w:sz w:val="21"/>
                      <w:szCs w:val="21"/>
                    </w:rPr>
                    <w:t>出口</w:t>
                  </w:r>
                </w:p>
              </w:tc>
              <w:tc>
                <w:tcPr>
                  <w:tcW w:w="1523" w:type="pct"/>
                  <w:gridSpan w:val="2"/>
                  <w:tcBorders>
                    <w:tl2br w:val="nil"/>
                    <w:tr2bl w:val="nil"/>
                  </w:tcBorders>
                  <w:vAlign w:val="center"/>
                </w:tcPr>
                <w:p w14:paraId="5C40B67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39A44C1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1524</w:t>
                  </w:r>
                </w:p>
              </w:tc>
              <w:tc>
                <w:tcPr>
                  <w:tcW w:w="632" w:type="pct"/>
                  <w:tcBorders>
                    <w:tl2br w:val="nil"/>
                    <w:tr2bl w:val="nil"/>
                  </w:tcBorders>
                  <w:vAlign w:val="center"/>
                </w:tcPr>
                <w:p w14:paraId="6F08FBC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1581</w:t>
                  </w:r>
                </w:p>
              </w:tc>
              <w:tc>
                <w:tcPr>
                  <w:tcW w:w="661" w:type="pct"/>
                  <w:tcBorders>
                    <w:tl2br w:val="nil"/>
                    <w:tr2bl w:val="nil"/>
                  </w:tcBorders>
                  <w:vAlign w:val="center"/>
                </w:tcPr>
                <w:p w14:paraId="46AFFC2D">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1583</w:t>
                  </w:r>
                </w:p>
              </w:tc>
              <w:tc>
                <w:tcPr>
                  <w:tcW w:w="472" w:type="pct"/>
                  <w:tcBorders>
                    <w:tl2br w:val="nil"/>
                    <w:tr2bl w:val="nil"/>
                  </w:tcBorders>
                  <w:vAlign w:val="center"/>
                </w:tcPr>
                <w:p w14:paraId="686A1FFD">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2D168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E4B3CAE">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2763E52F">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3E5C0D3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6C7412A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3BFD884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1.05</w:t>
                  </w:r>
                </w:p>
              </w:tc>
              <w:tc>
                <w:tcPr>
                  <w:tcW w:w="632" w:type="pct"/>
                  <w:tcBorders>
                    <w:tl2br w:val="nil"/>
                    <w:tr2bl w:val="nil"/>
                  </w:tcBorders>
                  <w:vAlign w:val="center"/>
                </w:tcPr>
                <w:p w14:paraId="086221B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1.07</w:t>
                  </w:r>
                </w:p>
              </w:tc>
              <w:tc>
                <w:tcPr>
                  <w:tcW w:w="661" w:type="pct"/>
                  <w:tcBorders>
                    <w:tl2br w:val="nil"/>
                    <w:tr2bl w:val="nil"/>
                  </w:tcBorders>
                  <w:vAlign w:val="center"/>
                </w:tcPr>
                <w:p w14:paraId="37B4A1C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1.06</w:t>
                  </w:r>
                </w:p>
              </w:tc>
              <w:tc>
                <w:tcPr>
                  <w:tcW w:w="472" w:type="pct"/>
                  <w:tcBorders>
                    <w:tl2br w:val="nil"/>
                    <w:tr2bl w:val="nil"/>
                  </w:tcBorders>
                  <w:vAlign w:val="center"/>
                </w:tcPr>
                <w:p w14:paraId="27B02F62">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w:t>
                  </w:r>
                </w:p>
              </w:tc>
            </w:tr>
            <w:tr w14:paraId="13BB51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54C7ABE4">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0B1A1EF3">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042210F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29F0BE07">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13B6C92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1.60×10</w:t>
                  </w:r>
                  <w:r>
                    <w:rPr>
                      <w:rFonts w:hint="default" w:ascii="Times New Roman" w:hAnsi="Times New Roman" w:eastAsia="仿宋" w:cs="Times New Roman"/>
                      <w:color w:val="auto"/>
                      <w:spacing w:val="-3"/>
                      <w:sz w:val="21"/>
                      <w:szCs w:val="21"/>
                      <w:vertAlign w:val="superscript"/>
                    </w:rPr>
                    <w:t>-3</w:t>
                  </w:r>
                </w:p>
              </w:tc>
              <w:tc>
                <w:tcPr>
                  <w:tcW w:w="632" w:type="pct"/>
                  <w:tcBorders>
                    <w:tl2br w:val="nil"/>
                    <w:tr2bl w:val="nil"/>
                  </w:tcBorders>
                  <w:vAlign w:val="center"/>
                </w:tcPr>
                <w:p w14:paraId="66503A0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1.69×10</w:t>
                  </w:r>
                  <w:r>
                    <w:rPr>
                      <w:rFonts w:hint="default" w:ascii="Times New Roman" w:hAnsi="Times New Roman" w:eastAsia="仿宋" w:cs="Times New Roman"/>
                      <w:color w:val="auto"/>
                      <w:spacing w:val="-3"/>
                      <w:sz w:val="21"/>
                      <w:szCs w:val="21"/>
                      <w:vertAlign w:val="superscript"/>
                    </w:rPr>
                    <w:t>-3</w:t>
                  </w:r>
                </w:p>
              </w:tc>
              <w:tc>
                <w:tcPr>
                  <w:tcW w:w="661" w:type="pct"/>
                  <w:tcBorders>
                    <w:tl2br w:val="nil"/>
                    <w:tr2bl w:val="nil"/>
                  </w:tcBorders>
                  <w:vAlign w:val="center"/>
                </w:tcPr>
                <w:p w14:paraId="2ED0173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1.68×10</w:t>
                  </w:r>
                  <w:r>
                    <w:rPr>
                      <w:rFonts w:hint="default" w:ascii="Times New Roman" w:hAnsi="Times New Roman" w:eastAsia="仿宋" w:cs="Times New Roman"/>
                      <w:color w:val="auto"/>
                      <w:spacing w:val="-3"/>
                      <w:sz w:val="21"/>
                      <w:szCs w:val="21"/>
                      <w:vertAlign w:val="superscript"/>
                    </w:rPr>
                    <w:t>-3</w:t>
                  </w:r>
                </w:p>
              </w:tc>
              <w:tc>
                <w:tcPr>
                  <w:tcW w:w="472" w:type="pct"/>
                  <w:tcBorders>
                    <w:tl2br w:val="nil"/>
                    <w:tr2bl w:val="nil"/>
                  </w:tcBorders>
                  <w:vAlign w:val="center"/>
                </w:tcPr>
                <w:p w14:paraId="00172A38">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6D8466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jc w:val="center"/>
              </w:trPr>
              <w:tc>
                <w:tcPr>
                  <w:tcW w:w="469" w:type="pct"/>
                  <w:vMerge w:val="continue"/>
                  <w:tcBorders>
                    <w:tl2br w:val="nil"/>
                    <w:tr2bl w:val="nil"/>
                  </w:tcBorders>
                  <w:vAlign w:val="center"/>
                </w:tcPr>
                <w:p w14:paraId="1429EDB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279102E1">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3#排气筒进</w:t>
                  </w:r>
                  <w:r>
                    <w:rPr>
                      <w:rFonts w:hint="default" w:ascii="Times New Roman" w:hAnsi="Times New Roman" w:eastAsia="仿宋" w:cs="Times New Roman"/>
                      <w:color w:val="auto"/>
                      <w:sz w:val="21"/>
                      <w:szCs w:val="21"/>
                    </w:rPr>
                    <w:t>口</w:t>
                  </w:r>
                </w:p>
              </w:tc>
              <w:tc>
                <w:tcPr>
                  <w:tcW w:w="1523" w:type="pct"/>
                  <w:gridSpan w:val="2"/>
                  <w:tcBorders>
                    <w:tl2br w:val="nil"/>
                    <w:tr2bl w:val="nil"/>
                  </w:tcBorders>
                  <w:vAlign w:val="center"/>
                </w:tcPr>
                <w:p w14:paraId="01283605">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7EAD1BA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4588</w:t>
                  </w:r>
                </w:p>
              </w:tc>
              <w:tc>
                <w:tcPr>
                  <w:tcW w:w="632" w:type="pct"/>
                  <w:tcBorders>
                    <w:tl2br w:val="nil"/>
                    <w:tr2bl w:val="nil"/>
                  </w:tcBorders>
                  <w:vAlign w:val="center"/>
                </w:tcPr>
                <w:p w14:paraId="5209EA1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4657</w:t>
                  </w:r>
                </w:p>
              </w:tc>
              <w:tc>
                <w:tcPr>
                  <w:tcW w:w="661" w:type="pct"/>
                  <w:tcBorders>
                    <w:tl2br w:val="nil"/>
                    <w:tr2bl w:val="nil"/>
                  </w:tcBorders>
                  <w:vAlign w:val="center"/>
                </w:tcPr>
                <w:p w14:paraId="6165A036">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en-US"/>
                    </w:rPr>
                  </w:pPr>
                  <w:r>
                    <w:rPr>
                      <w:rFonts w:hint="default" w:ascii="Times New Roman" w:hAnsi="Times New Roman" w:eastAsia="仿宋" w:cs="Times New Roman"/>
                      <w:color w:val="auto"/>
                      <w:spacing w:val="-3"/>
                      <w:sz w:val="21"/>
                      <w:szCs w:val="21"/>
                      <w:lang w:val="en-US" w:eastAsia="en-US"/>
                    </w:rPr>
                    <w:t>4796</w:t>
                  </w:r>
                </w:p>
              </w:tc>
              <w:tc>
                <w:tcPr>
                  <w:tcW w:w="472" w:type="pct"/>
                  <w:tcBorders>
                    <w:tl2br w:val="nil"/>
                    <w:tr2bl w:val="nil"/>
                  </w:tcBorders>
                  <w:vAlign w:val="center"/>
                </w:tcPr>
                <w:p w14:paraId="12C01222">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561F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0B4A5BC2">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3EAECCDC">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52F5F447">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40A93843">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36E02E78">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8.81</w:t>
                  </w:r>
                </w:p>
              </w:tc>
              <w:tc>
                <w:tcPr>
                  <w:tcW w:w="632" w:type="pct"/>
                  <w:tcBorders>
                    <w:tl2br w:val="nil"/>
                    <w:tr2bl w:val="nil"/>
                  </w:tcBorders>
                  <w:vAlign w:val="center"/>
                </w:tcPr>
                <w:p w14:paraId="51637A0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9.08</w:t>
                  </w:r>
                </w:p>
              </w:tc>
              <w:tc>
                <w:tcPr>
                  <w:tcW w:w="661" w:type="pct"/>
                  <w:tcBorders>
                    <w:tl2br w:val="nil"/>
                    <w:tr2bl w:val="nil"/>
                  </w:tcBorders>
                  <w:vAlign w:val="center"/>
                </w:tcPr>
                <w:p w14:paraId="704E10F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9.16</w:t>
                  </w:r>
                </w:p>
              </w:tc>
              <w:tc>
                <w:tcPr>
                  <w:tcW w:w="472" w:type="pct"/>
                  <w:tcBorders>
                    <w:tl2br w:val="nil"/>
                    <w:tr2bl w:val="nil"/>
                  </w:tcBorders>
                  <w:vAlign w:val="center"/>
                </w:tcPr>
                <w:p w14:paraId="7DEF0364">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58D1E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2B527FA9">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16F8363C">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4B456C58">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415A4FE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40B8F66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4.04×10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12D206A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4.23×10</w:t>
                  </w:r>
                  <w:r>
                    <w:rPr>
                      <w:rFonts w:hint="default" w:ascii="Times New Roman" w:hAnsi="Times New Roman" w:eastAsia="仿宋" w:cs="Times New Roman"/>
                      <w:color w:val="auto"/>
                      <w:spacing w:val="-3"/>
                      <w:sz w:val="21"/>
                      <w:szCs w:val="21"/>
                      <w:vertAlign w:val="superscript"/>
                    </w:rPr>
                    <w:t>-2</w:t>
                  </w:r>
                </w:p>
              </w:tc>
              <w:tc>
                <w:tcPr>
                  <w:tcW w:w="661" w:type="pct"/>
                  <w:tcBorders>
                    <w:tl2br w:val="nil"/>
                    <w:tr2bl w:val="nil"/>
                  </w:tcBorders>
                  <w:vAlign w:val="center"/>
                </w:tcPr>
                <w:p w14:paraId="1E559C0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4.39×10</w:t>
                  </w:r>
                  <w:r>
                    <w:rPr>
                      <w:rFonts w:hint="default" w:ascii="Times New Roman" w:hAnsi="Times New Roman" w:eastAsia="仿宋" w:cs="Times New Roman"/>
                      <w:color w:val="auto"/>
                      <w:spacing w:val="-3"/>
                      <w:sz w:val="21"/>
                      <w:szCs w:val="21"/>
                      <w:vertAlign w:val="superscript"/>
                    </w:rPr>
                    <w:t>-2</w:t>
                  </w:r>
                </w:p>
              </w:tc>
              <w:tc>
                <w:tcPr>
                  <w:tcW w:w="472" w:type="pct"/>
                  <w:tcBorders>
                    <w:tl2br w:val="nil"/>
                    <w:tr2bl w:val="nil"/>
                  </w:tcBorders>
                  <w:vAlign w:val="center"/>
                </w:tcPr>
                <w:p w14:paraId="554F2882">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53B32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1D5B51C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111FA3F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0DD9E67D">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1055" w:type="pct"/>
                  <w:tcBorders>
                    <w:tl2br w:val="nil"/>
                    <w:tr2bl w:val="nil"/>
                  </w:tcBorders>
                  <w:shd w:val="clear" w:color="auto" w:fill="auto"/>
                  <w:vAlign w:val="center"/>
                </w:tcPr>
                <w:p w14:paraId="25CCCD1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0CF9A31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6.76</w:t>
                  </w:r>
                </w:p>
              </w:tc>
              <w:tc>
                <w:tcPr>
                  <w:tcW w:w="632" w:type="pct"/>
                  <w:tcBorders>
                    <w:tl2br w:val="nil"/>
                    <w:tr2bl w:val="nil"/>
                  </w:tcBorders>
                  <w:vAlign w:val="center"/>
                </w:tcPr>
                <w:p w14:paraId="0FF3111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6.71</w:t>
                  </w:r>
                </w:p>
              </w:tc>
              <w:tc>
                <w:tcPr>
                  <w:tcW w:w="661" w:type="pct"/>
                  <w:tcBorders>
                    <w:tl2br w:val="nil"/>
                    <w:tr2bl w:val="nil"/>
                  </w:tcBorders>
                  <w:vAlign w:val="center"/>
                </w:tcPr>
                <w:p w14:paraId="6336658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6.15</w:t>
                  </w:r>
                </w:p>
              </w:tc>
              <w:tc>
                <w:tcPr>
                  <w:tcW w:w="472" w:type="pct"/>
                  <w:tcBorders>
                    <w:tl2br w:val="nil"/>
                    <w:tr2bl w:val="nil"/>
                  </w:tcBorders>
                  <w:vAlign w:val="center"/>
                </w:tcPr>
                <w:p w14:paraId="60EFCD10">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7E08EE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469" w:type="pct"/>
                  <w:vMerge w:val="continue"/>
                  <w:tcBorders>
                    <w:tl2br w:val="nil"/>
                    <w:tr2bl w:val="nil"/>
                  </w:tcBorders>
                  <w:vAlign w:val="center"/>
                </w:tcPr>
                <w:p w14:paraId="65BCB7B9">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7CC259C9">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46408EA9">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shd w:val="clear" w:color="auto" w:fill="auto"/>
                  <w:vAlign w:val="center"/>
                </w:tcPr>
                <w:p w14:paraId="03C611C5">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367A5E7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3.10×10</w:t>
                  </w:r>
                  <w:r>
                    <w:rPr>
                      <w:rFonts w:hint="default" w:ascii="Times New Roman" w:hAnsi="Times New Roman" w:eastAsia="仿宋" w:cs="Times New Roman"/>
                      <w:color w:val="auto"/>
                      <w:spacing w:val="-3"/>
                      <w:sz w:val="21"/>
                      <w:szCs w:val="21"/>
                      <w:vertAlign w:val="superscript"/>
                    </w:rPr>
                    <w:t>-2</w:t>
                  </w:r>
                </w:p>
              </w:tc>
              <w:tc>
                <w:tcPr>
                  <w:tcW w:w="632" w:type="pct"/>
                  <w:tcBorders>
                    <w:tl2br w:val="nil"/>
                    <w:tr2bl w:val="nil"/>
                  </w:tcBorders>
                  <w:vAlign w:val="center"/>
                </w:tcPr>
                <w:p w14:paraId="79248AD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3.12×10</w:t>
                  </w:r>
                  <w:r>
                    <w:rPr>
                      <w:rFonts w:hint="default" w:ascii="Times New Roman" w:hAnsi="Times New Roman" w:eastAsia="仿宋" w:cs="Times New Roman"/>
                      <w:color w:val="auto"/>
                      <w:spacing w:val="-3"/>
                      <w:sz w:val="21"/>
                      <w:szCs w:val="21"/>
                      <w:vertAlign w:val="superscript"/>
                    </w:rPr>
                    <w:t>-2</w:t>
                  </w:r>
                </w:p>
              </w:tc>
              <w:tc>
                <w:tcPr>
                  <w:tcW w:w="661" w:type="pct"/>
                  <w:tcBorders>
                    <w:tl2br w:val="nil"/>
                    <w:tr2bl w:val="nil"/>
                  </w:tcBorders>
                  <w:vAlign w:val="center"/>
                </w:tcPr>
                <w:p w14:paraId="0BCE94B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2.95×10</w:t>
                  </w:r>
                  <w:r>
                    <w:rPr>
                      <w:rFonts w:hint="default" w:ascii="Times New Roman" w:hAnsi="Times New Roman" w:eastAsia="仿宋" w:cs="Times New Roman"/>
                      <w:color w:val="auto"/>
                      <w:spacing w:val="-3"/>
                      <w:sz w:val="21"/>
                      <w:szCs w:val="21"/>
                      <w:vertAlign w:val="superscript"/>
                    </w:rPr>
                    <w:t>-2</w:t>
                  </w:r>
                </w:p>
              </w:tc>
              <w:tc>
                <w:tcPr>
                  <w:tcW w:w="472" w:type="pct"/>
                  <w:tcBorders>
                    <w:tl2br w:val="nil"/>
                    <w:tr2bl w:val="nil"/>
                  </w:tcBorders>
                  <w:vAlign w:val="center"/>
                </w:tcPr>
                <w:p w14:paraId="627ADB52">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r>
            <w:tr w14:paraId="0E6C4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414C58E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restart"/>
                  <w:tcBorders>
                    <w:tl2br w:val="nil"/>
                    <w:tr2bl w:val="nil"/>
                  </w:tcBorders>
                  <w:vAlign w:val="center"/>
                </w:tcPr>
                <w:p w14:paraId="35A6F902">
                  <w:pPr>
                    <w:keepNext w:val="0"/>
                    <w:keepLines w:val="0"/>
                    <w:pageBreakBefore w:val="0"/>
                    <w:widowControl/>
                    <w:wordWrap/>
                    <w:topLinePunct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3#排气筒</w:t>
                  </w:r>
                  <w:r>
                    <w:rPr>
                      <w:rFonts w:hint="default" w:ascii="Times New Roman" w:hAnsi="Times New Roman" w:eastAsia="仿宋" w:cs="Times New Roman"/>
                      <w:color w:val="auto"/>
                      <w:sz w:val="21"/>
                      <w:szCs w:val="21"/>
                    </w:rPr>
                    <w:t>出口</w:t>
                  </w:r>
                </w:p>
              </w:tc>
              <w:tc>
                <w:tcPr>
                  <w:tcW w:w="1523" w:type="pct"/>
                  <w:gridSpan w:val="2"/>
                  <w:tcBorders>
                    <w:tl2br w:val="nil"/>
                    <w:tr2bl w:val="nil"/>
                  </w:tcBorders>
                  <w:vAlign w:val="center"/>
                </w:tcPr>
                <w:p w14:paraId="61AB8250">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标干流量（Nm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/h）</w:t>
                  </w:r>
                </w:p>
              </w:tc>
              <w:tc>
                <w:tcPr>
                  <w:tcW w:w="676" w:type="pct"/>
                  <w:tcBorders>
                    <w:tl2br w:val="nil"/>
                    <w:tr2bl w:val="nil"/>
                  </w:tcBorders>
                  <w:vAlign w:val="center"/>
                </w:tcPr>
                <w:p w14:paraId="0BB326E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5351</w:t>
                  </w:r>
                </w:p>
              </w:tc>
              <w:tc>
                <w:tcPr>
                  <w:tcW w:w="632" w:type="pct"/>
                  <w:tcBorders>
                    <w:tl2br w:val="nil"/>
                    <w:tr2bl w:val="nil"/>
                  </w:tcBorders>
                  <w:vAlign w:val="center"/>
                </w:tcPr>
                <w:p w14:paraId="72E9599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5528</w:t>
                  </w:r>
                </w:p>
              </w:tc>
              <w:tc>
                <w:tcPr>
                  <w:tcW w:w="661" w:type="pct"/>
                  <w:tcBorders>
                    <w:tl2br w:val="nil"/>
                    <w:tr2bl w:val="nil"/>
                  </w:tcBorders>
                  <w:vAlign w:val="center"/>
                </w:tcPr>
                <w:p w14:paraId="7D1DF91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5957</w:t>
                  </w:r>
                </w:p>
              </w:tc>
              <w:tc>
                <w:tcPr>
                  <w:tcW w:w="472" w:type="pct"/>
                  <w:tcBorders>
                    <w:tl2br w:val="nil"/>
                    <w:tr2bl w:val="nil"/>
                  </w:tcBorders>
                  <w:vAlign w:val="center"/>
                </w:tcPr>
                <w:p w14:paraId="01EA23CE">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DE34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6A485F1D">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7575DD4F">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45B8109E">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1055" w:type="pct"/>
                  <w:tcBorders>
                    <w:tl2br w:val="nil"/>
                    <w:tr2bl w:val="nil"/>
                  </w:tcBorders>
                  <w:vAlign w:val="center"/>
                </w:tcPr>
                <w:p w14:paraId="41624D0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7332A26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1.02</w:t>
                  </w:r>
                </w:p>
              </w:tc>
              <w:tc>
                <w:tcPr>
                  <w:tcW w:w="632" w:type="pct"/>
                  <w:tcBorders>
                    <w:tl2br w:val="nil"/>
                    <w:tr2bl w:val="nil"/>
                  </w:tcBorders>
                  <w:vAlign w:val="center"/>
                </w:tcPr>
                <w:p w14:paraId="788DD3A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1.06</w:t>
                  </w:r>
                </w:p>
              </w:tc>
              <w:tc>
                <w:tcPr>
                  <w:tcW w:w="661" w:type="pct"/>
                  <w:tcBorders>
                    <w:tl2br w:val="nil"/>
                    <w:tr2bl w:val="nil"/>
                  </w:tcBorders>
                  <w:vAlign w:val="center"/>
                </w:tcPr>
                <w:p w14:paraId="73FCFC4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1.09</w:t>
                  </w:r>
                </w:p>
              </w:tc>
              <w:tc>
                <w:tcPr>
                  <w:tcW w:w="472" w:type="pct"/>
                  <w:tcBorders>
                    <w:tl2br w:val="nil"/>
                    <w:tr2bl w:val="nil"/>
                  </w:tcBorders>
                  <w:vAlign w:val="center"/>
                </w:tcPr>
                <w:p w14:paraId="4B678843">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w:t>
                  </w:r>
                </w:p>
              </w:tc>
            </w:tr>
            <w:tr w14:paraId="09717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728FA228">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0B4CDC5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1EAD6FD7">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vAlign w:val="center"/>
                </w:tcPr>
                <w:p w14:paraId="7EA83F1A">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1789CAE6">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5.46×10</w:t>
                  </w:r>
                  <w:r>
                    <w:rPr>
                      <w:rFonts w:hint="default" w:ascii="Times New Roman" w:hAnsi="Times New Roman" w:eastAsia="仿宋" w:cs="Times New Roman"/>
                      <w:color w:val="auto"/>
                      <w:spacing w:val="-3"/>
                      <w:sz w:val="21"/>
                      <w:szCs w:val="21"/>
                      <w:vertAlign w:val="superscript"/>
                    </w:rPr>
                    <w:t>-3</w:t>
                  </w:r>
                </w:p>
              </w:tc>
              <w:tc>
                <w:tcPr>
                  <w:tcW w:w="632" w:type="pct"/>
                  <w:tcBorders>
                    <w:tl2br w:val="nil"/>
                    <w:tr2bl w:val="nil"/>
                  </w:tcBorders>
                  <w:vAlign w:val="center"/>
                </w:tcPr>
                <w:p w14:paraId="1C39962D">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5.86×10</w:t>
                  </w:r>
                  <w:r>
                    <w:rPr>
                      <w:rFonts w:hint="default" w:ascii="Times New Roman" w:hAnsi="Times New Roman" w:eastAsia="仿宋" w:cs="Times New Roman"/>
                      <w:color w:val="auto"/>
                      <w:spacing w:val="-3"/>
                      <w:sz w:val="21"/>
                      <w:szCs w:val="21"/>
                      <w:vertAlign w:val="superscript"/>
                    </w:rPr>
                    <w:t>-3</w:t>
                  </w:r>
                </w:p>
              </w:tc>
              <w:tc>
                <w:tcPr>
                  <w:tcW w:w="661" w:type="pct"/>
                  <w:tcBorders>
                    <w:tl2br w:val="nil"/>
                    <w:tr2bl w:val="nil"/>
                  </w:tcBorders>
                  <w:vAlign w:val="center"/>
                </w:tcPr>
                <w:p w14:paraId="6842EDC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rPr>
                  </w:pPr>
                  <w:r>
                    <w:rPr>
                      <w:rFonts w:hint="default" w:ascii="Times New Roman" w:hAnsi="Times New Roman" w:eastAsia="仿宋" w:cs="Times New Roman"/>
                      <w:color w:val="auto"/>
                      <w:spacing w:val="-3"/>
                      <w:sz w:val="21"/>
                      <w:szCs w:val="21"/>
                    </w:rPr>
                    <w:t>6.49×10</w:t>
                  </w:r>
                  <w:r>
                    <w:rPr>
                      <w:rFonts w:hint="default" w:ascii="Times New Roman" w:hAnsi="Times New Roman" w:eastAsia="仿宋" w:cs="Times New Roman"/>
                      <w:color w:val="auto"/>
                      <w:spacing w:val="-3"/>
                      <w:sz w:val="21"/>
                      <w:szCs w:val="21"/>
                      <w:vertAlign w:val="superscript"/>
                    </w:rPr>
                    <w:t>-3</w:t>
                  </w:r>
                </w:p>
              </w:tc>
              <w:tc>
                <w:tcPr>
                  <w:tcW w:w="472" w:type="pct"/>
                  <w:tcBorders>
                    <w:tl2br w:val="nil"/>
                    <w:tr2bl w:val="nil"/>
                  </w:tcBorders>
                  <w:vAlign w:val="center"/>
                </w:tcPr>
                <w:p w14:paraId="6AA9A6D0">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6A1E4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457C7D4F">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7EEF7325">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restart"/>
                  <w:tcBorders>
                    <w:tl2br w:val="nil"/>
                    <w:tr2bl w:val="nil"/>
                  </w:tcBorders>
                  <w:vAlign w:val="center"/>
                </w:tcPr>
                <w:p w14:paraId="62F6C30F">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硫酸雾</w:t>
                  </w:r>
                </w:p>
              </w:tc>
              <w:tc>
                <w:tcPr>
                  <w:tcW w:w="1055" w:type="pct"/>
                  <w:tcBorders>
                    <w:tl2br w:val="nil"/>
                    <w:tr2bl w:val="nil"/>
                  </w:tcBorders>
                  <w:shd w:val="clear" w:color="auto" w:fill="auto"/>
                  <w:vAlign w:val="center"/>
                </w:tcPr>
                <w:p w14:paraId="05FD663C">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pacing w:val="-8"/>
                      <w:sz w:val="21"/>
                      <w:szCs w:val="21"/>
                    </w:rPr>
                    <w:t>排放浓度（mg/</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pacing w:val="-8"/>
                      <w:sz w:val="21"/>
                      <w:szCs w:val="21"/>
                    </w:rPr>
                    <w:t>）</w:t>
                  </w:r>
                </w:p>
              </w:tc>
              <w:tc>
                <w:tcPr>
                  <w:tcW w:w="676" w:type="pct"/>
                  <w:tcBorders>
                    <w:tl2br w:val="nil"/>
                    <w:tr2bl w:val="nil"/>
                  </w:tcBorders>
                  <w:vAlign w:val="center"/>
                </w:tcPr>
                <w:p w14:paraId="3220091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0.49</w:t>
                  </w:r>
                </w:p>
              </w:tc>
              <w:tc>
                <w:tcPr>
                  <w:tcW w:w="632" w:type="pct"/>
                  <w:tcBorders>
                    <w:tl2br w:val="nil"/>
                    <w:tr2bl w:val="nil"/>
                  </w:tcBorders>
                  <w:vAlign w:val="center"/>
                </w:tcPr>
                <w:p w14:paraId="4E28684A">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0.47</w:t>
                  </w:r>
                </w:p>
              </w:tc>
              <w:tc>
                <w:tcPr>
                  <w:tcW w:w="661" w:type="pct"/>
                  <w:tcBorders>
                    <w:tl2br w:val="nil"/>
                    <w:tr2bl w:val="nil"/>
                  </w:tcBorders>
                  <w:vAlign w:val="center"/>
                </w:tcPr>
                <w:p w14:paraId="7C99E62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val="en-US" w:eastAsia="zh-CN"/>
                    </w:rPr>
                  </w:pPr>
                  <w:r>
                    <w:rPr>
                      <w:rFonts w:hint="default" w:ascii="Times New Roman" w:hAnsi="Times New Roman" w:eastAsia="仿宋" w:cs="Times New Roman"/>
                      <w:color w:val="auto"/>
                      <w:spacing w:val="-3"/>
                      <w:sz w:val="21"/>
                      <w:szCs w:val="21"/>
                      <w:lang w:val="en-US" w:eastAsia="zh-CN"/>
                    </w:rPr>
                    <w:t>0.5</w:t>
                  </w:r>
                </w:p>
              </w:tc>
              <w:tc>
                <w:tcPr>
                  <w:tcW w:w="472" w:type="pct"/>
                  <w:tcBorders>
                    <w:tl2br w:val="nil"/>
                    <w:tr2bl w:val="nil"/>
                  </w:tcBorders>
                  <w:vAlign w:val="center"/>
                </w:tcPr>
                <w:p w14:paraId="16E59FAF">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w:t>
                  </w:r>
                </w:p>
              </w:tc>
            </w:tr>
            <w:tr w14:paraId="023B9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469" w:type="pct"/>
                  <w:vMerge w:val="continue"/>
                  <w:tcBorders>
                    <w:tl2br w:val="nil"/>
                    <w:tr2bl w:val="nil"/>
                  </w:tcBorders>
                  <w:vAlign w:val="center"/>
                </w:tcPr>
                <w:p w14:paraId="439775D3">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564" w:type="pct"/>
                  <w:vMerge w:val="continue"/>
                  <w:tcBorders>
                    <w:tl2br w:val="nil"/>
                    <w:tr2bl w:val="nil"/>
                  </w:tcBorders>
                  <w:vAlign w:val="center"/>
                </w:tcPr>
                <w:p w14:paraId="6E3CC9F3">
                  <w:pPr>
                    <w:keepNext w:val="0"/>
                    <w:keepLines w:val="0"/>
                    <w:pageBreakBefore w:val="0"/>
                    <w:kinsoku w:val="0"/>
                    <w:wordWrap/>
                    <w:overflowPunct w:val="0"/>
                    <w:topLinePunct w:val="0"/>
                    <w:autoSpaceDE w:val="0"/>
                    <w:autoSpaceDN w:val="0"/>
                    <w:bidi w:val="0"/>
                    <w:adjustRightInd w:val="0"/>
                    <w:snapToGrid w:val="0"/>
                    <w:spacing w:line="240" w:lineRule="auto"/>
                    <w:ind w:left="0" w:firstLine="0"/>
                    <w:jc w:val="center"/>
                    <w:textAlignment w:val="auto"/>
                    <w:rPr>
                      <w:rFonts w:hint="default" w:ascii="Times New Roman" w:hAnsi="Times New Roman" w:eastAsia="仿宋" w:cs="Times New Roman"/>
                      <w:color w:val="auto"/>
                      <w:sz w:val="21"/>
                      <w:szCs w:val="21"/>
                    </w:rPr>
                  </w:pPr>
                </w:p>
              </w:tc>
              <w:tc>
                <w:tcPr>
                  <w:tcW w:w="467" w:type="pct"/>
                  <w:vMerge w:val="continue"/>
                  <w:tcBorders>
                    <w:tl2br w:val="nil"/>
                    <w:tr2bl w:val="nil"/>
                  </w:tcBorders>
                  <w:vAlign w:val="center"/>
                </w:tcPr>
                <w:p w14:paraId="00651A52">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rPr>
                  </w:pPr>
                </w:p>
              </w:tc>
              <w:tc>
                <w:tcPr>
                  <w:tcW w:w="1055" w:type="pct"/>
                  <w:tcBorders>
                    <w:tl2br w:val="nil"/>
                    <w:tr2bl w:val="nil"/>
                  </w:tcBorders>
                  <w:shd w:val="clear" w:color="auto" w:fill="auto"/>
                  <w:vAlign w:val="center"/>
                </w:tcPr>
                <w:p w14:paraId="345A3E66">
                  <w:pPr>
                    <w:keepNext w:val="0"/>
                    <w:keepLines w:val="0"/>
                    <w:pageBreakBefore w:val="0"/>
                    <w:kinsoku w:val="0"/>
                    <w:wordWrap/>
                    <w:overflowPunct w:val="0"/>
                    <w:topLinePunct w:val="0"/>
                    <w:autoSpaceDE w:val="0"/>
                    <w:autoSpaceDN w:val="0"/>
                    <w:bidi w:val="0"/>
                    <w:adjustRightInd w:val="0"/>
                    <w:snapToGrid w:val="0"/>
                    <w:spacing w:after="0" w:line="240" w:lineRule="auto"/>
                    <w:ind w:left="0" w:firstLine="0"/>
                    <w:jc w:val="center"/>
                    <w:textAlignment w:val="auto"/>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排放速率（kg/h）</w:t>
                  </w:r>
                </w:p>
              </w:tc>
              <w:tc>
                <w:tcPr>
                  <w:tcW w:w="676" w:type="pct"/>
                  <w:tcBorders>
                    <w:tl2br w:val="nil"/>
                    <w:tr2bl w:val="nil"/>
                  </w:tcBorders>
                  <w:vAlign w:val="center"/>
                </w:tcPr>
                <w:p w14:paraId="3F6C5C5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rPr>
                    <w:t>2.</w:t>
                  </w:r>
                  <w:r>
                    <w:rPr>
                      <w:rFonts w:hint="default" w:ascii="Times New Roman" w:hAnsi="Times New Roman" w:eastAsia="仿宋" w:cs="Times New Roman"/>
                      <w:color w:val="auto"/>
                      <w:spacing w:val="-3"/>
                      <w:sz w:val="21"/>
                      <w:szCs w:val="21"/>
                      <w:lang w:val="en-US" w:eastAsia="zh-CN"/>
                    </w:rPr>
                    <w:t>62</w:t>
                  </w:r>
                  <w:r>
                    <w:rPr>
                      <w:rFonts w:hint="default" w:ascii="Times New Roman" w:hAnsi="Times New Roman" w:eastAsia="仿宋" w:cs="Times New Roman"/>
                      <w:color w:val="auto"/>
                      <w:spacing w:val="-3"/>
                      <w:sz w:val="21"/>
                      <w:szCs w:val="21"/>
                    </w:rPr>
                    <w:t>×10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632" w:type="pct"/>
                  <w:tcBorders>
                    <w:tl2br w:val="nil"/>
                    <w:tr2bl w:val="nil"/>
                  </w:tcBorders>
                  <w:vAlign w:val="center"/>
                </w:tcPr>
                <w:p w14:paraId="1E188BD7">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lang w:val="en-US" w:eastAsia="zh-CN"/>
                    </w:rPr>
                    <w:t>2.6</w:t>
                  </w:r>
                  <w:r>
                    <w:rPr>
                      <w:rFonts w:hint="default" w:ascii="Times New Roman" w:hAnsi="Times New Roman" w:eastAsia="仿宋" w:cs="Times New Roman"/>
                      <w:color w:val="auto"/>
                      <w:spacing w:val="-3"/>
                      <w:sz w:val="21"/>
                      <w:szCs w:val="21"/>
                    </w:rPr>
                    <w:t>×10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661" w:type="pct"/>
                  <w:tcBorders>
                    <w:tl2br w:val="nil"/>
                    <w:tr2bl w:val="nil"/>
                  </w:tcBorders>
                  <w:vAlign w:val="center"/>
                </w:tcPr>
                <w:p w14:paraId="1566683D">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仿宋" w:cs="Times New Roman"/>
                      <w:color w:val="auto"/>
                      <w:spacing w:val="-3"/>
                      <w:sz w:val="21"/>
                      <w:szCs w:val="21"/>
                      <w:lang w:eastAsia="zh-CN"/>
                    </w:rPr>
                  </w:pPr>
                  <w:r>
                    <w:rPr>
                      <w:rFonts w:hint="default" w:ascii="Times New Roman" w:hAnsi="Times New Roman" w:eastAsia="仿宋" w:cs="Times New Roman"/>
                      <w:color w:val="auto"/>
                      <w:spacing w:val="-3"/>
                      <w:sz w:val="21"/>
                      <w:szCs w:val="21"/>
                    </w:rPr>
                    <w:t>2.</w:t>
                  </w:r>
                  <w:r>
                    <w:rPr>
                      <w:rFonts w:hint="default" w:ascii="Times New Roman" w:hAnsi="Times New Roman" w:eastAsia="仿宋" w:cs="Times New Roman"/>
                      <w:color w:val="auto"/>
                      <w:spacing w:val="-3"/>
                      <w:sz w:val="21"/>
                      <w:szCs w:val="21"/>
                      <w:lang w:val="en-US" w:eastAsia="zh-CN"/>
                    </w:rPr>
                    <w:t>98</w:t>
                  </w:r>
                  <w:r>
                    <w:rPr>
                      <w:rFonts w:hint="default" w:ascii="Times New Roman" w:hAnsi="Times New Roman" w:eastAsia="仿宋" w:cs="Times New Roman"/>
                      <w:color w:val="auto"/>
                      <w:spacing w:val="-3"/>
                      <w:sz w:val="21"/>
                      <w:szCs w:val="21"/>
                    </w:rPr>
                    <w:t>×10</w:t>
                  </w:r>
                  <w:r>
                    <w:rPr>
                      <w:rFonts w:hint="default" w:ascii="Times New Roman" w:hAnsi="Times New Roman" w:eastAsia="仿宋" w:cs="Times New Roman"/>
                      <w:color w:val="auto"/>
                      <w:spacing w:val="-3"/>
                      <w:sz w:val="21"/>
                      <w:szCs w:val="21"/>
                      <w:vertAlign w:val="superscript"/>
                    </w:rPr>
                    <w:t>-</w:t>
                  </w:r>
                  <w:r>
                    <w:rPr>
                      <w:rFonts w:hint="default" w:ascii="Times New Roman" w:hAnsi="Times New Roman" w:eastAsia="仿宋" w:cs="Times New Roman"/>
                      <w:color w:val="auto"/>
                      <w:spacing w:val="-3"/>
                      <w:sz w:val="21"/>
                      <w:szCs w:val="21"/>
                      <w:vertAlign w:val="superscript"/>
                      <w:lang w:val="en-US" w:eastAsia="zh-CN"/>
                    </w:rPr>
                    <w:t>3</w:t>
                  </w:r>
                </w:p>
              </w:tc>
              <w:tc>
                <w:tcPr>
                  <w:tcW w:w="472" w:type="pct"/>
                  <w:tcBorders>
                    <w:tl2br w:val="nil"/>
                    <w:tr2bl w:val="nil"/>
                  </w:tcBorders>
                  <w:vAlign w:val="center"/>
                </w:tcPr>
                <w:p w14:paraId="00C51B7C">
                  <w:pPr>
                    <w:keepNext w:val="0"/>
                    <w:keepLines w:val="0"/>
                    <w:pageBreakBefore w:val="0"/>
                    <w:kinsoku w:val="0"/>
                    <w:wordWrap/>
                    <w:overflowPunct w:val="0"/>
                    <w:topLinePunct w:val="0"/>
                    <w:autoSpaceDE w:val="0"/>
                    <w:autoSpaceDN w:val="0"/>
                    <w:bidi w:val="0"/>
                    <w:adjustRightInd w:val="0"/>
                    <w:snapToGrid w:val="0"/>
                    <w:spacing w:after="0" w:line="240" w:lineRule="auto"/>
                    <w:ind w:left="0" w:leftChars="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1.1</w:t>
                  </w:r>
                </w:p>
              </w:tc>
            </w:tr>
          </w:tbl>
          <w:p w14:paraId="78502BFD">
            <w:pPr>
              <w:widowControl w:val="0"/>
              <w:spacing w:before="120" w:beforeLines="50" w:after="0"/>
              <w:jc w:val="center"/>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highlight w:val="none"/>
                <w:lang w:val="zh-CN"/>
              </w:rPr>
              <w:t>表</w:t>
            </w:r>
            <w:r>
              <w:rPr>
                <w:rFonts w:hint="default" w:ascii="Times New Roman" w:hAnsi="Times New Roman" w:eastAsia="仿宋" w:cs="Times New Roman"/>
                <w:b/>
                <w:bCs/>
                <w:color w:val="auto"/>
                <w:sz w:val="24"/>
                <w:szCs w:val="24"/>
                <w:highlight w:val="none"/>
                <w:lang w:val="en-US" w:eastAsia="zh-CN"/>
              </w:rPr>
              <w:t>2-11</w:t>
            </w:r>
            <w:r>
              <w:rPr>
                <w:rFonts w:hint="default" w:ascii="Times New Roman" w:hAnsi="Times New Roman" w:eastAsia="仿宋" w:cs="Times New Roman"/>
                <w:b/>
                <w:bCs/>
                <w:color w:val="auto"/>
                <w:sz w:val="24"/>
                <w:szCs w:val="24"/>
                <w:highlight w:val="none"/>
                <w:lang w:val="zh-CN"/>
              </w:rPr>
              <w:t xml:space="preserve">  无组织废气监</w:t>
            </w:r>
            <w:r>
              <w:rPr>
                <w:rFonts w:hint="default" w:ascii="Times New Roman" w:hAnsi="Times New Roman" w:eastAsia="仿宋" w:cs="Times New Roman"/>
                <w:b/>
                <w:bCs/>
                <w:color w:val="auto"/>
                <w:sz w:val="24"/>
                <w:szCs w:val="24"/>
                <w:lang w:val="zh-CN"/>
              </w:rPr>
              <w:t>测结果一览表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83"/>
              <w:gridCol w:w="1529"/>
              <w:gridCol w:w="1201"/>
              <w:gridCol w:w="1146"/>
              <w:gridCol w:w="1147"/>
              <w:gridCol w:w="1236"/>
            </w:tblGrid>
            <w:tr w14:paraId="71419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restart"/>
                  <w:tcBorders>
                    <w:tl2br w:val="nil"/>
                    <w:tr2bl w:val="nil"/>
                  </w:tcBorders>
                  <w:vAlign w:val="center"/>
                </w:tcPr>
                <w:p w14:paraId="36B47602">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采样日期</w:t>
                  </w:r>
                </w:p>
              </w:tc>
              <w:tc>
                <w:tcPr>
                  <w:tcW w:w="585" w:type="pct"/>
                  <w:vMerge w:val="restart"/>
                  <w:tcBorders>
                    <w:tl2br w:val="nil"/>
                    <w:tr2bl w:val="nil"/>
                  </w:tcBorders>
                  <w:vAlign w:val="center"/>
                </w:tcPr>
                <w:p w14:paraId="441FF02F">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w:t>
                  </w:r>
                </w:p>
                <w:p w14:paraId="184E2387">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w:t>
                  </w:r>
                </w:p>
              </w:tc>
              <w:tc>
                <w:tcPr>
                  <w:tcW w:w="910" w:type="pct"/>
                  <w:vMerge w:val="restart"/>
                  <w:tcBorders>
                    <w:tl2br w:val="nil"/>
                    <w:tr2bl w:val="nil"/>
                  </w:tcBorders>
                  <w:vAlign w:val="center"/>
                </w:tcPr>
                <w:p w14:paraId="08B5AD77">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检测点位</w:t>
                  </w:r>
                </w:p>
              </w:tc>
              <w:tc>
                <w:tcPr>
                  <w:tcW w:w="2080" w:type="pct"/>
                  <w:gridSpan w:val="3"/>
                  <w:tcBorders>
                    <w:tl2br w:val="nil"/>
                    <w:tr2bl w:val="nil"/>
                  </w:tcBorders>
                  <w:vAlign w:val="center"/>
                </w:tcPr>
                <w:p w14:paraId="3CCC6348">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检测结果（单位：mg/m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736" w:type="pct"/>
                  <w:vMerge w:val="restart"/>
                  <w:tcBorders>
                    <w:tl2br w:val="nil"/>
                    <w:tr2bl w:val="nil"/>
                  </w:tcBorders>
                  <w:vAlign w:val="center"/>
                </w:tcPr>
                <w:p w14:paraId="08098BB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标准限值mg/m</w:t>
                  </w:r>
                  <w:r>
                    <w:rPr>
                      <w:rFonts w:hint="default" w:ascii="Times New Roman" w:hAnsi="Times New Roman" w:eastAsia="仿宋" w:cs="Times New Roman"/>
                      <w:b/>
                      <w:bCs/>
                      <w:color w:val="auto"/>
                      <w:sz w:val="21"/>
                      <w:szCs w:val="21"/>
                      <w:vertAlign w:val="superscript"/>
                    </w:rPr>
                    <w:t>3</w:t>
                  </w:r>
                </w:p>
              </w:tc>
            </w:tr>
            <w:tr w14:paraId="2E5F7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7BF22064">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12D1914B">
                  <w:pPr>
                    <w:adjustRightInd/>
                    <w:snapToGrid/>
                    <w:spacing w:after="0"/>
                    <w:rPr>
                      <w:rFonts w:hint="default" w:ascii="Times New Roman" w:hAnsi="Times New Roman" w:eastAsia="仿宋" w:cs="Times New Roman"/>
                      <w:b/>
                      <w:bCs/>
                      <w:color w:val="auto"/>
                      <w:sz w:val="21"/>
                      <w:szCs w:val="21"/>
                    </w:rPr>
                  </w:pPr>
                </w:p>
              </w:tc>
              <w:tc>
                <w:tcPr>
                  <w:tcW w:w="910" w:type="pct"/>
                  <w:vMerge w:val="continue"/>
                  <w:tcBorders>
                    <w:tl2br w:val="nil"/>
                    <w:tr2bl w:val="nil"/>
                  </w:tcBorders>
                  <w:vAlign w:val="center"/>
                </w:tcPr>
                <w:p w14:paraId="0CBFB28E">
                  <w:pPr>
                    <w:adjustRightInd/>
                    <w:snapToGrid/>
                    <w:spacing w:after="0"/>
                    <w:rPr>
                      <w:rFonts w:hint="default" w:ascii="Times New Roman" w:hAnsi="Times New Roman" w:eastAsia="仿宋" w:cs="Times New Roman"/>
                      <w:b/>
                      <w:bCs/>
                      <w:color w:val="auto"/>
                      <w:sz w:val="21"/>
                      <w:szCs w:val="21"/>
                    </w:rPr>
                  </w:pPr>
                </w:p>
              </w:tc>
              <w:tc>
                <w:tcPr>
                  <w:tcW w:w="715" w:type="pct"/>
                  <w:tcBorders>
                    <w:tl2br w:val="nil"/>
                    <w:tr2bl w:val="nil"/>
                  </w:tcBorders>
                  <w:vAlign w:val="center"/>
                </w:tcPr>
                <w:p w14:paraId="3131AFED">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1</w:t>
                  </w:r>
                </w:p>
              </w:tc>
              <w:tc>
                <w:tcPr>
                  <w:tcW w:w="682" w:type="pct"/>
                  <w:tcBorders>
                    <w:tl2br w:val="nil"/>
                    <w:tr2bl w:val="nil"/>
                  </w:tcBorders>
                  <w:vAlign w:val="center"/>
                </w:tcPr>
                <w:p w14:paraId="5A36F5BB">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2</w:t>
                  </w:r>
                </w:p>
              </w:tc>
              <w:tc>
                <w:tcPr>
                  <w:tcW w:w="682" w:type="pct"/>
                  <w:tcBorders>
                    <w:tl2br w:val="nil"/>
                    <w:tr2bl w:val="nil"/>
                  </w:tcBorders>
                  <w:vAlign w:val="center"/>
                </w:tcPr>
                <w:p w14:paraId="097DF096">
                  <w:pPr>
                    <w:spacing w:after="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3</w:t>
                  </w:r>
                </w:p>
              </w:tc>
              <w:tc>
                <w:tcPr>
                  <w:tcW w:w="736" w:type="pct"/>
                  <w:vMerge w:val="continue"/>
                  <w:tcBorders>
                    <w:tl2br w:val="nil"/>
                    <w:tr2bl w:val="nil"/>
                  </w:tcBorders>
                  <w:vAlign w:val="center"/>
                </w:tcPr>
                <w:p w14:paraId="3F836250">
                  <w:pPr>
                    <w:adjustRightInd/>
                    <w:snapToGrid/>
                    <w:spacing w:after="0"/>
                    <w:rPr>
                      <w:rFonts w:hint="default" w:ascii="Times New Roman" w:hAnsi="Times New Roman" w:eastAsia="仿宋" w:cs="Times New Roman"/>
                      <w:color w:val="auto"/>
                      <w:sz w:val="21"/>
                      <w:szCs w:val="21"/>
                    </w:rPr>
                  </w:pPr>
                </w:p>
              </w:tc>
            </w:tr>
            <w:tr w14:paraId="0C888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restart"/>
                  <w:tcBorders>
                    <w:tl2br w:val="nil"/>
                    <w:tr2bl w:val="nil"/>
                  </w:tcBorders>
                  <w:vAlign w:val="center"/>
                </w:tcPr>
                <w:p w14:paraId="20556A41">
                  <w:pPr>
                    <w:spacing w:after="0"/>
                    <w:ind w:left="-105" w:leftChars="-50" w:right="-105" w:rightChars="-5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p>
              </w:tc>
              <w:tc>
                <w:tcPr>
                  <w:tcW w:w="585" w:type="pct"/>
                  <w:vMerge w:val="restart"/>
                  <w:tcBorders>
                    <w:tl2br w:val="nil"/>
                    <w:tr2bl w:val="nil"/>
                  </w:tcBorders>
                  <w:vAlign w:val="center"/>
                </w:tcPr>
                <w:p w14:paraId="07D9FD3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非甲烷总烃</w:t>
                  </w:r>
                </w:p>
              </w:tc>
              <w:tc>
                <w:tcPr>
                  <w:tcW w:w="910" w:type="pct"/>
                  <w:tcBorders>
                    <w:tl2br w:val="nil"/>
                    <w:tr2bl w:val="nil"/>
                  </w:tcBorders>
                  <w:vAlign w:val="center"/>
                </w:tcPr>
                <w:p w14:paraId="50D3999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G1上风向</w:t>
                  </w:r>
                </w:p>
              </w:tc>
              <w:tc>
                <w:tcPr>
                  <w:tcW w:w="715" w:type="pct"/>
                  <w:tcBorders>
                    <w:tl2br w:val="nil"/>
                    <w:tr2bl w:val="nil"/>
                  </w:tcBorders>
                  <w:vAlign w:val="center"/>
                </w:tcPr>
                <w:p w14:paraId="60B73C2C">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0.58</w:t>
                  </w:r>
                </w:p>
              </w:tc>
              <w:tc>
                <w:tcPr>
                  <w:tcW w:w="682" w:type="pct"/>
                  <w:tcBorders>
                    <w:tl2br w:val="nil"/>
                    <w:tr2bl w:val="nil"/>
                  </w:tcBorders>
                  <w:vAlign w:val="center"/>
                </w:tcPr>
                <w:p w14:paraId="708C3E6C">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0.62</w:t>
                  </w:r>
                </w:p>
              </w:tc>
              <w:tc>
                <w:tcPr>
                  <w:tcW w:w="682" w:type="pct"/>
                  <w:tcBorders>
                    <w:tl2br w:val="nil"/>
                    <w:tr2bl w:val="nil"/>
                  </w:tcBorders>
                  <w:vAlign w:val="center"/>
                </w:tcPr>
                <w:p w14:paraId="4F43984A">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0.52</w:t>
                  </w:r>
                </w:p>
              </w:tc>
              <w:tc>
                <w:tcPr>
                  <w:tcW w:w="736" w:type="pct"/>
                  <w:tcBorders>
                    <w:tl2br w:val="nil"/>
                    <w:tr2bl w:val="nil"/>
                  </w:tcBorders>
                  <w:vAlign w:val="center"/>
                </w:tcPr>
                <w:p w14:paraId="6F362DD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517E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6D263BD7">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6ED29CBE">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20D405C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G2下风向</w:t>
                  </w:r>
                </w:p>
              </w:tc>
              <w:tc>
                <w:tcPr>
                  <w:tcW w:w="715" w:type="pct"/>
                  <w:tcBorders>
                    <w:tl2br w:val="nil"/>
                    <w:tr2bl w:val="nil"/>
                  </w:tcBorders>
                  <w:vAlign w:val="center"/>
                </w:tcPr>
                <w:p w14:paraId="00EDAA23">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0.76</w:t>
                  </w:r>
                </w:p>
              </w:tc>
              <w:tc>
                <w:tcPr>
                  <w:tcW w:w="682" w:type="pct"/>
                  <w:tcBorders>
                    <w:tl2br w:val="nil"/>
                    <w:tr2bl w:val="nil"/>
                  </w:tcBorders>
                  <w:vAlign w:val="center"/>
                </w:tcPr>
                <w:p w14:paraId="38A4BF35">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0.79</w:t>
                  </w:r>
                </w:p>
              </w:tc>
              <w:tc>
                <w:tcPr>
                  <w:tcW w:w="682" w:type="pct"/>
                  <w:tcBorders>
                    <w:tl2br w:val="nil"/>
                    <w:tr2bl w:val="nil"/>
                  </w:tcBorders>
                  <w:vAlign w:val="center"/>
                </w:tcPr>
                <w:p w14:paraId="23481A77">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0.72</w:t>
                  </w:r>
                </w:p>
              </w:tc>
              <w:tc>
                <w:tcPr>
                  <w:tcW w:w="736" w:type="pct"/>
                  <w:vMerge w:val="restart"/>
                  <w:tcBorders>
                    <w:tl2br w:val="nil"/>
                    <w:tr2bl w:val="nil"/>
                  </w:tcBorders>
                  <w:vAlign w:val="center"/>
                </w:tcPr>
                <w:p w14:paraId="202C0DBE">
                  <w:pPr>
                    <w:spacing w:after="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4</w:t>
                  </w:r>
                </w:p>
              </w:tc>
            </w:tr>
            <w:tr w14:paraId="2F0F1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105C1638">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37CD1CA4">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52D07F3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G3下风向</w:t>
                  </w:r>
                </w:p>
              </w:tc>
              <w:tc>
                <w:tcPr>
                  <w:tcW w:w="715" w:type="pct"/>
                  <w:tcBorders>
                    <w:tl2br w:val="nil"/>
                    <w:tr2bl w:val="nil"/>
                  </w:tcBorders>
                  <w:vAlign w:val="center"/>
                </w:tcPr>
                <w:p w14:paraId="23AC5CCF">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0.76</w:t>
                  </w:r>
                </w:p>
              </w:tc>
              <w:tc>
                <w:tcPr>
                  <w:tcW w:w="682" w:type="pct"/>
                  <w:tcBorders>
                    <w:tl2br w:val="nil"/>
                    <w:tr2bl w:val="nil"/>
                  </w:tcBorders>
                  <w:vAlign w:val="center"/>
                </w:tcPr>
                <w:p w14:paraId="26713B28">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0.8</w:t>
                  </w:r>
                </w:p>
              </w:tc>
              <w:tc>
                <w:tcPr>
                  <w:tcW w:w="682" w:type="pct"/>
                  <w:tcBorders>
                    <w:tl2br w:val="nil"/>
                    <w:tr2bl w:val="nil"/>
                  </w:tcBorders>
                  <w:vAlign w:val="center"/>
                </w:tcPr>
                <w:p w14:paraId="60F72BB8">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0.82</w:t>
                  </w:r>
                </w:p>
              </w:tc>
              <w:tc>
                <w:tcPr>
                  <w:tcW w:w="736" w:type="pct"/>
                  <w:vMerge w:val="continue"/>
                  <w:tcBorders>
                    <w:tl2br w:val="nil"/>
                    <w:tr2bl w:val="nil"/>
                  </w:tcBorders>
                  <w:vAlign w:val="center"/>
                </w:tcPr>
                <w:p w14:paraId="055528E9">
                  <w:pPr>
                    <w:spacing w:after="0"/>
                    <w:jc w:val="center"/>
                    <w:rPr>
                      <w:rFonts w:hint="default" w:ascii="Times New Roman" w:hAnsi="Times New Roman" w:eastAsia="仿宋" w:cs="Times New Roman"/>
                      <w:color w:val="auto"/>
                      <w:sz w:val="21"/>
                      <w:szCs w:val="21"/>
                    </w:rPr>
                  </w:pPr>
                </w:p>
              </w:tc>
            </w:tr>
            <w:tr w14:paraId="78A21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71113DA2">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3D765D19">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00DE5BA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G4下风向</w:t>
                  </w:r>
                </w:p>
              </w:tc>
              <w:tc>
                <w:tcPr>
                  <w:tcW w:w="715" w:type="pct"/>
                  <w:tcBorders>
                    <w:tl2br w:val="nil"/>
                    <w:tr2bl w:val="nil"/>
                  </w:tcBorders>
                  <w:vAlign w:val="center"/>
                </w:tcPr>
                <w:p w14:paraId="6D6DF744">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0.74</w:t>
                  </w:r>
                </w:p>
              </w:tc>
              <w:tc>
                <w:tcPr>
                  <w:tcW w:w="682" w:type="pct"/>
                  <w:tcBorders>
                    <w:tl2br w:val="nil"/>
                    <w:tr2bl w:val="nil"/>
                  </w:tcBorders>
                  <w:vAlign w:val="center"/>
                </w:tcPr>
                <w:p w14:paraId="2EB3EC5C">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0.81</w:t>
                  </w:r>
                </w:p>
              </w:tc>
              <w:tc>
                <w:tcPr>
                  <w:tcW w:w="682" w:type="pct"/>
                  <w:tcBorders>
                    <w:tl2br w:val="nil"/>
                    <w:tr2bl w:val="nil"/>
                  </w:tcBorders>
                  <w:vAlign w:val="center"/>
                </w:tcPr>
                <w:p w14:paraId="477F3FCA">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0.8</w:t>
                  </w:r>
                </w:p>
              </w:tc>
              <w:tc>
                <w:tcPr>
                  <w:tcW w:w="736" w:type="pct"/>
                  <w:vMerge w:val="continue"/>
                  <w:tcBorders>
                    <w:tl2br w:val="nil"/>
                    <w:tr2bl w:val="nil"/>
                  </w:tcBorders>
                  <w:vAlign w:val="center"/>
                </w:tcPr>
                <w:p w14:paraId="77BF1553">
                  <w:pPr>
                    <w:spacing w:after="0"/>
                    <w:jc w:val="center"/>
                    <w:rPr>
                      <w:rFonts w:hint="default" w:ascii="Times New Roman" w:hAnsi="Times New Roman" w:eastAsia="仿宋" w:cs="Times New Roman"/>
                      <w:color w:val="auto"/>
                      <w:sz w:val="21"/>
                      <w:szCs w:val="21"/>
                    </w:rPr>
                  </w:pPr>
                </w:p>
              </w:tc>
            </w:tr>
            <w:tr w14:paraId="699B1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7D1BDAD2">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30A6925E">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0149DF2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G5车间外1米</w:t>
                  </w:r>
                </w:p>
              </w:tc>
              <w:tc>
                <w:tcPr>
                  <w:tcW w:w="715" w:type="pct"/>
                  <w:tcBorders>
                    <w:tl2br w:val="nil"/>
                    <w:tr2bl w:val="nil"/>
                  </w:tcBorders>
                  <w:vAlign w:val="center"/>
                </w:tcPr>
                <w:p w14:paraId="0A031EE2">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0.94</w:t>
                  </w:r>
                </w:p>
              </w:tc>
              <w:tc>
                <w:tcPr>
                  <w:tcW w:w="682" w:type="pct"/>
                  <w:tcBorders>
                    <w:tl2br w:val="nil"/>
                    <w:tr2bl w:val="nil"/>
                  </w:tcBorders>
                  <w:vAlign w:val="center"/>
                </w:tcPr>
                <w:p w14:paraId="34C488AA">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0.96</w:t>
                  </w:r>
                </w:p>
              </w:tc>
              <w:tc>
                <w:tcPr>
                  <w:tcW w:w="682" w:type="pct"/>
                  <w:tcBorders>
                    <w:tl2br w:val="nil"/>
                    <w:tr2bl w:val="nil"/>
                  </w:tcBorders>
                  <w:vAlign w:val="center"/>
                </w:tcPr>
                <w:p w14:paraId="72BBA873">
                  <w:pPr>
                    <w:spacing w:after="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lang w:val="en-US" w:eastAsia="zh-CN"/>
                    </w:rPr>
                    <w:t>0.96</w:t>
                  </w:r>
                </w:p>
              </w:tc>
              <w:tc>
                <w:tcPr>
                  <w:tcW w:w="736" w:type="pct"/>
                  <w:tcBorders>
                    <w:tl2br w:val="nil"/>
                    <w:tr2bl w:val="nil"/>
                  </w:tcBorders>
                  <w:vAlign w:val="center"/>
                </w:tcPr>
                <w:p w14:paraId="243A3F4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6/20</w:t>
                  </w:r>
                  <w:r>
                    <w:rPr>
                      <w:rFonts w:hint="default" w:ascii="Times New Roman" w:hAnsi="Times New Roman" w:eastAsia="仿宋" w:cs="Times New Roman"/>
                      <w:color w:val="auto"/>
                      <w:sz w:val="21"/>
                      <w:szCs w:val="21"/>
                      <w:vertAlign w:val="superscript"/>
                      <w:lang w:val="en-US" w:eastAsia="zh-CN"/>
                    </w:rPr>
                    <w:t>*</w:t>
                  </w:r>
                </w:p>
              </w:tc>
            </w:tr>
            <w:tr w14:paraId="126EB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7906128E">
                  <w:pPr>
                    <w:adjustRightInd/>
                    <w:snapToGrid/>
                    <w:spacing w:after="0"/>
                    <w:rPr>
                      <w:rFonts w:hint="default" w:ascii="Times New Roman" w:hAnsi="Times New Roman" w:eastAsia="仿宋" w:cs="Times New Roman"/>
                      <w:b/>
                      <w:bCs/>
                      <w:color w:val="auto"/>
                      <w:sz w:val="21"/>
                      <w:szCs w:val="21"/>
                    </w:rPr>
                  </w:pPr>
                </w:p>
              </w:tc>
              <w:tc>
                <w:tcPr>
                  <w:tcW w:w="585" w:type="pct"/>
                  <w:vMerge w:val="restart"/>
                  <w:tcBorders>
                    <w:tl2br w:val="nil"/>
                    <w:tr2bl w:val="nil"/>
                  </w:tcBorders>
                  <w:vAlign w:val="center"/>
                </w:tcPr>
                <w:p w14:paraId="1F03585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硫酸雾</w:t>
                  </w:r>
                </w:p>
              </w:tc>
              <w:tc>
                <w:tcPr>
                  <w:tcW w:w="910" w:type="pct"/>
                  <w:tcBorders>
                    <w:tl2br w:val="nil"/>
                    <w:tr2bl w:val="nil"/>
                  </w:tcBorders>
                  <w:shd w:val="clear" w:color="auto" w:fill="auto"/>
                  <w:vAlign w:val="center"/>
                </w:tcPr>
                <w:p w14:paraId="73DBD5C1">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G1上风向</w:t>
                  </w:r>
                </w:p>
              </w:tc>
              <w:tc>
                <w:tcPr>
                  <w:tcW w:w="715" w:type="pct"/>
                  <w:tcBorders>
                    <w:tl2br w:val="nil"/>
                    <w:tr2bl w:val="nil"/>
                  </w:tcBorders>
                  <w:vAlign w:val="center"/>
                </w:tcPr>
                <w:p w14:paraId="79565296">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0.009</w:t>
                  </w:r>
                </w:p>
              </w:tc>
              <w:tc>
                <w:tcPr>
                  <w:tcW w:w="682" w:type="pct"/>
                  <w:tcBorders>
                    <w:tl2br w:val="nil"/>
                    <w:tr2bl w:val="nil"/>
                  </w:tcBorders>
                  <w:vAlign w:val="center"/>
                </w:tcPr>
                <w:p w14:paraId="1FFB97FD">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0.008</w:t>
                  </w:r>
                </w:p>
              </w:tc>
              <w:tc>
                <w:tcPr>
                  <w:tcW w:w="682" w:type="pct"/>
                  <w:tcBorders>
                    <w:tl2br w:val="nil"/>
                    <w:tr2bl w:val="nil"/>
                  </w:tcBorders>
                  <w:vAlign w:val="center"/>
                </w:tcPr>
                <w:p w14:paraId="0CF418AB">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0.008</w:t>
                  </w:r>
                </w:p>
              </w:tc>
              <w:tc>
                <w:tcPr>
                  <w:tcW w:w="736" w:type="pct"/>
                  <w:vMerge w:val="restart"/>
                  <w:tcBorders>
                    <w:tl2br w:val="nil"/>
                    <w:tr2bl w:val="nil"/>
                  </w:tcBorders>
                  <w:vAlign w:val="center"/>
                </w:tcPr>
                <w:p w14:paraId="619394B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w:t>
                  </w:r>
                </w:p>
              </w:tc>
            </w:tr>
            <w:tr w14:paraId="54881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6889CEFB">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7D2C22AB">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73607325">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G2下风向</w:t>
                  </w:r>
                </w:p>
              </w:tc>
              <w:tc>
                <w:tcPr>
                  <w:tcW w:w="715" w:type="pct"/>
                  <w:tcBorders>
                    <w:tl2br w:val="nil"/>
                    <w:tr2bl w:val="nil"/>
                  </w:tcBorders>
                  <w:vAlign w:val="center"/>
                </w:tcPr>
                <w:p w14:paraId="7F4F9C3A">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0.018</w:t>
                  </w:r>
                </w:p>
              </w:tc>
              <w:tc>
                <w:tcPr>
                  <w:tcW w:w="682" w:type="pct"/>
                  <w:tcBorders>
                    <w:tl2br w:val="nil"/>
                    <w:tr2bl w:val="nil"/>
                  </w:tcBorders>
                  <w:vAlign w:val="center"/>
                </w:tcPr>
                <w:p w14:paraId="6E0085AC">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0.017</w:t>
                  </w:r>
                </w:p>
              </w:tc>
              <w:tc>
                <w:tcPr>
                  <w:tcW w:w="682" w:type="pct"/>
                  <w:tcBorders>
                    <w:tl2br w:val="nil"/>
                    <w:tr2bl w:val="nil"/>
                  </w:tcBorders>
                  <w:vAlign w:val="center"/>
                </w:tcPr>
                <w:p w14:paraId="0751196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0.019</w:t>
                  </w:r>
                </w:p>
              </w:tc>
              <w:tc>
                <w:tcPr>
                  <w:tcW w:w="736" w:type="pct"/>
                  <w:vMerge w:val="continue"/>
                  <w:tcBorders>
                    <w:tl2br w:val="nil"/>
                    <w:tr2bl w:val="nil"/>
                  </w:tcBorders>
                  <w:vAlign w:val="center"/>
                </w:tcPr>
                <w:p w14:paraId="7779A4D4">
                  <w:pPr>
                    <w:spacing w:after="0"/>
                    <w:jc w:val="center"/>
                    <w:rPr>
                      <w:rFonts w:hint="default" w:ascii="Times New Roman" w:hAnsi="Times New Roman" w:eastAsia="仿宋" w:cs="Times New Roman"/>
                      <w:color w:val="auto"/>
                      <w:sz w:val="21"/>
                      <w:szCs w:val="21"/>
                    </w:rPr>
                  </w:pPr>
                </w:p>
              </w:tc>
            </w:tr>
            <w:tr w14:paraId="75100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0FEFB803">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45DB526E">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347E5BD3">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G3下风向</w:t>
                  </w:r>
                </w:p>
              </w:tc>
              <w:tc>
                <w:tcPr>
                  <w:tcW w:w="715" w:type="pct"/>
                  <w:tcBorders>
                    <w:tl2br w:val="nil"/>
                    <w:tr2bl w:val="nil"/>
                  </w:tcBorders>
                  <w:vAlign w:val="center"/>
                </w:tcPr>
                <w:p w14:paraId="1B7E7797">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0.026</w:t>
                  </w:r>
                </w:p>
              </w:tc>
              <w:tc>
                <w:tcPr>
                  <w:tcW w:w="682" w:type="pct"/>
                  <w:tcBorders>
                    <w:tl2br w:val="nil"/>
                    <w:tr2bl w:val="nil"/>
                  </w:tcBorders>
                  <w:vAlign w:val="center"/>
                </w:tcPr>
                <w:p w14:paraId="3BEE63D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0.027</w:t>
                  </w:r>
                </w:p>
              </w:tc>
              <w:tc>
                <w:tcPr>
                  <w:tcW w:w="682" w:type="pct"/>
                  <w:tcBorders>
                    <w:tl2br w:val="nil"/>
                    <w:tr2bl w:val="nil"/>
                  </w:tcBorders>
                  <w:vAlign w:val="center"/>
                </w:tcPr>
                <w:p w14:paraId="79FABF5D">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0.025</w:t>
                  </w:r>
                </w:p>
              </w:tc>
              <w:tc>
                <w:tcPr>
                  <w:tcW w:w="736" w:type="pct"/>
                  <w:vMerge w:val="continue"/>
                  <w:tcBorders>
                    <w:tl2br w:val="nil"/>
                    <w:tr2bl w:val="nil"/>
                  </w:tcBorders>
                  <w:vAlign w:val="center"/>
                </w:tcPr>
                <w:p w14:paraId="3D2D81F3">
                  <w:pPr>
                    <w:spacing w:after="0"/>
                    <w:jc w:val="center"/>
                    <w:rPr>
                      <w:rFonts w:hint="default" w:ascii="Times New Roman" w:hAnsi="Times New Roman" w:eastAsia="仿宋" w:cs="Times New Roman"/>
                      <w:color w:val="auto"/>
                      <w:sz w:val="21"/>
                      <w:szCs w:val="21"/>
                    </w:rPr>
                  </w:pPr>
                </w:p>
              </w:tc>
            </w:tr>
            <w:tr w14:paraId="6F3F1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466FF820">
                  <w:pPr>
                    <w:adjustRightInd/>
                    <w:snapToGrid/>
                    <w:spacing w:after="0"/>
                    <w:rPr>
                      <w:rFonts w:hint="default" w:ascii="Times New Roman" w:hAnsi="Times New Roman" w:eastAsia="仿宋" w:cs="Times New Roman"/>
                      <w:b/>
                      <w:bCs/>
                      <w:color w:val="auto"/>
                      <w:sz w:val="21"/>
                      <w:szCs w:val="21"/>
                    </w:rPr>
                  </w:pPr>
                </w:p>
              </w:tc>
              <w:tc>
                <w:tcPr>
                  <w:tcW w:w="585" w:type="pct"/>
                  <w:vMerge w:val="continue"/>
                  <w:tcBorders>
                    <w:tl2br w:val="nil"/>
                    <w:tr2bl w:val="nil"/>
                  </w:tcBorders>
                  <w:vAlign w:val="center"/>
                </w:tcPr>
                <w:p w14:paraId="125AB1DF">
                  <w:pPr>
                    <w:spacing w:after="0"/>
                    <w:jc w:val="center"/>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2ACBFE9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G4下风向</w:t>
                  </w:r>
                </w:p>
              </w:tc>
              <w:tc>
                <w:tcPr>
                  <w:tcW w:w="715" w:type="pct"/>
                  <w:tcBorders>
                    <w:tl2br w:val="nil"/>
                    <w:tr2bl w:val="nil"/>
                  </w:tcBorders>
                  <w:vAlign w:val="center"/>
                </w:tcPr>
                <w:p w14:paraId="2E2AF9E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0.017</w:t>
                  </w:r>
                </w:p>
              </w:tc>
              <w:tc>
                <w:tcPr>
                  <w:tcW w:w="682" w:type="pct"/>
                  <w:tcBorders>
                    <w:tl2br w:val="nil"/>
                    <w:tr2bl w:val="nil"/>
                  </w:tcBorders>
                  <w:vAlign w:val="center"/>
                </w:tcPr>
                <w:p w14:paraId="0C23F9FA">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0.016</w:t>
                  </w:r>
                </w:p>
              </w:tc>
              <w:tc>
                <w:tcPr>
                  <w:tcW w:w="682" w:type="pct"/>
                  <w:tcBorders>
                    <w:tl2br w:val="nil"/>
                    <w:tr2bl w:val="nil"/>
                  </w:tcBorders>
                  <w:vAlign w:val="center"/>
                </w:tcPr>
                <w:p w14:paraId="50929DBD">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0.012</w:t>
                  </w:r>
                </w:p>
              </w:tc>
              <w:tc>
                <w:tcPr>
                  <w:tcW w:w="736" w:type="pct"/>
                  <w:vMerge w:val="continue"/>
                  <w:tcBorders>
                    <w:tl2br w:val="nil"/>
                    <w:tr2bl w:val="nil"/>
                  </w:tcBorders>
                  <w:vAlign w:val="center"/>
                </w:tcPr>
                <w:p w14:paraId="4F043453">
                  <w:pPr>
                    <w:spacing w:after="0"/>
                    <w:jc w:val="center"/>
                    <w:rPr>
                      <w:rFonts w:hint="default" w:ascii="Times New Roman" w:hAnsi="Times New Roman" w:eastAsia="仿宋" w:cs="Times New Roman"/>
                      <w:color w:val="auto"/>
                      <w:sz w:val="21"/>
                      <w:szCs w:val="21"/>
                    </w:rPr>
                  </w:pPr>
                </w:p>
              </w:tc>
            </w:tr>
            <w:tr w14:paraId="34609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restart"/>
                  <w:tcBorders>
                    <w:tl2br w:val="nil"/>
                    <w:tr2bl w:val="nil"/>
                  </w:tcBorders>
                  <w:vAlign w:val="center"/>
                </w:tcPr>
                <w:p w14:paraId="7EDCB196">
                  <w:pPr>
                    <w:spacing w:after="0"/>
                    <w:ind w:left="-105" w:leftChars="-50" w:right="-105" w:rightChars="-5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w:t>
                  </w:r>
                </w:p>
              </w:tc>
              <w:tc>
                <w:tcPr>
                  <w:tcW w:w="585" w:type="pct"/>
                  <w:vMerge w:val="restart"/>
                  <w:tcBorders>
                    <w:tl2br w:val="nil"/>
                    <w:tr2bl w:val="nil"/>
                  </w:tcBorders>
                  <w:vAlign w:val="center"/>
                </w:tcPr>
                <w:p w14:paraId="7395B1A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非甲烷总烃</w:t>
                  </w:r>
                </w:p>
              </w:tc>
              <w:tc>
                <w:tcPr>
                  <w:tcW w:w="910" w:type="pct"/>
                  <w:tcBorders>
                    <w:tl2br w:val="nil"/>
                    <w:tr2bl w:val="nil"/>
                  </w:tcBorders>
                  <w:vAlign w:val="center"/>
                </w:tcPr>
                <w:p w14:paraId="50CDAF6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G1上风向</w:t>
                  </w:r>
                </w:p>
              </w:tc>
              <w:tc>
                <w:tcPr>
                  <w:tcW w:w="715" w:type="pct"/>
                  <w:tcBorders>
                    <w:tl2br w:val="nil"/>
                    <w:tr2bl w:val="nil"/>
                  </w:tcBorders>
                  <w:vAlign w:val="center"/>
                </w:tcPr>
                <w:p w14:paraId="7DD005B8">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0.63</w:t>
                  </w:r>
                </w:p>
              </w:tc>
              <w:tc>
                <w:tcPr>
                  <w:tcW w:w="682" w:type="pct"/>
                  <w:tcBorders>
                    <w:tl2br w:val="nil"/>
                    <w:tr2bl w:val="nil"/>
                  </w:tcBorders>
                  <w:vAlign w:val="center"/>
                </w:tcPr>
                <w:p w14:paraId="3078603A">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0.56</w:t>
                  </w:r>
                </w:p>
              </w:tc>
              <w:tc>
                <w:tcPr>
                  <w:tcW w:w="682" w:type="pct"/>
                  <w:tcBorders>
                    <w:tl2br w:val="nil"/>
                    <w:tr2bl w:val="nil"/>
                  </w:tcBorders>
                  <w:vAlign w:val="center"/>
                </w:tcPr>
                <w:p w14:paraId="151058A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0.56</w:t>
                  </w:r>
                </w:p>
              </w:tc>
              <w:tc>
                <w:tcPr>
                  <w:tcW w:w="736" w:type="pct"/>
                  <w:tcBorders>
                    <w:tl2br w:val="nil"/>
                    <w:tr2bl w:val="nil"/>
                  </w:tcBorders>
                  <w:vAlign w:val="center"/>
                </w:tcPr>
                <w:p w14:paraId="2F24DDE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78EE2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7853E8AC">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46120FE3">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3DF8459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G2下风向</w:t>
                  </w:r>
                </w:p>
              </w:tc>
              <w:tc>
                <w:tcPr>
                  <w:tcW w:w="715" w:type="pct"/>
                  <w:tcBorders>
                    <w:tl2br w:val="nil"/>
                    <w:tr2bl w:val="nil"/>
                  </w:tcBorders>
                  <w:vAlign w:val="center"/>
                </w:tcPr>
                <w:p w14:paraId="7893832E">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0.82</w:t>
                  </w:r>
                </w:p>
              </w:tc>
              <w:tc>
                <w:tcPr>
                  <w:tcW w:w="682" w:type="pct"/>
                  <w:tcBorders>
                    <w:tl2br w:val="nil"/>
                    <w:tr2bl w:val="nil"/>
                  </w:tcBorders>
                  <w:vAlign w:val="center"/>
                </w:tcPr>
                <w:p w14:paraId="4E1C722C">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0.78</w:t>
                  </w:r>
                </w:p>
              </w:tc>
              <w:tc>
                <w:tcPr>
                  <w:tcW w:w="682" w:type="pct"/>
                  <w:tcBorders>
                    <w:tl2br w:val="nil"/>
                    <w:tr2bl w:val="nil"/>
                  </w:tcBorders>
                  <w:vAlign w:val="center"/>
                </w:tcPr>
                <w:p w14:paraId="3454E29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0.76</w:t>
                  </w:r>
                </w:p>
              </w:tc>
              <w:tc>
                <w:tcPr>
                  <w:tcW w:w="736" w:type="pct"/>
                  <w:vMerge w:val="restart"/>
                  <w:tcBorders>
                    <w:tl2br w:val="nil"/>
                    <w:tr2bl w:val="nil"/>
                  </w:tcBorders>
                  <w:vAlign w:val="center"/>
                </w:tcPr>
                <w:p w14:paraId="3784B3B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w:t>
                  </w:r>
                </w:p>
              </w:tc>
            </w:tr>
            <w:tr w14:paraId="05DE1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634F90F8">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7E796251">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11BDB0A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G3下风向</w:t>
                  </w:r>
                </w:p>
              </w:tc>
              <w:tc>
                <w:tcPr>
                  <w:tcW w:w="715" w:type="pct"/>
                  <w:tcBorders>
                    <w:tl2br w:val="nil"/>
                    <w:tr2bl w:val="nil"/>
                  </w:tcBorders>
                  <w:vAlign w:val="center"/>
                </w:tcPr>
                <w:p w14:paraId="352F51AF">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0.8</w:t>
                  </w:r>
                </w:p>
              </w:tc>
              <w:tc>
                <w:tcPr>
                  <w:tcW w:w="682" w:type="pct"/>
                  <w:tcBorders>
                    <w:tl2br w:val="nil"/>
                    <w:tr2bl w:val="nil"/>
                  </w:tcBorders>
                  <w:vAlign w:val="center"/>
                </w:tcPr>
                <w:p w14:paraId="735D7DF0">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0.76</w:t>
                  </w:r>
                </w:p>
              </w:tc>
              <w:tc>
                <w:tcPr>
                  <w:tcW w:w="682" w:type="pct"/>
                  <w:tcBorders>
                    <w:tl2br w:val="nil"/>
                    <w:tr2bl w:val="nil"/>
                  </w:tcBorders>
                  <w:vAlign w:val="center"/>
                </w:tcPr>
                <w:p w14:paraId="64B55872">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0.84</w:t>
                  </w:r>
                </w:p>
              </w:tc>
              <w:tc>
                <w:tcPr>
                  <w:tcW w:w="736" w:type="pct"/>
                  <w:vMerge w:val="continue"/>
                  <w:tcBorders>
                    <w:tl2br w:val="nil"/>
                    <w:tr2bl w:val="nil"/>
                  </w:tcBorders>
                  <w:vAlign w:val="center"/>
                </w:tcPr>
                <w:p w14:paraId="1C0EFBC9">
                  <w:pPr>
                    <w:spacing w:after="0"/>
                    <w:jc w:val="center"/>
                    <w:rPr>
                      <w:rFonts w:hint="default" w:ascii="Times New Roman" w:hAnsi="Times New Roman" w:eastAsia="仿宋" w:cs="Times New Roman"/>
                      <w:color w:val="auto"/>
                      <w:sz w:val="21"/>
                      <w:szCs w:val="21"/>
                    </w:rPr>
                  </w:pPr>
                </w:p>
              </w:tc>
            </w:tr>
            <w:tr w14:paraId="63C61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341F71F4">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35635F6E">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4050C4D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G4下风向</w:t>
                  </w:r>
                </w:p>
              </w:tc>
              <w:tc>
                <w:tcPr>
                  <w:tcW w:w="715" w:type="pct"/>
                  <w:tcBorders>
                    <w:tl2br w:val="nil"/>
                    <w:tr2bl w:val="nil"/>
                  </w:tcBorders>
                  <w:vAlign w:val="center"/>
                </w:tcPr>
                <w:p w14:paraId="759D648B">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0.8</w:t>
                  </w:r>
                </w:p>
              </w:tc>
              <w:tc>
                <w:tcPr>
                  <w:tcW w:w="682" w:type="pct"/>
                  <w:tcBorders>
                    <w:tl2br w:val="nil"/>
                    <w:tr2bl w:val="nil"/>
                  </w:tcBorders>
                  <w:vAlign w:val="center"/>
                </w:tcPr>
                <w:p w14:paraId="322717EA">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0.76</w:t>
                  </w:r>
                </w:p>
              </w:tc>
              <w:tc>
                <w:tcPr>
                  <w:tcW w:w="682" w:type="pct"/>
                  <w:tcBorders>
                    <w:tl2br w:val="nil"/>
                    <w:tr2bl w:val="nil"/>
                  </w:tcBorders>
                  <w:vAlign w:val="center"/>
                </w:tcPr>
                <w:p w14:paraId="20CD49BF">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0.85</w:t>
                  </w:r>
                </w:p>
              </w:tc>
              <w:tc>
                <w:tcPr>
                  <w:tcW w:w="736" w:type="pct"/>
                  <w:vMerge w:val="continue"/>
                  <w:tcBorders>
                    <w:tl2br w:val="nil"/>
                    <w:tr2bl w:val="nil"/>
                  </w:tcBorders>
                  <w:vAlign w:val="center"/>
                </w:tcPr>
                <w:p w14:paraId="7E92E0C7">
                  <w:pPr>
                    <w:spacing w:after="0"/>
                    <w:jc w:val="center"/>
                    <w:rPr>
                      <w:rFonts w:hint="default" w:ascii="Times New Roman" w:hAnsi="Times New Roman" w:eastAsia="仿宋" w:cs="Times New Roman"/>
                      <w:color w:val="auto"/>
                      <w:sz w:val="21"/>
                      <w:szCs w:val="21"/>
                    </w:rPr>
                  </w:pPr>
                </w:p>
              </w:tc>
            </w:tr>
            <w:tr w14:paraId="0377A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421C6B75">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575342EA">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vAlign w:val="center"/>
                </w:tcPr>
                <w:p w14:paraId="303AFBE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G5车间外1米</w:t>
                  </w:r>
                </w:p>
              </w:tc>
              <w:tc>
                <w:tcPr>
                  <w:tcW w:w="715" w:type="pct"/>
                  <w:tcBorders>
                    <w:tl2br w:val="nil"/>
                    <w:tr2bl w:val="nil"/>
                  </w:tcBorders>
                  <w:vAlign w:val="center"/>
                </w:tcPr>
                <w:p w14:paraId="61DF82AB">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0.92</w:t>
                  </w:r>
                </w:p>
              </w:tc>
              <w:tc>
                <w:tcPr>
                  <w:tcW w:w="682" w:type="pct"/>
                  <w:tcBorders>
                    <w:tl2br w:val="nil"/>
                    <w:tr2bl w:val="nil"/>
                  </w:tcBorders>
                  <w:vAlign w:val="center"/>
                </w:tcPr>
                <w:p w14:paraId="56A4D693">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0.96</w:t>
                  </w:r>
                </w:p>
              </w:tc>
              <w:tc>
                <w:tcPr>
                  <w:tcW w:w="682" w:type="pct"/>
                  <w:tcBorders>
                    <w:tl2br w:val="nil"/>
                    <w:tr2bl w:val="nil"/>
                  </w:tcBorders>
                  <w:vAlign w:val="center"/>
                </w:tcPr>
                <w:p w14:paraId="0CC8BA4B">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0.98</w:t>
                  </w:r>
                </w:p>
              </w:tc>
              <w:tc>
                <w:tcPr>
                  <w:tcW w:w="736" w:type="pct"/>
                  <w:tcBorders>
                    <w:tl2br w:val="nil"/>
                    <w:tr2bl w:val="nil"/>
                  </w:tcBorders>
                  <w:vAlign w:val="center"/>
                </w:tcPr>
                <w:p w14:paraId="0B9F908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6/20</w:t>
                  </w:r>
                </w:p>
              </w:tc>
            </w:tr>
            <w:tr w14:paraId="2923E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15FBDC50">
                  <w:pPr>
                    <w:adjustRightInd/>
                    <w:snapToGrid/>
                    <w:spacing w:after="0"/>
                    <w:rPr>
                      <w:rFonts w:hint="default" w:ascii="Times New Roman" w:hAnsi="Times New Roman" w:eastAsia="仿宋" w:cs="Times New Roman"/>
                      <w:color w:val="auto"/>
                      <w:sz w:val="21"/>
                      <w:szCs w:val="21"/>
                    </w:rPr>
                  </w:pPr>
                </w:p>
              </w:tc>
              <w:tc>
                <w:tcPr>
                  <w:tcW w:w="585" w:type="pct"/>
                  <w:vMerge w:val="restart"/>
                  <w:tcBorders>
                    <w:tl2br w:val="nil"/>
                    <w:tr2bl w:val="nil"/>
                  </w:tcBorders>
                  <w:shd w:val="clear" w:color="auto" w:fill="auto"/>
                  <w:vAlign w:val="center"/>
                </w:tcPr>
                <w:p w14:paraId="60B63B9F">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硫酸雾</w:t>
                  </w:r>
                </w:p>
              </w:tc>
              <w:tc>
                <w:tcPr>
                  <w:tcW w:w="910" w:type="pct"/>
                  <w:tcBorders>
                    <w:tl2br w:val="nil"/>
                    <w:tr2bl w:val="nil"/>
                  </w:tcBorders>
                  <w:shd w:val="clear" w:color="auto" w:fill="auto"/>
                  <w:vAlign w:val="center"/>
                </w:tcPr>
                <w:p w14:paraId="2A49C03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G1上风向</w:t>
                  </w:r>
                </w:p>
              </w:tc>
              <w:tc>
                <w:tcPr>
                  <w:tcW w:w="715" w:type="pct"/>
                  <w:tcBorders>
                    <w:tl2br w:val="nil"/>
                    <w:tr2bl w:val="nil"/>
                  </w:tcBorders>
                  <w:vAlign w:val="center"/>
                </w:tcPr>
                <w:p w14:paraId="2F350BA0">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0.008</w:t>
                  </w:r>
                </w:p>
              </w:tc>
              <w:tc>
                <w:tcPr>
                  <w:tcW w:w="682" w:type="pct"/>
                  <w:tcBorders>
                    <w:tl2br w:val="nil"/>
                    <w:tr2bl w:val="nil"/>
                  </w:tcBorders>
                  <w:vAlign w:val="center"/>
                </w:tcPr>
                <w:p w14:paraId="5C10DE93">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0.008</w:t>
                  </w:r>
                </w:p>
              </w:tc>
              <w:tc>
                <w:tcPr>
                  <w:tcW w:w="682" w:type="pct"/>
                  <w:tcBorders>
                    <w:tl2br w:val="nil"/>
                    <w:tr2bl w:val="nil"/>
                  </w:tcBorders>
                  <w:vAlign w:val="center"/>
                </w:tcPr>
                <w:p w14:paraId="75CF0D55">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0.008</w:t>
                  </w:r>
                </w:p>
              </w:tc>
              <w:tc>
                <w:tcPr>
                  <w:tcW w:w="736" w:type="pct"/>
                  <w:vMerge w:val="restart"/>
                  <w:tcBorders>
                    <w:tl2br w:val="nil"/>
                    <w:tr2bl w:val="nil"/>
                  </w:tcBorders>
                  <w:vAlign w:val="center"/>
                </w:tcPr>
                <w:p w14:paraId="1D439A1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w:t>
                  </w:r>
                </w:p>
              </w:tc>
            </w:tr>
            <w:tr w14:paraId="2340F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23CAA656">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2BA75348">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13675393">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G2下风向</w:t>
                  </w:r>
                </w:p>
              </w:tc>
              <w:tc>
                <w:tcPr>
                  <w:tcW w:w="715" w:type="pct"/>
                  <w:tcBorders>
                    <w:tl2br w:val="nil"/>
                    <w:tr2bl w:val="nil"/>
                  </w:tcBorders>
                  <w:vAlign w:val="center"/>
                </w:tcPr>
                <w:p w14:paraId="64923E65">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0.019</w:t>
                  </w:r>
                </w:p>
              </w:tc>
              <w:tc>
                <w:tcPr>
                  <w:tcW w:w="682" w:type="pct"/>
                  <w:tcBorders>
                    <w:tl2br w:val="nil"/>
                    <w:tr2bl w:val="nil"/>
                  </w:tcBorders>
                  <w:vAlign w:val="center"/>
                </w:tcPr>
                <w:p w14:paraId="4861E7BC">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0.021</w:t>
                  </w:r>
                </w:p>
              </w:tc>
              <w:tc>
                <w:tcPr>
                  <w:tcW w:w="682" w:type="pct"/>
                  <w:tcBorders>
                    <w:tl2br w:val="nil"/>
                    <w:tr2bl w:val="nil"/>
                  </w:tcBorders>
                  <w:vAlign w:val="center"/>
                </w:tcPr>
                <w:p w14:paraId="4DFB98CF">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w:t>
                  </w:r>
                </w:p>
              </w:tc>
              <w:tc>
                <w:tcPr>
                  <w:tcW w:w="736" w:type="pct"/>
                  <w:vMerge w:val="continue"/>
                  <w:tcBorders>
                    <w:tl2br w:val="nil"/>
                    <w:tr2bl w:val="nil"/>
                  </w:tcBorders>
                  <w:vAlign w:val="center"/>
                </w:tcPr>
                <w:p w14:paraId="59974707">
                  <w:pPr>
                    <w:spacing w:after="0"/>
                    <w:jc w:val="center"/>
                    <w:rPr>
                      <w:rFonts w:hint="default" w:ascii="Times New Roman" w:hAnsi="Times New Roman" w:eastAsia="仿宋" w:cs="Times New Roman"/>
                      <w:color w:val="auto"/>
                      <w:sz w:val="21"/>
                      <w:szCs w:val="21"/>
                    </w:rPr>
                  </w:pPr>
                </w:p>
              </w:tc>
            </w:tr>
            <w:tr w14:paraId="6A508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4C9077F1">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2AFE3638">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00663888">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G3下风向</w:t>
                  </w:r>
                </w:p>
              </w:tc>
              <w:tc>
                <w:tcPr>
                  <w:tcW w:w="715" w:type="pct"/>
                  <w:tcBorders>
                    <w:tl2br w:val="nil"/>
                    <w:tr2bl w:val="nil"/>
                  </w:tcBorders>
                  <w:vAlign w:val="center"/>
                </w:tcPr>
                <w:p w14:paraId="4C63A680">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0.027</w:t>
                  </w:r>
                </w:p>
              </w:tc>
              <w:tc>
                <w:tcPr>
                  <w:tcW w:w="682" w:type="pct"/>
                  <w:tcBorders>
                    <w:tl2br w:val="nil"/>
                    <w:tr2bl w:val="nil"/>
                  </w:tcBorders>
                  <w:vAlign w:val="center"/>
                </w:tcPr>
                <w:p w14:paraId="21632F76">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0.026</w:t>
                  </w:r>
                </w:p>
              </w:tc>
              <w:tc>
                <w:tcPr>
                  <w:tcW w:w="682" w:type="pct"/>
                  <w:tcBorders>
                    <w:tl2br w:val="nil"/>
                    <w:tr2bl w:val="nil"/>
                  </w:tcBorders>
                  <w:vAlign w:val="center"/>
                </w:tcPr>
                <w:p w14:paraId="1766C36D">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0.027</w:t>
                  </w:r>
                </w:p>
              </w:tc>
              <w:tc>
                <w:tcPr>
                  <w:tcW w:w="736" w:type="pct"/>
                  <w:vMerge w:val="continue"/>
                  <w:tcBorders>
                    <w:tl2br w:val="nil"/>
                    <w:tr2bl w:val="nil"/>
                  </w:tcBorders>
                  <w:vAlign w:val="center"/>
                </w:tcPr>
                <w:p w14:paraId="5C0D47DC">
                  <w:pPr>
                    <w:spacing w:after="0"/>
                    <w:jc w:val="center"/>
                    <w:rPr>
                      <w:rFonts w:hint="default" w:ascii="Times New Roman" w:hAnsi="Times New Roman" w:eastAsia="仿宋" w:cs="Times New Roman"/>
                      <w:color w:val="auto"/>
                      <w:sz w:val="21"/>
                      <w:szCs w:val="21"/>
                    </w:rPr>
                  </w:pPr>
                </w:p>
              </w:tc>
            </w:tr>
            <w:tr w14:paraId="5917F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7" w:type="pct"/>
                  <w:vMerge w:val="continue"/>
                  <w:tcBorders>
                    <w:tl2br w:val="nil"/>
                    <w:tr2bl w:val="nil"/>
                  </w:tcBorders>
                  <w:vAlign w:val="center"/>
                </w:tcPr>
                <w:p w14:paraId="677B75B9">
                  <w:pPr>
                    <w:adjustRightInd/>
                    <w:snapToGrid/>
                    <w:spacing w:after="0"/>
                    <w:rPr>
                      <w:rFonts w:hint="default" w:ascii="Times New Roman" w:hAnsi="Times New Roman" w:eastAsia="仿宋" w:cs="Times New Roman"/>
                      <w:color w:val="auto"/>
                      <w:sz w:val="21"/>
                      <w:szCs w:val="21"/>
                    </w:rPr>
                  </w:pPr>
                </w:p>
              </w:tc>
              <w:tc>
                <w:tcPr>
                  <w:tcW w:w="585" w:type="pct"/>
                  <w:vMerge w:val="continue"/>
                  <w:tcBorders>
                    <w:tl2br w:val="nil"/>
                    <w:tr2bl w:val="nil"/>
                  </w:tcBorders>
                  <w:vAlign w:val="center"/>
                </w:tcPr>
                <w:p w14:paraId="21BB9FB0">
                  <w:pPr>
                    <w:adjustRightInd/>
                    <w:snapToGrid/>
                    <w:spacing w:after="0"/>
                    <w:rPr>
                      <w:rFonts w:hint="default" w:ascii="Times New Roman" w:hAnsi="Times New Roman" w:eastAsia="仿宋" w:cs="Times New Roman"/>
                      <w:color w:val="auto"/>
                      <w:sz w:val="21"/>
                      <w:szCs w:val="21"/>
                    </w:rPr>
                  </w:pPr>
                </w:p>
              </w:tc>
              <w:tc>
                <w:tcPr>
                  <w:tcW w:w="910" w:type="pct"/>
                  <w:tcBorders>
                    <w:tl2br w:val="nil"/>
                    <w:tr2bl w:val="nil"/>
                  </w:tcBorders>
                  <w:shd w:val="clear" w:color="auto" w:fill="auto"/>
                  <w:vAlign w:val="center"/>
                </w:tcPr>
                <w:p w14:paraId="181D082B">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G4下风向</w:t>
                  </w:r>
                </w:p>
              </w:tc>
              <w:tc>
                <w:tcPr>
                  <w:tcW w:w="715" w:type="pct"/>
                  <w:tcBorders>
                    <w:tl2br w:val="nil"/>
                    <w:tr2bl w:val="nil"/>
                  </w:tcBorders>
                  <w:vAlign w:val="center"/>
                </w:tcPr>
                <w:p w14:paraId="76A289E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0.017</w:t>
                  </w:r>
                </w:p>
              </w:tc>
              <w:tc>
                <w:tcPr>
                  <w:tcW w:w="682" w:type="pct"/>
                  <w:tcBorders>
                    <w:tl2br w:val="nil"/>
                    <w:tr2bl w:val="nil"/>
                  </w:tcBorders>
                  <w:vAlign w:val="center"/>
                </w:tcPr>
                <w:p w14:paraId="39D41214">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0.017</w:t>
                  </w:r>
                </w:p>
              </w:tc>
              <w:tc>
                <w:tcPr>
                  <w:tcW w:w="682" w:type="pct"/>
                  <w:tcBorders>
                    <w:tl2br w:val="nil"/>
                    <w:tr2bl w:val="nil"/>
                  </w:tcBorders>
                  <w:vAlign w:val="center"/>
                </w:tcPr>
                <w:p w14:paraId="6667D4E1">
                  <w:pPr>
                    <w:spacing w:after="0"/>
                    <w:jc w:val="center"/>
                    <w:rPr>
                      <w:rFonts w:hint="default" w:ascii="Times New Roman" w:hAnsi="Times New Roman" w:eastAsia="仿宋" w:cs="Times New Roman"/>
                      <w:color w:val="auto"/>
                      <w:sz w:val="21"/>
                      <w:lang w:val="en-US" w:eastAsia="zh-CN"/>
                    </w:rPr>
                  </w:pPr>
                  <w:r>
                    <w:rPr>
                      <w:rFonts w:hint="default" w:ascii="Times New Roman" w:hAnsi="Times New Roman" w:eastAsia="仿宋" w:cs="Times New Roman"/>
                      <w:color w:val="auto"/>
                      <w:sz w:val="21"/>
                      <w:lang w:val="en-US" w:eastAsia="zh-CN"/>
                    </w:rPr>
                    <w:t>0.013</w:t>
                  </w:r>
                </w:p>
              </w:tc>
              <w:tc>
                <w:tcPr>
                  <w:tcW w:w="736" w:type="pct"/>
                  <w:vMerge w:val="continue"/>
                  <w:tcBorders>
                    <w:tl2br w:val="nil"/>
                    <w:tr2bl w:val="nil"/>
                  </w:tcBorders>
                  <w:vAlign w:val="center"/>
                </w:tcPr>
                <w:p w14:paraId="3823BB04">
                  <w:pPr>
                    <w:spacing w:after="0"/>
                    <w:jc w:val="center"/>
                    <w:rPr>
                      <w:rFonts w:hint="default" w:ascii="Times New Roman" w:hAnsi="Times New Roman" w:eastAsia="仿宋" w:cs="Times New Roman"/>
                      <w:color w:val="auto"/>
                      <w:sz w:val="21"/>
                      <w:szCs w:val="21"/>
                    </w:rPr>
                  </w:pPr>
                </w:p>
              </w:tc>
            </w:tr>
          </w:tbl>
          <w:p w14:paraId="3CFD31EC">
            <w:pPr>
              <w:pStyle w:val="2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0" w:firstLineChars="0"/>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*注：由于现有项目传感器生产线未建，厂内暂无涂装工序，故厂区内非甲烷总烃无组织排放执行《大气污染物综合排放标准》（DB32/4041-2021）表2标准</w:t>
            </w:r>
          </w:p>
          <w:p w14:paraId="3FFD1C45">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经检测2#排气筒非甲烷总烃排放浓度及速率均满足《大气污染物综合排放标准》（DB32/4041-2021）中表1标准限值；3#排气筒硫酸雾、非甲烷总烃排放浓度及速率均满足《大气污染物综合排放标准》（DB32/4041-2021）中表1标准限值。厂界无组织非甲烷总烃、硫酸雾排放浓度均满足《大气污染物综合排放标准》（DB32/4041-2021）中表3标准限值；厂区内非甲烷总烃无组织排放浓度满足《大气污染物综合排放标准》（DB32/4041-2021）表2标准。</w:t>
            </w:r>
          </w:p>
          <w:p w14:paraId="6BA8F82F">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（2）废水</w:t>
            </w:r>
          </w:p>
          <w:p w14:paraId="5950FCCA">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厂区排水实施“雨污分流”，雨水经厂区雨水管网收集后，排入当地市政雨水管网，最终汇入附近河流。</w:t>
            </w:r>
          </w:p>
          <w:p w14:paraId="5DD33D6B">
            <w:pPr>
              <w:spacing w:after="0" w:line="360" w:lineRule="auto"/>
              <w:ind w:firstLine="48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纯水制备机1#反渗透系统的弃水</w:t>
            </w:r>
            <w:r>
              <w:rPr>
                <w:rFonts w:hint="default" w:ascii="Times New Roman" w:hAnsi="Times New Roman" w:eastAsia="仿宋" w:cs="Times New Roman"/>
                <w:color w:val="auto"/>
                <w:sz w:val="24"/>
                <w:szCs w:val="24"/>
              </w:rPr>
              <w:t>、预清洗废水定期进入厂内综合污水处理站处理，经该污水站“物化”单元处理后约10%的废水与</w:t>
            </w:r>
            <w:r>
              <w:rPr>
                <w:rFonts w:hint="default" w:ascii="Times New Roman" w:hAnsi="Times New Roman" w:eastAsia="仿宋" w:cs="Times New Roman"/>
                <w:color w:val="auto"/>
                <w:sz w:val="24"/>
                <w:szCs w:val="24"/>
                <w:lang w:eastAsia="zh-CN"/>
              </w:rPr>
              <w:t>生活污水</w:t>
            </w:r>
            <w:r>
              <w:rPr>
                <w:rFonts w:hint="default" w:ascii="Times New Roman" w:hAnsi="Times New Roman" w:eastAsia="仿宋" w:cs="Times New Roman"/>
                <w:color w:val="auto"/>
                <w:sz w:val="24"/>
                <w:szCs w:val="24"/>
              </w:rPr>
              <w:t>一并接管进常州金坛区第二污水处理有限公司集中处理，剩余90%废水继续经过该污水站“RO+MVR蒸发”单元处理，处理后约</w:t>
            </w:r>
            <w:r>
              <w:rPr>
                <w:rFonts w:hint="eastAsia" w:eastAsia="仿宋" w:cs="Times New Roman"/>
                <w:color w:val="auto"/>
                <w:sz w:val="24"/>
                <w:szCs w:val="24"/>
                <w:lang w:val="en-US" w:eastAsia="zh-CN"/>
              </w:rPr>
              <w:t>70</w:t>
            </w:r>
            <w:r>
              <w:rPr>
                <w:rFonts w:hint="default" w:ascii="Times New Roman" w:hAnsi="Times New Roman" w:eastAsia="仿宋" w:cs="Times New Roman"/>
                <w:color w:val="auto"/>
                <w:sz w:val="24"/>
                <w:szCs w:val="24"/>
              </w:rPr>
              <w:t>%尾水回用于</w:t>
            </w:r>
            <w:r>
              <w:rPr>
                <w:rFonts w:hint="default" w:ascii="Times New Roman" w:hAnsi="Times New Roman" w:eastAsia="仿宋" w:cs="Times New Roman"/>
                <w:color w:val="auto"/>
                <w:sz w:val="24"/>
                <w:szCs w:val="24"/>
                <w:lang w:val="en-US" w:eastAsia="zh-CN"/>
              </w:rPr>
              <w:t>纯水制备</w:t>
            </w:r>
            <w:r>
              <w:rPr>
                <w:rFonts w:hint="default" w:ascii="Times New Roman" w:hAnsi="Times New Roman" w:eastAsia="仿宋" w:cs="Times New Roman"/>
                <w:color w:val="auto"/>
                <w:sz w:val="24"/>
                <w:szCs w:val="24"/>
              </w:rPr>
              <w:t>机，剩余约3</w:t>
            </w:r>
            <w:r>
              <w:rPr>
                <w:rFonts w:hint="eastAsia" w:eastAsia="仿宋" w:cs="Times New Roman"/>
                <w:color w:val="auto"/>
                <w:sz w:val="24"/>
                <w:szCs w:val="24"/>
                <w:lang w:val="en-US" w:eastAsia="zh-CN"/>
              </w:rPr>
              <w:t>0</w:t>
            </w:r>
            <w:r>
              <w:rPr>
                <w:rFonts w:hint="default" w:ascii="Times New Roman" w:hAnsi="Times New Roman" w:eastAsia="仿宋" w:cs="Times New Roman"/>
                <w:color w:val="auto"/>
                <w:sz w:val="24"/>
                <w:szCs w:val="24"/>
              </w:rPr>
              <w:t>%尾水回用于冷却塔；最终清洗废水与</w:t>
            </w:r>
            <w:r>
              <w:rPr>
                <w:rFonts w:hint="default" w:ascii="Times New Roman" w:hAnsi="Times New Roman" w:eastAsia="仿宋" w:cs="Times New Roman"/>
                <w:color w:val="auto"/>
                <w:sz w:val="24"/>
                <w:szCs w:val="24"/>
                <w:lang w:val="en-US" w:eastAsia="zh-CN"/>
              </w:rPr>
              <w:t>纯水制备机2#、3#反渗透系统的制纯水弃水一并</w:t>
            </w:r>
            <w:r>
              <w:rPr>
                <w:rFonts w:hint="default" w:ascii="Times New Roman" w:hAnsi="Times New Roman" w:eastAsia="仿宋" w:cs="Times New Roman"/>
                <w:color w:val="auto"/>
                <w:sz w:val="24"/>
                <w:szCs w:val="24"/>
              </w:rPr>
              <w:t>进入厂内含重金属污水处理站处理后全部回用于冷却塔。</w:t>
            </w:r>
          </w:p>
          <w:p w14:paraId="74B93CE6">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废水监测结果见</w:t>
            </w:r>
            <w:r>
              <w:rPr>
                <w:rFonts w:hint="default" w:ascii="Times New Roman" w:hAnsi="Times New Roman" w:eastAsia="仿宋" w:cs="Times New Roman"/>
                <w:color w:val="auto"/>
                <w:sz w:val="24"/>
                <w:szCs w:val="24"/>
                <w:lang w:val="en-US" w:eastAsia="zh-CN"/>
              </w:rPr>
              <w:t>下表</w:t>
            </w:r>
            <w:r>
              <w:rPr>
                <w:rFonts w:hint="default" w:ascii="Times New Roman" w:hAnsi="Times New Roman" w:eastAsia="仿宋" w:cs="Times New Roman"/>
                <w:color w:val="auto"/>
                <w:sz w:val="24"/>
                <w:szCs w:val="24"/>
              </w:rPr>
              <w:t>。</w:t>
            </w:r>
          </w:p>
          <w:p w14:paraId="01BC1898">
            <w:pPr>
              <w:spacing w:after="0"/>
              <w:jc w:val="center"/>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highlight w:val="none"/>
              </w:rPr>
              <w:t>表</w:t>
            </w:r>
            <w:r>
              <w:rPr>
                <w:rFonts w:hint="default" w:ascii="Times New Roman" w:hAnsi="Times New Roman" w:eastAsia="仿宋" w:cs="Times New Roman"/>
                <w:b/>
                <w:bCs/>
                <w:color w:val="auto"/>
                <w:sz w:val="24"/>
                <w:szCs w:val="24"/>
                <w:highlight w:val="none"/>
                <w:lang w:val="en-US" w:eastAsia="zh-CN"/>
              </w:rPr>
              <w:t>2-12</w:t>
            </w:r>
            <w:r>
              <w:rPr>
                <w:rFonts w:hint="default" w:ascii="Times New Roman" w:hAnsi="Times New Roman" w:eastAsia="仿宋" w:cs="Times New Roman"/>
                <w:b/>
                <w:bCs/>
                <w:color w:val="auto"/>
                <w:sz w:val="24"/>
                <w:szCs w:val="24"/>
                <w:highlight w:val="none"/>
              </w:rPr>
              <w:t xml:space="preserve"> </w:t>
            </w:r>
            <w:r>
              <w:rPr>
                <w:rFonts w:hint="default" w:ascii="Times New Roman" w:hAnsi="Times New Roman" w:eastAsia="仿宋" w:cs="Times New Roman"/>
                <w:b/>
                <w:bCs/>
                <w:color w:val="auto"/>
                <w:sz w:val="24"/>
                <w:szCs w:val="24"/>
              </w:rPr>
              <w:t xml:space="preserve"> 废水</w:t>
            </w:r>
            <w:r>
              <w:rPr>
                <w:rFonts w:hint="default" w:ascii="Times New Roman" w:hAnsi="Times New Roman" w:eastAsia="仿宋" w:cs="Times New Roman"/>
                <w:b/>
                <w:bCs/>
                <w:color w:val="auto"/>
                <w:sz w:val="24"/>
                <w:szCs w:val="24"/>
                <w:lang w:val="zh-CN"/>
              </w:rPr>
              <w:t>监测结果一览表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148"/>
              <w:gridCol w:w="1356"/>
              <w:gridCol w:w="849"/>
              <w:gridCol w:w="849"/>
              <w:gridCol w:w="849"/>
              <w:gridCol w:w="849"/>
              <w:gridCol w:w="856"/>
              <w:gridCol w:w="848"/>
            </w:tblGrid>
            <w:tr w14:paraId="50DFE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restart"/>
                  <w:vAlign w:val="center"/>
                </w:tcPr>
                <w:p w14:paraId="2808334C">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采样地点</w:t>
                  </w:r>
                </w:p>
              </w:tc>
              <w:tc>
                <w:tcPr>
                  <w:tcW w:w="684" w:type="pct"/>
                  <w:vMerge w:val="restart"/>
                  <w:vAlign w:val="center"/>
                </w:tcPr>
                <w:p w14:paraId="5DA4A74D">
                  <w:pPr>
                    <w:spacing w:after="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采样日期</w:t>
                  </w:r>
                </w:p>
              </w:tc>
              <w:tc>
                <w:tcPr>
                  <w:tcW w:w="808" w:type="pct"/>
                  <w:vMerge w:val="restart"/>
                  <w:vAlign w:val="center"/>
                </w:tcPr>
                <w:p w14:paraId="10B32AC3">
                  <w:pPr>
                    <w:spacing w:after="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检测项目</w:t>
                  </w:r>
                </w:p>
              </w:tc>
              <w:tc>
                <w:tcPr>
                  <w:tcW w:w="2534" w:type="pct"/>
                  <w:gridSpan w:val="5"/>
                  <w:vAlign w:val="center"/>
                </w:tcPr>
                <w:p w14:paraId="0B74CFEA">
                  <w:pPr>
                    <w:spacing w:after="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检测结果（单位：</w:t>
                  </w:r>
                  <w:r>
                    <w:rPr>
                      <w:rFonts w:hint="default" w:ascii="Times New Roman" w:hAnsi="Times New Roman" w:eastAsia="仿宋" w:cs="Times New Roman"/>
                      <w:b/>
                      <w:color w:val="auto"/>
                      <w:spacing w:val="-6"/>
                      <w:sz w:val="21"/>
                      <w:szCs w:val="21"/>
                    </w:rPr>
                    <w:t>mg/L</w:t>
                  </w:r>
                  <w:r>
                    <w:rPr>
                      <w:rFonts w:hint="default" w:ascii="Times New Roman" w:hAnsi="Times New Roman" w:eastAsia="仿宋" w:cs="Times New Roman"/>
                      <w:b/>
                      <w:color w:val="auto"/>
                      <w:sz w:val="21"/>
                      <w:szCs w:val="21"/>
                    </w:rPr>
                    <w:t>）</w:t>
                  </w:r>
                </w:p>
              </w:tc>
              <w:tc>
                <w:tcPr>
                  <w:tcW w:w="505" w:type="pct"/>
                  <w:vMerge w:val="restart"/>
                  <w:vAlign w:val="center"/>
                </w:tcPr>
                <w:p w14:paraId="6E230767">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标准限值</w:t>
                  </w:r>
                </w:p>
              </w:tc>
            </w:tr>
            <w:tr w14:paraId="0DAAD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7D2E339">
                  <w:pPr>
                    <w:spacing w:after="0"/>
                    <w:ind w:left="-105" w:leftChars="-50" w:right="-105" w:rightChars="-50"/>
                    <w:jc w:val="center"/>
                    <w:rPr>
                      <w:rFonts w:hint="default" w:ascii="Times New Roman" w:hAnsi="Times New Roman" w:eastAsia="仿宋" w:cs="Times New Roman"/>
                      <w:b/>
                      <w:color w:val="auto"/>
                      <w:sz w:val="21"/>
                      <w:szCs w:val="21"/>
                    </w:rPr>
                  </w:pPr>
                </w:p>
              </w:tc>
              <w:tc>
                <w:tcPr>
                  <w:tcW w:w="684" w:type="pct"/>
                  <w:vMerge w:val="continue"/>
                  <w:vAlign w:val="center"/>
                </w:tcPr>
                <w:p w14:paraId="3063C78B">
                  <w:pPr>
                    <w:spacing w:after="0"/>
                    <w:jc w:val="center"/>
                    <w:rPr>
                      <w:rFonts w:hint="default" w:ascii="Times New Roman" w:hAnsi="Times New Roman" w:eastAsia="仿宋" w:cs="Times New Roman"/>
                      <w:b/>
                      <w:color w:val="auto"/>
                      <w:sz w:val="21"/>
                      <w:szCs w:val="21"/>
                    </w:rPr>
                  </w:pPr>
                </w:p>
              </w:tc>
              <w:tc>
                <w:tcPr>
                  <w:tcW w:w="808" w:type="pct"/>
                  <w:vMerge w:val="continue"/>
                  <w:vAlign w:val="center"/>
                </w:tcPr>
                <w:p w14:paraId="7EEADE0F">
                  <w:pPr>
                    <w:spacing w:after="0"/>
                    <w:jc w:val="center"/>
                    <w:rPr>
                      <w:rFonts w:hint="default" w:ascii="Times New Roman" w:hAnsi="Times New Roman" w:eastAsia="仿宋" w:cs="Times New Roman"/>
                      <w:b/>
                      <w:color w:val="auto"/>
                      <w:sz w:val="21"/>
                      <w:szCs w:val="21"/>
                    </w:rPr>
                  </w:pPr>
                </w:p>
              </w:tc>
              <w:tc>
                <w:tcPr>
                  <w:tcW w:w="506" w:type="pct"/>
                  <w:vAlign w:val="center"/>
                </w:tcPr>
                <w:p w14:paraId="1355D8FE">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第一次</w:t>
                  </w:r>
                </w:p>
              </w:tc>
              <w:tc>
                <w:tcPr>
                  <w:tcW w:w="506" w:type="pct"/>
                  <w:vAlign w:val="center"/>
                </w:tcPr>
                <w:p w14:paraId="5F723F58">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第二次</w:t>
                  </w:r>
                </w:p>
              </w:tc>
              <w:tc>
                <w:tcPr>
                  <w:tcW w:w="506" w:type="pct"/>
                  <w:vAlign w:val="center"/>
                </w:tcPr>
                <w:p w14:paraId="3CF50037">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第三次</w:t>
                  </w:r>
                </w:p>
              </w:tc>
              <w:tc>
                <w:tcPr>
                  <w:tcW w:w="506" w:type="pct"/>
                  <w:vAlign w:val="center"/>
                </w:tcPr>
                <w:p w14:paraId="1E161161">
                  <w:pPr>
                    <w:spacing w:after="0"/>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第四次</w:t>
                  </w:r>
                </w:p>
              </w:tc>
              <w:tc>
                <w:tcPr>
                  <w:tcW w:w="508" w:type="pct"/>
                  <w:vAlign w:val="center"/>
                </w:tcPr>
                <w:p w14:paraId="38E56687">
                  <w:pPr>
                    <w:spacing w:after="0"/>
                    <w:ind w:left="-105" w:leftChars="-50" w:right="-105" w:rightChars="-5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平均值</w:t>
                  </w:r>
                </w:p>
              </w:tc>
              <w:tc>
                <w:tcPr>
                  <w:tcW w:w="505" w:type="pct"/>
                  <w:vMerge w:val="continue"/>
                  <w:vAlign w:val="center"/>
                </w:tcPr>
                <w:p w14:paraId="33A2B832">
                  <w:pPr>
                    <w:spacing w:after="0"/>
                    <w:jc w:val="center"/>
                    <w:rPr>
                      <w:rFonts w:hint="default" w:ascii="Times New Roman" w:hAnsi="Times New Roman" w:eastAsia="仿宋" w:cs="Times New Roman"/>
                      <w:b/>
                      <w:color w:val="auto"/>
                      <w:sz w:val="21"/>
                      <w:szCs w:val="21"/>
                    </w:rPr>
                  </w:pPr>
                </w:p>
              </w:tc>
            </w:tr>
            <w:tr w14:paraId="6EF2C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restart"/>
                  <w:vAlign w:val="center"/>
                </w:tcPr>
                <w:p w14:paraId="6D2AE568">
                  <w:pPr>
                    <w:spacing w:after="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厂区污水总排口</w:t>
                  </w:r>
                </w:p>
              </w:tc>
              <w:tc>
                <w:tcPr>
                  <w:tcW w:w="684" w:type="pct"/>
                  <w:vMerge w:val="restart"/>
                  <w:vAlign w:val="center"/>
                </w:tcPr>
                <w:p w14:paraId="21AFC07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p>
              </w:tc>
              <w:tc>
                <w:tcPr>
                  <w:tcW w:w="808" w:type="pct"/>
                  <w:vAlign w:val="center"/>
                </w:tcPr>
                <w:p w14:paraId="6F53FD7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6E776E7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（无量纲）</w:t>
                  </w:r>
                </w:p>
              </w:tc>
              <w:tc>
                <w:tcPr>
                  <w:tcW w:w="506" w:type="pct"/>
                  <w:vAlign w:val="center"/>
                </w:tcPr>
                <w:p w14:paraId="76D5D83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7.6</w:t>
                  </w:r>
                </w:p>
              </w:tc>
              <w:tc>
                <w:tcPr>
                  <w:tcW w:w="506" w:type="pct"/>
                  <w:vAlign w:val="center"/>
                </w:tcPr>
                <w:p w14:paraId="04D5BD0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7.6</w:t>
                  </w:r>
                </w:p>
              </w:tc>
              <w:tc>
                <w:tcPr>
                  <w:tcW w:w="506" w:type="pct"/>
                  <w:vAlign w:val="center"/>
                </w:tcPr>
                <w:p w14:paraId="16C1B52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506" w:type="pct"/>
                  <w:vAlign w:val="center"/>
                </w:tcPr>
                <w:p w14:paraId="204F331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7.6</w:t>
                  </w:r>
                </w:p>
              </w:tc>
              <w:tc>
                <w:tcPr>
                  <w:tcW w:w="508" w:type="pct"/>
                  <w:vAlign w:val="center"/>
                </w:tcPr>
                <w:p w14:paraId="4CEE225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7.57</w:t>
                  </w:r>
                </w:p>
              </w:tc>
              <w:tc>
                <w:tcPr>
                  <w:tcW w:w="505" w:type="pct"/>
                  <w:vAlign w:val="center"/>
                </w:tcPr>
                <w:p w14:paraId="43FD7EB5">
                  <w:pPr>
                    <w:spacing w:after="0"/>
                    <w:ind w:left="-105" w:leftChars="-50" w:right="-105" w:rightChars="-5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47ABB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3C96393">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927AEAF">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6F398FB">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悬浮物</w:t>
                  </w:r>
                </w:p>
              </w:tc>
              <w:tc>
                <w:tcPr>
                  <w:tcW w:w="506" w:type="pct"/>
                  <w:vAlign w:val="center"/>
                </w:tcPr>
                <w:p w14:paraId="6C84F9A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142</w:t>
                  </w:r>
                </w:p>
              </w:tc>
              <w:tc>
                <w:tcPr>
                  <w:tcW w:w="506" w:type="pct"/>
                  <w:vAlign w:val="center"/>
                </w:tcPr>
                <w:p w14:paraId="373F526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137</w:t>
                  </w:r>
                </w:p>
              </w:tc>
              <w:tc>
                <w:tcPr>
                  <w:tcW w:w="506" w:type="pct"/>
                  <w:vAlign w:val="center"/>
                </w:tcPr>
                <w:p w14:paraId="4AE4010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140</w:t>
                  </w:r>
                </w:p>
              </w:tc>
              <w:tc>
                <w:tcPr>
                  <w:tcW w:w="506" w:type="pct"/>
                  <w:vAlign w:val="center"/>
                </w:tcPr>
                <w:p w14:paraId="36FF3C6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139</w:t>
                  </w:r>
                </w:p>
              </w:tc>
              <w:tc>
                <w:tcPr>
                  <w:tcW w:w="508" w:type="pct"/>
                  <w:vAlign w:val="center"/>
                </w:tcPr>
                <w:p w14:paraId="46DBA0A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139.5</w:t>
                  </w:r>
                </w:p>
              </w:tc>
              <w:tc>
                <w:tcPr>
                  <w:tcW w:w="505" w:type="pct"/>
                  <w:vAlign w:val="center"/>
                </w:tcPr>
                <w:p w14:paraId="62F99EF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500</w:t>
                  </w:r>
                </w:p>
              </w:tc>
            </w:tr>
            <w:tr w14:paraId="79CFF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2CAEF7B">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FFDF6D1">
                  <w:pPr>
                    <w:spacing w:after="0"/>
                    <w:jc w:val="center"/>
                    <w:rPr>
                      <w:rFonts w:hint="default" w:ascii="Times New Roman" w:hAnsi="Times New Roman" w:eastAsia="仿宋" w:cs="Times New Roman"/>
                      <w:color w:val="auto"/>
                      <w:sz w:val="21"/>
                      <w:szCs w:val="21"/>
                    </w:rPr>
                  </w:pPr>
                </w:p>
              </w:tc>
              <w:tc>
                <w:tcPr>
                  <w:tcW w:w="808" w:type="pct"/>
                  <w:vAlign w:val="center"/>
                </w:tcPr>
                <w:p w14:paraId="1CF25F82">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rPr>
                    <w:t>化学需氧量</w:t>
                  </w:r>
                </w:p>
              </w:tc>
              <w:tc>
                <w:tcPr>
                  <w:tcW w:w="506" w:type="pct"/>
                  <w:vAlign w:val="center"/>
                </w:tcPr>
                <w:p w14:paraId="1946BED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213</w:t>
                  </w:r>
                </w:p>
              </w:tc>
              <w:tc>
                <w:tcPr>
                  <w:tcW w:w="506" w:type="pct"/>
                  <w:vAlign w:val="center"/>
                </w:tcPr>
                <w:p w14:paraId="4A13216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209</w:t>
                  </w:r>
                </w:p>
              </w:tc>
              <w:tc>
                <w:tcPr>
                  <w:tcW w:w="506" w:type="pct"/>
                  <w:vAlign w:val="center"/>
                </w:tcPr>
                <w:p w14:paraId="5AF65A1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216</w:t>
                  </w:r>
                </w:p>
              </w:tc>
              <w:tc>
                <w:tcPr>
                  <w:tcW w:w="506" w:type="pct"/>
                  <w:vAlign w:val="center"/>
                </w:tcPr>
                <w:p w14:paraId="37EA279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212</w:t>
                  </w:r>
                </w:p>
              </w:tc>
              <w:tc>
                <w:tcPr>
                  <w:tcW w:w="508" w:type="pct"/>
                  <w:vAlign w:val="center"/>
                </w:tcPr>
                <w:p w14:paraId="0B7FDD7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212.5</w:t>
                  </w:r>
                </w:p>
              </w:tc>
              <w:tc>
                <w:tcPr>
                  <w:tcW w:w="505" w:type="pct"/>
                  <w:vAlign w:val="center"/>
                </w:tcPr>
                <w:p w14:paraId="288E654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250</w:t>
                  </w:r>
                </w:p>
              </w:tc>
            </w:tr>
            <w:tr w14:paraId="4EE54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B4A82B7">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34857D53">
                  <w:pPr>
                    <w:spacing w:after="0"/>
                    <w:jc w:val="center"/>
                    <w:rPr>
                      <w:rFonts w:hint="default" w:ascii="Times New Roman" w:hAnsi="Times New Roman" w:eastAsia="仿宋" w:cs="Times New Roman"/>
                      <w:color w:val="auto"/>
                      <w:sz w:val="21"/>
                      <w:szCs w:val="21"/>
                    </w:rPr>
                  </w:pPr>
                </w:p>
              </w:tc>
              <w:tc>
                <w:tcPr>
                  <w:tcW w:w="808" w:type="pct"/>
                  <w:vAlign w:val="center"/>
                </w:tcPr>
                <w:p w14:paraId="0025A0A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总磷</w:t>
                  </w:r>
                </w:p>
              </w:tc>
              <w:tc>
                <w:tcPr>
                  <w:tcW w:w="506" w:type="pct"/>
                  <w:vAlign w:val="center"/>
                </w:tcPr>
                <w:p w14:paraId="3E904BA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2.36</w:t>
                  </w:r>
                </w:p>
              </w:tc>
              <w:tc>
                <w:tcPr>
                  <w:tcW w:w="506" w:type="pct"/>
                  <w:vAlign w:val="center"/>
                </w:tcPr>
                <w:p w14:paraId="40B2451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2.40</w:t>
                  </w:r>
                </w:p>
              </w:tc>
              <w:tc>
                <w:tcPr>
                  <w:tcW w:w="506" w:type="pct"/>
                  <w:vAlign w:val="center"/>
                </w:tcPr>
                <w:p w14:paraId="1211774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2.40</w:t>
                  </w:r>
                </w:p>
              </w:tc>
              <w:tc>
                <w:tcPr>
                  <w:tcW w:w="506" w:type="pct"/>
                  <w:vAlign w:val="center"/>
                </w:tcPr>
                <w:p w14:paraId="43196BD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2.36</w:t>
                  </w:r>
                </w:p>
              </w:tc>
              <w:tc>
                <w:tcPr>
                  <w:tcW w:w="508" w:type="pct"/>
                  <w:vAlign w:val="center"/>
                </w:tcPr>
                <w:p w14:paraId="3BC2E42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2.38</w:t>
                  </w:r>
                </w:p>
              </w:tc>
              <w:tc>
                <w:tcPr>
                  <w:tcW w:w="505" w:type="pct"/>
                  <w:vAlign w:val="center"/>
                </w:tcPr>
                <w:p w14:paraId="6546242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1ED7B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4CDEE7BC">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E6CF7E2">
                  <w:pPr>
                    <w:spacing w:after="0"/>
                    <w:jc w:val="center"/>
                    <w:rPr>
                      <w:rFonts w:hint="default" w:ascii="Times New Roman" w:hAnsi="Times New Roman" w:eastAsia="仿宋" w:cs="Times New Roman"/>
                      <w:color w:val="auto"/>
                      <w:sz w:val="21"/>
                      <w:szCs w:val="21"/>
                    </w:rPr>
                  </w:pPr>
                </w:p>
              </w:tc>
              <w:tc>
                <w:tcPr>
                  <w:tcW w:w="808" w:type="pct"/>
                  <w:vAlign w:val="center"/>
                </w:tcPr>
                <w:p w14:paraId="556E51B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氨氮</w:t>
                  </w:r>
                </w:p>
              </w:tc>
              <w:tc>
                <w:tcPr>
                  <w:tcW w:w="506" w:type="pct"/>
                  <w:vAlign w:val="center"/>
                </w:tcPr>
                <w:p w14:paraId="0442F28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22.3</w:t>
                  </w:r>
                </w:p>
              </w:tc>
              <w:tc>
                <w:tcPr>
                  <w:tcW w:w="506" w:type="pct"/>
                  <w:vAlign w:val="center"/>
                </w:tcPr>
                <w:p w14:paraId="175E7B8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22.0</w:t>
                  </w:r>
                </w:p>
              </w:tc>
              <w:tc>
                <w:tcPr>
                  <w:tcW w:w="506" w:type="pct"/>
                  <w:vAlign w:val="center"/>
                </w:tcPr>
                <w:p w14:paraId="1EB5F87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22.2</w:t>
                  </w:r>
                </w:p>
              </w:tc>
              <w:tc>
                <w:tcPr>
                  <w:tcW w:w="506" w:type="pct"/>
                  <w:vAlign w:val="center"/>
                </w:tcPr>
                <w:p w14:paraId="460A6BF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21.9</w:t>
                  </w:r>
                </w:p>
              </w:tc>
              <w:tc>
                <w:tcPr>
                  <w:tcW w:w="508" w:type="pct"/>
                  <w:vAlign w:val="center"/>
                </w:tcPr>
                <w:p w14:paraId="26E92B3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22.1</w:t>
                  </w:r>
                </w:p>
              </w:tc>
              <w:tc>
                <w:tcPr>
                  <w:tcW w:w="505" w:type="pct"/>
                  <w:vAlign w:val="center"/>
                </w:tcPr>
                <w:p w14:paraId="074C8D5C">
                  <w:pPr>
                    <w:spacing w:after="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35</w:t>
                  </w:r>
                </w:p>
              </w:tc>
            </w:tr>
            <w:tr w14:paraId="79648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5583BD8D">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3A0BB5BF">
                  <w:pPr>
                    <w:spacing w:after="0"/>
                    <w:jc w:val="center"/>
                    <w:rPr>
                      <w:rFonts w:hint="default" w:ascii="Times New Roman" w:hAnsi="Times New Roman" w:eastAsia="仿宋" w:cs="Times New Roman"/>
                      <w:color w:val="auto"/>
                      <w:sz w:val="21"/>
                      <w:szCs w:val="21"/>
                    </w:rPr>
                  </w:pPr>
                </w:p>
              </w:tc>
              <w:tc>
                <w:tcPr>
                  <w:tcW w:w="808" w:type="pct"/>
                  <w:vAlign w:val="center"/>
                </w:tcPr>
                <w:p w14:paraId="6E482CF6">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总氮</w:t>
                  </w:r>
                </w:p>
              </w:tc>
              <w:tc>
                <w:tcPr>
                  <w:tcW w:w="506" w:type="pct"/>
                  <w:vAlign w:val="center"/>
                </w:tcPr>
                <w:p w14:paraId="61F1CBA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30.4</w:t>
                  </w:r>
                </w:p>
              </w:tc>
              <w:tc>
                <w:tcPr>
                  <w:tcW w:w="506" w:type="pct"/>
                  <w:vAlign w:val="center"/>
                </w:tcPr>
                <w:p w14:paraId="141DDFD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30.3</w:t>
                  </w:r>
                </w:p>
              </w:tc>
              <w:tc>
                <w:tcPr>
                  <w:tcW w:w="506" w:type="pct"/>
                  <w:vAlign w:val="center"/>
                </w:tcPr>
                <w:p w14:paraId="59211AB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30.1</w:t>
                  </w:r>
                </w:p>
              </w:tc>
              <w:tc>
                <w:tcPr>
                  <w:tcW w:w="506" w:type="pct"/>
                  <w:vAlign w:val="center"/>
                </w:tcPr>
                <w:p w14:paraId="660AAFA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30.6</w:t>
                  </w:r>
                </w:p>
              </w:tc>
              <w:tc>
                <w:tcPr>
                  <w:tcW w:w="508" w:type="pct"/>
                  <w:vAlign w:val="center"/>
                </w:tcPr>
                <w:p w14:paraId="1688656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30.35</w:t>
                  </w:r>
                </w:p>
              </w:tc>
              <w:tc>
                <w:tcPr>
                  <w:tcW w:w="505" w:type="pct"/>
                  <w:vAlign w:val="center"/>
                </w:tcPr>
                <w:p w14:paraId="0599D3F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w:t>
                  </w:r>
                </w:p>
              </w:tc>
            </w:tr>
            <w:tr w14:paraId="3E989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219C30D8">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A29CA7B">
                  <w:pPr>
                    <w:spacing w:after="0"/>
                    <w:jc w:val="center"/>
                    <w:rPr>
                      <w:rFonts w:hint="default" w:ascii="Times New Roman" w:hAnsi="Times New Roman" w:eastAsia="仿宋" w:cs="Times New Roman"/>
                      <w:color w:val="auto"/>
                      <w:sz w:val="21"/>
                      <w:szCs w:val="21"/>
                    </w:rPr>
                  </w:pPr>
                </w:p>
              </w:tc>
              <w:tc>
                <w:tcPr>
                  <w:tcW w:w="808" w:type="pct"/>
                  <w:vAlign w:val="center"/>
                </w:tcPr>
                <w:p w14:paraId="5DE3F7CF">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阴离子表面活性剂</w:t>
                  </w:r>
                </w:p>
              </w:tc>
              <w:tc>
                <w:tcPr>
                  <w:tcW w:w="506" w:type="pct"/>
                  <w:vAlign w:val="center"/>
                </w:tcPr>
                <w:p w14:paraId="20AB2D5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1.16</w:t>
                  </w:r>
                </w:p>
              </w:tc>
              <w:tc>
                <w:tcPr>
                  <w:tcW w:w="506" w:type="pct"/>
                  <w:vAlign w:val="center"/>
                </w:tcPr>
                <w:p w14:paraId="180907A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1.23</w:t>
                  </w:r>
                </w:p>
              </w:tc>
              <w:tc>
                <w:tcPr>
                  <w:tcW w:w="506" w:type="pct"/>
                  <w:vAlign w:val="center"/>
                </w:tcPr>
                <w:p w14:paraId="3782630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1.13</w:t>
                  </w:r>
                </w:p>
              </w:tc>
              <w:tc>
                <w:tcPr>
                  <w:tcW w:w="506" w:type="pct"/>
                  <w:vAlign w:val="center"/>
                </w:tcPr>
                <w:p w14:paraId="2EE28CD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1.19</w:t>
                  </w:r>
                </w:p>
              </w:tc>
              <w:tc>
                <w:tcPr>
                  <w:tcW w:w="508" w:type="pct"/>
                  <w:vAlign w:val="center"/>
                </w:tcPr>
                <w:p w14:paraId="28C9D95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1.18</w:t>
                  </w:r>
                </w:p>
              </w:tc>
              <w:tc>
                <w:tcPr>
                  <w:tcW w:w="505" w:type="pct"/>
                  <w:vAlign w:val="center"/>
                </w:tcPr>
                <w:p w14:paraId="0E51C72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w:t>
                  </w:r>
                </w:p>
              </w:tc>
            </w:tr>
            <w:tr w14:paraId="1BF71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D988646">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00A7FDA">
                  <w:pPr>
                    <w:spacing w:after="0"/>
                    <w:jc w:val="center"/>
                    <w:rPr>
                      <w:rFonts w:hint="default" w:ascii="Times New Roman" w:hAnsi="Times New Roman" w:eastAsia="仿宋" w:cs="Times New Roman"/>
                      <w:color w:val="auto"/>
                      <w:sz w:val="21"/>
                      <w:szCs w:val="21"/>
                    </w:rPr>
                  </w:pPr>
                </w:p>
              </w:tc>
              <w:tc>
                <w:tcPr>
                  <w:tcW w:w="808" w:type="pct"/>
                  <w:vAlign w:val="center"/>
                </w:tcPr>
                <w:p w14:paraId="2DD77635">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石油类</w:t>
                  </w:r>
                </w:p>
              </w:tc>
              <w:tc>
                <w:tcPr>
                  <w:tcW w:w="506" w:type="pct"/>
                  <w:vAlign w:val="center"/>
                </w:tcPr>
                <w:p w14:paraId="3DDEA8F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0.41</w:t>
                  </w:r>
                </w:p>
              </w:tc>
              <w:tc>
                <w:tcPr>
                  <w:tcW w:w="506" w:type="pct"/>
                  <w:vAlign w:val="center"/>
                </w:tcPr>
                <w:p w14:paraId="22041D4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0.23</w:t>
                  </w:r>
                </w:p>
              </w:tc>
              <w:tc>
                <w:tcPr>
                  <w:tcW w:w="506" w:type="pct"/>
                  <w:vAlign w:val="center"/>
                </w:tcPr>
                <w:p w14:paraId="12E45D6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0.27</w:t>
                  </w:r>
                </w:p>
              </w:tc>
              <w:tc>
                <w:tcPr>
                  <w:tcW w:w="506" w:type="pct"/>
                  <w:vAlign w:val="center"/>
                </w:tcPr>
                <w:p w14:paraId="5DDFF0C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0.28</w:t>
                  </w:r>
                </w:p>
              </w:tc>
              <w:tc>
                <w:tcPr>
                  <w:tcW w:w="508" w:type="pct"/>
                  <w:vAlign w:val="center"/>
                </w:tcPr>
                <w:p w14:paraId="59C00C9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0.3</w:t>
                  </w:r>
                </w:p>
              </w:tc>
              <w:tc>
                <w:tcPr>
                  <w:tcW w:w="505" w:type="pct"/>
                  <w:vAlign w:val="center"/>
                </w:tcPr>
                <w:p w14:paraId="5488B79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w:t>
                  </w:r>
                </w:p>
              </w:tc>
            </w:tr>
            <w:tr w14:paraId="07B72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2097661">
                  <w:pPr>
                    <w:spacing w:after="0"/>
                    <w:jc w:val="center"/>
                    <w:rPr>
                      <w:rFonts w:hint="default" w:ascii="Times New Roman" w:hAnsi="Times New Roman" w:eastAsia="仿宋" w:cs="Times New Roman"/>
                      <w:color w:val="auto"/>
                      <w:sz w:val="21"/>
                      <w:szCs w:val="21"/>
                    </w:rPr>
                  </w:pPr>
                </w:p>
              </w:tc>
              <w:tc>
                <w:tcPr>
                  <w:tcW w:w="684" w:type="pct"/>
                  <w:vMerge w:val="restart"/>
                  <w:vAlign w:val="center"/>
                </w:tcPr>
                <w:p w14:paraId="700F54B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w:t>
                  </w:r>
                </w:p>
              </w:tc>
              <w:tc>
                <w:tcPr>
                  <w:tcW w:w="808" w:type="pct"/>
                  <w:vAlign w:val="center"/>
                </w:tcPr>
                <w:p w14:paraId="177033B6">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17318C2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（无量纲）</w:t>
                  </w:r>
                </w:p>
              </w:tc>
              <w:tc>
                <w:tcPr>
                  <w:tcW w:w="506" w:type="pct"/>
                  <w:vAlign w:val="center"/>
                </w:tcPr>
                <w:p w14:paraId="62D9A8E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506" w:type="pct"/>
                  <w:vAlign w:val="center"/>
                </w:tcPr>
                <w:p w14:paraId="53307FE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506" w:type="pct"/>
                  <w:vAlign w:val="center"/>
                </w:tcPr>
                <w:p w14:paraId="06A6A0C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506" w:type="pct"/>
                  <w:vAlign w:val="center"/>
                </w:tcPr>
                <w:p w14:paraId="4173859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7.5</w:t>
                  </w:r>
                </w:p>
              </w:tc>
              <w:tc>
                <w:tcPr>
                  <w:tcW w:w="508" w:type="pct"/>
                  <w:vAlign w:val="center"/>
                </w:tcPr>
                <w:p w14:paraId="7B5DFEE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7.5</w:t>
                  </w:r>
                </w:p>
              </w:tc>
              <w:tc>
                <w:tcPr>
                  <w:tcW w:w="505" w:type="pct"/>
                  <w:vAlign w:val="center"/>
                </w:tcPr>
                <w:p w14:paraId="13CBACF7">
                  <w:pPr>
                    <w:spacing w:after="0"/>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03E3A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970D2B9">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850C1ED">
                  <w:pPr>
                    <w:spacing w:after="0"/>
                    <w:jc w:val="center"/>
                    <w:rPr>
                      <w:rFonts w:hint="default" w:ascii="Times New Roman" w:hAnsi="Times New Roman" w:eastAsia="仿宋" w:cs="Times New Roman"/>
                      <w:color w:val="auto"/>
                      <w:sz w:val="21"/>
                      <w:szCs w:val="21"/>
                    </w:rPr>
                  </w:pPr>
                </w:p>
              </w:tc>
              <w:tc>
                <w:tcPr>
                  <w:tcW w:w="808" w:type="pct"/>
                  <w:vAlign w:val="center"/>
                </w:tcPr>
                <w:p w14:paraId="6D2C55D8">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rPr>
                    <w:t>悬浮物</w:t>
                  </w:r>
                </w:p>
              </w:tc>
              <w:tc>
                <w:tcPr>
                  <w:tcW w:w="506" w:type="pct"/>
                  <w:shd w:val="clear" w:color="auto" w:fill="auto"/>
                  <w:vAlign w:val="center"/>
                </w:tcPr>
                <w:p w14:paraId="58E63AE0">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136</w:t>
                  </w:r>
                </w:p>
              </w:tc>
              <w:tc>
                <w:tcPr>
                  <w:tcW w:w="506" w:type="pct"/>
                  <w:shd w:val="clear" w:color="auto" w:fill="auto"/>
                  <w:vAlign w:val="center"/>
                </w:tcPr>
                <w:p w14:paraId="136D8383">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140</w:t>
                  </w:r>
                </w:p>
              </w:tc>
              <w:tc>
                <w:tcPr>
                  <w:tcW w:w="506" w:type="pct"/>
                  <w:shd w:val="clear" w:color="auto" w:fill="auto"/>
                  <w:vAlign w:val="center"/>
                </w:tcPr>
                <w:p w14:paraId="6B5AEDC9">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141</w:t>
                  </w:r>
                </w:p>
              </w:tc>
              <w:tc>
                <w:tcPr>
                  <w:tcW w:w="506" w:type="pct"/>
                  <w:shd w:val="clear" w:color="auto" w:fill="auto"/>
                  <w:vAlign w:val="center"/>
                </w:tcPr>
                <w:p w14:paraId="1A6136E0">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143</w:t>
                  </w:r>
                </w:p>
              </w:tc>
              <w:tc>
                <w:tcPr>
                  <w:tcW w:w="508" w:type="pct"/>
                  <w:shd w:val="clear" w:color="auto" w:fill="auto"/>
                  <w:vAlign w:val="center"/>
                </w:tcPr>
                <w:p w14:paraId="2EE3EADE">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140</w:t>
                  </w:r>
                </w:p>
              </w:tc>
              <w:tc>
                <w:tcPr>
                  <w:tcW w:w="505" w:type="pct"/>
                  <w:vAlign w:val="center"/>
                </w:tcPr>
                <w:p w14:paraId="2142347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500</w:t>
                  </w:r>
                </w:p>
              </w:tc>
            </w:tr>
            <w:tr w14:paraId="6FD18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4EEF4FCB">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4DD500D4">
                  <w:pPr>
                    <w:spacing w:after="0"/>
                    <w:jc w:val="center"/>
                    <w:rPr>
                      <w:rFonts w:hint="default" w:ascii="Times New Roman" w:hAnsi="Times New Roman" w:eastAsia="仿宋" w:cs="Times New Roman"/>
                      <w:color w:val="auto"/>
                      <w:sz w:val="21"/>
                      <w:szCs w:val="21"/>
                    </w:rPr>
                  </w:pPr>
                </w:p>
              </w:tc>
              <w:tc>
                <w:tcPr>
                  <w:tcW w:w="808" w:type="pct"/>
                  <w:vAlign w:val="center"/>
                </w:tcPr>
                <w:p w14:paraId="7F8D95E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化学需氧量</w:t>
                  </w:r>
                </w:p>
              </w:tc>
              <w:tc>
                <w:tcPr>
                  <w:tcW w:w="506" w:type="pct"/>
                  <w:shd w:val="clear" w:color="auto" w:fill="auto"/>
                  <w:vAlign w:val="center"/>
                </w:tcPr>
                <w:p w14:paraId="75BDF89E">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199</w:t>
                  </w:r>
                </w:p>
              </w:tc>
              <w:tc>
                <w:tcPr>
                  <w:tcW w:w="506" w:type="pct"/>
                  <w:shd w:val="clear" w:color="auto" w:fill="auto"/>
                  <w:vAlign w:val="center"/>
                </w:tcPr>
                <w:p w14:paraId="13F7BCE9">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196</w:t>
                  </w:r>
                </w:p>
              </w:tc>
              <w:tc>
                <w:tcPr>
                  <w:tcW w:w="506" w:type="pct"/>
                  <w:shd w:val="clear" w:color="auto" w:fill="auto"/>
                  <w:vAlign w:val="center"/>
                </w:tcPr>
                <w:p w14:paraId="221705B2">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200</w:t>
                  </w:r>
                </w:p>
              </w:tc>
              <w:tc>
                <w:tcPr>
                  <w:tcW w:w="506" w:type="pct"/>
                  <w:shd w:val="clear" w:color="auto" w:fill="auto"/>
                  <w:vAlign w:val="center"/>
                </w:tcPr>
                <w:p w14:paraId="68424957">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198</w:t>
                  </w:r>
                </w:p>
              </w:tc>
              <w:tc>
                <w:tcPr>
                  <w:tcW w:w="508" w:type="pct"/>
                  <w:shd w:val="clear" w:color="auto" w:fill="auto"/>
                  <w:vAlign w:val="center"/>
                </w:tcPr>
                <w:p w14:paraId="54EA91B5">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198.25</w:t>
                  </w:r>
                </w:p>
              </w:tc>
              <w:tc>
                <w:tcPr>
                  <w:tcW w:w="505" w:type="pct"/>
                  <w:vAlign w:val="center"/>
                </w:tcPr>
                <w:p w14:paraId="10C850D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250</w:t>
                  </w:r>
                </w:p>
              </w:tc>
            </w:tr>
            <w:tr w14:paraId="486F3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5393A546">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2384E43">
                  <w:pPr>
                    <w:spacing w:after="0"/>
                    <w:jc w:val="center"/>
                    <w:rPr>
                      <w:rFonts w:hint="default" w:ascii="Times New Roman" w:hAnsi="Times New Roman" w:eastAsia="仿宋" w:cs="Times New Roman"/>
                      <w:color w:val="auto"/>
                      <w:sz w:val="21"/>
                      <w:szCs w:val="21"/>
                    </w:rPr>
                  </w:pPr>
                </w:p>
              </w:tc>
              <w:tc>
                <w:tcPr>
                  <w:tcW w:w="808" w:type="pct"/>
                  <w:vAlign w:val="center"/>
                </w:tcPr>
                <w:p w14:paraId="251F466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总磷</w:t>
                  </w:r>
                </w:p>
              </w:tc>
              <w:tc>
                <w:tcPr>
                  <w:tcW w:w="506" w:type="pct"/>
                  <w:shd w:val="clear" w:color="auto" w:fill="auto"/>
                  <w:vAlign w:val="center"/>
                </w:tcPr>
                <w:p w14:paraId="3BDC534E">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2.37</w:t>
                  </w:r>
                </w:p>
              </w:tc>
              <w:tc>
                <w:tcPr>
                  <w:tcW w:w="506" w:type="pct"/>
                  <w:shd w:val="clear" w:color="auto" w:fill="auto"/>
                  <w:vAlign w:val="center"/>
                </w:tcPr>
                <w:p w14:paraId="0E749D2C">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2.36</w:t>
                  </w:r>
                </w:p>
              </w:tc>
              <w:tc>
                <w:tcPr>
                  <w:tcW w:w="506" w:type="pct"/>
                  <w:shd w:val="clear" w:color="auto" w:fill="auto"/>
                  <w:vAlign w:val="center"/>
                </w:tcPr>
                <w:p w14:paraId="2ABE5F8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2.38</w:t>
                  </w:r>
                </w:p>
              </w:tc>
              <w:tc>
                <w:tcPr>
                  <w:tcW w:w="506" w:type="pct"/>
                  <w:shd w:val="clear" w:color="auto" w:fill="auto"/>
                  <w:vAlign w:val="center"/>
                </w:tcPr>
                <w:p w14:paraId="6464716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2.40</w:t>
                  </w:r>
                </w:p>
              </w:tc>
              <w:tc>
                <w:tcPr>
                  <w:tcW w:w="508" w:type="pct"/>
                  <w:shd w:val="clear" w:color="auto" w:fill="auto"/>
                  <w:vAlign w:val="center"/>
                </w:tcPr>
                <w:p w14:paraId="191615B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2.38</w:t>
                  </w:r>
                </w:p>
              </w:tc>
              <w:tc>
                <w:tcPr>
                  <w:tcW w:w="505" w:type="pct"/>
                  <w:vAlign w:val="center"/>
                </w:tcPr>
                <w:p w14:paraId="6B416FE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p>
              </w:tc>
            </w:tr>
            <w:tr w14:paraId="689C2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EE97C79">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E591E81">
                  <w:pPr>
                    <w:spacing w:after="0"/>
                    <w:jc w:val="center"/>
                    <w:rPr>
                      <w:rFonts w:hint="default" w:ascii="Times New Roman" w:hAnsi="Times New Roman" w:eastAsia="仿宋" w:cs="Times New Roman"/>
                      <w:color w:val="auto"/>
                      <w:sz w:val="21"/>
                      <w:szCs w:val="21"/>
                    </w:rPr>
                  </w:pPr>
                </w:p>
              </w:tc>
              <w:tc>
                <w:tcPr>
                  <w:tcW w:w="808" w:type="pct"/>
                  <w:vAlign w:val="center"/>
                </w:tcPr>
                <w:p w14:paraId="0BF3E7C0">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氨氮</w:t>
                  </w:r>
                </w:p>
              </w:tc>
              <w:tc>
                <w:tcPr>
                  <w:tcW w:w="506" w:type="pct"/>
                  <w:shd w:val="clear" w:color="auto" w:fill="auto"/>
                  <w:vAlign w:val="center"/>
                </w:tcPr>
                <w:p w14:paraId="270E5CA9">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21.5</w:t>
                  </w:r>
                </w:p>
              </w:tc>
              <w:tc>
                <w:tcPr>
                  <w:tcW w:w="506" w:type="pct"/>
                  <w:shd w:val="clear" w:color="auto" w:fill="auto"/>
                  <w:vAlign w:val="center"/>
                </w:tcPr>
                <w:p w14:paraId="6D0583C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21.5</w:t>
                  </w:r>
                </w:p>
              </w:tc>
              <w:tc>
                <w:tcPr>
                  <w:tcW w:w="506" w:type="pct"/>
                  <w:shd w:val="clear" w:color="auto" w:fill="auto"/>
                  <w:vAlign w:val="center"/>
                </w:tcPr>
                <w:p w14:paraId="079E497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21.8</w:t>
                  </w:r>
                </w:p>
              </w:tc>
              <w:tc>
                <w:tcPr>
                  <w:tcW w:w="506" w:type="pct"/>
                  <w:shd w:val="clear" w:color="auto" w:fill="auto"/>
                  <w:vAlign w:val="center"/>
                </w:tcPr>
                <w:p w14:paraId="5E74DC41">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21.6</w:t>
                  </w:r>
                </w:p>
              </w:tc>
              <w:tc>
                <w:tcPr>
                  <w:tcW w:w="508" w:type="pct"/>
                  <w:shd w:val="clear" w:color="auto" w:fill="auto"/>
                  <w:vAlign w:val="center"/>
                </w:tcPr>
                <w:p w14:paraId="3BDE81C5">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21.6</w:t>
                  </w:r>
                </w:p>
              </w:tc>
              <w:tc>
                <w:tcPr>
                  <w:tcW w:w="505" w:type="pct"/>
                  <w:vAlign w:val="center"/>
                </w:tcPr>
                <w:p w14:paraId="605CF12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35</w:t>
                  </w:r>
                </w:p>
              </w:tc>
            </w:tr>
            <w:tr w14:paraId="4C7E7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48DD12EE">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42C1351">
                  <w:pPr>
                    <w:spacing w:after="0"/>
                    <w:jc w:val="center"/>
                    <w:rPr>
                      <w:rFonts w:hint="default" w:ascii="Times New Roman" w:hAnsi="Times New Roman" w:eastAsia="仿宋" w:cs="Times New Roman"/>
                      <w:color w:val="auto"/>
                      <w:sz w:val="21"/>
                      <w:szCs w:val="21"/>
                    </w:rPr>
                  </w:pPr>
                </w:p>
              </w:tc>
              <w:tc>
                <w:tcPr>
                  <w:tcW w:w="808" w:type="pct"/>
                  <w:vAlign w:val="center"/>
                </w:tcPr>
                <w:p w14:paraId="09EE08FC">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总氮</w:t>
                  </w:r>
                </w:p>
              </w:tc>
              <w:tc>
                <w:tcPr>
                  <w:tcW w:w="506" w:type="pct"/>
                  <w:shd w:val="clear" w:color="auto" w:fill="auto"/>
                  <w:vAlign w:val="center"/>
                </w:tcPr>
                <w:p w14:paraId="0BDB5702">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28.0</w:t>
                  </w:r>
                </w:p>
              </w:tc>
              <w:tc>
                <w:tcPr>
                  <w:tcW w:w="506" w:type="pct"/>
                  <w:shd w:val="clear" w:color="auto" w:fill="auto"/>
                  <w:vAlign w:val="center"/>
                </w:tcPr>
                <w:p w14:paraId="78A5A8B0">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28.7</w:t>
                  </w:r>
                </w:p>
              </w:tc>
              <w:tc>
                <w:tcPr>
                  <w:tcW w:w="506" w:type="pct"/>
                  <w:shd w:val="clear" w:color="auto" w:fill="auto"/>
                  <w:vAlign w:val="center"/>
                </w:tcPr>
                <w:p w14:paraId="0645544A">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29.3</w:t>
                  </w:r>
                </w:p>
              </w:tc>
              <w:tc>
                <w:tcPr>
                  <w:tcW w:w="506" w:type="pct"/>
                  <w:shd w:val="clear" w:color="auto" w:fill="auto"/>
                  <w:vAlign w:val="center"/>
                </w:tcPr>
                <w:p w14:paraId="2CBF412C">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28.4</w:t>
                  </w:r>
                </w:p>
              </w:tc>
              <w:tc>
                <w:tcPr>
                  <w:tcW w:w="508" w:type="pct"/>
                  <w:shd w:val="clear" w:color="auto" w:fill="auto"/>
                  <w:vAlign w:val="center"/>
                </w:tcPr>
                <w:p w14:paraId="1BAC3ED5">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28.6</w:t>
                  </w:r>
                </w:p>
              </w:tc>
              <w:tc>
                <w:tcPr>
                  <w:tcW w:w="505" w:type="pct"/>
                  <w:vAlign w:val="center"/>
                </w:tcPr>
                <w:p w14:paraId="271E325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50</w:t>
                  </w:r>
                </w:p>
              </w:tc>
            </w:tr>
            <w:tr w14:paraId="1253F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0C0DA38">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51F257BE">
                  <w:pPr>
                    <w:spacing w:after="0"/>
                    <w:jc w:val="center"/>
                    <w:rPr>
                      <w:rFonts w:hint="default" w:ascii="Times New Roman" w:hAnsi="Times New Roman" w:eastAsia="仿宋" w:cs="Times New Roman"/>
                      <w:color w:val="auto"/>
                      <w:sz w:val="21"/>
                      <w:szCs w:val="21"/>
                    </w:rPr>
                  </w:pPr>
                </w:p>
              </w:tc>
              <w:tc>
                <w:tcPr>
                  <w:tcW w:w="808" w:type="pct"/>
                  <w:vAlign w:val="center"/>
                </w:tcPr>
                <w:p w14:paraId="7E83B297">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阴离子表面活性剂</w:t>
                  </w:r>
                </w:p>
              </w:tc>
              <w:tc>
                <w:tcPr>
                  <w:tcW w:w="506" w:type="pct"/>
                  <w:shd w:val="clear" w:color="auto" w:fill="auto"/>
                  <w:vAlign w:val="center"/>
                </w:tcPr>
                <w:p w14:paraId="4693CFB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1.54</w:t>
                  </w:r>
                </w:p>
              </w:tc>
              <w:tc>
                <w:tcPr>
                  <w:tcW w:w="506" w:type="pct"/>
                  <w:shd w:val="clear" w:color="auto" w:fill="auto"/>
                  <w:vAlign w:val="center"/>
                </w:tcPr>
                <w:p w14:paraId="1161FE8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1.41</w:t>
                  </w:r>
                </w:p>
              </w:tc>
              <w:tc>
                <w:tcPr>
                  <w:tcW w:w="506" w:type="pct"/>
                  <w:shd w:val="clear" w:color="auto" w:fill="auto"/>
                  <w:vAlign w:val="center"/>
                </w:tcPr>
                <w:p w14:paraId="0A9FEC14">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1.38</w:t>
                  </w:r>
                </w:p>
              </w:tc>
              <w:tc>
                <w:tcPr>
                  <w:tcW w:w="506" w:type="pct"/>
                  <w:shd w:val="clear" w:color="auto" w:fill="auto"/>
                  <w:vAlign w:val="center"/>
                </w:tcPr>
                <w:p w14:paraId="718608D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1.35</w:t>
                  </w:r>
                </w:p>
              </w:tc>
              <w:tc>
                <w:tcPr>
                  <w:tcW w:w="508" w:type="pct"/>
                  <w:shd w:val="clear" w:color="auto" w:fill="auto"/>
                  <w:vAlign w:val="center"/>
                </w:tcPr>
                <w:p w14:paraId="098CFB1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1.42</w:t>
                  </w:r>
                </w:p>
              </w:tc>
              <w:tc>
                <w:tcPr>
                  <w:tcW w:w="505" w:type="pct"/>
                  <w:vAlign w:val="center"/>
                </w:tcPr>
                <w:p w14:paraId="3C0ADAD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r>
            <w:tr w14:paraId="36752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D43422E">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3DBE8DDC">
                  <w:pPr>
                    <w:spacing w:after="0"/>
                    <w:jc w:val="center"/>
                    <w:rPr>
                      <w:rFonts w:hint="default" w:ascii="Times New Roman" w:hAnsi="Times New Roman" w:eastAsia="仿宋" w:cs="Times New Roman"/>
                      <w:color w:val="auto"/>
                      <w:sz w:val="21"/>
                      <w:szCs w:val="21"/>
                    </w:rPr>
                  </w:pPr>
                </w:p>
              </w:tc>
              <w:tc>
                <w:tcPr>
                  <w:tcW w:w="808" w:type="pct"/>
                  <w:vAlign w:val="center"/>
                </w:tcPr>
                <w:p w14:paraId="4F60B76E">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石油类</w:t>
                  </w:r>
                </w:p>
              </w:tc>
              <w:tc>
                <w:tcPr>
                  <w:tcW w:w="506" w:type="pct"/>
                  <w:shd w:val="clear" w:color="auto" w:fill="auto"/>
                  <w:vAlign w:val="top"/>
                </w:tcPr>
                <w:p w14:paraId="6340B8E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0.37</w:t>
                  </w:r>
                </w:p>
              </w:tc>
              <w:tc>
                <w:tcPr>
                  <w:tcW w:w="506" w:type="pct"/>
                  <w:shd w:val="clear" w:color="auto" w:fill="auto"/>
                  <w:vAlign w:val="top"/>
                </w:tcPr>
                <w:p w14:paraId="2199128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0.28</w:t>
                  </w:r>
                </w:p>
              </w:tc>
              <w:tc>
                <w:tcPr>
                  <w:tcW w:w="506" w:type="pct"/>
                  <w:shd w:val="clear" w:color="auto" w:fill="auto"/>
                  <w:vAlign w:val="top"/>
                </w:tcPr>
                <w:p w14:paraId="5EA8022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0.30</w:t>
                  </w:r>
                </w:p>
              </w:tc>
              <w:tc>
                <w:tcPr>
                  <w:tcW w:w="506" w:type="pct"/>
                  <w:shd w:val="clear" w:color="auto" w:fill="auto"/>
                  <w:vAlign w:val="top"/>
                </w:tcPr>
                <w:p w14:paraId="4251CD8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0.23</w:t>
                  </w:r>
                </w:p>
              </w:tc>
              <w:tc>
                <w:tcPr>
                  <w:tcW w:w="508" w:type="pct"/>
                  <w:vAlign w:val="center"/>
                </w:tcPr>
                <w:p w14:paraId="772E202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w:t>
                  </w:r>
                </w:p>
              </w:tc>
              <w:tc>
                <w:tcPr>
                  <w:tcW w:w="505" w:type="pct"/>
                  <w:vAlign w:val="center"/>
                </w:tcPr>
                <w:p w14:paraId="3337A684">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r>
            <w:tr w14:paraId="5ADA2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restart"/>
                  <w:vAlign w:val="center"/>
                </w:tcPr>
                <w:p w14:paraId="467C80E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综合污水处理站排口</w:t>
                  </w:r>
                </w:p>
              </w:tc>
              <w:tc>
                <w:tcPr>
                  <w:tcW w:w="684" w:type="pct"/>
                  <w:vMerge w:val="restart"/>
                  <w:shd w:val="clear" w:color="auto" w:fill="auto"/>
                  <w:vAlign w:val="center"/>
                </w:tcPr>
                <w:p w14:paraId="31FA3A3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p>
              </w:tc>
              <w:tc>
                <w:tcPr>
                  <w:tcW w:w="808" w:type="pct"/>
                  <w:shd w:val="clear" w:color="auto" w:fill="auto"/>
                  <w:vAlign w:val="center"/>
                </w:tcPr>
                <w:p w14:paraId="09CBAEE5">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629B970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（无量纲）</w:t>
                  </w:r>
                </w:p>
              </w:tc>
              <w:tc>
                <w:tcPr>
                  <w:tcW w:w="506" w:type="pct"/>
                  <w:shd w:val="clear" w:color="auto" w:fill="auto"/>
                  <w:vAlign w:val="center"/>
                </w:tcPr>
                <w:p w14:paraId="592761A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265B514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453DEED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55FEEDB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8" w:type="pct"/>
                  <w:vAlign w:val="center"/>
                </w:tcPr>
                <w:p w14:paraId="057A559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8.4</w:t>
                  </w:r>
                </w:p>
              </w:tc>
              <w:tc>
                <w:tcPr>
                  <w:tcW w:w="505" w:type="pct"/>
                  <w:shd w:val="clear" w:color="auto" w:fill="auto"/>
                  <w:vAlign w:val="center"/>
                </w:tcPr>
                <w:p w14:paraId="719DDC97">
                  <w:pPr>
                    <w:spacing w:after="0"/>
                    <w:ind w:left="-105" w:leftChars="-50" w:right="-105" w:rightChars="-5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73A0D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9FD9C3F">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B2D6970">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1650115A">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悬浮物</w:t>
                  </w:r>
                </w:p>
              </w:tc>
              <w:tc>
                <w:tcPr>
                  <w:tcW w:w="506" w:type="pct"/>
                  <w:shd w:val="clear" w:color="auto" w:fill="auto"/>
                  <w:vAlign w:val="center"/>
                </w:tcPr>
                <w:p w14:paraId="0DBAE4A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19</w:t>
                  </w:r>
                </w:p>
              </w:tc>
              <w:tc>
                <w:tcPr>
                  <w:tcW w:w="506" w:type="pct"/>
                  <w:shd w:val="clear" w:color="auto" w:fill="auto"/>
                  <w:vAlign w:val="center"/>
                </w:tcPr>
                <w:p w14:paraId="199CDDF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20</w:t>
                  </w:r>
                </w:p>
              </w:tc>
              <w:tc>
                <w:tcPr>
                  <w:tcW w:w="506" w:type="pct"/>
                  <w:shd w:val="clear" w:color="auto" w:fill="auto"/>
                  <w:vAlign w:val="center"/>
                </w:tcPr>
                <w:p w14:paraId="5642536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19</w:t>
                  </w:r>
                </w:p>
              </w:tc>
              <w:tc>
                <w:tcPr>
                  <w:tcW w:w="506" w:type="pct"/>
                  <w:shd w:val="clear" w:color="auto" w:fill="auto"/>
                  <w:vAlign w:val="center"/>
                </w:tcPr>
                <w:p w14:paraId="51D4DBE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18</w:t>
                  </w:r>
                </w:p>
              </w:tc>
              <w:tc>
                <w:tcPr>
                  <w:tcW w:w="508" w:type="pct"/>
                  <w:vAlign w:val="center"/>
                </w:tcPr>
                <w:p w14:paraId="50752CE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19</w:t>
                  </w:r>
                </w:p>
              </w:tc>
              <w:tc>
                <w:tcPr>
                  <w:tcW w:w="505" w:type="pct"/>
                  <w:shd w:val="clear" w:color="auto" w:fill="auto"/>
                  <w:vAlign w:val="center"/>
                </w:tcPr>
                <w:p w14:paraId="7CA8B725">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30</w:t>
                  </w:r>
                </w:p>
              </w:tc>
            </w:tr>
            <w:tr w14:paraId="37261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FAD8DEF">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16A5BCA">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ACB9F86">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color w:val="auto"/>
                      <w:sz w:val="21"/>
                      <w:szCs w:val="21"/>
                    </w:rPr>
                    <w:t>化学需氧量</w:t>
                  </w:r>
                </w:p>
              </w:tc>
              <w:tc>
                <w:tcPr>
                  <w:tcW w:w="506" w:type="pct"/>
                  <w:shd w:val="clear" w:color="auto" w:fill="auto"/>
                  <w:vAlign w:val="center"/>
                </w:tcPr>
                <w:p w14:paraId="13D2C21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36</w:t>
                  </w:r>
                </w:p>
              </w:tc>
              <w:tc>
                <w:tcPr>
                  <w:tcW w:w="506" w:type="pct"/>
                  <w:shd w:val="clear" w:color="auto" w:fill="auto"/>
                  <w:vAlign w:val="center"/>
                </w:tcPr>
                <w:p w14:paraId="3860085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36</w:t>
                  </w:r>
                </w:p>
              </w:tc>
              <w:tc>
                <w:tcPr>
                  <w:tcW w:w="506" w:type="pct"/>
                  <w:shd w:val="clear" w:color="auto" w:fill="auto"/>
                  <w:vAlign w:val="center"/>
                </w:tcPr>
                <w:p w14:paraId="789A694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37</w:t>
                  </w:r>
                </w:p>
              </w:tc>
              <w:tc>
                <w:tcPr>
                  <w:tcW w:w="506" w:type="pct"/>
                  <w:shd w:val="clear" w:color="auto" w:fill="auto"/>
                  <w:vAlign w:val="center"/>
                </w:tcPr>
                <w:p w14:paraId="7D6B179D">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37</w:t>
                  </w:r>
                </w:p>
              </w:tc>
              <w:tc>
                <w:tcPr>
                  <w:tcW w:w="508" w:type="pct"/>
                  <w:vAlign w:val="center"/>
                </w:tcPr>
                <w:p w14:paraId="2ECF780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36.5</w:t>
                  </w:r>
                </w:p>
              </w:tc>
              <w:tc>
                <w:tcPr>
                  <w:tcW w:w="505" w:type="pct"/>
                  <w:shd w:val="clear" w:color="auto" w:fill="auto"/>
                  <w:vAlign w:val="center"/>
                </w:tcPr>
                <w:p w14:paraId="0E42D388">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60</w:t>
                  </w:r>
                </w:p>
              </w:tc>
            </w:tr>
            <w:tr w14:paraId="24549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8931A0F">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0E34AF7">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775E69C3">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总磷</w:t>
                  </w:r>
                </w:p>
              </w:tc>
              <w:tc>
                <w:tcPr>
                  <w:tcW w:w="506" w:type="pct"/>
                  <w:shd w:val="clear" w:color="auto" w:fill="auto"/>
                  <w:vAlign w:val="center"/>
                </w:tcPr>
                <w:p w14:paraId="762E16C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0.04</w:t>
                  </w:r>
                </w:p>
              </w:tc>
              <w:tc>
                <w:tcPr>
                  <w:tcW w:w="506" w:type="pct"/>
                  <w:shd w:val="clear" w:color="auto" w:fill="auto"/>
                  <w:vAlign w:val="center"/>
                </w:tcPr>
                <w:p w14:paraId="278DE54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0.04</w:t>
                  </w:r>
                </w:p>
              </w:tc>
              <w:tc>
                <w:tcPr>
                  <w:tcW w:w="506" w:type="pct"/>
                  <w:shd w:val="clear" w:color="auto" w:fill="auto"/>
                  <w:vAlign w:val="center"/>
                </w:tcPr>
                <w:p w14:paraId="4A6403E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0.05</w:t>
                  </w:r>
                </w:p>
              </w:tc>
              <w:tc>
                <w:tcPr>
                  <w:tcW w:w="506" w:type="pct"/>
                  <w:shd w:val="clear" w:color="auto" w:fill="auto"/>
                  <w:vAlign w:val="center"/>
                </w:tcPr>
                <w:p w14:paraId="3FCE670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0.04</w:t>
                  </w:r>
                </w:p>
              </w:tc>
              <w:tc>
                <w:tcPr>
                  <w:tcW w:w="508" w:type="pct"/>
                  <w:vAlign w:val="center"/>
                </w:tcPr>
                <w:p w14:paraId="38D5497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0.04</w:t>
                  </w:r>
                </w:p>
              </w:tc>
              <w:tc>
                <w:tcPr>
                  <w:tcW w:w="505" w:type="pct"/>
                  <w:shd w:val="clear" w:color="auto" w:fill="auto"/>
                  <w:vAlign w:val="center"/>
                </w:tcPr>
                <w:p w14:paraId="5BEFD50A">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w:t>
                  </w:r>
                </w:p>
              </w:tc>
            </w:tr>
            <w:tr w14:paraId="7726B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E25E68A">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BA2EDB7">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7DA44DE4">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氨氮</w:t>
                  </w:r>
                </w:p>
              </w:tc>
              <w:tc>
                <w:tcPr>
                  <w:tcW w:w="506" w:type="pct"/>
                  <w:shd w:val="clear" w:color="auto" w:fill="auto"/>
                  <w:vAlign w:val="center"/>
                </w:tcPr>
                <w:p w14:paraId="0B38500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0.742</w:t>
                  </w:r>
                </w:p>
              </w:tc>
              <w:tc>
                <w:tcPr>
                  <w:tcW w:w="506" w:type="pct"/>
                  <w:shd w:val="clear" w:color="auto" w:fill="auto"/>
                  <w:vAlign w:val="center"/>
                </w:tcPr>
                <w:p w14:paraId="2BDADD6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0.756</w:t>
                  </w:r>
                </w:p>
              </w:tc>
              <w:tc>
                <w:tcPr>
                  <w:tcW w:w="506" w:type="pct"/>
                  <w:shd w:val="clear" w:color="auto" w:fill="auto"/>
                  <w:vAlign w:val="center"/>
                </w:tcPr>
                <w:p w14:paraId="385F957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0.726</w:t>
                  </w:r>
                </w:p>
              </w:tc>
              <w:tc>
                <w:tcPr>
                  <w:tcW w:w="506" w:type="pct"/>
                  <w:shd w:val="clear" w:color="auto" w:fill="auto"/>
                  <w:vAlign w:val="center"/>
                </w:tcPr>
                <w:p w14:paraId="5CB87BE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0.730</w:t>
                  </w:r>
                </w:p>
              </w:tc>
              <w:tc>
                <w:tcPr>
                  <w:tcW w:w="508" w:type="pct"/>
                  <w:vAlign w:val="center"/>
                </w:tcPr>
                <w:p w14:paraId="70244D7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0.74</w:t>
                  </w:r>
                </w:p>
              </w:tc>
              <w:tc>
                <w:tcPr>
                  <w:tcW w:w="505" w:type="pct"/>
                  <w:shd w:val="clear" w:color="auto" w:fill="auto"/>
                  <w:vAlign w:val="center"/>
                </w:tcPr>
                <w:p w14:paraId="17556414">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10</w:t>
                  </w:r>
                </w:p>
              </w:tc>
            </w:tr>
            <w:tr w14:paraId="3DC28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FAE104A">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728412D5">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34E93D22">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总氮</w:t>
                  </w:r>
                </w:p>
              </w:tc>
              <w:tc>
                <w:tcPr>
                  <w:tcW w:w="506" w:type="pct"/>
                  <w:shd w:val="clear" w:color="auto" w:fill="auto"/>
                  <w:vAlign w:val="center"/>
                </w:tcPr>
                <w:p w14:paraId="0BAF87C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1.61</w:t>
                  </w:r>
                </w:p>
              </w:tc>
              <w:tc>
                <w:tcPr>
                  <w:tcW w:w="506" w:type="pct"/>
                  <w:shd w:val="clear" w:color="auto" w:fill="auto"/>
                  <w:vAlign w:val="center"/>
                </w:tcPr>
                <w:p w14:paraId="0C64143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1.63</w:t>
                  </w:r>
                </w:p>
              </w:tc>
              <w:tc>
                <w:tcPr>
                  <w:tcW w:w="506" w:type="pct"/>
                  <w:shd w:val="clear" w:color="auto" w:fill="auto"/>
                  <w:vAlign w:val="center"/>
                </w:tcPr>
                <w:p w14:paraId="38EBFE1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1.57</w:t>
                  </w:r>
                </w:p>
              </w:tc>
              <w:tc>
                <w:tcPr>
                  <w:tcW w:w="506" w:type="pct"/>
                  <w:shd w:val="clear" w:color="auto" w:fill="auto"/>
                  <w:vAlign w:val="center"/>
                </w:tcPr>
                <w:p w14:paraId="0E8188C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1.58</w:t>
                  </w:r>
                </w:p>
              </w:tc>
              <w:tc>
                <w:tcPr>
                  <w:tcW w:w="508" w:type="pct"/>
                  <w:vAlign w:val="center"/>
                </w:tcPr>
                <w:p w14:paraId="4E8FBED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1.6</w:t>
                  </w:r>
                </w:p>
              </w:tc>
              <w:tc>
                <w:tcPr>
                  <w:tcW w:w="505" w:type="pct"/>
                  <w:shd w:val="clear" w:color="auto" w:fill="auto"/>
                  <w:vAlign w:val="center"/>
                </w:tcPr>
                <w:p w14:paraId="36738D29">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10</w:t>
                  </w:r>
                </w:p>
              </w:tc>
            </w:tr>
            <w:tr w14:paraId="200A7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BA3FC29">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1D87980">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329DD57">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阴离子表面活性剂</w:t>
                  </w:r>
                </w:p>
              </w:tc>
              <w:tc>
                <w:tcPr>
                  <w:tcW w:w="506" w:type="pct"/>
                  <w:shd w:val="clear" w:color="auto" w:fill="auto"/>
                  <w:vAlign w:val="center"/>
                </w:tcPr>
                <w:p w14:paraId="134C93C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0.216</w:t>
                  </w:r>
                </w:p>
              </w:tc>
              <w:tc>
                <w:tcPr>
                  <w:tcW w:w="506" w:type="pct"/>
                  <w:shd w:val="clear" w:color="auto" w:fill="auto"/>
                  <w:vAlign w:val="center"/>
                </w:tcPr>
                <w:p w14:paraId="01368EA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0.232</w:t>
                  </w:r>
                </w:p>
              </w:tc>
              <w:tc>
                <w:tcPr>
                  <w:tcW w:w="506" w:type="pct"/>
                  <w:shd w:val="clear" w:color="auto" w:fill="auto"/>
                  <w:vAlign w:val="center"/>
                </w:tcPr>
                <w:p w14:paraId="0B268AFD">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0.258</w:t>
                  </w:r>
                </w:p>
              </w:tc>
              <w:tc>
                <w:tcPr>
                  <w:tcW w:w="506" w:type="pct"/>
                  <w:shd w:val="clear" w:color="auto" w:fill="auto"/>
                  <w:vAlign w:val="center"/>
                </w:tcPr>
                <w:p w14:paraId="3D2F1B2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0.206</w:t>
                  </w:r>
                </w:p>
              </w:tc>
              <w:tc>
                <w:tcPr>
                  <w:tcW w:w="508" w:type="pct"/>
                  <w:vAlign w:val="center"/>
                </w:tcPr>
                <w:p w14:paraId="165EB36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0.23</w:t>
                  </w:r>
                </w:p>
              </w:tc>
              <w:tc>
                <w:tcPr>
                  <w:tcW w:w="505" w:type="pct"/>
                  <w:shd w:val="clear" w:color="auto" w:fill="auto"/>
                  <w:vAlign w:val="center"/>
                </w:tcPr>
                <w:p w14:paraId="433A6AA7">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0.5</w:t>
                  </w:r>
                </w:p>
              </w:tc>
            </w:tr>
            <w:tr w14:paraId="5651F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6D99F6C">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6AC6B36">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DEF6002">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石油类</w:t>
                  </w:r>
                </w:p>
              </w:tc>
              <w:tc>
                <w:tcPr>
                  <w:tcW w:w="506" w:type="pct"/>
                  <w:shd w:val="clear" w:color="auto" w:fill="auto"/>
                  <w:vAlign w:val="center"/>
                </w:tcPr>
                <w:p w14:paraId="416E9F5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0.16</w:t>
                  </w:r>
                </w:p>
              </w:tc>
              <w:tc>
                <w:tcPr>
                  <w:tcW w:w="506" w:type="pct"/>
                  <w:shd w:val="clear" w:color="auto" w:fill="auto"/>
                  <w:vAlign w:val="center"/>
                </w:tcPr>
                <w:p w14:paraId="1A0692F1">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0.16</w:t>
                  </w:r>
                </w:p>
              </w:tc>
              <w:tc>
                <w:tcPr>
                  <w:tcW w:w="506" w:type="pct"/>
                  <w:shd w:val="clear" w:color="auto" w:fill="auto"/>
                  <w:vAlign w:val="center"/>
                </w:tcPr>
                <w:p w14:paraId="744FE07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0.15</w:t>
                  </w:r>
                </w:p>
              </w:tc>
              <w:tc>
                <w:tcPr>
                  <w:tcW w:w="506" w:type="pct"/>
                  <w:shd w:val="clear" w:color="auto" w:fill="auto"/>
                  <w:vAlign w:val="center"/>
                </w:tcPr>
                <w:p w14:paraId="6747C86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0.14</w:t>
                  </w:r>
                </w:p>
              </w:tc>
              <w:tc>
                <w:tcPr>
                  <w:tcW w:w="508" w:type="pct"/>
                  <w:vAlign w:val="center"/>
                </w:tcPr>
                <w:p w14:paraId="2183325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0.15</w:t>
                  </w:r>
                </w:p>
              </w:tc>
              <w:tc>
                <w:tcPr>
                  <w:tcW w:w="505" w:type="pct"/>
                  <w:shd w:val="clear" w:color="auto" w:fill="auto"/>
                  <w:vAlign w:val="center"/>
                </w:tcPr>
                <w:p w14:paraId="6F0C1773">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w:t>
                  </w:r>
                </w:p>
              </w:tc>
            </w:tr>
            <w:tr w14:paraId="1DEAB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244AA990">
                  <w:pPr>
                    <w:spacing w:after="0"/>
                    <w:jc w:val="center"/>
                    <w:rPr>
                      <w:rFonts w:hint="default" w:ascii="Times New Roman" w:hAnsi="Times New Roman" w:eastAsia="仿宋" w:cs="Times New Roman"/>
                      <w:color w:val="auto"/>
                      <w:sz w:val="21"/>
                      <w:szCs w:val="21"/>
                    </w:rPr>
                  </w:pPr>
                </w:p>
              </w:tc>
              <w:tc>
                <w:tcPr>
                  <w:tcW w:w="684" w:type="pct"/>
                  <w:vMerge w:val="restart"/>
                  <w:shd w:val="clear" w:color="auto" w:fill="auto"/>
                  <w:vAlign w:val="center"/>
                </w:tcPr>
                <w:p w14:paraId="7DBFA31D">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w:t>
                  </w:r>
                </w:p>
              </w:tc>
              <w:tc>
                <w:tcPr>
                  <w:tcW w:w="808" w:type="pct"/>
                  <w:shd w:val="clear" w:color="auto" w:fill="auto"/>
                  <w:vAlign w:val="center"/>
                </w:tcPr>
                <w:p w14:paraId="373F752E">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09288FDC">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（无量纲）</w:t>
                  </w:r>
                </w:p>
              </w:tc>
              <w:tc>
                <w:tcPr>
                  <w:tcW w:w="506" w:type="pct"/>
                  <w:shd w:val="clear" w:color="auto" w:fill="auto"/>
                  <w:vAlign w:val="center"/>
                </w:tcPr>
                <w:p w14:paraId="3E2AC12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2B73AC2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7AA172D4">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6" w:type="pct"/>
                  <w:shd w:val="clear" w:color="auto" w:fill="auto"/>
                  <w:vAlign w:val="center"/>
                </w:tcPr>
                <w:p w14:paraId="10D7756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8.4</w:t>
                  </w:r>
                </w:p>
              </w:tc>
              <w:tc>
                <w:tcPr>
                  <w:tcW w:w="508" w:type="pct"/>
                  <w:vAlign w:val="center"/>
                </w:tcPr>
                <w:p w14:paraId="1AB385D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8.4</w:t>
                  </w:r>
                </w:p>
              </w:tc>
              <w:tc>
                <w:tcPr>
                  <w:tcW w:w="505" w:type="pct"/>
                  <w:shd w:val="clear" w:color="auto" w:fill="auto"/>
                  <w:vAlign w:val="center"/>
                </w:tcPr>
                <w:p w14:paraId="5C793103">
                  <w:pPr>
                    <w:spacing w:after="0"/>
                    <w:ind w:left="-105" w:leftChars="-50" w:right="-105" w:rightChars="-5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02689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564B127C">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7C8085F">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4601F251">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悬浮物</w:t>
                  </w:r>
                </w:p>
              </w:tc>
              <w:tc>
                <w:tcPr>
                  <w:tcW w:w="506" w:type="pct"/>
                  <w:shd w:val="clear" w:color="auto" w:fill="auto"/>
                  <w:vAlign w:val="center"/>
                </w:tcPr>
                <w:p w14:paraId="60E3CCA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18</w:t>
                  </w:r>
                </w:p>
              </w:tc>
              <w:tc>
                <w:tcPr>
                  <w:tcW w:w="506" w:type="pct"/>
                  <w:shd w:val="clear" w:color="auto" w:fill="auto"/>
                  <w:vAlign w:val="center"/>
                </w:tcPr>
                <w:p w14:paraId="3133D12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18</w:t>
                  </w:r>
                </w:p>
              </w:tc>
              <w:tc>
                <w:tcPr>
                  <w:tcW w:w="506" w:type="pct"/>
                  <w:shd w:val="clear" w:color="auto" w:fill="auto"/>
                  <w:vAlign w:val="center"/>
                </w:tcPr>
                <w:p w14:paraId="06A05A3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17</w:t>
                  </w:r>
                </w:p>
              </w:tc>
              <w:tc>
                <w:tcPr>
                  <w:tcW w:w="506" w:type="pct"/>
                  <w:shd w:val="clear" w:color="auto" w:fill="auto"/>
                  <w:vAlign w:val="center"/>
                </w:tcPr>
                <w:p w14:paraId="67E0937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19</w:t>
                  </w:r>
                </w:p>
              </w:tc>
              <w:tc>
                <w:tcPr>
                  <w:tcW w:w="508" w:type="pct"/>
                  <w:vAlign w:val="center"/>
                </w:tcPr>
                <w:p w14:paraId="6B0216A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w:t>
                  </w:r>
                </w:p>
              </w:tc>
              <w:tc>
                <w:tcPr>
                  <w:tcW w:w="505" w:type="pct"/>
                  <w:shd w:val="clear" w:color="auto" w:fill="auto"/>
                  <w:vAlign w:val="center"/>
                </w:tcPr>
                <w:p w14:paraId="76A0F76B">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30</w:t>
                  </w:r>
                </w:p>
              </w:tc>
            </w:tr>
            <w:tr w14:paraId="07736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A718625">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02D0812">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3E84BA44">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color w:val="auto"/>
                      <w:sz w:val="21"/>
                      <w:szCs w:val="21"/>
                    </w:rPr>
                    <w:t>化学需氧量</w:t>
                  </w:r>
                </w:p>
              </w:tc>
              <w:tc>
                <w:tcPr>
                  <w:tcW w:w="506" w:type="pct"/>
                  <w:shd w:val="clear" w:color="auto" w:fill="auto"/>
                  <w:vAlign w:val="center"/>
                </w:tcPr>
                <w:p w14:paraId="314AAA2D">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33</w:t>
                  </w:r>
                </w:p>
              </w:tc>
              <w:tc>
                <w:tcPr>
                  <w:tcW w:w="506" w:type="pct"/>
                  <w:shd w:val="clear" w:color="auto" w:fill="auto"/>
                  <w:vAlign w:val="center"/>
                </w:tcPr>
                <w:p w14:paraId="2CE0469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33</w:t>
                  </w:r>
                </w:p>
              </w:tc>
              <w:tc>
                <w:tcPr>
                  <w:tcW w:w="506" w:type="pct"/>
                  <w:shd w:val="clear" w:color="auto" w:fill="auto"/>
                  <w:vAlign w:val="center"/>
                </w:tcPr>
                <w:p w14:paraId="168CC65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34</w:t>
                  </w:r>
                </w:p>
              </w:tc>
              <w:tc>
                <w:tcPr>
                  <w:tcW w:w="506" w:type="pct"/>
                  <w:shd w:val="clear" w:color="auto" w:fill="auto"/>
                  <w:vAlign w:val="center"/>
                </w:tcPr>
                <w:p w14:paraId="4607FB9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32</w:t>
                  </w:r>
                </w:p>
              </w:tc>
              <w:tc>
                <w:tcPr>
                  <w:tcW w:w="508" w:type="pct"/>
                  <w:vAlign w:val="center"/>
                </w:tcPr>
                <w:p w14:paraId="0B5DB63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33</w:t>
                  </w:r>
                </w:p>
              </w:tc>
              <w:tc>
                <w:tcPr>
                  <w:tcW w:w="505" w:type="pct"/>
                  <w:shd w:val="clear" w:color="auto" w:fill="auto"/>
                  <w:vAlign w:val="center"/>
                </w:tcPr>
                <w:p w14:paraId="6EC141A4">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60</w:t>
                  </w:r>
                </w:p>
              </w:tc>
            </w:tr>
            <w:tr w14:paraId="3FBC6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EE81342">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8935A11">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7A11090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总磷</w:t>
                  </w:r>
                </w:p>
              </w:tc>
              <w:tc>
                <w:tcPr>
                  <w:tcW w:w="506" w:type="pct"/>
                  <w:shd w:val="clear" w:color="auto" w:fill="auto"/>
                  <w:vAlign w:val="center"/>
                </w:tcPr>
                <w:p w14:paraId="3EB2233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0.04</w:t>
                  </w:r>
                </w:p>
              </w:tc>
              <w:tc>
                <w:tcPr>
                  <w:tcW w:w="506" w:type="pct"/>
                  <w:shd w:val="clear" w:color="auto" w:fill="auto"/>
                  <w:vAlign w:val="center"/>
                </w:tcPr>
                <w:p w14:paraId="00022B4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0.04</w:t>
                  </w:r>
                </w:p>
              </w:tc>
              <w:tc>
                <w:tcPr>
                  <w:tcW w:w="506" w:type="pct"/>
                  <w:shd w:val="clear" w:color="auto" w:fill="auto"/>
                  <w:vAlign w:val="center"/>
                </w:tcPr>
                <w:p w14:paraId="63CA397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0.05</w:t>
                  </w:r>
                </w:p>
              </w:tc>
              <w:tc>
                <w:tcPr>
                  <w:tcW w:w="506" w:type="pct"/>
                  <w:shd w:val="clear" w:color="auto" w:fill="auto"/>
                  <w:vAlign w:val="center"/>
                </w:tcPr>
                <w:p w14:paraId="6CBCDF9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0.05</w:t>
                  </w:r>
                </w:p>
              </w:tc>
              <w:tc>
                <w:tcPr>
                  <w:tcW w:w="508" w:type="pct"/>
                  <w:vAlign w:val="center"/>
                </w:tcPr>
                <w:p w14:paraId="3685841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w:t>
                  </w:r>
                </w:p>
              </w:tc>
              <w:tc>
                <w:tcPr>
                  <w:tcW w:w="505" w:type="pct"/>
                  <w:shd w:val="clear" w:color="auto" w:fill="auto"/>
                  <w:vAlign w:val="center"/>
                </w:tcPr>
                <w:p w14:paraId="1D7925B4">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w:t>
                  </w:r>
                </w:p>
              </w:tc>
            </w:tr>
            <w:tr w14:paraId="17158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0B0BB00">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4459B319">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3E9EDCA2">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氨氮</w:t>
                  </w:r>
                </w:p>
              </w:tc>
              <w:tc>
                <w:tcPr>
                  <w:tcW w:w="506" w:type="pct"/>
                  <w:shd w:val="clear" w:color="auto" w:fill="auto"/>
                  <w:vAlign w:val="center"/>
                </w:tcPr>
                <w:p w14:paraId="68956EF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0.720</w:t>
                  </w:r>
                </w:p>
              </w:tc>
              <w:tc>
                <w:tcPr>
                  <w:tcW w:w="506" w:type="pct"/>
                  <w:shd w:val="clear" w:color="auto" w:fill="auto"/>
                  <w:vAlign w:val="center"/>
                </w:tcPr>
                <w:p w14:paraId="64B0ED6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0.704</w:t>
                  </w:r>
                </w:p>
              </w:tc>
              <w:tc>
                <w:tcPr>
                  <w:tcW w:w="506" w:type="pct"/>
                  <w:shd w:val="clear" w:color="auto" w:fill="auto"/>
                  <w:vAlign w:val="center"/>
                </w:tcPr>
                <w:p w14:paraId="44BDFFC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0.734</w:t>
                  </w:r>
                </w:p>
              </w:tc>
              <w:tc>
                <w:tcPr>
                  <w:tcW w:w="506" w:type="pct"/>
                  <w:shd w:val="clear" w:color="auto" w:fill="auto"/>
                  <w:vAlign w:val="center"/>
                </w:tcPr>
                <w:p w14:paraId="2D75C9FD">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0.718</w:t>
                  </w:r>
                </w:p>
              </w:tc>
              <w:tc>
                <w:tcPr>
                  <w:tcW w:w="508" w:type="pct"/>
                  <w:vAlign w:val="center"/>
                </w:tcPr>
                <w:p w14:paraId="5774BE5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4"/>
                      <w:szCs w:val="24"/>
                      <w:lang w:val="en-US" w:eastAsia="zh-CN"/>
                    </w:rPr>
                    <w:t>0</w:t>
                  </w:r>
                  <w:r>
                    <w:rPr>
                      <w:rFonts w:hint="default" w:ascii="Times New Roman" w:hAnsi="Times New Roman" w:eastAsia="仿宋" w:cs="Times New Roman"/>
                      <w:color w:val="auto"/>
                      <w:sz w:val="21"/>
                      <w:szCs w:val="21"/>
                      <w:lang w:val="en-US" w:eastAsia="zh-CN"/>
                    </w:rPr>
                    <w:t>.72</w:t>
                  </w:r>
                </w:p>
              </w:tc>
              <w:tc>
                <w:tcPr>
                  <w:tcW w:w="505" w:type="pct"/>
                  <w:shd w:val="clear" w:color="auto" w:fill="auto"/>
                  <w:vAlign w:val="center"/>
                </w:tcPr>
                <w:p w14:paraId="2AC72ECF">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10</w:t>
                  </w:r>
                </w:p>
              </w:tc>
            </w:tr>
            <w:tr w14:paraId="34331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F45CDAA">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2C9D61D9">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19B5DEDA">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总氮</w:t>
                  </w:r>
                </w:p>
              </w:tc>
              <w:tc>
                <w:tcPr>
                  <w:tcW w:w="506" w:type="pct"/>
                  <w:shd w:val="clear" w:color="auto" w:fill="auto"/>
                  <w:vAlign w:val="center"/>
                </w:tcPr>
                <w:p w14:paraId="1F7D42C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1.45</w:t>
                  </w:r>
                </w:p>
              </w:tc>
              <w:tc>
                <w:tcPr>
                  <w:tcW w:w="506" w:type="pct"/>
                  <w:shd w:val="clear" w:color="auto" w:fill="auto"/>
                  <w:vAlign w:val="center"/>
                </w:tcPr>
                <w:p w14:paraId="099CBA2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1.41</w:t>
                  </w:r>
                </w:p>
              </w:tc>
              <w:tc>
                <w:tcPr>
                  <w:tcW w:w="506" w:type="pct"/>
                  <w:shd w:val="clear" w:color="auto" w:fill="auto"/>
                  <w:vAlign w:val="center"/>
                </w:tcPr>
                <w:p w14:paraId="597258B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1.47</w:t>
                  </w:r>
                </w:p>
              </w:tc>
              <w:tc>
                <w:tcPr>
                  <w:tcW w:w="506" w:type="pct"/>
                  <w:shd w:val="clear" w:color="auto" w:fill="auto"/>
                  <w:vAlign w:val="center"/>
                </w:tcPr>
                <w:p w14:paraId="6E55B71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1.42</w:t>
                  </w:r>
                </w:p>
              </w:tc>
              <w:tc>
                <w:tcPr>
                  <w:tcW w:w="508" w:type="pct"/>
                  <w:vAlign w:val="center"/>
                </w:tcPr>
                <w:p w14:paraId="25623B0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1.44</w:t>
                  </w:r>
                </w:p>
              </w:tc>
              <w:tc>
                <w:tcPr>
                  <w:tcW w:w="505" w:type="pct"/>
                  <w:shd w:val="clear" w:color="auto" w:fill="auto"/>
                  <w:vAlign w:val="center"/>
                </w:tcPr>
                <w:p w14:paraId="577C3741">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10</w:t>
                  </w:r>
                </w:p>
              </w:tc>
            </w:tr>
            <w:tr w14:paraId="79C1B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CF4DAE4">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4DE17B86">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4F4BE603">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阴离子表面活性剂</w:t>
                  </w:r>
                </w:p>
              </w:tc>
              <w:tc>
                <w:tcPr>
                  <w:tcW w:w="506" w:type="pct"/>
                  <w:shd w:val="clear" w:color="auto" w:fill="auto"/>
                  <w:vAlign w:val="center"/>
                </w:tcPr>
                <w:p w14:paraId="2DB9668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0.284</w:t>
                  </w:r>
                </w:p>
              </w:tc>
              <w:tc>
                <w:tcPr>
                  <w:tcW w:w="506" w:type="pct"/>
                  <w:shd w:val="clear" w:color="auto" w:fill="auto"/>
                  <w:vAlign w:val="center"/>
                </w:tcPr>
                <w:p w14:paraId="07D9B53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0.266</w:t>
                  </w:r>
                </w:p>
              </w:tc>
              <w:tc>
                <w:tcPr>
                  <w:tcW w:w="506" w:type="pct"/>
                  <w:shd w:val="clear" w:color="auto" w:fill="auto"/>
                  <w:vAlign w:val="center"/>
                </w:tcPr>
                <w:p w14:paraId="449C1EE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0.247</w:t>
                  </w:r>
                </w:p>
              </w:tc>
              <w:tc>
                <w:tcPr>
                  <w:tcW w:w="506" w:type="pct"/>
                  <w:shd w:val="clear" w:color="auto" w:fill="auto"/>
                  <w:vAlign w:val="center"/>
                </w:tcPr>
                <w:p w14:paraId="4E9D6EC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0.248</w:t>
                  </w:r>
                </w:p>
              </w:tc>
              <w:tc>
                <w:tcPr>
                  <w:tcW w:w="508" w:type="pct"/>
                  <w:vAlign w:val="center"/>
                </w:tcPr>
                <w:p w14:paraId="55B62FE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0.26</w:t>
                  </w:r>
                </w:p>
              </w:tc>
              <w:tc>
                <w:tcPr>
                  <w:tcW w:w="505" w:type="pct"/>
                  <w:shd w:val="clear" w:color="auto" w:fill="auto"/>
                  <w:vAlign w:val="center"/>
                </w:tcPr>
                <w:p w14:paraId="20247A87">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0.5</w:t>
                  </w:r>
                </w:p>
              </w:tc>
            </w:tr>
            <w:tr w14:paraId="5E0EB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2FE9EE9C">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43845269">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27F232FC">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rPr>
                    <w:t>石油类</w:t>
                  </w:r>
                </w:p>
              </w:tc>
              <w:tc>
                <w:tcPr>
                  <w:tcW w:w="506" w:type="pct"/>
                  <w:shd w:val="clear" w:color="auto" w:fill="auto"/>
                  <w:vAlign w:val="center"/>
                </w:tcPr>
                <w:p w14:paraId="7F88021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0.12</w:t>
                  </w:r>
                </w:p>
              </w:tc>
              <w:tc>
                <w:tcPr>
                  <w:tcW w:w="506" w:type="pct"/>
                  <w:shd w:val="clear" w:color="auto" w:fill="auto"/>
                  <w:vAlign w:val="center"/>
                </w:tcPr>
                <w:p w14:paraId="7A22168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0.11</w:t>
                  </w:r>
                </w:p>
              </w:tc>
              <w:tc>
                <w:tcPr>
                  <w:tcW w:w="506" w:type="pct"/>
                  <w:shd w:val="clear" w:color="auto" w:fill="auto"/>
                  <w:vAlign w:val="center"/>
                </w:tcPr>
                <w:p w14:paraId="272E803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0.12</w:t>
                  </w:r>
                </w:p>
              </w:tc>
              <w:tc>
                <w:tcPr>
                  <w:tcW w:w="506" w:type="pct"/>
                  <w:shd w:val="clear" w:color="auto" w:fill="auto"/>
                  <w:vAlign w:val="center"/>
                </w:tcPr>
                <w:p w14:paraId="11839BF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0.13</w:t>
                  </w:r>
                </w:p>
              </w:tc>
              <w:tc>
                <w:tcPr>
                  <w:tcW w:w="508" w:type="pct"/>
                  <w:vAlign w:val="center"/>
                </w:tcPr>
                <w:p w14:paraId="345D506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0.12</w:t>
                  </w:r>
                </w:p>
              </w:tc>
              <w:tc>
                <w:tcPr>
                  <w:tcW w:w="505" w:type="pct"/>
                  <w:shd w:val="clear" w:color="auto" w:fill="auto"/>
                  <w:vAlign w:val="center"/>
                </w:tcPr>
                <w:p w14:paraId="31912D91">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w:t>
                  </w:r>
                </w:p>
              </w:tc>
            </w:tr>
            <w:tr w14:paraId="0A258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restart"/>
                  <w:shd w:val="clear" w:color="auto" w:fill="auto"/>
                  <w:vAlign w:val="center"/>
                </w:tcPr>
                <w:p w14:paraId="39D8ED39">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重金属</w:t>
                  </w:r>
                  <w:r>
                    <w:rPr>
                      <w:rFonts w:hint="default" w:ascii="Times New Roman" w:hAnsi="Times New Roman" w:eastAsia="仿宋" w:cs="Times New Roman"/>
                      <w:color w:val="auto"/>
                      <w:sz w:val="21"/>
                      <w:szCs w:val="21"/>
                    </w:rPr>
                    <w:t>污水处理站排口</w:t>
                  </w:r>
                </w:p>
              </w:tc>
              <w:tc>
                <w:tcPr>
                  <w:tcW w:w="684" w:type="pct"/>
                  <w:vMerge w:val="restart"/>
                  <w:shd w:val="clear" w:color="auto" w:fill="auto"/>
                  <w:vAlign w:val="center"/>
                </w:tcPr>
                <w:p w14:paraId="48224DA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w:t>
                  </w:r>
                </w:p>
              </w:tc>
              <w:tc>
                <w:tcPr>
                  <w:tcW w:w="808" w:type="pct"/>
                  <w:shd w:val="clear" w:color="auto" w:fill="auto"/>
                  <w:vAlign w:val="center"/>
                </w:tcPr>
                <w:p w14:paraId="0D81D119">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0900C0BF">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（无量纲）</w:t>
                  </w:r>
                </w:p>
              </w:tc>
              <w:tc>
                <w:tcPr>
                  <w:tcW w:w="506" w:type="pct"/>
                  <w:shd w:val="clear" w:color="auto" w:fill="auto"/>
                  <w:vAlign w:val="center"/>
                </w:tcPr>
                <w:p w14:paraId="6B18894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1B5A620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0EF5518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5508874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8" w:type="pct"/>
                  <w:vAlign w:val="center"/>
                </w:tcPr>
                <w:p w14:paraId="456EA3DA">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8.2</w:t>
                  </w:r>
                </w:p>
              </w:tc>
              <w:tc>
                <w:tcPr>
                  <w:tcW w:w="505" w:type="pct"/>
                  <w:shd w:val="clear" w:color="auto" w:fill="auto"/>
                  <w:vAlign w:val="center"/>
                </w:tcPr>
                <w:p w14:paraId="3CF5E47E">
                  <w:pPr>
                    <w:spacing w:after="0"/>
                    <w:ind w:left="-105" w:leftChars="-50" w:right="-105" w:rightChars="-5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0E81D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4693D67F">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CE19C48">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6760F357">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悬浮物</w:t>
                  </w:r>
                </w:p>
              </w:tc>
              <w:tc>
                <w:tcPr>
                  <w:tcW w:w="506" w:type="pct"/>
                  <w:shd w:val="clear" w:color="auto" w:fill="auto"/>
                  <w:vAlign w:val="center"/>
                </w:tcPr>
                <w:p w14:paraId="620C4DD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506" w:type="pct"/>
                  <w:shd w:val="clear" w:color="auto" w:fill="auto"/>
                  <w:vAlign w:val="center"/>
                </w:tcPr>
                <w:p w14:paraId="7D5CEC5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506" w:type="pct"/>
                  <w:shd w:val="clear" w:color="auto" w:fill="auto"/>
                  <w:vAlign w:val="center"/>
                </w:tcPr>
                <w:p w14:paraId="1493A39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506" w:type="pct"/>
                  <w:shd w:val="clear" w:color="auto" w:fill="auto"/>
                  <w:vAlign w:val="center"/>
                </w:tcPr>
                <w:p w14:paraId="195EF83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508" w:type="pct"/>
                  <w:vAlign w:val="center"/>
                </w:tcPr>
                <w:p w14:paraId="27FB110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14.5</w:t>
                  </w:r>
                </w:p>
              </w:tc>
              <w:tc>
                <w:tcPr>
                  <w:tcW w:w="505" w:type="pct"/>
                  <w:shd w:val="clear" w:color="auto" w:fill="auto"/>
                  <w:vAlign w:val="center"/>
                </w:tcPr>
                <w:p w14:paraId="10A9C0E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w:t>
                  </w:r>
                </w:p>
              </w:tc>
            </w:tr>
            <w:tr w14:paraId="1FA4D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5BF09499">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118649FD">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65A340E">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color w:val="auto"/>
                      <w:sz w:val="21"/>
                      <w:szCs w:val="21"/>
                    </w:rPr>
                    <w:t>化学需氧量</w:t>
                  </w:r>
                </w:p>
              </w:tc>
              <w:tc>
                <w:tcPr>
                  <w:tcW w:w="506" w:type="pct"/>
                  <w:shd w:val="clear" w:color="auto" w:fill="auto"/>
                  <w:vAlign w:val="center"/>
                </w:tcPr>
                <w:p w14:paraId="296EBA7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506" w:type="pct"/>
                  <w:shd w:val="clear" w:color="auto" w:fill="auto"/>
                  <w:vAlign w:val="center"/>
                </w:tcPr>
                <w:p w14:paraId="0862642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506" w:type="pct"/>
                  <w:shd w:val="clear" w:color="auto" w:fill="auto"/>
                  <w:vAlign w:val="center"/>
                </w:tcPr>
                <w:p w14:paraId="16354EA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506" w:type="pct"/>
                  <w:shd w:val="clear" w:color="auto" w:fill="auto"/>
                  <w:vAlign w:val="center"/>
                </w:tcPr>
                <w:p w14:paraId="69DAD72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508" w:type="pct"/>
                  <w:vAlign w:val="center"/>
                </w:tcPr>
                <w:p w14:paraId="20C3EDD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30.5</w:t>
                  </w:r>
                </w:p>
              </w:tc>
              <w:tc>
                <w:tcPr>
                  <w:tcW w:w="505" w:type="pct"/>
                  <w:shd w:val="clear" w:color="auto" w:fill="auto"/>
                  <w:vAlign w:val="center"/>
                </w:tcPr>
                <w:p w14:paraId="2FC24BA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60</w:t>
                  </w:r>
                </w:p>
              </w:tc>
            </w:tr>
            <w:tr w14:paraId="078D4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36FB3ED">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AF550A5">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6D312C70">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氨氮</w:t>
                  </w:r>
                </w:p>
              </w:tc>
              <w:tc>
                <w:tcPr>
                  <w:tcW w:w="506" w:type="pct"/>
                  <w:shd w:val="clear" w:color="auto" w:fill="auto"/>
                  <w:vAlign w:val="center"/>
                </w:tcPr>
                <w:p w14:paraId="56F7BE7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0.772</w:t>
                  </w:r>
                </w:p>
              </w:tc>
              <w:tc>
                <w:tcPr>
                  <w:tcW w:w="506" w:type="pct"/>
                  <w:shd w:val="clear" w:color="auto" w:fill="auto"/>
                  <w:vAlign w:val="center"/>
                </w:tcPr>
                <w:p w14:paraId="27950BF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0.800</w:t>
                  </w:r>
                </w:p>
              </w:tc>
              <w:tc>
                <w:tcPr>
                  <w:tcW w:w="506" w:type="pct"/>
                  <w:shd w:val="clear" w:color="auto" w:fill="auto"/>
                  <w:vAlign w:val="center"/>
                </w:tcPr>
                <w:p w14:paraId="7C4C748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0.780</w:t>
                  </w:r>
                </w:p>
              </w:tc>
              <w:tc>
                <w:tcPr>
                  <w:tcW w:w="506" w:type="pct"/>
                  <w:shd w:val="clear" w:color="auto" w:fill="auto"/>
                  <w:vAlign w:val="center"/>
                </w:tcPr>
                <w:p w14:paraId="365EF0C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0.790</w:t>
                  </w:r>
                </w:p>
              </w:tc>
              <w:tc>
                <w:tcPr>
                  <w:tcW w:w="508" w:type="pct"/>
                  <w:vAlign w:val="center"/>
                </w:tcPr>
                <w:p w14:paraId="082D10B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0.79</w:t>
                  </w:r>
                </w:p>
              </w:tc>
              <w:tc>
                <w:tcPr>
                  <w:tcW w:w="505" w:type="pct"/>
                  <w:shd w:val="clear" w:color="auto" w:fill="auto"/>
                  <w:vAlign w:val="center"/>
                </w:tcPr>
                <w:p w14:paraId="59A42DF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r>
            <w:tr w14:paraId="447DD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BD2B244">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575082EE">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5331A50">
                  <w:pPr>
                    <w:spacing w:after="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镍</w:t>
                  </w:r>
                </w:p>
              </w:tc>
              <w:tc>
                <w:tcPr>
                  <w:tcW w:w="506" w:type="pct"/>
                  <w:shd w:val="clear" w:color="auto" w:fill="auto"/>
                  <w:vAlign w:val="center"/>
                </w:tcPr>
                <w:p w14:paraId="31C9AB1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5AC78E4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24AB14B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62E02AB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236FD0F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373046A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r>
            <w:tr w14:paraId="1F200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7241CFA">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876AD78">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B484BAE">
                  <w:pPr>
                    <w:spacing w:after="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铜</w:t>
                  </w:r>
                </w:p>
              </w:tc>
              <w:tc>
                <w:tcPr>
                  <w:tcW w:w="506" w:type="pct"/>
                  <w:shd w:val="clear" w:color="auto" w:fill="auto"/>
                  <w:vAlign w:val="center"/>
                </w:tcPr>
                <w:p w14:paraId="61F5A5E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26DC52B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5EC7340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1198A52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6617F9CC">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632942C5">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r>
            <w:tr w14:paraId="06CCE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79BEB0D9">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2EEA5921">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4135B303">
                  <w:pPr>
                    <w:spacing w:after="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铬</w:t>
                  </w:r>
                </w:p>
              </w:tc>
              <w:tc>
                <w:tcPr>
                  <w:tcW w:w="506" w:type="pct"/>
                  <w:shd w:val="clear" w:color="auto" w:fill="auto"/>
                  <w:vAlign w:val="center"/>
                </w:tcPr>
                <w:p w14:paraId="3CD3344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4D657F4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3AA663E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5515DC4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252A151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63C870C6">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r>
            <w:tr w14:paraId="591E4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0C1AD31F">
                  <w:pPr>
                    <w:spacing w:after="0"/>
                    <w:jc w:val="center"/>
                    <w:rPr>
                      <w:rFonts w:hint="default" w:ascii="Times New Roman" w:hAnsi="Times New Roman" w:eastAsia="仿宋" w:cs="Times New Roman"/>
                      <w:color w:val="auto"/>
                      <w:sz w:val="21"/>
                      <w:szCs w:val="21"/>
                    </w:rPr>
                  </w:pPr>
                </w:p>
              </w:tc>
              <w:tc>
                <w:tcPr>
                  <w:tcW w:w="684" w:type="pct"/>
                  <w:vMerge w:val="restart"/>
                  <w:vAlign w:val="center"/>
                </w:tcPr>
                <w:p w14:paraId="6290D79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w:t>
                  </w:r>
                  <w:r>
                    <w:rPr>
                      <w:rFonts w:hint="default" w:ascii="Times New Roman" w:hAnsi="Times New Roman" w:eastAsia="仿宋" w:cs="Times New Roman"/>
                      <w:color w:val="auto"/>
                      <w:sz w:val="21"/>
                      <w:szCs w:val="21"/>
                      <w:lang w:val="en-US" w:eastAsia="zh-CN"/>
                    </w:rPr>
                    <w:t>5.9</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6</w:t>
                  </w:r>
                </w:p>
              </w:tc>
              <w:tc>
                <w:tcPr>
                  <w:tcW w:w="808" w:type="pct"/>
                  <w:shd w:val="clear" w:color="auto" w:fill="auto"/>
                  <w:vAlign w:val="center"/>
                </w:tcPr>
                <w:p w14:paraId="3F4191D3">
                  <w:pPr>
                    <w:spacing w:after="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pH值</w:t>
                  </w:r>
                </w:p>
                <w:p w14:paraId="317324AE">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（无量纲）</w:t>
                  </w:r>
                </w:p>
              </w:tc>
              <w:tc>
                <w:tcPr>
                  <w:tcW w:w="506" w:type="pct"/>
                  <w:shd w:val="clear" w:color="auto" w:fill="auto"/>
                  <w:vAlign w:val="center"/>
                </w:tcPr>
                <w:p w14:paraId="1CEE962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07F5621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36220ED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6" w:type="pct"/>
                  <w:shd w:val="clear" w:color="auto" w:fill="auto"/>
                  <w:vAlign w:val="center"/>
                </w:tcPr>
                <w:p w14:paraId="6DB4F47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w:t>
                  </w:r>
                </w:p>
              </w:tc>
              <w:tc>
                <w:tcPr>
                  <w:tcW w:w="508" w:type="pct"/>
                  <w:vAlign w:val="center"/>
                </w:tcPr>
                <w:p w14:paraId="5F730B7E">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8.2</w:t>
                  </w:r>
                </w:p>
              </w:tc>
              <w:tc>
                <w:tcPr>
                  <w:tcW w:w="505" w:type="pct"/>
                  <w:shd w:val="clear" w:color="auto" w:fill="auto"/>
                  <w:vAlign w:val="center"/>
                </w:tcPr>
                <w:p w14:paraId="7050EAC2">
                  <w:pPr>
                    <w:spacing w:after="0"/>
                    <w:ind w:left="-105" w:leftChars="-50" w:right="-105" w:rightChars="-5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lang w:val="en-US" w:eastAsia="zh-CN"/>
                    </w:rPr>
                    <w:t>0</w:t>
                  </w:r>
                </w:p>
              </w:tc>
            </w:tr>
            <w:tr w14:paraId="27A15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0146C39">
                  <w:pPr>
                    <w:spacing w:after="0"/>
                    <w:jc w:val="center"/>
                    <w:rPr>
                      <w:rFonts w:hint="default" w:ascii="Times New Roman" w:hAnsi="Times New Roman" w:eastAsia="仿宋" w:cs="Times New Roman"/>
                      <w:color w:val="auto"/>
                      <w:sz w:val="21"/>
                      <w:szCs w:val="21"/>
                    </w:rPr>
                  </w:pPr>
                </w:p>
              </w:tc>
              <w:tc>
                <w:tcPr>
                  <w:tcW w:w="684" w:type="pct"/>
                  <w:vMerge w:val="continue"/>
                  <w:shd w:val="clear" w:color="auto" w:fill="auto"/>
                  <w:vAlign w:val="center"/>
                </w:tcPr>
                <w:p w14:paraId="416C0E6A">
                  <w:pPr>
                    <w:spacing w:after="0"/>
                    <w:jc w:val="center"/>
                    <w:rPr>
                      <w:rFonts w:hint="default" w:ascii="Times New Roman" w:hAnsi="Times New Roman" w:eastAsia="仿宋" w:cs="Times New Roman"/>
                      <w:color w:val="auto"/>
                      <w:sz w:val="21"/>
                      <w:szCs w:val="21"/>
                      <w:lang w:val="en-US" w:eastAsia="zh-CN" w:bidi="ar-SA"/>
                    </w:rPr>
                  </w:pPr>
                </w:p>
              </w:tc>
              <w:tc>
                <w:tcPr>
                  <w:tcW w:w="808" w:type="pct"/>
                  <w:shd w:val="clear" w:color="auto" w:fill="auto"/>
                  <w:vAlign w:val="center"/>
                </w:tcPr>
                <w:p w14:paraId="2A4694D2">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悬浮物</w:t>
                  </w:r>
                </w:p>
              </w:tc>
              <w:tc>
                <w:tcPr>
                  <w:tcW w:w="506" w:type="pct"/>
                  <w:shd w:val="clear" w:color="auto" w:fill="auto"/>
                  <w:vAlign w:val="center"/>
                </w:tcPr>
                <w:p w14:paraId="664415F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506" w:type="pct"/>
                  <w:shd w:val="clear" w:color="auto" w:fill="auto"/>
                  <w:vAlign w:val="center"/>
                </w:tcPr>
                <w:p w14:paraId="5F78B2C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506" w:type="pct"/>
                  <w:shd w:val="clear" w:color="auto" w:fill="auto"/>
                  <w:vAlign w:val="center"/>
                </w:tcPr>
                <w:p w14:paraId="75DAF08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506" w:type="pct"/>
                  <w:shd w:val="clear" w:color="auto" w:fill="auto"/>
                  <w:vAlign w:val="center"/>
                </w:tcPr>
                <w:p w14:paraId="3968062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508" w:type="pct"/>
                  <w:vAlign w:val="center"/>
                </w:tcPr>
                <w:p w14:paraId="28EA41A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14.25</w:t>
                  </w:r>
                </w:p>
              </w:tc>
              <w:tc>
                <w:tcPr>
                  <w:tcW w:w="505" w:type="pct"/>
                  <w:shd w:val="clear" w:color="auto" w:fill="auto"/>
                  <w:vAlign w:val="center"/>
                </w:tcPr>
                <w:p w14:paraId="552D48F8">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30</w:t>
                  </w:r>
                </w:p>
              </w:tc>
            </w:tr>
            <w:tr w14:paraId="00E74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0E0560D1">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0B495103">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04DD392D">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color w:val="auto"/>
                      <w:sz w:val="21"/>
                      <w:szCs w:val="21"/>
                    </w:rPr>
                    <w:t>化学需氧量</w:t>
                  </w:r>
                </w:p>
              </w:tc>
              <w:tc>
                <w:tcPr>
                  <w:tcW w:w="506" w:type="pct"/>
                  <w:shd w:val="clear" w:color="auto" w:fill="auto"/>
                  <w:vAlign w:val="center"/>
                </w:tcPr>
                <w:p w14:paraId="35DEA72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506" w:type="pct"/>
                  <w:shd w:val="clear" w:color="auto" w:fill="auto"/>
                  <w:vAlign w:val="center"/>
                </w:tcPr>
                <w:p w14:paraId="5312694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506" w:type="pct"/>
                  <w:shd w:val="clear" w:color="auto" w:fill="auto"/>
                  <w:vAlign w:val="center"/>
                </w:tcPr>
                <w:p w14:paraId="46C0F2E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506" w:type="pct"/>
                  <w:shd w:val="clear" w:color="auto" w:fill="auto"/>
                  <w:vAlign w:val="center"/>
                </w:tcPr>
                <w:p w14:paraId="51C8B5C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508" w:type="pct"/>
                  <w:vAlign w:val="center"/>
                </w:tcPr>
                <w:p w14:paraId="64F7B9D0">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26.5</w:t>
                  </w:r>
                </w:p>
              </w:tc>
              <w:tc>
                <w:tcPr>
                  <w:tcW w:w="505" w:type="pct"/>
                  <w:shd w:val="clear" w:color="auto" w:fill="auto"/>
                  <w:vAlign w:val="center"/>
                </w:tcPr>
                <w:p w14:paraId="5829EB84">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60</w:t>
                  </w:r>
                </w:p>
              </w:tc>
            </w:tr>
            <w:tr w14:paraId="0934C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1E7B1EEC">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67505693">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5E19913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bCs/>
                      <w:color w:val="auto"/>
                      <w:sz w:val="21"/>
                      <w:szCs w:val="21"/>
                    </w:rPr>
                    <w:t>氨氮</w:t>
                  </w:r>
                </w:p>
              </w:tc>
              <w:tc>
                <w:tcPr>
                  <w:tcW w:w="506" w:type="pct"/>
                  <w:shd w:val="clear" w:color="auto" w:fill="auto"/>
                  <w:vAlign w:val="center"/>
                </w:tcPr>
                <w:p w14:paraId="1326C4D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0.800</w:t>
                  </w:r>
                </w:p>
              </w:tc>
              <w:tc>
                <w:tcPr>
                  <w:tcW w:w="506" w:type="pct"/>
                  <w:shd w:val="clear" w:color="auto" w:fill="auto"/>
                  <w:vAlign w:val="center"/>
                </w:tcPr>
                <w:p w14:paraId="17045C4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0.792</w:t>
                  </w:r>
                </w:p>
              </w:tc>
              <w:tc>
                <w:tcPr>
                  <w:tcW w:w="506" w:type="pct"/>
                  <w:shd w:val="clear" w:color="auto" w:fill="auto"/>
                  <w:vAlign w:val="center"/>
                </w:tcPr>
                <w:p w14:paraId="7FA83B3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0.792</w:t>
                  </w:r>
                </w:p>
              </w:tc>
              <w:tc>
                <w:tcPr>
                  <w:tcW w:w="506" w:type="pct"/>
                  <w:shd w:val="clear" w:color="auto" w:fill="auto"/>
                  <w:vAlign w:val="center"/>
                </w:tcPr>
                <w:p w14:paraId="3AD6FD2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0.804</w:t>
                  </w:r>
                </w:p>
              </w:tc>
              <w:tc>
                <w:tcPr>
                  <w:tcW w:w="508" w:type="pct"/>
                  <w:vAlign w:val="center"/>
                </w:tcPr>
                <w:p w14:paraId="51C21C92">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w:t>
                  </w:r>
                </w:p>
              </w:tc>
              <w:tc>
                <w:tcPr>
                  <w:tcW w:w="505" w:type="pct"/>
                  <w:shd w:val="clear" w:color="auto" w:fill="auto"/>
                  <w:vAlign w:val="center"/>
                </w:tcPr>
                <w:p w14:paraId="09394ED6">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10</w:t>
                  </w:r>
                </w:p>
              </w:tc>
            </w:tr>
            <w:tr w14:paraId="0D320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36DAB79E">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5DB4F71A">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7ADF1F11">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lang w:val="en-US" w:eastAsia="zh-CN"/>
                    </w:rPr>
                    <w:t>镍</w:t>
                  </w:r>
                </w:p>
              </w:tc>
              <w:tc>
                <w:tcPr>
                  <w:tcW w:w="506" w:type="pct"/>
                  <w:shd w:val="clear" w:color="auto" w:fill="auto"/>
                  <w:vAlign w:val="center"/>
                </w:tcPr>
                <w:p w14:paraId="44B59C8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03CEE6B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7AF4F22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21A25CE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0048E98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3B81E768">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w:t>
                  </w:r>
                </w:p>
              </w:tc>
            </w:tr>
            <w:tr w14:paraId="773D9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5AB49E3E">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4B59C274">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12BE9A90">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lang w:val="en-US" w:eastAsia="zh-CN"/>
                    </w:rPr>
                    <w:t>铜</w:t>
                  </w:r>
                </w:p>
              </w:tc>
              <w:tc>
                <w:tcPr>
                  <w:tcW w:w="506" w:type="pct"/>
                  <w:shd w:val="clear" w:color="auto" w:fill="auto"/>
                  <w:vAlign w:val="center"/>
                </w:tcPr>
                <w:p w14:paraId="468F341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49F7F77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6FE8E80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1A5CA14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20EE4527">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1875A12B">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2</w:t>
                  </w:r>
                </w:p>
              </w:tc>
            </w:tr>
            <w:tr w14:paraId="6F68A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vMerge w:val="continue"/>
                  <w:vAlign w:val="center"/>
                </w:tcPr>
                <w:p w14:paraId="6DDF771D">
                  <w:pPr>
                    <w:spacing w:after="0"/>
                    <w:jc w:val="center"/>
                    <w:rPr>
                      <w:rFonts w:hint="default" w:ascii="Times New Roman" w:hAnsi="Times New Roman" w:eastAsia="仿宋" w:cs="Times New Roman"/>
                      <w:color w:val="auto"/>
                      <w:sz w:val="21"/>
                      <w:szCs w:val="21"/>
                    </w:rPr>
                  </w:pPr>
                </w:p>
              </w:tc>
              <w:tc>
                <w:tcPr>
                  <w:tcW w:w="684" w:type="pct"/>
                  <w:vMerge w:val="continue"/>
                  <w:vAlign w:val="center"/>
                </w:tcPr>
                <w:p w14:paraId="7E4295F5">
                  <w:pPr>
                    <w:spacing w:after="0"/>
                    <w:jc w:val="center"/>
                    <w:rPr>
                      <w:rFonts w:hint="default" w:ascii="Times New Roman" w:hAnsi="Times New Roman" w:eastAsia="仿宋" w:cs="Times New Roman"/>
                      <w:color w:val="auto"/>
                      <w:sz w:val="21"/>
                      <w:szCs w:val="21"/>
                    </w:rPr>
                  </w:pPr>
                </w:p>
              </w:tc>
              <w:tc>
                <w:tcPr>
                  <w:tcW w:w="808" w:type="pct"/>
                  <w:shd w:val="clear" w:color="auto" w:fill="auto"/>
                  <w:vAlign w:val="center"/>
                </w:tcPr>
                <w:p w14:paraId="5153F151">
                  <w:pPr>
                    <w:spacing w:after="0"/>
                    <w:jc w:val="center"/>
                    <w:rPr>
                      <w:rFonts w:hint="default" w:ascii="Times New Roman" w:hAnsi="Times New Roman" w:eastAsia="仿宋" w:cs="Times New Roman"/>
                      <w:bCs/>
                      <w:color w:val="auto"/>
                      <w:sz w:val="21"/>
                      <w:szCs w:val="21"/>
                      <w:lang w:val="en-US" w:eastAsia="zh-CN" w:bidi="ar-SA"/>
                    </w:rPr>
                  </w:pPr>
                  <w:r>
                    <w:rPr>
                      <w:rFonts w:hint="default" w:ascii="Times New Roman" w:hAnsi="Times New Roman" w:eastAsia="仿宋" w:cs="Times New Roman"/>
                      <w:bCs/>
                      <w:color w:val="auto"/>
                      <w:sz w:val="21"/>
                      <w:szCs w:val="21"/>
                      <w:lang w:val="en-US" w:eastAsia="zh-CN"/>
                    </w:rPr>
                    <w:t>铬</w:t>
                  </w:r>
                </w:p>
              </w:tc>
              <w:tc>
                <w:tcPr>
                  <w:tcW w:w="506" w:type="pct"/>
                  <w:shd w:val="clear" w:color="auto" w:fill="auto"/>
                  <w:vAlign w:val="center"/>
                </w:tcPr>
                <w:p w14:paraId="75615BF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26DA9BD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75B67549">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6" w:type="pct"/>
                  <w:shd w:val="clear" w:color="auto" w:fill="auto"/>
                  <w:vAlign w:val="center"/>
                </w:tcPr>
                <w:p w14:paraId="03ADF75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ND</w:t>
                  </w:r>
                </w:p>
              </w:tc>
              <w:tc>
                <w:tcPr>
                  <w:tcW w:w="508" w:type="pct"/>
                  <w:vAlign w:val="center"/>
                </w:tcPr>
                <w:p w14:paraId="3900C493">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ND</w:t>
                  </w:r>
                </w:p>
              </w:tc>
              <w:tc>
                <w:tcPr>
                  <w:tcW w:w="505" w:type="pct"/>
                  <w:shd w:val="clear" w:color="auto" w:fill="auto"/>
                  <w:vAlign w:val="center"/>
                </w:tcPr>
                <w:p w14:paraId="1E9B0B42">
                  <w:pPr>
                    <w:spacing w:after="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val="en-US" w:eastAsia="zh-CN"/>
                    </w:rPr>
                    <w:t>1.5</w:t>
                  </w:r>
                </w:p>
              </w:tc>
            </w:tr>
          </w:tbl>
          <w:p w14:paraId="37C3BC70">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经检测厂区污水总排口污水中pH值、化学需氧量、阴离子表面活性剂及石油类浓度均符合《电子工业水污染物排放标准》（GB 39731-2020）表1中电子元件间接排放标准，悬浮物、氨氮、总磷、总氮浓度均符合常州金坛区第二污水处理有限公司接管标准。单位产品（</w:t>
            </w:r>
            <w:r>
              <w:rPr>
                <w:rFonts w:hint="default" w:ascii="Times New Roman" w:hAnsi="Times New Roman" w:eastAsia="仿宋" w:cs="Times New Roman"/>
                <w:bCs/>
                <w:color w:val="auto"/>
                <w:sz w:val="24"/>
                <w:highlight w:val="none"/>
              </w:rPr>
              <w:t>片式元器件</w:t>
            </w:r>
            <w:r>
              <w:rPr>
                <w:rFonts w:hint="default" w:ascii="Times New Roman" w:hAnsi="Times New Roman" w:eastAsia="仿宋" w:cs="Times New Roman"/>
                <w:color w:val="auto"/>
                <w:kern w:val="2"/>
                <w:sz w:val="24"/>
                <w:szCs w:val="24"/>
                <w:lang w:val="en-US" w:eastAsia="zh-CN" w:bidi="ar-SA"/>
              </w:rPr>
              <w:t>）基准排水量为</w:t>
            </w:r>
            <w:r>
              <w:rPr>
                <w:rFonts w:hint="default" w:ascii="Times New Roman" w:hAnsi="Times New Roman" w:eastAsia="仿宋" w:cs="Times New Roman"/>
                <w:color w:val="auto"/>
                <w:kern w:val="2"/>
                <w:sz w:val="24"/>
                <w:szCs w:val="24"/>
                <w:highlight w:val="none"/>
                <w:lang w:val="en-US" w:eastAsia="zh-CN" w:bidi="ar-SA"/>
              </w:rPr>
              <w:t>0.104m</w:t>
            </w:r>
            <w:r>
              <w:rPr>
                <w:rFonts w:hint="default" w:ascii="Times New Roman" w:hAnsi="Times New Roman" w:eastAsia="仿宋" w:cs="Times New Roman"/>
                <w:color w:val="auto"/>
                <w:kern w:val="2"/>
                <w:sz w:val="24"/>
                <w:szCs w:val="24"/>
                <w:highlight w:val="none"/>
                <w:vertAlign w:val="superscript"/>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/万片</w:t>
            </w:r>
            <w:r>
              <w:rPr>
                <w:rFonts w:hint="default" w:ascii="Times New Roman" w:hAnsi="Times New Roman" w:eastAsia="仿宋" w:cs="Times New Roman"/>
                <w:color w:val="auto"/>
                <w:kern w:val="2"/>
                <w:sz w:val="24"/>
                <w:szCs w:val="24"/>
                <w:lang w:val="en-US" w:eastAsia="zh-CN" w:bidi="ar-SA"/>
              </w:rPr>
              <w:t>，满足《电子工业水污染物排放标准》（GB 39731-2020）表2其他电子元件基准排水量标准0.2m</w:t>
            </w:r>
            <w:r>
              <w:rPr>
                <w:rFonts w:hint="default" w:ascii="Times New Roman" w:hAnsi="Times New Roman" w:eastAsia="仿宋" w:cs="Times New Roman"/>
                <w:color w:val="auto"/>
                <w:kern w:val="2"/>
                <w:sz w:val="24"/>
                <w:szCs w:val="24"/>
                <w:vertAlign w:val="superscript"/>
                <w:lang w:val="en-US" w:eastAsia="zh-CN" w:bidi="ar-SA"/>
              </w:rPr>
              <w:t>3</w:t>
            </w:r>
            <w:r>
              <w:rPr>
                <w:rFonts w:hint="default" w:ascii="Times New Roman" w:hAnsi="Times New Roman" w:eastAsia="仿宋" w:cs="Times New Roman"/>
                <w:color w:val="auto"/>
                <w:kern w:val="2"/>
                <w:sz w:val="24"/>
                <w:szCs w:val="24"/>
                <w:lang w:val="en-US" w:eastAsia="zh-CN" w:bidi="ar-SA"/>
              </w:rPr>
              <w:t>/万。</w:t>
            </w:r>
          </w:p>
          <w:p w14:paraId="02F26B80">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厂内综合污水处理站排口污水中pH值、化学需氧量、阴离子表面活性剂、石油类、悬浮物、氨氮、总磷、总氮浓度均符合企业制定的回用水水质要求；厂内重金属污水处理站排口污水中pH值、悬浮物、化学需氧量、氨氮、镍、铜、铬浓度均符合企业制定的回用水水质要求。</w:t>
            </w:r>
          </w:p>
          <w:p w14:paraId="2274F10F">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（3）噪声</w:t>
            </w:r>
          </w:p>
          <w:p w14:paraId="47879B7E">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现有项目高噪声设备主要为真空泵、空压机、风机、冷却塔和氮气机组，采取合理布局、消声、减振、厂房隔声等措施降噪，各厂界环境噪声监测结果见下表。</w:t>
            </w:r>
          </w:p>
          <w:p w14:paraId="7C774BF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仿宋" w:cs="Times New Roman"/>
                <w:b/>
                <w:bCs/>
                <w:color w:val="auto"/>
                <w:sz w:val="24"/>
                <w:szCs w:val="24"/>
                <w:highlight w:val="none"/>
                <w:lang w:val="zh-CN"/>
              </w:rPr>
            </w:pPr>
            <w:r>
              <w:rPr>
                <w:rFonts w:hint="default" w:ascii="Times New Roman" w:hAnsi="Times New Roman" w:eastAsia="仿宋" w:cs="Times New Roman"/>
                <w:b/>
                <w:bCs/>
                <w:color w:val="auto"/>
                <w:sz w:val="24"/>
                <w:szCs w:val="24"/>
                <w:highlight w:val="none"/>
                <w:lang w:val="zh-CN"/>
              </w:rPr>
              <w:t>表</w:t>
            </w:r>
            <w:r>
              <w:rPr>
                <w:rFonts w:hint="default" w:ascii="Times New Roman" w:hAnsi="Times New Roman" w:eastAsia="仿宋" w:cs="Times New Roman"/>
                <w:b/>
                <w:bCs/>
                <w:color w:val="auto"/>
                <w:sz w:val="24"/>
                <w:szCs w:val="24"/>
                <w:highlight w:val="none"/>
                <w:lang w:val="en-US" w:eastAsia="zh-CN"/>
              </w:rPr>
              <w:t>2-13</w:t>
            </w:r>
            <w:r>
              <w:rPr>
                <w:rFonts w:hint="default" w:ascii="Times New Roman" w:hAnsi="Times New Roman" w:eastAsia="仿宋" w:cs="Times New Roman"/>
                <w:b/>
                <w:bCs/>
                <w:color w:val="auto"/>
                <w:sz w:val="24"/>
                <w:szCs w:val="24"/>
                <w:highlight w:val="none"/>
                <w:lang w:val="zh-CN"/>
              </w:rPr>
              <w:t xml:space="preserve">  噪声监测结果与评价一览表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352"/>
              <w:gridCol w:w="1107"/>
              <w:gridCol w:w="1109"/>
              <w:gridCol w:w="1220"/>
              <w:gridCol w:w="1221"/>
            </w:tblGrid>
            <w:tr w14:paraId="1A151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26" w:type="pct"/>
                  <w:vMerge w:val="restart"/>
                  <w:tcBorders>
                    <w:tl2br w:val="nil"/>
                    <w:tr2bl w:val="nil"/>
                  </w:tcBorders>
                  <w:vAlign w:val="center"/>
                </w:tcPr>
                <w:p w14:paraId="07AA0D4A">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监测时间</w:t>
                  </w:r>
                </w:p>
              </w:tc>
              <w:tc>
                <w:tcPr>
                  <w:tcW w:w="1400" w:type="pct"/>
                  <w:vMerge w:val="restart"/>
                  <w:tcBorders>
                    <w:tl2br w:val="nil"/>
                    <w:tr2bl w:val="nil"/>
                  </w:tcBorders>
                  <w:vAlign w:val="center"/>
                </w:tcPr>
                <w:p w14:paraId="21CC792C">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监测点位</w:t>
                  </w:r>
                </w:p>
              </w:tc>
              <w:tc>
                <w:tcPr>
                  <w:tcW w:w="1319" w:type="pct"/>
                  <w:gridSpan w:val="2"/>
                  <w:tcBorders>
                    <w:tl2br w:val="nil"/>
                    <w:tr2bl w:val="nil"/>
                  </w:tcBorders>
                  <w:vAlign w:val="center"/>
                </w:tcPr>
                <w:p w14:paraId="3C5143AF">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噪声检测值dB（A）</w:t>
                  </w:r>
                </w:p>
              </w:tc>
              <w:tc>
                <w:tcPr>
                  <w:tcW w:w="1453" w:type="pct"/>
                  <w:gridSpan w:val="2"/>
                  <w:tcBorders>
                    <w:tl2br w:val="nil"/>
                    <w:tr2bl w:val="nil"/>
                  </w:tcBorders>
                  <w:vAlign w:val="center"/>
                </w:tcPr>
                <w:p w14:paraId="149E5AFB">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标准值dB（A）</w:t>
                  </w:r>
                </w:p>
              </w:tc>
            </w:tr>
            <w:tr w14:paraId="498E3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826" w:type="pct"/>
                  <w:vMerge w:val="continue"/>
                  <w:tcBorders>
                    <w:tl2br w:val="nil"/>
                    <w:tr2bl w:val="nil"/>
                  </w:tcBorders>
                  <w:vAlign w:val="center"/>
                </w:tcPr>
                <w:p w14:paraId="353326A0">
                  <w:pPr>
                    <w:spacing w:after="0"/>
                    <w:jc w:val="center"/>
                    <w:rPr>
                      <w:rFonts w:hint="default" w:ascii="Times New Roman" w:hAnsi="Times New Roman" w:eastAsia="仿宋" w:cs="Times New Roman"/>
                      <w:b/>
                      <w:color w:val="auto"/>
                      <w:sz w:val="21"/>
                      <w:szCs w:val="21"/>
                    </w:rPr>
                  </w:pPr>
                </w:p>
              </w:tc>
              <w:tc>
                <w:tcPr>
                  <w:tcW w:w="1400" w:type="pct"/>
                  <w:vMerge w:val="continue"/>
                  <w:tcBorders>
                    <w:tl2br w:val="nil"/>
                    <w:tr2bl w:val="nil"/>
                  </w:tcBorders>
                  <w:vAlign w:val="center"/>
                </w:tcPr>
                <w:p w14:paraId="065D95E8">
                  <w:pPr>
                    <w:spacing w:after="0"/>
                    <w:jc w:val="center"/>
                    <w:rPr>
                      <w:rFonts w:hint="default" w:ascii="Times New Roman" w:hAnsi="Times New Roman" w:eastAsia="仿宋" w:cs="Times New Roman"/>
                      <w:b/>
                      <w:color w:val="auto"/>
                      <w:sz w:val="21"/>
                      <w:szCs w:val="21"/>
                    </w:rPr>
                  </w:pPr>
                </w:p>
              </w:tc>
              <w:tc>
                <w:tcPr>
                  <w:tcW w:w="659" w:type="pct"/>
                  <w:tcBorders>
                    <w:tl2br w:val="nil"/>
                    <w:tr2bl w:val="nil"/>
                  </w:tcBorders>
                  <w:vAlign w:val="center"/>
                </w:tcPr>
                <w:p w14:paraId="4F4C8739">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昼间</w:t>
                  </w:r>
                </w:p>
              </w:tc>
              <w:tc>
                <w:tcPr>
                  <w:tcW w:w="660" w:type="pct"/>
                  <w:tcBorders>
                    <w:tl2br w:val="nil"/>
                    <w:tr2bl w:val="nil"/>
                  </w:tcBorders>
                  <w:vAlign w:val="center"/>
                </w:tcPr>
                <w:p w14:paraId="45EC7A69">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夜间</w:t>
                  </w:r>
                </w:p>
              </w:tc>
              <w:tc>
                <w:tcPr>
                  <w:tcW w:w="726" w:type="pct"/>
                  <w:tcBorders>
                    <w:tl2br w:val="nil"/>
                    <w:tr2bl w:val="nil"/>
                  </w:tcBorders>
                  <w:vAlign w:val="center"/>
                </w:tcPr>
                <w:p w14:paraId="1C20ECC8">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昼间</w:t>
                  </w:r>
                </w:p>
              </w:tc>
              <w:tc>
                <w:tcPr>
                  <w:tcW w:w="726" w:type="pct"/>
                  <w:tcBorders>
                    <w:tl2br w:val="nil"/>
                    <w:tr2bl w:val="nil"/>
                  </w:tcBorders>
                  <w:vAlign w:val="center"/>
                </w:tcPr>
                <w:p w14:paraId="362877F1">
                  <w:pPr>
                    <w:widowControl w:val="0"/>
                    <w:spacing w:after="0"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夜间</w:t>
                  </w:r>
                </w:p>
              </w:tc>
            </w:tr>
            <w:tr w14:paraId="02553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restart"/>
                  <w:tcBorders>
                    <w:tl2br w:val="nil"/>
                    <w:tr2bl w:val="nil"/>
                  </w:tcBorders>
                  <w:vAlign w:val="center"/>
                </w:tcPr>
                <w:p w14:paraId="6FD6B07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2025.9.5</w:t>
                  </w:r>
                </w:p>
              </w:tc>
              <w:tc>
                <w:tcPr>
                  <w:tcW w:w="1400" w:type="pct"/>
                  <w:tcBorders>
                    <w:tl2br w:val="nil"/>
                    <w:tr2bl w:val="nil"/>
                  </w:tcBorders>
                  <w:vAlign w:val="center"/>
                </w:tcPr>
                <w:p w14:paraId="1A3DEF0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N1东厂界外1米处</w:t>
                  </w:r>
                </w:p>
              </w:tc>
              <w:tc>
                <w:tcPr>
                  <w:tcW w:w="659" w:type="pct"/>
                  <w:tcBorders>
                    <w:tl2br w:val="nil"/>
                    <w:tr2bl w:val="nil"/>
                  </w:tcBorders>
                  <w:vAlign w:val="center"/>
                </w:tcPr>
                <w:p w14:paraId="5508836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57</w:t>
                  </w:r>
                </w:p>
              </w:tc>
              <w:tc>
                <w:tcPr>
                  <w:tcW w:w="660" w:type="pct"/>
                  <w:tcBorders>
                    <w:tl2br w:val="nil"/>
                    <w:tr2bl w:val="nil"/>
                  </w:tcBorders>
                  <w:vAlign w:val="center"/>
                </w:tcPr>
                <w:p w14:paraId="42A5599C">
                  <w:pPr>
                    <w:spacing w:after="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5</w:t>
                  </w:r>
                  <w:r>
                    <w:rPr>
                      <w:rFonts w:hint="default" w:ascii="Times New Roman" w:hAnsi="Times New Roman" w:eastAsia="仿宋" w:cs="Times New Roman"/>
                      <w:color w:val="auto"/>
                      <w:sz w:val="21"/>
                      <w:szCs w:val="21"/>
                      <w:lang w:val="en-US" w:eastAsia="zh-CN"/>
                    </w:rPr>
                    <w:t>3</w:t>
                  </w:r>
                </w:p>
              </w:tc>
              <w:tc>
                <w:tcPr>
                  <w:tcW w:w="726" w:type="pct"/>
                  <w:tcBorders>
                    <w:tl2br w:val="nil"/>
                    <w:tr2bl w:val="nil"/>
                  </w:tcBorders>
                  <w:vAlign w:val="center"/>
                </w:tcPr>
                <w:p w14:paraId="5C6B9E0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279B0D2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432D6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19332880">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5AA5633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N2南厂界外1米处</w:t>
                  </w:r>
                </w:p>
              </w:tc>
              <w:tc>
                <w:tcPr>
                  <w:tcW w:w="659" w:type="pct"/>
                  <w:tcBorders>
                    <w:tl2br w:val="nil"/>
                    <w:tr2bl w:val="nil"/>
                  </w:tcBorders>
                  <w:vAlign w:val="center"/>
                </w:tcPr>
                <w:p w14:paraId="15DCD02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53</w:t>
                  </w:r>
                </w:p>
              </w:tc>
              <w:tc>
                <w:tcPr>
                  <w:tcW w:w="660" w:type="pct"/>
                  <w:tcBorders>
                    <w:tl2br w:val="nil"/>
                    <w:tr2bl w:val="nil"/>
                  </w:tcBorders>
                  <w:vAlign w:val="center"/>
                </w:tcPr>
                <w:p w14:paraId="5329924D">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49</w:t>
                  </w:r>
                </w:p>
              </w:tc>
              <w:tc>
                <w:tcPr>
                  <w:tcW w:w="726" w:type="pct"/>
                  <w:tcBorders>
                    <w:tl2br w:val="nil"/>
                    <w:tr2bl w:val="nil"/>
                  </w:tcBorders>
                  <w:vAlign w:val="center"/>
                </w:tcPr>
                <w:p w14:paraId="7CDE67A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7B3BE0D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1C484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404E301C">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1298892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N3西厂界外1米处</w:t>
                  </w:r>
                </w:p>
              </w:tc>
              <w:tc>
                <w:tcPr>
                  <w:tcW w:w="659" w:type="pct"/>
                  <w:tcBorders>
                    <w:tl2br w:val="nil"/>
                    <w:tr2bl w:val="nil"/>
                  </w:tcBorders>
                  <w:vAlign w:val="center"/>
                </w:tcPr>
                <w:p w14:paraId="00D15A22">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c>
                <w:tcPr>
                  <w:tcW w:w="660" w:type="pct"/>
                  <w:tcBorders>
                    <w:tl2br w:val="nil"/>
                    <w:tr2bl w:val="nil"/>
                  </w:tcBorders>
                  <w:vAlign w:val="center"/>
                </w:tcPr>
                <w:p w14:paraId="7A7B8518">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49</w:t>
                  </w:r>
                </w:p>
              </w:tc>
              <w:tc>
                <w:tcPr>
                  <w:tcW w:w="726" w:type="pct"/>
                  <w:tcBorders>
                    <w:tl2br w:val="nil"/>
                    <w:tr2bl w:val="nil"/>
                  </w:tcBorders>
                  <w:vAlign w:val="center"/>
                </w:tcPr>
                <w:p w14:paraId="6FADD32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7A8A0755">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74726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1ADCEC92">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286C556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N4北厂界外1米处</w:t>
                  </w:r>
                </w:p>
              </w:tc>
              <w:tc>
                <w:tcPr>
                  <w:tcW w:w="659" w:type="pct"/>
                  <w:tcBorders>
                    <w:tl2br w:val="nil"/>
                    <w:tr2bl w:val="nil"/>
                  </w:tcBorders>
                  <w:vAlign w:val="center"/>
                </w:tcPr>
                <w:p w14:paraId="5F14813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57</w:t>
                  </w:r>
                </w:p>
              </w:tc>
              <w:tc>
                <w:tcPr>
                  <w:tcW w:w="660" w:type="pct"/>
                  <w:tcBorders>
                    <w:tl2br w:val="nil"/>
                    <w:tr2bl w:val="nil"/>
                  </w:tcBorders>
                  <w:vAlign w:val="center"/>
                </w:tcPr>
                <w:p w14:paraId="30AE1B69">
                  <w:pPr>
                    <w:spacing w:after="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5</w:t>
                  </w:r>
                  <w:r>
                    <w:rPr>
                      <w:rFonts w:hint="default" w:ascii="Times New Roman" w:hAnsi="Times New Roman" w:eastAsia="仿宋" w:cs="Times New Roman"/>
                      <w:color w:val="auto"/>
                      <w:sz w:val="21"/>
                      <w:szCs w:val="21"/>
                      <w:lang w:val="en-US" w:eastAsia="zh-CN"/>
                    </w:rPr>
                    <w:t>1</w:t>
                  </w:r>
                </w:p>
              </w:tc>
              <w:tc>
                <w:tcPr>
                  <w:tcW w:w="726" w:type="pct"/>
                  <w:tcBorders>
                    <w:tl2br w:val="nil"/>
                    <w:tr2bl w:val="nil"/>
                  </w:tcBorders>
                  <w:vAlign w:val="center"/>
                </w:tcPr>
                <w:p w14:paraId="225E4B5C">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167DD573">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5B289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restart"/>
                  <w:tcBorders>
                    <w:tl2br w:val="nil"/>
                    <w:tr2bl w:val="nil"/>
                  </w:tcBorders>
                  <w:vAlign w:val="center"/>
                </w:tcPr>
                <w:p w14:paraId="64AAEF2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2025.9.6</w:t>
                  </w:r>
                </w:p>
              </w:tc>
              <w:tc>
                <w:tcPr>
                  <w:tcW w:w="1400" w:type="pct"/>
                  <w:tcBorders>
                    <w:tl2br w:val="nil"/>
                    <w:tr2bl w:val="nil"/>
                  </w:tcBorders>
                  <w:vAlign w:val="center"/>
                </w:tcPr>
                <w:p w14:paraId="0CA66C6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N1东厂界外1米处</w:t>
                  </w:r>
                </w:p>
              </w:tc>
              <w:tc>
                <w:tcPr>
                  <w:tcW w:w="659" w:type="pct"/>
                  <w:tcBorders>
                    <w:tl2br w:val="nil"/>
                    <w:tr2bl w:val="nil"/>
                  </w:tcBorders>
                  <w:vAlign w:val="center"/>
                </w:tcPr>
                <w:p w14:paraId="6798E00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56</w:t>
                  </w:r>
                </w:p>
              </w:tc>
              <w:tc>
                <w:tcPr>
                  <w:tcW w:w="660" w:type="pct"/>
                  <w:tcBorders>
                    <w:tl2br w:val="nil"/>
                    <w:tr2bl w:val="nil"/>
                  </w:tcBorders>
                  <w:vAlign w:val="center"/>
                </w:tcPr>
                <w:p w14:paraId="6ED7C3CF">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49</w:t>
                  </w:r>
                </w:p>
              </w:tc>
              <w:tc>
                <w:tcPr>
                  <w:tcW w:w="726" w:type="pct"/>
                  <w:tcBorders>
                    <w:tl2br w:val="nil"/>
                    <w:tr2bl w:val="nil"/>
                  </w:tcBorders>
                  <w:vAlign w:val="center"/>
                </w:tcPr>
                <w:p w14:paraId="667FD6C8">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515F96C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58B23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40668268">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37A5971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N2南厂界外1米处</w:t>
                  </w:r>
                </w:p>
              </w:tc>
              <w:tc>
                <w:tcPr>
                  <w:tcW w:w="659" w:type="pct"/>
                  <w:tcBorders>
                    <w:tl2br w:val="nil"/>
                    <w:tr2bl w:val="nil"/>
                  </w:tcBorders>
                  <w:vAlign w:val="center"/>
                </w:tcPr>
                <w:p w14:paraId="66A30A60">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59</w:t>
                  </w:r>
                </w:p>
              </w:tc>
              <w:tc>
                <w:tcPr>
                  <w:tcW w:w="660" w:type="pct"/>
                  <w:tcBorders>
                    <w:tl2br w:val="nil"/>
                    <w:tr2bl w:val="nil"/>
                  </w:tcBorders>
                  <w:vAlign w:val="center"/>
                </w:tcPr>
                <w:p w14:paraId="17D1F2B9">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49</w:t>
                  </w:r>
                </w:p>
              </w:tc>
              <w:tc>
                <w:tcPr>
                  <w:tcW w:w="726" w:type="pct"/>
                  <w:tcBorders>
                    <w:tl2br w:val="nil"/>
                    <w:tr2bl w:val="nil"/>
                  </w:tcBorders>
                  <w:vAlign w:val="center"/>
                </w:tcPr>
                <w:p w14:paraId="6C59619F">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3C02F65D">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369B9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4767629F">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643F5071">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N3西厂界外1米处</w:t>
                  </w:r>
                </w:p>
              </w:tc>
              <w:tc>
                <w:tcPr>
                  <w:tcW w:w="659" w:type="pct"/>
                  <w:tcBorders>
                    <w:tl2br w:val="nil"/>
                    <w:tr2bl w:val="nil"/>
                  </w:tcBorders>
                  <w:vAlign w:val="center"/>
                </w:tcPr>
                <w:p w14:paraId="6BFDE15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57</w:t>
                  </w:r>
                </w:p>
              </w:tc>
              <w:tc>
                <w:tcPr>
                  <w:tcW w:w="660" w:type="pct"/>
                  <w:tcBorders>
                    <w:tl2br w:val="nil"/>
                    <w:tr2bl w:val="nil"/>
                  </w:tcBorders>
                  <w:vAlign w:val="center"/>
                </w:tcPr>
                <w:p w14:paraId="05BB45E4">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52</w:t>
                  </w:r>
                </w:p>
              </w:tc>
              <w:tc>
                <w:tcPr>
                  <w:tcW w:w="726" w:type="pct"/>
                  <w:tcBorders>
                    <w:tl2br w:val="nil"/>
                    <w:tr2bl w:val="nil"/>
                  </w:tcBorders>
                  <w:vAlign w:val="center"/>
                </w:tcPr>
                <w:p w14:paraId="7C74E99B">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2C32DED7">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r w14:paraId="614C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pct"/>
                  <w:vMerge w:val="continue"/>
                  <w:tcBorders>
                    <w:tl2br w:val="nil"/>
                    <w:tr2bl w:val="nil"/>
                  </w:tcBorders>
                  <w:vAlign w:val="center"/>
                </w:tcPr>
                <w:p w14:paraId="0A12C875">
                  <w:pPr>
                    <w:spacing w:after="0"/>
                    <w:jc w:val="center"/>
                    <w:rPr>
                      <w:rFonts w:hint="default" w:ascii="Times New Roman" w:hAnsi="Times New Roman" w:eastAsia="仿宋" w:cs="Times New Roman"/>
                      <w:color w:val="auto"/>
                      <w:sz w:val="21"/>
                      <w:szCs w:val="21"/>
                    </w:rPr>
                  </w:pPr>
                </w:p>
              </w:tc>
              <w:tc>
                <w:tcPr>
                  <w:tcW w:w="1400" w:type="pct"/>
                  <w:tcBorders>
                    <w:tl2br w:val="nil"/>
                    <w:tr2bl w:val="nil"/>
                  </w:tcBorders>
                  <w:vAlign w:val="center"/>
                </w:tcPr>
                <w:p w14:paraId="0DA0F31E">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N4北厂界外1米处</w:t>
                  </w:r>
                </w:p>
              </w:tc>
              <w:tc>
                <w:tcPr>
                  <w:tcW w:w="659" w:type="pct"/>
                  <w:tcBorders>
                    <w:tl2br w:val="nil"/>
                    <w:tr2bl w:val="nil"/>
                  </w:tcBorders>
                  <w:vAlign w:val="center"/>
                </w:tcPr>
                <w:p w14:paraId="729B8BBB">
                  <w:pPr>
                    <w:spacing w:after="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59</w:t>
                  </w:r>
                </w:p>
              </w:tc>
              <w:tc>
                <w:tcPr>
                  <w:tcW w:w="660" w:type="pct"/>
                  <w:tcBorders>
                    <w:tl2br w:val="nil"/>
                    <w:tr2bl w:val="nil"/>
                  </w:tcBorders>
                  <w:vAlign w:val="center"/>
                </w:tcPr>
                <w:p w14:paraId="544C69DC">
                  <w:pPr>
                    <w:spacing w:after="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5</w:t>
                  </w:r>
                  <w:r>
                    <w:rPr>
                      <w:rFonts w:hint="default" w:ascii="Times New Roman" w:hAnsi="Times New Roman" w:eastAsia="仿宋" w:cs="Times New Roman"/>
                      <w:color w:val="auto"/>
                      <w:sz w:val="21"/>
                      <w:szCs w:val="21"/>
                      <w:lang w:val="en-US" w:eastAsia="zh-CN"/>
                    </w:rPr>
                    <w:t>2</w:t>
                  </w:r>
                </w:p>
              </w:tc>
              <w:tc>
                <w:tcPr>
                  <w:tcW w:w="726" w:type="pct"/>
                  <w:tcBorders>
                    <w:tl2br w:val="nil"/>
                    <w:tr2bl w:val="nil"/>
                  </w:tcBorders>
                  <w:vAlign w:val="center"/>
                </w:tcPr>
                <w:p w14:paraId="1286108A">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726" w:type="pct"/>
                  <w:tcBorders>
                    <w:tl2br w:val="nil"/>
                    <w:tr2bl w:val="nil"/>
                  </w:tcBorders>
                  <w:vAlign w:val="center"/>
                </w:tcPr>
                <w:p w14:paraId="3C353C06">
                  <w:pPr>
                    <w:spacing w:after="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55</w:t>
                  </w:r>
                </w:p>
              </w:tc>
            </w:tr>
          </w:tbl>
          <w:p w14:paraId="677E5D56">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经检测各厂界昼、夜间噪声排放满足《工业企业厂界环境噪声排放标准》（GB12348-2008）中3类标准限值。</w:t>
            </w:r>
          </w:p>
          <w:p w14:paraId="64E2523C">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（4）固废</w:t>
            </w:r>
          </w:p>
          <w:p w14:paraId="672A597A">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bookmarkStart w:id="15" w:name="_Hlk27489780"/>
            <w:r>
              <w:rPr>
                <w:rFonts w:hint="eastAsia" w:eastAsia="仿宋" w:cs="Times New Roman"/>
                <w:color w:val="auto"/>
                <w:kern w:val="2"/>
                <w:sz w:val="24"/>
                <w:szCs w:val="24"/>
                <w:lang w:val="en-US" w:eastAsia="zh-CN" w:bidi="ar-SA"/>
              </w:rPr>
              <w:t>目前</w:t>
            </w:r>
            <w:r>
              <w:rPr>
                <w:rFonts w:hint="default" w:ascii="Times New Roman" w:hAnsi="Times New Roman" w:eastAsia="仿宋" w:cs="Times New Roman"/>
                <w:color w:val="auto"/>
                <w:kern w:val="2"/>
                <w:sz w:val="24"/>
                <w:szCs w:val="24"/>
                <w:lang w:val="en-US" w:eastAsia="zh-CN" w:bidi="ar-SA"/>
              </w:rPr>
              <w:t>现有项目</w:t>
            </w:r>
            <w:bookmarkEnd w:id="15"/>
            <w:r>
              <w:rPr>
                <w:rFonts w:hint="default" w:ascii="Times New Roman" w:hAnsi="Times New Roman" w:eastAsia="仿宋" w:cs="Times New Roman"/>
                <w:color w:val="auto"/>
                <w:kern w:val="2"/>
                <w:sz w:val="24"/>
                <w:szCs w:val="24"/>
                <w:lang w:val="en-US" w:eastAsia="zh-CN" w:bidi="ar-SA"/>
              </w:rPr>
              <w:t>一般工业固体废物</w:t>
            </w:r>
            <w:bookmarkStart w:id="16" w:name="_Hlk186445893"/>
            <w:r>
              <w:rPr>
                <w:rFonts w:hint="default" w:ascii="Times New Roman" w:hAnsi="Times New Roman" w:eastAsia="仿宋" w:cs="Times New Roman"/>
                <w:color w:val="auto"/>
                <w:kern w:val="2"/>
                <w:sz w:val="24"/>
                <w:szCs w:val="24"/>
                <w:lang w:val="en-US" w:eastAsia="zh-CN" w:bidi="ar-SA"/>
              </w:rPr>
              <w:t>2#、3#反渗透系统废过滤杂质外售综合利用；危险废物预清洗废液、废真空油、酸洗废液、沾染清洗剂废抹布、废包装物、废过滤棉、废活性炭、废油、含油抹布手套、喷淋废液、污泥、蒸发残液、1#反渗透系统废过滤杂质，委托有资质单位进行安全、无害化处置</w:t>
            </w:r>
            <w:bookmarkEnd w:id="16"/>
            <w:r>
              <w:rPr>
                <w:rFonts w:hint="default" w:ascii="Times New Roman" w:hAnsi="Times New Roman" w:eastAsia="仿宋" w:cs="Times New Roman"/>
                <w:color w:val="auto"/>
                <w:kern w:val="2"/>
                <w:sz w:val="24"/>
                <w:szCs w:val="24"/>
                <w:lang w:val="en-US" w:eastAsia="zh-CN" w:bidi="ar-SA"/>
              </w:rPr>
              <w:t>；生活垃圾由环卫部门清运。</w:t>
            </w:r>
          </w:p>
          <w:p w14:paraId="336DDE9D">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厂区已设1个面积10m</w:t>
            </w:r>
            <w:r>
              <w:rPr>
                <w:rFonts w:hint="default" w:ascii="Times New Roman" w:hAnsi="Times New Roman" w:eastAsia="仿宋" w:cs="Times New Roman"/>
                <w:color w:val="auto"/>
                <w:kern w:val="2"/>
                <w:sz w:val="24"/>
                <w:szCs w:val="24"/>
                <w:vertAlign w:val="superscript"/>
                <w:lang w:val="en-US" w:eastAsia="zh-CN" w:bidi="ar-SA"/>
              </w:rPr>
              <w:t>2</w:t>
            </w:r>
            <w:r>
              <w:rPr>
                <w:rFonts w:hint="default" w:ascii="Times New Roman" w:hAnsi="Times New Roman" w:eastAsia="仿宋" w:cs="Times New Roman"/>
                <w:color w:val="auto"/>
                <w:kern w:val="2"/>
                <w:sz w:val="24"/>
                <w:szCs w:val="24"/>
                <w:lang w:val="en-US" w:eastAsia="zh-CN" w:bidi="ar-SA"/>
              </w:rPr>
              <w:t>的一般固废仓库，满足</w:t>
            </w:r>
            <w:r>
              <w:rPr>
                <w:rFonts w:hint="default" w:ascii="Times New Roman" w:hAnsi="Times New Roman" w:eastAsia="仿宋" w:cs="Times New Roman"/>
                <w:bCs/>
                <w:color w:val="auto"/>
                <w:sz w:val="24"/>
              </w:rPr>
              <w:t>《一般工业固体废物贮存和填埋污染控制标准》（GB18599-2020）、《省生态环境厅关于进一步完善</w:t>
            </w:r>
            <w:r>
              <w:rPr>
                <w:rFonts w:hint="default" w:ascii="Times New Roman" w:hAnsi="Times New Roman" w:eastAsia="仿宋" w:cs="Times New Roman"/>
                <w:bCs/>
                <w:color w:val="auto"/>
                <w:sz w:val="24"/>
                <w:lang w:val="en-US" w:eastAsia="zh-CN"/>
              </w:rPr>
              <w:t>一</w:t>
            </w:r>
            <w:r>
              <w:rPr>
                <w:rFonts w:hint="default" w:ascii="Times New Roman" w:hAnsi="Times New Roman" w:eastAsia="仿宋" w:cs="Times New Roman"/>
                <w:bCs/>
                <w:color w:val="auto"/>
                <w:sz w:val="24"/>
              </w:rPr>
              <w:t>般工业固体废物环境管理的通知》（苏环办〔2023〕327号）等标准</w:t>
            </w:r>
            <w:r>
              <w:rPr>
                <w:rFonts w:hint="default" w:ascii="Times New Roman" w:hAnsi="Times New Roman" w:eastAsia="仿宋" w:cs="Times New Roman"/>
                <w:color w:val="auto"/>
                <w:kern w:val="2"/>
                <w:sz w:val="24"/>
                <w:szCs w:val="24"/>
                <w:lang w:val="en-US" w:eastAsia="zh-CN" w:bidi="ar-SA"/>
              </w:rPr>
              <w:t>；已设1个面积30m</w:t>
            </w:r>
            <w:r>
              <w:rPr>
                <w:rFonts w:hint="default" w:ascii="Times New Roman" w:hAnsi="Times New Roman" w:eastAsia="仿宋" w:cs="Times New Roman"/>
                <w:color w:val="auto"/>
                <w:kern w:val="2"/>
                <w:sz w:val="24"/>
                <w:szCs w:val="24"/>
                <w:vertAlign w:val="superscript"/>
                <w:lang w:val="en-US" w:eastAsia="zh-CN" w:bidi="ar-SA"/>
              </w:rPr>
              <w:t>2</w:t>
            </w:r>
            <w:r>
              <w:rPr>
                <w:rFonts w:hint="default" w:ascii="Times New Roman" w:hAnsi="Times New Roman" w:eastAsia="仿宋" w:cs="Times New Roman"/>
                <w:color w:val="auto"/>
                <w:kern w:val="2"/>
                <w:sz w:val="24"/>
                <w:szCs w:val="24"/>
                <w:lang w:val="en-US" w:eastAsia="zh-CN" w:bidi="ar-SA"/>
              </w:rPr>
              <w:t>的危废仓库，满足</w:t>
            </w:r>
            <w:r>
              <w:rPr>
                <w:rFonts w:hint="default" w:ascii="Times New Roman" w:hAnsi="Times New Roman" w:eastAsia="仿宋" w:cs="Times New Roman"/>
                <w:bCs/>
                <w:color w:val="auto"/>
                <w:sz w:val="24"/>
              </w:rPr>
              <w:t>《危险废物识别标志设置技术规范》（HJ1276-2022）、《危险废物贮存污染控制标准》（GB18597-2023）、省生态环境厅关于印发《江苏省固体废物全过程环境监管工作意见》的通知（苏环办〔2024〕16号）等相关文件</w:t>
            </w:r>
            <w:r>
              <w:rPr>
                <w:rFonts w:hint="default" w:ascii="Times New Roman" w:hAnsi="Times New Roman" w:eastAsia="仿宋" w:cs="Times New Roman"/>
                <w:color w:val="auto"/>
                <w:kern w:val="2"/>
                <w:sz w:val="24"/>
                <w:szCs w:val="24"/>
                <w:lang w:val="en-US" w:eastAsia="zh-CN" w:bidi="ar-SA"/>
              </w:rPr>
              <w:t>要求。</w:t>
            </w:r>
          </w:p>
          <w:p w14:paraId="5602CED5">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5、现有项目污染物排放总量</w:t>
            </w:r>
          </w:p>
          <w:p w14:paraId="14AD6509">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kern w:val="2"/>
                <w:sz w:val="24"/>
                <w:szCs w:val="24"/>
                <w:highlight w:val="none"/>
                <w:lang w:val="en-US" w:eastAsia="zh-CN" w:bidi="ar-SA"/>
              </w:rPr>
              <w:t>根据现有环评、批复及验收材料</w:t>
            </w:r>
            <w:r>
              <w:rPr>
                <w:rFonts w:hint="default" w:ascii="Times New Roman" w:hAnsi="Times New Roman" w:eastAsia="仿宋" w:cs="Times New Roman"/>
                <w:color w:val="auto"/>
                <w:sz w:val="24"/>
                <w:lang w:val="en-US" w:eastAsia="zh-CN"/>
              </w:rPr>
              <w:t>，</w:t>
            </w:r>
            <w:r>
              <w:rPr>
                <w:rFonts w:hint="default" w:ascii="Times New Roman" w:hAnsi="Times New Roman" w:eastAsia="仿宋" w:cs="Times New Roman"/>
                <w:color w:val="auto"/>
                <w:sz w:val="24"/>
              </w:rPr>
              <w:t>现有项目污染物排放总量见</w:t>
            </w:r>
            <w:r>
              <w:rPr>
                <w:rFonts w:hint="default" w:ascii="Times New Roman" w:hAnsi="Times New Roman" w:eastAsia="仿宋" w:cs="Times New Roman"/>
                <w:color w:val="auto"/>
                <w:sz w:val="24"/>
                <w:lang w:val="en-US" w:eastAsia="zh-CN"/>
              </w:rPr>
              <w:t>下表</w:t>
            </w:r>
            <w:r>
              <w:rPr>
                <w:rFonts w:hint="default" w:ascii="Times New Roman" w:hAnsi="Times New Roman" w:eastAsia="仿宋" w:cs="Times New Roman"/>
                <w:color w:val="auto"/>
                <w:sz w:val="24"/>
              </w:rPr>
              <w:t>。</w:t>
            </w:r>
          </w:p>
          <w:p w14:paraId="57D66CB7">
            <w:pPr>
              <w:widowControl/>
              <w:ind w:right="962" w:firstLine="482" w:firstLineChars="200"/>
              <w:jc w:val="righ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14</w:t>
            </w:r>
            <w:r>
              <w:rPr>
                <w:rFonts w:hint="default" w:ascii="Times New Roman" w:hAnsi="Times New Roman" w:eastAsia="仿宋" w:cs="Times New Roman"/>
                <w:b/>
                <w:bCs/>
                <w:color w:val="auto"/>
                <w:sz w:val="24"/>
              </w:rPr>
              <w:t xml:space="preserve">  现有项目总量控制指标表       单位：t/a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6"/>
              <w:gridCol w:w="899"/>
              <w:gridCol w:w="2946"/>
              <w:gridCol w:w="1866"/>
              <w:gridCol w:w="1866"/>
            </w:tblGrid>
            <w:tr w14:paraId="0C656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Align w:val="center"/>
                </w:tcPr>
                <w:p w14:paraId="7C493C39">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类别</w:t>
                  </w:r>
                </w:p>
              </w:tc>
              <w:tc>
                <w:tcPr>
                  <w:tcW w:w="2289" w:type="pct"/>
                  <w:gridSpan w:val="2"/>
                  <w:vAlign w:val="center"/>
                </w:tcPr>
                <w:p w14:paraId="1E851CCA">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111" w:type="pct"/>
                  <w:vAlign w:val="center"/>
                </w:tcPr>
                <w:p w14:paraId="203D0A10">
                  <w:pPr>
                    <w:widowControl/>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批复量</w:t>
                  </w:r>
                </w:p>
              </w:tc>
              <w:tc>
                <w:tcPr>
                  <w:tcW w:w="1111" w:type="pct"/>
                  <w:vAlign w:val="center"/>
                </w:tcPr>
                <w:p w14:paraId="6498826B">
                  <w:pPr>
                    <w:widowControl/>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验收监测核算总量</w:t>
                  </w:r>
                </w:p>
              </w:tc>
            </w:tr>
            <w:tr w14:paraId="73BC9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restart"/>
                  <w:vAlign w:val="center"/>
                </w:tcPr>
                <w:p w14:paraId="50338187">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废气</w:t>
                  </w:r>
                </w:p>
              </w:tc>
              <w:tc>
                <w:tcPr>
                  <w:tcW w:w="535" w:type="pct"/>
                  <w:vMerge w:val="restart"/>
                  <w:vAlign w:val="center"/>
                </w:tcPr>
                <w:p w14:paraId="6C3769B3">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color w:val="auto"/>
                      <w:szCs w:val="21"/>
                    </w:rPr>
                    <w:t>有组织</w:t>
                  </w:r>
                </w:p>
              </w:tc>
              <w:tc>
                <w:tcPr>
                  <w:tcW w:w="1753" w:type="pct"/>
                  <w:vAlign w:val="center"/>
                </w:tcPr>
                <w:p w14:paraId="25CCFEA8">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VOCs（以非甲烷总烃计）</w:t>
                  </w:r>
                </w:p>
              </w:tc>
              <w:tc>
                <w:tcPr>
                  <w:tcW w:w="1111" w:type="pct"/>
                  <w:vAlign w:val="center"/>
                </w:tcPr>
                <w:p w14:paraId="7134560B">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0.743</w:t>
                  </w:r>
                </w:p>
              </w:tc>
              <w:tc>
                <w:tcPr>
                  <w:tcW w:w="1111" w:type="pct"/>
                  <w:vAlign w:val="center"/>
                </w:tcPr>
                <w:p w14:paraId="05D79B8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0.0355</w:t>
                  </w:r>
                </w:p>
              </w:tc>
            </w:tr>
            <w:tr w14:paraId="7794B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2B9C07BF">
                  <w:pPr>
                    <w:widowControl/>
                    <w:jc w:val="center"/>
                    <w:rPr>
                      <w:rFonts w:hint="default" w:ascii="Times New Roman" w:hAnsi="Times New Roman" w:eastAsia="仿宋" w:cs="Times New Roman"/>
                      <w:color w:val="auto"/>
                      <w:szCs w:val="21"/>
                    </w:rPr>
                  </w:pPr>
                </w:p>
              </w:tc>
              <w:tc>
                <w:tcPr>
                  <w:tcW w:w="535" w:type="pct"/>
                  <w:vMerge w:val="continue"/>
                  <w:vAlign w:val="center"/>
                </w:tcPr>
                <w:p w14:paraId="2D892D60">
                  <w:pPr>
                    <w:widowControl/>
                    <w:jc w:val="center"/>
                    <w:rPr>
                      <w:rFonts w:hint="default" w:ascii="Times New Roman" w:hAnsi="Times New Roman" w:eastAsia="仿宋" w:cs="Times New Roman"/>
                      <w:color w:val="auto"/>
                      <w:szCs w:val="21"/>
                    </w:rPr>
                  </w:pPr>
                </w:p>
              </w:tc>
              <w:tc>
                <w:tcPr>
                  <w:tcW w:w="1753" w:type="pct"/>
                  <w:vAlign w:val="center"/>
                </w:tcPr>
                <w:p w14:paraId="650C58F5">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硫酸雾</w:t>
                  </w:r>
                </w:p>
              </w:tc>
              <w:tc>
                <w:tcPr>
                  <w:tcW w:w="1111" w:type="pct"/>
                  <w:vAlign w:val="center"/>
                </w:tcPr>
                <w:p w14:paraId="36A148F0">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0.054</w:t>
                  </w:r>
                </w:p>
              </w:tc>
              <w:tc>
                <w:tcPr>
                  <w:tcW w:w="1111" w:type="pct"/>
                  <w:vAlign w:val="center"/>
                </w:tcPr>
                <w:p w14:paraId="0BBD6867">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0.0057</w:t>
                  </w:r>
                </w:p>
              </w:tc>
            </w:tr>
            <w:tr w14:paraId="2CBBE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86" w:type="pct"/>
                  <w:vMerge w:val="continue"/>
                  <w:vAlign w:val="center"/>
                </w:tcPr>
                <w:p w14:paraId="26DAE443">
                  <w:pPr>
                    <w:widowControl/>
                    <w:jc w:val="center"/>
                    <w:rPr>
                      <w:rFonts w:hint="default" w:ascii="Times New Roman" w:hAnsi="Times New Roman" w:eastAsia="仿宋" w:cs="Times New Roman"/>
                      <w:color w:val="auto"/>
                      <w:szCs w:val="21"/>
                    </w:rPr>
                  </w:pPr>
                </w:p>
              </w:tc>
              <w:tc>
                <w:tcPr>
                  <w:tcW w:w="535" w:type="pct"/>
                  <w:vMerge w:val="continue"/>
                  <w:vAlign w:val="center"/>
                </w:tcPr>
                <w:p w14:paraId="115B4FD5">
                  <w:pPr>
                    <w:widowControl/>
                    <w:jc w:val="center"/>
                    <w:rPr>
                      <w:rFonts w:hint="default" w:ascii="Times New Roman" w:hAnsi="Times New Roman" w:eastAsia="仿宋" w:cs="Times New Roman"/>
                      <w:color w:val="auto"/>
                      <w:szCs w:val="21"/>
                    </w:rPr>
                  </w:pPr>
                </w:p>
              </w:tc>
              <w:tc>
                <w:tcPr>
                  <w:tcW w:w="1753" w:type="pct"/>
                  <w:vAlign w:val="center"/>
                </w:tcPr>
                <w:p w14:paraId="769503CF">
                  <w:pPr>
                    <w:widowControl/>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锡及其化合物</w:t>
                  </w:r>
                </w:p>
              </w:tc>
              <w:tc>
                <w:tcPr>
                  <w:tcW w:w="1111" w:type="pct"/>
                  <w:vAlign w:val="center"/>
                </w:tcPr>
                <w:p w14:paraId="0E22C97E">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0.0003</w:t>
                  </w:r>
                </w:p>
              </w:tc>
              <w:tc>
                <w:tcPr>
                  <w:tcW w:w="1111" w:type="pct"/>
                  <w:vAlign w:val="center"/>
                </w:tcPr>
                <w:p w14:paraId="2C0D957C">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r w14:paraId="73F19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77303B04">
                  <w:pPr>
                    <w:widowControl/>
                    <w:jc w:val="center"/>
                    <w:rPr>
                      <w:rFonts w:hint="default" w:ascii="Times New Roman" w:hAnsi="Times New Roman" w:eastAsia="仿宋" w:cs="Times New Roman"/>
                      <w:color w:val="auto"/>
                      <w:szCs w:val="21"/>
                    </w:rPr>
                  </w:pPr>
                </w:p>
              </w:tc>
              <w:tc>
                <w:tcPr>
                  <w:tcW w:w="535" w:type="pct"/>
                  <w:vMerge w:val="restart"/>
                  <w:vAlign w:val="center"/>
                </w:tcPr>
                <w:p w14:paraId="1992EF19">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无组织</w:t>
                  </w:r>
                </w:p>
              </w:tc>
              <w:tc>
                <w:tcPr>
                  <w:tcW w:w="1753" w:type="pct"/>
                  <w:vAlign w:val="center"/>
                </w:tcPr>
                <w:p w14:paraId="26F34BC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VOCs（以非甲烷总烃计）</w:t>
                  </w:r>
                </w:p>
              </w:tc>
              <w:tc>
                <w:tcPr>
                  <w:tcW w:w="1111" w:type="pct"/>
                  <w:vAlign w:val="center"/>
                </w:tcPr>
                <w:p w14:paraId="151CE324">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0.826</w:t>
                  </w:r>
                </w:p>
              </w:tc>
              <w:tc>
                <w:tcPr>
                  <w:tcW w:w="1111" w:type="pct"/>
                  <w:vAlign w:val="center"/>
                </w:tcPr>
                <w:p w14:paraId="722746F4">
                  <w:pPr>
                    <w:widowControl/>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w:t>
                  </w:r>
                </w:p>
              </w:tc>
            </w:tr>
            <w:tr w14:paraId="5DD87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3F8A1E30">
                  <w:pPr>
                    <w:widowControl/>
                    <w:jc w:val="center"/>
                    <w:rPr>
                      <w:rFonts w:hint="default" w:ascii="Times New Roman" w:hAnsi="Times New Roman" w:eastAsia="仿宋" w:cs="Times New Roman"/>
                      <w:color w:val="auto"/>
                      <w:szCs w:val="21"/>
                    </w:rPr>
                  </w:pPr>
                </w:p>
              </w:tc>
              <w:tc>
                <w:tcPr>
                  <w:tcW w:w="535" w:type="pct"/>
                  <w:vMerge w:val="continue"/>
                  <w:vAlign w:val="center"/>
                </w:tcPr>
                <w:p w14:paraId="3AC728C6">
                  <w:pPr>
                    <w:widowControl/>
                    <w:jc w:val="center"/>
                    <w:rPr>
                      <w:rFonts w:hint="default" w:ascii="Times New Roman" w:hAnsi="Times New Roman" w:eastAsia="仿宋" w:cs="Times New Roman"/>
                      <w:color w:val="auto"/>
                      <w:szCs w:val="21"/>
                    </w:rPr>
                  </w:pPr>
                </w:p>
              </w:tc>
              <w:tc>
                <w:tcPr>
                  <w:tcW w:w="1753" w:type="pct"/>
                  <w:vAlign w:val="center"/>
                </w:tcPr>
                <w:p w14:paraId="590823E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硫酸雾</w:t>
                  </w:r>
                </w:p>
              </w:tc>
              <w:tc>
                <w:tcPr>
                  <w:tcW w:w="1111" w:type="pct"/>
                  <w:vAlign w:val="center"/>
                </w:tcPr>
                <w:p w14:paraId="1B8B10F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0.024</w:t>
                  </w:r>
                </w:p>
              </w:tc>
              <w:tc>
                <w:tcPr>
                  <w:tcW w:w="1111" w:type="pct"/>
                  <w:vAlign w:val="center"/>
                </w:tcPr>
                <w:p w14:paraId="4F0C2220">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r w14:paraId="01530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063B31C9">
                  <w:pPr>
                    <w:widowControl/>
                    <w:jc w:val="center"/>
                    <w:rPr>
                      <w:rFonts w:hint="default" w:ascii="Times New Roman" w:hAnsi="Times New Roman" w:eastAsia="仿宋" w:cs="Times New Roman"/>
                      <w:color w:val="auto"/>
                      <w:szCs w:val="21"/>
                    </w:rPr>
                  </w:pPr>
                </w:p>
              </w:tc>
              <w:tc>
                <w:tcPr>
                  <w:tcW w:w="535" w:type="pct"/>
                  <w:vMerge w:val="continue"/>
                  <w:vAlign w:val="center"/>
                </w:tcPr>
                <w:p w14:paraId="5902B521">
                  <w:pPr>
                    <w:widowControl/>
                    <w:jc w:val="center"/>
                    <w:rPr>
                      <w:rFonts w:hint="default" w:ascii="Times New Roman" w:hAnsi="Times New Roman" w:eastAsia="仿宋" w:cs="Times New Roman"/>
                      <w:color w:val="auto"/>
                      <w:szCs w:val="21"/>
                    </w:rPr>
                  </w:pPr>
                </w:p>
              </w:tc>
              <w:tc>
                <w:tcPr>
                  <w:tcW w:w="1753" w:type="pct"/>
                  <w:vAlign w:val="center"/>
                </w:tcPr>
                <w:p w14:paraId="3BC53D4A">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锡及其化合物</w:t>
                  </w:r>
                </w:p>
              </w:tc>
              <w:tc>
                <w:tcPr>
                  <w:tcW w:w="1111" w:type="pct"/>
                  <w:vAlign w:val="center"/>
                </w:tcPr>
                <w:p w14:paraId="4D7BAEBA">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0.0003</w:t>
                  </w:r>
                </w:p>
              </w:tc>
              <w:tc>
                <w:tcPr>
                  <w:tcW w:w="1111" w:type="pct"/>
                  <w:vAlign w:val="center"/>
                </w:tcPr>
                <w:p w14:paraId="23B649CC">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r>
            <w:tr w14:paraId="1127A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restart"/>
                  <w:vAlign w:val="center"/>
                </w:tcPr>
                <w:p w14:paraId="58CC8E14">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w:t>
                  </w:r>
                </w:p>
              </w:tc>
              <w:tc>
                <w:tcPr>
                  <w:tcW w:w="535" w:type="pct"/>
                  <w:vMerge w:val="restart"/>
                  <w:vAlign w:val="center"/>
                </w:tcPr>
                <w:p w14:paraId="1572253C">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生活污水</w:t>
                  </w:r>
                </w:p>
              </w:tc>
              <w:tc>
                <w:tcPr>
                  <w:tcW w:w="1753" w:type="pct"/>
                  <w:vAlign w:val="center"/>
                </w:tcPr>
                <w:p w14:paraId="6C1838C9">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废水量</w:t>
                  </w:r>
                </w:p>
              </w:tc>
              <w:tc>
                <w:tcPr>
                  <w:tcW w:w="1111" w:type="pct"/>
                  <w:vAlign w:val="center"/>
                </w:tcPr>
                <w:p w14:paraId="0C953892">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1800</w:t>
                  </w:r>
                </w:p>
              </w:tc>
              <w:tc>
                <w:tcPr>
                  <w:tcW w:w="1847" w:type="dxa"/>
                  <w:vAlign w:val="center"/>
                </w:tcPr>
                <w:p w14:paraId="1666A6C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600</w:t>
                  </w:r>
                </w:p>
              </w:tc>
            </w:tr>
            <w:tr w14:paraId="3366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5284EE0C">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778064AB">
                  <w:pPr>
                    <w:widowControl/>
                    <w:jc w:val="center"/>
                    <w:rPr>
                      <w:rFonts w:hint="default" w:ascii="Times New Roman" w:hAnsi="Times New Roman" w:eastAsia="仿宋" w:cs="Times New Roman"/>
                      <w:color w:val="auto"/>
                      <w:szCs w:val="21"/>
                    </w:rPr>
                  </w:pPr>
                </w:p>
              </w:tc>
              <w:tc>
                <w:tcPr>
                  <w:tcW w:w="1753" w:type="pct"/>
                  <w:vAlign w:val="center"/>
                </w:tcPr>
                <w:p w14:paraId="434BACE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111" w:type="pct"/>
                  <w:vAlign w:val="center"/>
                </w:tcPr>
                <w:p w14:paraId="512E8C6C">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0.72</w:t>
                  </w:r>
                </w:p>
              </w:tc>
              <w:tc>
                <w:tcPr>
                  <w:tcW w:w="1847" w:type="dxa"/>
                  <w:vAlign w:val="center"/>
                </w:tcPr>
                <w:p w14:paraId="00169DAB">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0.128</w:t>
                  </w:r>
                </w:p>
              </w:tc>
            </w:tr>
            <w:tr w14:paraId="62843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492398B7">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27FFAC7C">
                  <w:pPr>
                    <w:widowControl/>
                    <w:jc w:val="center"/>
                    <w:rPr>
                      <w:rFonts w:hint="default" w:ascii="Times New Roman" w:hAnsi="Times New Roman" w:eastAsia="仿宋" w:cs="Times New Roman"/>
                      <w:color w:val="auto"/>
                      <w:szCs w:val="21"/>
                    </w:rPr>
                  </w:pPr>
                </w:p>
              </w:tc>
              <w:tc>
                <w:tcPr>
                  <w:tcW w:w="1753" w:type="pct"/>
                  <w:vAlign w:val="center"/>
                </w:tcPr>
                <w:p w14:paraId="691354A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111" w:type="pct"/>
                  <w:vAlign w:val="center"/>
                </w:tcPr>
                <w:p w14:paraId="2528DA74">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0.36</w:t>
                  </w:r>
                </w:p>
              </w:tc>
              <w:tc>
                <w:tcPr>
                  <w:tcW w:w="1847" w:type="dxa"/>
                  <w:vAlign w:val="center"/>
                </w:tcPr>
                <w:p w14:paraId="3114FA1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0.084</w:t>
                  </w:r>
                </w:p>
              </w:tc>
            </w:tr>
            <w:tr w14:paraId="21A80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2AED897C">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21590950">
                  <w:pPr>
                    <w:widowControl/>
                    <w:jc w:val="center"/>
                    <w:rPr>
                      <w:rFonts w:hint="default" w:ascii="Times New Roman" w:hAnsi="Times New Roman" w:eastAsia="仿宋" w:cs="Times New Roman"/>
                      <w:color w:val="auto"/>
                      <w:szCs w:val="21"/>
                    </w:rPr>
                  </w:pPr>
                </w:p>
              </w:tc>
              <w:tc>
                <w:tcPr>
                  <w:tcW w:w="1753" w:type="pct"/>
                  <w:vAlign w:val="center"/>
                </w:tcPr>
                <w:p w14:paraId="1CD02982">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1111" w:type="pct"/>
                  <w:vAlign w:val="center"/>
                </w:tcPr>
                <w:p w14:paraId="326D384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0.045</w:t>
                  </w:r>
                </w:p>
              </w:tc>
              <w:tc>
                <w:tcPr>
                  <w:tcW w:w="1847" w:type="dxa"/>
                  <w:vAlign w:val="center"/>
                </w:tcPr>
                <w:p w14:paraId="68C8AFA6">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0.013</w:t>
                  </w:r>
                </w:p>
              </w:tc>
            </w:tr>
            <w:tr w14:paraId="6D21A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41EB2F75">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2DED10AA">
                  <w:pPr>
                    <w:widowControl/>
                    <w:jc w:val="center"/>
                    <w:rPr>
                      <w:rFonts w:hint="default" w:ascii="Times New Roman" w:hAnsi="Times New Roman" w:eastAsia="仿宋" w:cs="Times New Roman"/>
                      <w:color w:val="auto"/>
                      <w:szCs w:val="21"/>
                    </w:rPr>
                  </w:pPr>
                </w:p>
              </w:tc>
              <w:tc>
                <w:tcPr>
                  <w:tcW w:w="1753" w:type="pct"/>
                  <w:vAlign w:val="center"/>
                </w:tcPr>
                <w:p w14:paraId="5BC5676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总磷</w:t>
                  </w:r>
                </w:p>
              </w:tc>
              <w:tc>
                <w:tcPr>
                  <w:tcW w:w="1111" w:type="pct"/>
                  <w:vAlign w:val="center"/>
                </w:tcPr>
                <w:p w14:paraId="008DE206">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0.0054</w:t>
                  </w:r>
                </w:p>
              </w:tc>
              <w:tc>
                <w:tcPr>
                  <w:tcW w:w="1847" w:type="dxa"/>
                  <w:vAlign w:val="center"/>
                </w:tcPr>
                <w:p w14:paraId="69F22BC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0.0014</w:t>
                  </w:r>
                </w:p>
              </w:tc>
            </w:tr>
            <w:tr w14:paraId="0C6FE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1A3E154E">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446C3B61">
                  <w:pPr>
                    <w:widowControl/>
                    <w:jc w:val="center"/>
                    <w:rPr>
                      <w:rFonts w:hint="default" w:ascii="Times New Roman" w:hAnsi="Times New Roman" w:eastAsia="仿宋" w:cs="Times New Roman"/>
                      <w:color w:val="auto"/>
                      <w:szCs w:val="21"/>
                    </w:rPr>
                  </w:pPr>
                </w:p>
              </w:tc>
              <w:tc>
                <w:tcPr>
                  <w:tcW w:w="1753" w:type="pct"/>
                  <w:vAlign w:val="center"/>
                </w:tcPr>
                <w:p w14:paraId="3BFBFE77">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总氮</w:t>
                  </w:r>
                </w:p>
              </w:tc>
              <w:tc>
                <w:tcPr>
                  <w:tcW w:w="1111" w:type="pct"/>
                  <w:vAlign w:val="center"/>
                </w:tcPr>
                <w:p w14:paraId="735561D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0.072</w:t>
                  </w:r>
                </w:p>
              </w:tc>
              <w:tc>
                <w:tcPr>
                  <w:tcW w:w="1847" w:type="dxa"/>
                  <w:vAlign w:val="center"/>
                </w:tcPr>
                <w:p w14:paraId="5A833485">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0.018</w:t>
                  </w:r>
                </w:p>
              </w:tc>
            </w:tr>
            <w:tr w14:paraId="1058B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2BCD10B9">
                  <w:pPr>
                    <w:widowControl/>
                    <w:ind w:firstLine="420" w:firstLineChars="200"/>
                    <w:jc w:val="center"/>
                    <w:rPr>
                      <w:rFonts w:hint="default" w:ascii="Times New Roman" w:hAnsi="Times New Roman" w:eastAsia="仿宋" w:cs="Times New Roman"/>
                      <w:color w:val="auto"/>
                      <w:szCs w:val="21"/>
                    </w:rPr>
                  </w:pPr>
                </w:p>
              </w:tc>
              <w:tc>
                <w:tcPr>
                  <w:tcW w:w="535" w:type="pct"/>
                  <w:vMerge w:val="restart"/>
                  <w:vAlign w:val="center"/>
                </w:tcPr>
                <w:p w14:paraId="1960FB22">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生产废水</w:t>
                  </w:r>
                </w:p>
              </w:tc>
              <w:tc>
                <w:tcPr>
                  <w:tcW w:w="1753" w:type="pct"/>
                  <w:vAlign w:val="center"/>
                </w:tcPr>
                <w:p w14:paraId="72B129AC">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废水量</w:t>
                  </w:r>
                </w:p>
              </w:tc>
              <w:tc>
                <w:tcPr>
                  <w:tcW w:w="1111" w:type="pct"/>
                  <w:vAlign w:val="center"/>
                </w:tcPr>
                <w:p w14:paraId="1EAD3FF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463</w:t>
                  </w:r>
                </w:p>
              </w:tc>
              <w:tc>
                <w:tcPr>
                  <w:tcW w:w="1847" w:type="dxa"/>
                  <w:vAlign w:val="center"/>
                </w:tcPr>
                <w:p w14:paraId="1872E9D0">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128</w:t>
                  </w:r>
                </w:p>
              </w:tc>
            </w:tr>
            <w:tr w14:paraId="6E9C4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151389C2">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360B0D3B">
                  <w:pPr>
                    <w:widowControl/>
                    <w:jc w:val="center"/>
                    <w:rPr>
                      <w:rFonts w:hint="default" w:ascii="Times New Roman" w:hAnsi="Times New Roman" w:eastAsia="仿宋" w:cs="Times New Roman"/>
                      <w:color w:val="auto"/>
                      <w:szCs w:val="21"/>
                    </w:rPr>
                  </w:pPr>
                </w:p>
              </w:tc>
              <w:tc>
                <w:tcPr>
                  <w:tcW w:w="1753" w:type="pct"/>
                  <w:vAlign w:val="center"/>
                </w:tcPr>
                <w:p w14:paraId="0DF40AF0">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111" w:type="pct"/>
                  <w:vAlign w:val="center"/>
                </w:tcPr>
                <w:p w14:paraId="7388603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0.139</w:t>
                  </w:r>
                </w:p>
              </w:tc>
              <w:tc>
                <w:tcPr>
                  <w:tcW w:w="1847" w:type="dxa"/>
                  <w:vAlign w:val="center"/>
                </w:tcPr>
                <w:p w14:paraId="4569F6A2">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0.0044</w:t>
                  </w:r>
                </w:p>
              </w:tc>
            </w:tr>
            <w:tr w14:paraId="76BA1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4607B464">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59E6801E">
                  <w:pPr>
                    <w:widowControl/>
                    <w:jc w:val="center"/>
                    <w:rPr>
                      <w:rFonts w:hint="default" w:ascii="Times New Roman" w:hAnsi="Times New Roman" w:eastAsia="仿宋" w:cs="Times New Roman"/>
                      <w:color w:val="auto"/>
                      <w:szCs w:val="21"/>
                    </w:rPr>
                  </w:pPr>
                </w:p>
              </w:tc>
              <w:tc>
                <w:tcPr>
                  <w:tcW w:w="1753" w:type="pct"/>
                  <w:vAlign w:val="center"/>
                </w:tcPr>
                <w:p w14:paraId="134BEEF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111" w:type="pct"/>
                  <w:vAlign w:val="center"/>
                </w:tcPr>
                <w:p w14:paraId="6E55DF0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0.014</w:t>
                  </w:r>
                </w:p>
              </w:tc>
              <w:tc>
                <w:tcPr>
                  <w:tcW w:w="1847" w:type="dxa"/>
                  <w:vAlign w:val="center"/>
                </w:tcPr>
                <w:p w14:paraId="601A0033">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0.0022</w:t>
                  </w:r>
                </w:p>
              </w:tc>
            </w:tr>
            <w:tr w14:paraId="3FC17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79324937">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7C770F8F">
                  <w:pPr>
                    <w:widowControl/>
                    <w:jc w:val="center"/>
                    <w:rPr>
                      <w:rFonts w:hint="default" w:ascii="Times New Roman" w:hAnsi="Times New Roman" w:eastAsia="仿宋" w:cs="Times New Roman"/>
                      <w:color w:val="auto"/>
                      <w:szCs w:val="21"/>
                    </w:rPr>
                  </w:pPr>
                </w:p>
              </w:tc>
              <w:tc>
                <w:tcPr>
                  <w:tcW w:w="1753" w:type="pct"/>
                  <w:vAlign w:val="center"/>
                </w:tcPr>
                <w:p w14:paraId="63E5364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1111" w:type="pct"/>
                  <w:vAlign w:val="center"/>
                </w:tcPr>
                <w:p w14:paraId="21B4403C">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0.0005</w:t>
                  </w:r>
                </w:p>
              </w:tc>
              <w:tc>
                <w:tcPr>
                  <w:tcW w:w="1847" w:type="dxa"/>
                  <w:vAlign w:val="center"/>
                </w:tcPr>
                <w:p w14:paraId="3E853080">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0.00009</w:t>
                  </w:r>
                </w:p>
              </w:tc>
            </w:tr>
            <w:tr w14:paraId="7E6A6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7ED6C244">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251F3C58">
                  <w:pPr>
                    <w:widowControl/>
                    <w:jc w:val="center"/>
                    <w:rPr>
                      <w:rFonts w:hint="default" w:ascii="Times New Roman" w:hAnsi="Times New Roman" w:eastAsia="仿宋" w:cs="Times New Roman"/>
                      <w:color w:val="auto"/>
                      <w:szCs w:val="21"/>
                    </w:rPr>
                  </w:pPr>
                </w:p>
              </w:tc>
              <w:tc>
                <w:tcPr>
                  <w:tcW w:w="1753" w:type="pct"/>
                  <w:vAlign w:val="center"/>
                </w:tcPr>
                <w:p w14:paraId="1BED430B">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总磷</w:t>
                  </w:r>
                </w:p>
              </w:tc>
              <w:tc>
                <w:tcPr>
                  <w:tcW w:w="1111" w:type="pct"/>
                  <w:vAlign w:val="center"/>
                </w:tcPr>
                <w:p w14:paraId="233642A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0.0001</w:t>
                  </w:r>
                </w:p>
              </w:tc>
              <w:tc>
                <w:tcPr>
                  <w:tcW w:w="1847" w:type="dxa"/>
                  <w:vAlign w:val="center"/>
                </w:tcPr>
                <w:p w14:paraId="457D000A">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0.000005</w:t>
                  </w:r>
                </w:p>
              </w:tc>
            </w:tr>
            <w:tr w14:paraId="3530E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7FDD25D2">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65E7F6A8">
                  <w:pPr>
                    <w:widowControl/>
                    <w:jc w:val="center"/>
                    <w:rPr>
                      <w:rFonts w:hint="default" w:ascii="Times New Roman" w:hAnsi="Times New Roman" w:eastAsia="仿宋" w:cs="Times New Roman"/>
                      <w:color w:val="auto"/>
                      <w:szCs w:val="21"/>
                    </w:rPr>
                  </w:pPr>
                </w:p>
              </w:tc>
              <w:tc>
                <w:tcPr>
                  <w:tcW w:w="1753" w:type="pct"/>
                  <w:vAlign w:val="center"/>
                </w:tcPr>
                <w:p w14:paraId="1F23FF2C">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总氮</w:t>
                  </w:r>
                </w:p>
              </w:tc>
              <w:tc>
                <w:tcPr>
                  <w:tcW w:w="1111" w:type="pct"/>
                  <w:vAlign w:val="center"/>
                </w:tcPr>
                <w:p w14:paraId="3F741F14">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0.0007</w:t>
                  </w:r>
                </w:p>
              </w:tc>
              <w:tc>
                <w:tcPr>
                  <w:tcW w:w="1847" w:type="dxa"/>
                  <w:vAlign w:val="center"/>
                </w:tcPr>
                <w:p w14:paraId="648BD1B0">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0.00019</w:t>
                  </w:r>
                </w:p>
              </w:tc>
            </w:tr>
            <w:tr w14:paraId="76C9C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3C9BF1DF">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6F96D9E0">
                  <w:pPr>
                    <w:widowControl/>
                    <w:jc w:val="center"/>
                    <w:rPr>
                      <w:rFonts w:hint="default" w:ascii="Times New Roman" w:hAnsi="Times New Roman" w:eastAsia="仿宋" w:cs="Times New Roman"/>
                      <w:color w:val="auto"/>
                      <w:szCs w:val="21"/>
                    </w:rPr>
                  </w:pPr>
                </w:p>
              </w:tc>
              <w:tc>
                <w:tcPr>
                  <w:tcW w:w="1753" w:type="pct"/>
                  <w:vAlign w:val="center"/>
                </w:tcPr>
                <w:p w14:paraId="638491AD">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LAS</w:t>
                  </w:r>
                </w:p>
              </w:tc>
              <w:tc>
                <w:tcPr>
                  <w:tcW w:w="1111" w:type="pct"/>
                  <w:vAlign w:val="center"/>
                </w:tcPr>
                <w:p w14:paraId="291DE7F8">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0.0002</w:t>
                  </w:r>
                </w:p>
              </w:tc>
              <w:tc>
                <w:tcPr>
                  <w:tcW w:w="1847" w:type="dxa"/>
                  <w:vAlign w:val="center"/>
                </w:tcPr>
                <w:p w14:paraId="56F20F15">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0.00003</w:t>
                  </w:r>
                </w:p>
              </w:tc>
            </w:tr>
            <w:tr w14:paraId="1E6C9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65" w:hRule="atLeast"/>
                <w:jc w:val="center"/>
              </w:trPr>
              <w:tc>
                <w:tcPr>
                  <w:tcW w:w="486" w:type="pct"/>
                  <w:vMerge w:val="continue"/>
                  <w:vAlign w:val="center"/>
                </w:tcPr>
                <w:p w14:paraId="75DAE131">
                  <w:pPr>
                    <w:widowControl/>
                    <w:ind w:firstLine="420" w:firstLineChars="200"/>
                    <w:jc w:val="center"/>
                    <w:rPr>
                      <w:rFonts w:hint="default" w:ascii="Times New Roman" w:hAnsi="Times New Roman" w:eastAsia="仿宋" w:cs="Times New Roman"/>
                      <w:color w:val="auto"/>
                      <w:szCs w:val="21"/>
                    </w:rPr>
                  </w:pPr>
                </w:p>
              </w:tc>
              <w:tc>
                <w:tcPr>
                  <w:tcW w:w="535" w:type="pct"/>
                  <w:vMerge w:val="continue"/>
                  <w:vAlign w:val="center"/>
                </w:tcPr>
                <w:p w14:paraId="233129C8">
                  <w:pPr>
                    <w:widowControl/>
                    <w:jc w:val="center"/>
                    <w:rPr>
                      <w:rFonts w:hint="default" w:ascii="Times New Roman" w:hAnsi="Times New Roman" w:eastAsia="仿宋" w:cs="Times New Roman"/>
                      <w:color w:val="auto"/>
                      <w:szCs w:val="21"/>
                    </w:rPr>
                  </w:pPr>
                </w:p>
              </w:tc>
              <w:tc>
                <w:tcPr>
                  <w:tcW w:w="1753" w:type="pct"/>
                  <w:vAlign w:val="center"/>
                </w:tcPr>
                <w:p w14:paraId="6515AF69">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石油类</w:t>
                  </w:r>
                </w:p>
              </w:tc>
              <w:tc>
                <w:tcPr>
                  <w:tcW w:w="1111" w:type="pct"/>
                  <w:vAlign w:val="center"/>
                </w:tcPr>
                <w:p w14:paraId="539ACF27">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0.0003</w:t>
                  </w:r>
                </w:p>
              </w:tc>
              <w:tc>
                <w:tcPr>
                  <w:tcW w:w="1847" w:type="dxa"/>
                  <w:vAlign w:val="center"/>
                </w:tcPr>
                <w:p w14:paraId="69EC1152">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0.00002</w:t>
                  </w:r>
                </w:p>
              </w:tc>
            </w:tr>
            <w:tr w14:paraId="09A44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restart"/>
                  <w:vAlign w:val="center"/>
                </w:tcPr>
                <w:p w14:paraId="4286A9D1">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固废</w:t>
                  </w:r>
                </w:p>
              </w:tc>
              <w:tc>
                <w:tcPr>
                  <w:tcW w:w="2289" w:type="pct"/>
                  <w:gridSpan w:val="2"/>
                  <w:vAlign w:val="center"/>
                </w:tcPr>
                <w:p w14:paraId="2AAF46C5">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危险固废</w:t>
                  </w:r>
                </w:p>
              </w:tc>
              <w:tc>
                <w:tcPr>
                  <w:tcW w:w="1111" w:type="pct"/>
                  <w:vAlign w:val="center"/>
                </w:tcPr>
                <w:p w14:paraId="1B0CFCD6">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111" w:type="pct"/>
                  <w:vAlign w:val="center"/>
                </w:tcPr>
                <w:p w14:paraId="790BEFC4">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r>
            <w:tr w14:paraId="133E6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160EE918">
                  <w:pPr>
                    <w:widowControl/>
                    <w:ind w:firstLine="420" w:firstLineChars="200"/>
                    <w:jc w:val="center"/>
                    <w:rPr>
                      <w:rFonts w:hint="default" w:ascii="Times New Roman" w:hAnsi="Times New Roman" w:eastAsia="仿宋" w:cs="Times New Roman"/>
                      <w:color w:val="auto"/>
                      <w:szCs w:val="21"/>
                    </w:rPr>
                  </w:pPr>
                </w:p>
              </w:tc>
              <w:tc>
                <w:tcPr>
                  <w:tcW w:w="2289" w:type="pct"/>
                  <w:gridSpan w:val="2"/>
                  <w:vAlign w:val="center"/>
                </w:tcPr>
                <w:p w14:paraId="59F036BF">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一般固废</w:t>
                  </w:r>
                </w:p>
              </w:tc>
              <w:tc>
                <w:tcPr>
                  <w:tcW w:w="1111" w:type="pct"/>
                  <w:vAlign w:val="center"/>
                </w:tcPr>
                <w:p w14:paraId="19428C4C">
                  <w:pPr>
                    <w:widowControl/>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111" w:type="pct"/>
                  <w:vAlign w:val="center"/>
                </w:tcPr>
                <w:p w14:paraId="620E8E39">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r>
            <w:tr w14:paraId="1C269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486" w:type="pct"/>
                  <w:vMerge w:val="continue"/>
                  <w:vAlign w:val="center"/>
                </w:tcPr>
                <w:p w14:paraId="18FEF8AC">
                  <w:pPr>
                    <w:widowControl/>
                    <w:ind w:firstLine="420" w:firstLineChars="200"/>
                    <w:jc w:val="center"/>
                    <w:rPr>
                      <w:rFonts w:hint="default" w:ascii="Times New Roman" w:hAnsi="Times New Roman" w:eastAsia="仿宋" w:cs="Times New Roman"/>
                      <w:color w:val="auto"/>
                      <w:szCs w:val="21"/>
                    </w:rPr>
                  </w:pPr>
                </w:p>
              </w:tc>
              <w:tc>
                <w:tcPr>
                  <w:tcW w:w="2289" w:type="pct"/>
                  <w:gridSpan w:val="2"/>
                  <w:vAlign w:val="center"/>
                </w:tcPr>
                <w:p w14:paraId="287FBC26">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生活垃圾</w:t>
                  </w:r>
                </w:p>
              </w:tc>
              <w:tc>
                <w:tcPr>
                  <w:tcW w:w="1111" w:type="pct"/>
                  <w:vAlign w:val="center"/>
                </w:tcPr>
                <w:p w14:paraId="29A50FE2">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c>
                <w:tcPr>
                  <w:tcW w:w="1111" w:type="pct"/>
                  <w:vAlign w:val="center"/>
                </w:tcPr>
                <w:p w14:paraId="62A98820">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r>
          </w:tbl>
          <w:p w14:paraId="461DE42C">
            <w:pPr>
              <w:pStyle w:val="25"/>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0" w:leftChars="0" w:firstLine="480" w:firstLineChars="200"/>
              <w:jc w:val="left"/>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5、现有项目存在的环保问题及以新带老措施</w:t>
            </w:r>
          </w:p>
          <w:p w14:paraId="20ADF1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现有项目已取得环评批复，建成部分已通过竣工环保自主验收，废气、废水、噪声均可达标排放，固废均得到合理处置，无环保问题。</w:t>
            </w:r>
          </w:p>
        </w:tc>
      </w:tr>
      <w:bookmarkEnd w:id="14"/>
    </w:tbl>
    <w:p w14:paraId="705363EC">
      <w:pPr>
        <w:pStyle w:val="21"/>
        <w:jc w:val="center"/>
        <w:rPr>
          <w:rFonts w:hint="default" w:ascii="Times New Roman" w:hAnsi="Times New Roman" w:eastAsia="仿宋" w:cs="Times New Roman"/>
          <w:snapToGrid w:val="0"/>
          <w:color w:val="auto"/>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22527F6">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bookmarkStart w:id="17" w:name="_Toc14145"/>
      <w:r>
        <w:rPr>
          <w:rFonts w:hint="default" w:ascii="Times New Roman" w:hAnsi="Times New Roman" w:eastAsia="仿宋" w:cs="Times New Roman"/>
          <w:snapToGrid w:val="0"/>
          <w:color w:val="auto"/>
          <w:sz w:val="30"/>
          <w:szCs w:val="30"/>
        </w:rPr>
        <w:t>三、区域环境质量现状、环境保护目标及评价标准</w:t>
      </w:r>
      <w:bookmarkEnd w:id="1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441"/>
      </w:tblGrid>
      <w:tr w14:paraId="68AD6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56" w:type="dxa"/>
            <w:vAlign w:val="center"/>
          </w:tcPr>
          <w:p w14:paraId="435ACD9B">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区域</w:t>
            </w:r>
          </w:p>
          <w:p w14:paraId="61939A78">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环境</w:t>
            </w:r>
          </w:p>
          <w:p w14:paraId="538ADBD6">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质量</w:t>
            </w:r>
          </w:p>
          <w:p w14:paraId="19FA1594">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rPr>
              <w:t>现状</w:t>
            </w:r>
          </w:p>
        </w:tc>
        <w:tc>
          <w:tcPr>
            <w:tcW w:w="8441" w:type="dxa"/>
            <w:vAlign w:val="center"/>
          </w:tcPr>
          <w:p w14:paraId="4F79560E">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一、环境质量现状</w:t>
            </w:r>
          </w:p>
          <w:p w14:paraId="7C95338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1、大气环境质量现状</w:t>
            </w:r>
          </w:p>
          <w:p w14:paraId="0073037E">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（1）项目所在区域达标判定</w:t>
            </w:r>
          </w:p>
          <w:p w14:paraId="45E7B4AB">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为了解项目所在地区的环境质量现状，本项目引用《</w:t>
            </w:r>
            <w:r>
              <w:rPr>
                <w:rFonts w:hint="default" w:ascii="Times New Roman" w:hAnsi="Times New Roman" w:eastAsia="仿宋" w:cs="Times New Roman"/>
                <w:bCs/>
                <w:color w:val="auto"/>
                <w:sz w:val="24"/>
                <w:lang w:eastAsia="zh-CN"/>
              </w:rPr>
              <w:t>2024年</w:t>
            </w:r>
            <w:r>
              <w:rPr>
                <w:rFonts w:hint="default" w:ascii="Times New Roman" w:hAnsi="Times New Roman" w:eastAsia="仿宋" w:cs="Times New Roman"/>
                <w:bCs/>
                <w:color w:val="auto"/>
                <w:sz w:val="24"/>
              </w:rPr>
              <w:t>常州市生态环境状况公报》中环境空气质量数据。本次评价选取202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年作为评价基准年，根据《202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常州市生态环境状况公报》，项目所在区域常州市各评价因子数据见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7566A2FC">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表3-1  区域空气质量现状评价表</w:t>
            </w:r>
          </w:p>
          <w:tbl>
            <w:tblPr>
              <w:tblStyle w:val="2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67"/>
              <w:gridCol w:w="2570"/>
              <w:gridCol w:w="1196"/>
              <w:gridCol w:w="1196"/>
              <w:gridCol w:w="1197"/>
              <w:gridCol w:w="1199"/>
            </w:tblGrid>
            <w:tr w14:paraId="230D1C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Align w:val="center"/>
                </w:tcPr>
                <w:p w14:paraId="561453CA">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评价因子</w:t>
                  </w:r>
                </w:p>
              </w:tc>
              <w:tc>
                <w:tcPr>
                  <w:tcW w:w="1562" w:type="pct"/>
                  <w:vAlign w:val="center"/>
                </w:tcPr>
                <w:p w14:paraId="008E0239">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评价指标</w:t>
                  </w:r>
                </w:p>
              </w:tc>
              <w:tc>
                <w:tcPr>
                  <w:tcW w:w="727" w:type="pct"/>
                  <w:vAlign w:val="center"/>
                </w:tcPr>
                <w:p w14:paraId="5A048543">
                  <w:pPr>
                    <w:kinsoku w:val="0"/>
                    <w:overflowPunct w:val="0"/>
                    <w:autoSpaceDE w:val="0"/>
                    <w:autoSpaceDN w:val="0"/>
                    <w:adjustRightIn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现状浓度</w:t>
                  </w:r>
                </w:p>
                <w:p w14:paraId="1A05084F">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（μg/m</w:t>
                  </w:r>
                  <w:r>
                    <w:rPr>
                      <w:rFonts w:hint="default" w:ascii="Times New Roman" w:hAnsi="Times New Roman" w:eastAsia="仿宋" w:cs="Times New Roman"/>
                      <w:b/>
                      <w:bCs/>
                      <w:color w:val="auto"/>
                      <w:kern w:val="0"/>
                      <w:szCs w:val="21"/>
                      <w:vertAlign w:val="superscript"/>
                    </w:rPr>
                    <w:t>3</w:t>
                  </w:r>
                  <w:r>
                    <w:rPr>
                      <w:rFonts w:hint="default" w:ascii="Times New Roman" w:hAnsi="Times New Roman" w:eastAsia="仿宋" w:cs="Times New Roman"/>
                      <w:b/>
                      <w:bCs/>
                      <w:color w:val="auto"/>
                      <w:kern w:val="0"/>
                      <w:szCs w:val="21"/>
                    </w:rPr>
                    <w:t>）</w:t>
                  </w:r>
                </w:p>
              </w:tc>
              <w:tc>
                <w:tcPr>
                  <w:tcW w:w="727" w:type="pct"/>
                  <w:vAlign w:val="center"/>
                </w:tcPr>
                <w:p w14:paraId="54CC396A">
                  <w:pPr>
                    <w:kinsoku w:val="0"/>
                    <w:overflowPunct w:val="0"/>
                    <w:autoSpaceDE w:val="0"/>
                    <w:autoSpaceDN w:val="0"/>
                    <w:adjustRightIn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标准值</w:t>
                  </w:r>
                </w:p>
                <w:p w14:paraId="64044D00">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（μg/m</w:t>
                  </w:r>
                  <w:r>
                    <w:rPr>
                      <w:rFonts w:hint="default" w:ascii="Times New Roman" w:hAnsi="Times New Roman" w:eastAsia="仿宋" w:cs="Times New Roman"/>
                      <w:b/>
                      <w:bCs/>
                      <w:color w:val="auto"/>
                      <w:kern w:val="0"/>
                      <w:szCs w:val="21"/>
                      <w:vertAlign w:val="superscript"/>
                    </w:rPr>
                    <w:t>3</w:t>
                  </w:r>
                  <w:r>
                    <w:rPr>
                      <w:rFonts w:hint="default" w:ascii="Times New Roman" w:hAnsi="Times New Roman" w:eastAsia="仿宋" w:cs="Times New Roman"/>
                      <w:b/>
                      <w:bCs/>
                      <w:color w:val="auto"/>
                      <w:kern w:val="0"/>
                      <w:szCs w:val="21"/>
                    </w:rPr>
                    <w:t>）</w:t>
                  </w:r>
                </w:p>
              </w:tc>
              <w:tc>
                <w:tcPr>
                  <w:tcW w:w="727" w:type="pct"/>
                  <w:vAlign w:val="center"/>
                </w:tcPr>
                <w:p w14:paraId="77EFDE12">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达标率/%</w:t>
                  </w:r>
                </w:p>
              </w:tc>
              <w:tc>
                <w:tcPr>
                  <w:tcW w:w="728" w:type="pct"/>
                  <w:vAlign w:val="center"/>
                </w:tcPr>
                <w:p w14:paraId="2580BA65">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
                      <w:bCs/>
                      <w:color w:val="auto"/>
                      <w:kern w:val="0"/>
                      <w:szCs w:val="21"/>
                    </w:rPr>
                    <w:t>达标情况</w:t>
                  </w:r>
                </w:p>
              </w:tc>
            </w:tr>
            <w:tr w14:paraId="7DFE4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restart"/>
                  <w:vAlign w:val="center"/>
                </w:tcPr>
                <w:p w14:paraId="62228243">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SO</w:t>
                  </w:r>
                  <w:r>
                    <w:rPr>
                      <w:rFonts w:hint="default" w:ascii="Times New Roman" w:hAnsi="Times New Roman" w:eastAsia="仿宋" w:cs="Times New Roman"/>
                      <w:color w:val="auto"/>
                      <w:kern w:val="0"/>
                      <w:szCs w:val="21"/>
                      <w:vertAlign w:val="subscript"/>
                    </w:rPr>
                    <w:t>2</w:t>
                  </w:r>
                </w:p>
              </w:tc>
              <w:tc>
                <w:tcPr>
                  <w:tcW w:w="1562" w:type="pct"/>
                  <w:vAlign w:val="center"/>
                </w:tcPr>
                <w:p w14:paraId="10B08DEA">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年平均质量浓度</w:t>
                  </w:r>
                </w:p>
              </w:tc>
              <w:tc>
                <w:tcPr>
                  <w:tcW w:w="1224" w:type="dxa"/>
                  <w:vAlign w:val="center"/>
                </w:tcPr>
                <w:p w14:paraId="7443F50B">
                  <w:pPr>
                    <w:snapToGrid w:val="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8</w:t>
                  </w:r>
                </w:p>
              </w:tc>
              <w:tc>
                <w:tcPr>
                  <w:tcW w:w="1224" w:type="dxa"/>
                  <w:vAlign w:val="center"/>
                </w:tcPr>
                <w:p w14:paraId="1890E649">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60</w:t>
                  </w:r>
                </w:p>
              </w:tc>
              <w:tc>
                <w:tcPr>
                  <w:tcW w:w="1225" w:type="dxa"/>
                  <w:vAlign w:val="center"/>
                </w:tcPr>
                <w:p w14:paraId="2993E307">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restart"/>
                  <w:vAlign w:val="center"/>
                </w:tcPr>
                <w:p w14:paraId="39A28910">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达标</w:t>
                  </w:r>
                </w:p>
              </w:tc>
            </w:tr>
            <w:tr w14:paraId="3F026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continue"/>
                  <w:vAlign w:val="center"/>
                </w:tcPr>
                <w:p w14:paraId="5B857C67">
                  <w:pPr>
                    <w:snapToGrid w:val="0"/>
                    <w:jc w:val="center"/>
                    <w:rPr>
                      <w:rFonts w:hint="default" w:ascii="Times New Roman" w:hAnsi="Times New Roman" w:eastAsia="仿宋" w:cs="Times New Roman"/>
                      <w:color w:val="auto"/>
                      <w:kern w:val="0"/>
                      <w:szCs w:val="21"/>
                    </w:rPr>
                  </w:pPr>
                </w:p>
              </w:tc>
              <w:tc>
                <w:tcPr>
                  <w:tcW w:w="1562" w:type="pct"/>
                  <w:vAlign w:val="center"/>
                </w:tcPr>
                <w:p w14:paraId="25259848">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日均值浓度</w:t>
                  </w:r>
                </w:p>
              </w:tc>
              <w:tc>
                <w:tcPr>
                  <w:tcW w:w="1224" w:type="dxa"/>
                  <w:vAlign w:val="center"/>
                </w:tcPr>
                <w:p w14:paraId="73F9E147">
                  <w:pPr>
                    <w:snapToGrid w:val="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val="en-US" w:eastAsia="zh-CN"/>
                    </w:rPr>
                    <w:t>5-15</w:t>
                  </w:r>
                </w:p>
              </w:tc>
              <w:tc>
                <w:tcPr>
                  <w:tcW w:w="1224" w:type="dxa"/>
                  <w:vAlign w:val="center"/>
                </w:tcPr>
                <w:p w14:paraId="728C3AFB">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150</w:t>
                  </w:r>
                </w:p>
              </w:tc>
              <w:tc>
                <w:tcPr>
                  <w:tcW w:w="1225" w:type="dxa"/>
                  <w:vAlign w:val="center"/>
                </w:tcPr>
                <w:p w14:paraId="1BA98D6A">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continue"/>
                  <w:vAlign w:val="center"/>
                </w:tcPr>
                <w:p w14:paraId="6C879695">
                  <w:pPr>
                    <w:kinsoku w:val="0"/>
                    <w:overflowPunct w:val="0"/>
                    <w:autoSpaceDE w:val="0"/>
                    <w:autoSpaceDN w:val="0"/>
                    <w:adjustRightInd w:val="0"/>
                    <w:jc w:val="center"/>
                    <w:rPr>
                      <w:rFonts w:hint="default" w:ascii="Times New Roman" w:hAnsi="Times New Roman" w:eastAsia="仿宋" w:cs="Times New Roman"/>
                      <w:color w:val="auto"/>
                      <w:kern w:val="0"/>
                      <w:szCs w:val="21"/>
                    </w:rPr>
                  </w:pPr>
                </w:p>
              </w:tc>
            </w:tr>
            <w:tr w14:paraId="0A32A2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restart"/>
                  <w:vAlign w:val="center"/>
                </w:tcPr>
                <w:p w14:paraId="3D40C29E">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NO</w:t>
                  </w:r>
                  <w:r>
                    <w:rPr>
                      <w:rFonts w:hint="default" w:ascii="Times New Roman" w:hAnsi="Times New Roman" w:eastAsia="仿宋" w:cs="Times New Roman"/>
                      <w:color w:val="auto"/>
                      <w:kern w:val="0"/>
                      <w:szCs w:val="21"/>
                      <w:vertAlign w:val="subscript"/>
                    </w:rPr>
                    <w:t>2</w:t>
                  </w:r>
                </w:p>
              </w:tc>
              <w:tc>
                <w:tcPr>
                  <w:tcW w:w="1562" w:type="pct"/>
                  <w:vAlign w:val="center"/>
                </w:tcPr>
                <w:p w14:paraId="50DB9660">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年平均质量浓度</w:t>
                  </w:r>
                </w:p>
              </w:tc>
              <w:tc>
                <w:tcPr>
                  <w:tcW w:w="1224" w:type="dxa"/>
                  <w:vAlign w:val="center"/>
                </w:tcPr>
                <w:p w14:paraId="7CDC7B05">
                  <w:pPr>
                    <w:snapToGrid w:val="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26</w:t>
                  </w:r>
                </w:p>
              </w:tc>
              <w:tc>
                <w:tcPr>
                  <w:tcW w:w="1224" w:type="dxa"/>
                  <w:vAlign w:val="center"/>
                </w:tcPr>
                <w:p w14:paraId="4AF7ADDA">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40</w:t>
                  </w:r>
                </w:p>
              </w:tc>
              <w:tc>
                <w:tcPr>
                  <w:tcW w:w="1225" w:type="dxa"/>
                  <w:vAlign w:val="center"/>
                </w:tcPr>
                <w:p w14:paraId="144F96C9">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restart"/>
                  <w:vAlign w:val="center"/>
                </w:tcPr>
                <w:p w14:paraId="01C7FD44">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达标</w:t>
                  </w:r>
                </w:p>
              </w:tc>
            </w:tr>
            <w:tr w14:paraId="3C5CA9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continue"/>
                  <w:vAlign w:val="center"/>
                </w:tcPr>
                <w:p w14:paraId="1F532953">
                  <w:pPr>
                    <w:snapToGrid w:val="0"/>
                    <w:jc w:val="center"/>
                    <w:rPr>
                      <w:rFonts w:hint="default" w:ascii="Times New Roman" w:hAnsi="Times New Roman" w:eastAsia="仿宋" w:cs="Times New Roman"/>
                      <w:color w:val="auto"/>
                      <w:kern w:val="0"/>
                      <w:szCs w:val="21"/>
                    </w:rPr>
                  </w:pPr>
                </w:p>
              </w:tc>
              <w:tc>
                <w:tcPr>
                  <w:tcW w:w="1562" w:type="pct"/>
                  <w:vAlign w:val="center"/>
                </w:tcPr>
                <w:p w14:paraId="03E3808D">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日均值浓度</w:t>
                  </w:r>
                </w:p>
              </w:tc>
              <w:tc>
                <w:tcPr>
                  <w:tcW w:w="1224" w:type="dxa"/>
                  <w:vAlign w:val="center"/>
                </w:tcPr>
                <w:p w14:paraId="32E518E1">
                  <w:pPr>
                    <w:snapToGrid w:val="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5-92</w:t>
                  </w:r>
                </w:p>
              </w:tc>
              <w:tc>
                <w:tcPr>
                  <w:tcW w:w="1224" w:type="dxa"/>
                  <w:vAlign w:val="center"/>
                </w:tcPr>
                <w:p w14:paraId="477004BB">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80</w:t>
                  </w:r>
                </w:p>
              </w:tc>
              <w:tc>
                <w:tcPr>
                  <w:tcW w:w="1225" w:type="dxa"/>
                  <w:vAlign w:val="center"/>
                </w:tcPr>
                <w:p w14:paraId="78E00BAD">
                  <w:pPr>
                    <w:snapToGrid w:val="0"/>
                    <w:jc w:val="center"/>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rPr>
                    <w:t>9</w:t>
                  </w:r>
                  <w:r>
                    <w:rPr>
                      <w:rFonts w:hint="default" w:ascii="Times New Roman" w:hAnsi="Times New Roman" w:eastAsia="仿宋" w:cs="Times New Roman"/>
                      <w:color w:val="auto"/>
                      <w:kern w:val="0"/>
                      <w:szCs w:val="21"/>
                      <w:lang w:val="en-US" w:eastAsia="zh-CN"/>
                    </w:rPr>
                    <w:t>9.2</w:t>
                  </w:r>
                </w:p>
              </w:tc>
              <w:tc>
                <w:tcPr>
                  <w:tcW w:w="728" w:type="pct"/>
                  <w:vMerge w:val="continue"/>
                  <w:vAlign w:val="center"/>
                </w:tcPr>
                <w:p w14:paraId="69B8B103">
                  <w:pPr>
                    <w:kinsoku w:val="0"/>
                    <w:overflowPunct w:val="0"/>
                    <w:autoSpaceDE w:val="0"/>
                    <w:autoSpaceDN w:val="0"/>
                    <w:adjustRightInd w:val="0"/>
                    <w:jc w:val="center"/>
                    <w:rPr>
                      <w:rFonts w:hint="default" w:ascii="Times New Roman" w:hAnsi="Times New Roman" w:eastAsia="仿宋" w:cs="Times New Roman"/>
                      <w:color w:val="auto"/>
                      <w:kern w:val="0"/>
                      <w:szCs w:val="21"/>
                    </w:rPr>
                  </w:pPr>
                </w:p>
              </w:tc>
            </w:tr>
            <w:tr w14:paraId="3B4C8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restart"/>
                  <w:vAlign w:val="center"/>
                </w:tcPr>
                <w:p w14:paraId="56C3CBE1">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PM</w:t>
                  </w:r>
                  <w:r>
                    <w:rPr>
                      <w:rFonts w:hint="default" w:ascii="Times New Roman" w:hAnsi="Times New Roman" w:eastAsia="仿宋" w:cs="Times New Roman"/>
                      <w:color w:val="auto"/>
                      <w:kern w:val="0"/>
                      <w:szCs w:val="21"/>
                      <w:vertAlign w:val="subscript"/>
                    </w:rPr>
                    <w:t>10</w:t>
                  </w:r>
                </w:p>
              </w:tc>
              <w:tc>
                <w:tcPr>
                  <w:tcW w:w="1562" w:type="pct"/>
                  <w:vAlign w:val="center"/>
                </w:tcPr>
                <w:p w14:paraId="42CA5E46">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年平均质量浓度</w:t>
                  </w:r>
                </w:p>
              </w:tc>
              <w:tc>
                <w:tcPr>
                  <w:tcW w:w="1224" w:type="dxa"/>
                  <w:vAlign w:val="center"/>
                </w:tcPr>
                <w:p w14:paraId="10676A92">
                  <w:pPr>
                    <w:snapToGrid w:val="0"/>
                    <w:jc w:val="center"/>
                    <w:rPr>
                      <w:rFonts w:hint="default" w:ascii="Times New Roman" w:hAnsi="Times New Roman" w:eastAsia="仿宋" w:cs="Times New Roman"/>
                      <w:color w:val="auto"/>
                      <w:kern w:val="0"/>
                      <w:szCs w:val="21"/>
                      <w:highlight w:val="yellow"/>
                      <w:lang w:val="en-US" w:eastAsia="zh-CN"/>
                    </w:rPr>
                  </w:pPr>
                  <w:r>
                    <w:rPr>
                      <w:rFonts w:hint="default" w:ascii="Times New Roman" w:hAnsi="Times New Roman" w:eastAsia="仿宋" w:cs="Times New Roman"/>
                      <w:color w:val="auto"/>
                      <w:kern w:val="0"/>
                      <w:szCs w:val="21"/>
                      <w:highlight w:val="none"/>
                    </w:rPr>
                    <w:t>5</w:t>
                  </w:r>
                  <w:r>
                    <w:rPr>
                      <w:rFonts w:hint="default" w:ascii="Times New Roman" w:hAnsi="Times New Roman" w:eastAsia="仿宋" w:cs="Times New Roman"/>
                      <w:color w:val="auto"/>
                      <w:kern w:val="0"/>
                      <w:szCs w:val="21"/>
                      <w:highlight w:val="none"/>
                      <w:lang w:val="en-US" w:eastAsia="zh-CN"/>
                    </w:rPr>
                    <w:t>2</w:t>
                  </w:r>
                </w:p>
              </w:tc>
              <w:tc>
                <w:tcPr>
                  <w:tcW w:w="1224" w:type="dxa"/>
                  <w:vAlign w:val="center"/>
                </w:tcPr>
                <w:p w14:paraId="6B139CC7">
                  <w:pPr>
                    <w:snapToGrid w:val="0"/>
                    <w:jc w:val="center"/>
                    <w:rPr>
                      <w:rFonts w:hint="default"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60</w:t>
                  </w:r>
                </w:p>
              </w:tc>
              <w:tc>
                <w:tcPr>
                  <w:tcW w:w="1225" w:type="dxa"/>
                  <w:vAlign w:val="center"/>
                </w:tcPr>
                <w:p w14:paraId="7FF58857">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restart"/>
                  <w:vAlign w:val="center"/>
                </w:tcPr>
                <w:p w14:paraId="33680581">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达标</w:t>
                  </w:r>
                </w:p>
              </w:tc>
            </w:tr>
            <w:tr w14:paraId="4239D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continue"/>
                  <w:vAlign w:val="center"/>
                </w:tcPr>
                <w:p w14:paraId="22B054EC">
                  <w:pPr>
                    <w:snapToGrid w:val="0"/>
                    <w:jc w:val="center"/>
                    <w:rPr>
                      <w:rFonts w:hint="default" w:ascii="Times New Roman" w:hAnsi="Times New Roman" w:eastAsia="仿宋" w:cs="Times New Roman"/>
                      <w:color w:val="auto"/>
                      <w:kern w:val="0"/>
                      <w:szCs w:val="21"/>
                    </w:rPr>
                  </w:pPr>
                </w:p>
              </w:tc>
              <w:tc>
                <w:tcPr>
                  <w:tcW w:w="1562" w:type="pct"/>
                  <w:vAlign w:val="center"/>
                </w:tcPr>
                <w:p w14:paraId="35137EA5">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日均值浓度</w:t>
                  </w:r>
                </w:p>
              </w:tc>
              <w:tc>
                <w:tcPr>
                  <w:tcW w:w="1224" w:type="dxa"/>
                  <w:vAlign w:val="center"/>
                </w:tcPr>
                <w:p w14:paraId="5E032922">
                  <w:pPr>
                    <w:snapToGrid w:val="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9-206</w:t>
                  </w:r>
                </w:p>
              </w:tc>
              <w:tc>
                <w:tcPr>
                  <w:tcW w:w="1224" w:type="dxa"/>
                  <w:vAlign w:val="center"/>
                </w:tcPr>
                <w:p w14:paraId="4F499E8F">
                  <w:pPr>
                    <w:snapToGrid w:val="0"/>
                    <w:jc w:val="center"/>
                    <w:rPr>
                      <w:rFonts w:hint="default"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120</w:t>
                  </w:r>
                </w:p>
              </w:tc>
              <w:tc>
                <w:tcPr>
                  <w:tcW w:w="1225" w:type="dxa"/>
                  <w:vAlign w:val="center"/>
                </w:tcPr>
                <w:p w14:paraId="4DF2D6F8">
                  <w:pPr>
                    <w:snapToGrid w:val="0"/>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98.</w:t>
                  </w:r>
                  <w:r>
                    <w:rPr>
                      <w:rFonts w:hint="default" w:ascii="Times New Roman" w:hAnsi="Times New Roman" w:eastAsia="仿宋" w:cs="Times New Roman"/>
                      <w:color w:val="auto"/>
                      <w:kern w:val="0"/>
                      <w:szCs w:val="21"/>
                      <w:highlight w:val="none"/>
                      <w:lang w:val="en-US" w:eastAsia="zh-CN"/>
                    </w:rPr>
                    <w:t>3</w:t>
                  </w:r>
                </w:p>
              </w:tc>
              <w:tc>
                <w:tcPr>
                  <w:tcW w:w="728" w:type="pct"/>
                  <w:vMerge w:val="continue"/>
                  <w:vAlign w:val="center"/>
                </w:tcPr>
                <w:p w14:paraId="66824BC4">
                  <w:pPr>
                    <w:kinsoku w:val="0"/>
                    <w:overflowPunct w:val="0"/>
                    <w:autoSpaceDE w:val="0"/>
                    <w:autoSpaceDN w:val="0"/>
                    <w:adjustRightInd w:val="0"/>
                    <w:jc w:val="center"/>
                    <w:rPr>
                      <w:rFonts w:hint="default" w:ascii="Times New Roman" w:hAnsi="Times New Roman" w:eastAsia="仿宋" w:cs="Times New Roman"/>
                      <w:color w:val="auto"/>
                      <w:kern w:val="0"/>
                      <w:szCs w:val="21"/>
                    </w:rPr>
                  </w:pPr>
                </w:p>
              </w:tc>
            </w:tr>
            <w:tr w14:paraId="36C34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restart"/>
                  <w:vAlign w:val="center"/>
                </w:tcPr>
                <w:p w14:paraId="48D65E0B">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PM</w:t>
                  </w:r>
                  <w:r>
                    <w:rPr>
                      <w:rFonts w:hint="default" w:ascii="Times New Roman" w:hAnsi="Times New Roman" w:eastAsia="仿宋" w:cs="Times New Roman"/>
                      <w:color w:val="auto"/>
                      <w:kern w:val="0"/>
                      <w:szCs w:val="21"/>
                      <w:vertAlign w:val="subscript"/>
                    </w:rPr>
                    <w:t>2.5</w:t>
                  </w:r>
                </w:p>
              </w:tc>
              <w:tc>
                <w:tcPr>
                  <w:tcW w:w="1562" w:type="pct"/>
                  <w:vAlign w:val="center"/>
                </w:tcPr>
                <w:p w14:paraId="2D88E420">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年平均质量浓度</w:t>
                  </w:r>
                </w:p>
              </w:tc>
              <w:tc>
                <w:tcPr>
                  <w:tcW w:w="1224" w:type="dxa"/>
                  <w:vAlign w:val="center"/>
                </w:tcPr>
                <w:p w14:paraId="62EEC0A7">
                  <w:pPr>
                    <w:snapToGrid w:val="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3</w:t>
                  </w:r>
                  <w:r>
                    <w:rPr>
                      <w:rFonts w:hint="default" w:ascii="Times New Roman" w:hAnsi="Times New Roman" w:eastAsia="仿宋" w:cs="Times New Roman"/>
                      <w:color w:val="auto"/>
                      <w:kern w:val="0"/>
                      <w:szCs w:val="21"/>
                      <w:lang w:val="en-US" w:eastAsia="zh-CN"/>
                    </w:rPr>
                    <w:t>2</w:t>
                  </w:r>
                </w:p>
              </w:tc>
              <w:tc>
                <w:tcPr>
                  <w:tcW w:w="1224" w:type="dxa"/>
                  <w:vAlign w:val="center"/>
                </w:tcPr>
                <w:p w14:paraId="083B1268">
                  <w:pPr>
                    <w:snapToGrid w:val="0"/>
                    <w:jc w:val="center"/>
                    <w:rPr>
                      <w:rFonts w:hint="default"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30</w:t>
                  </w:r>
                </w:p>
              </w:tc>
              <w:tc>
                <w:tcPr>
                  <w:tcW w:w="1225" w:type="dxa"/>
                  <w:vAlign w:val="center"/>
                </w:tcPr>
                <w:p w14:paraId="45A052C8">
                  <w:pPr>
                    <w:snapToGrid w:val="0"/>
                    <w:jc w:val="center"/>
                    <w:rPr>
                      <w:rFonts w:hint="eastAsia" w:ascii="Times New Roman" w:hAnsi="Times New Roman" w:eastAsia="仿宋" w:cs="Times New Roman"/>
                      <w:color w:val="auto"/>
                      <w:kern w:val="0"/>
                      <w:szCs w:val="21"/>
                      <w:highlight w:val="none"/>
                      <w:lang w:eastAsia="zh-CN"/>
                    </w:rPr>
                  </w:pPr>
                  <w:r>
                    <w:rPr>
                      <w:rFonts w:hint="eastAsia" w:eastAsia="仿宋" w:cs="Times New Roman"/>
                      <w:color w:val="auto"/>
                      <w:kern w:val="0"/>
                      <w:szCs w:val="21"/>
                      <w:highlight w:val="none"/>
                      <w:lang w:val="en-US" w:eastAsia="zh-CN"/>
                    </w:rPr>
                    <w:t>/</w:t>
                  </w:r>
                </w:p>
              </w:tc>
              <w:tc>
                <w:tcPr>
                  <w:tcW w:w="728" w:type="pct"/>
                  <w:vMerge w:val="restart"/>
                  <w:vAlign w:val="center"/>
                </w:tcPr>
                <w:p w14:paraId="5920D685">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不达标</w:t>
                  </w:r>
                </w:p>
              </w:tc>
            </w:tr>
            <w:tr w14:paraId="7034AD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continue"/>
                  <w:vAlign w:val="center"/>
                </w:tcPr>
                <w:p w14:paraId="18B44B84">
                  <w:pPr>
                    <w:snapToGrid w:val="0"/>
                    <w:jc w:val="center"/>
                    <w:rPr>
                      <w:rFonts w:hint="default" w:ascii="Times New Roman" w:hAnsi="Times New Roman" w:eastAsia="仿宋" w:cs="Times New Roman"/>
                      <w:color w:val="auto"/>
                      <w:kern w:val="0"/>
                      <w:szCs w:val="21"/>
                    </w:rPr>
                  </w:pPr>
                </w:p>
              </w:tc>
              <w:tc>
                <w:tcPr>
                  <w:tcW w:w="1562" w:type="pct"/>
                  <w:vAlign w:val="center"/>
                </w:tcPr>
                <w:p w14:paraId="37DBD7C2">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日均值浓度</w:t>
                  </w:r>
                </w:p>
              </w:tc>
              <w:tc>
                <w:tcPr>
                  <w:tcW w:w="1224" w:type="dxa"/>
                  <w:vAlign w:val="center"/>
                </w:tcPr>
                <w:p w14:paraId="228479B4">
                  <w:pPr>
                    <w:snapToGrid w:val="0"/>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5-157</w:t>
                  </w:r>
                </w:p>
              </w:tc>
              <w:tc>
                <w:tcPr>
                  <w:tcW w:w="1224" w:type="dxa"/>
                  <w:vAlign w:val="center"/>
                </w:tcPr>
                <w:p w14:paraId="40FEFE0F">
                  <w:pPr>
                    <w:snapToGrid w:val="0"/>
                    <w:jc w:val="center"/>
                    <w:rPr>
                      <w:rFonts w:hint="default"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60</w:t>
                  </w:r>
                </w:p>
              </w:tc>
              <w:tc>
                <w:tcPr>
                  <w:tcW w:w="1225" w:type="dxa"/>
                  <w:vAlign w:val="center"/>
                </w:tcPr>
                <w:p w14:paraId="1E7E995E">
                  <w:pPr>
                    <w:snapToGrid w:val="0"/>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93.</w:t>
                  </w:r>
                  <w:r>
                    <w:rPr>
                      <w:rFonts w:hint="default" w:ascii="Times New Roman" w:hAnsi="Times New Roman" w:eastAsia="仿宋" w:cs="Times New Roman"/>
                      <w:color w:val="auto"/>
                      <w:kern w:val="0"/>
                      <w:szCs w:val="21"/>
                      <w:highlight w:val="none"/>
                      <w:lang w:val="en-US" w:eastAsia="zh-CN"/>
                    </w:rPr>
                    <w:t>2</w:t>
                  </w:r>
                </w:p>
              </w:tc>
              <w:tc>
                <w:tcPr>
                  <w:tcW w:w="728" w:type="pct"/>
                  <w:vMerge w:val="continue"/>
                  <w:vAlign w:val="center"/>
                </w:tcPr>
                <w:p w14:paraId="7F1D0873">
                  <w:pPr>
                    <w:kinsoku w:val="0"/>
                    <w:overflowPunct w:val="0"/>
                    <w:autoSpaceDE w:val="0"/>
                    <w:autoSpaceDN w:val="0"/>
                    <w:adjustRightInd w:val="0"/>
                    <w:jc w:val="center"/>
                    <w:rPr>
                      <w:rFonts w:hint="default" w:ascii="Times New Roman" w:hAnsi="Times New Roman" w:eastAsia="仿宋" w:cs="Times New Roman"/>
                      <w:color w:val="auto"/>
                      <w:kern w:val="0"/>
                      <w:szCs w:val="21"/>
                    </w:rPr>
                  </w:pPr>
                </w:p>
              </w:tc>
            </w:tr>
            <w:tr w14:paraId="67C3F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restart"/>
                  <w:vAlign w:val="center"/>
                </w:tcPr>
                <w:p w14:paraId="782B923F">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CO</w:t>
                  </w:r>
                </w:p>
              </w:tc>
              <w:tc>
                <w:tcPr>
                  <w:tcW w:w="1562" w:type="pct"/>
                  <w:vAlign w:val="center"/>
                </w:tcPr>
                <w:p w14:paraId="378E2D9D">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日均值的第95百分位数</w:t>
                  </w:r>
                </w:p>
              </w:tc>
              <w:tc>
                <w:tcPr>
                  <w:tcW w:w="1224" w:type="dxa"/>
                  <w:vAlign w:val="center"/>
                </w:tcPr>
                <w:p w14:paraId="4A0C1FC4">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1100</w:t>
                  </w:r>
                </w:p>
              </w:tc>
              <w:tc>
                <w:tcPr>
                  <w:tcW w:w="1224" w:type="dxa"/>
                  <w:vAlign w:val="center"/>
                </w:tcPr>
                <w:p w14:paraId="554D8AEF">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4000</w:t>
                  </w:r>
                </w:p>
              </w:tc>
              <w:tc>
                <w:tcPr>
                  <w:tcW w:w="1225" w:type="dxa"/>
                  <w:vAlign w:val="center"/>
                </w:tcPr>
                <w:p w14:paraId="4AFE529F">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restart"/>
                  <w:vAlign w:val="center"/>
                </w:tcPr>
                <w:p w14:paraId="2C7EF934">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达标</w:t>
                  </w:r>
                </w:p>
              </w:tc>
            </w:tr>
            <w:tr w14:paraId="0C807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Merge w:val="continue"/>
                  <w:vAlign w:val="center"/>
                </w:tcPr>
                <w:p w14:paraId="773A1121">
                  <w:pPr>
                    <w:snapToGrid w:val="0"/>
                    <w:jc w:val="center"/>
                    <w:rPr>
                      <w:rFonts w:hint="default" w:ascii="Times New Roman" w:hAnsi="Times New Roman" w:eastAsia="仿宋" w:cs="Times New Roman"/>
                      <w:color w:val="auto"/>
                      <w:kern w:val="0"/>
                      <w:szCs w:val="21"/>
                    </w:rPr>
                  </w:pPr>
                </w:p>
              </w:tc>
              <w:tc>
                <w:tcPr>
                  <w:tcW w:w="1562" w:type="pct"/>
                  <w:vAlign w:val="center"/>
                </w:tcPr>
                <w:p w14:paraId="1BABF04A">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日均值浓度</w:t>
                  </w:r>
                </w:p>
              </w:tc>
              <w:tc>
                <w:tcPr>
                  <w:tcW w:w="1224" w:type="dxa"/>
                  <w:vAlign w:val="center"/>
                </w:tcPr>
                <w:p w14:paraId="655698DC">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400-1500</w:t>
                  </w:r>
                </w:p>
              </w:tc>
              <w:tc>
                <w:tcPr>
                  <w:tcW w:w="1224" w:type="dxa"/>
                  <w:vAlign w:val="center"/>
                </w:tcPr>
                <w:p w14:paraId="265A2A97">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4000</w:t>
                  </w:r>
                </w:p>
              </w:tc>
              <w:tc>
                <w:tcPr>
                  <w:tcW w:w="1225" w:type="dxa"/>
                  <w:vAlign w:val="center"/>
                </w:tcPr>
                <w:p w14:paraId="3F56ECFB">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100</w:t>
                  </w:r>
                </w:p>
              </w:tc>
              <w:tc>
                <w:tcPr>
                  <w:tcW w:w="728" w:type="pct"/>
                  <w:vMerge w:val="continue"/>
                  <w:vAlign w:val="center"/>
                </w:tcPr>
                <w:p w14:paraId="293E94B8">
                  <w:pPr>
                    <w:kinsoku w:val="0"/>
                    <w:overflowPunct w:val="0"/>
                    <w:autoSpaceDE w:val="0"/>
                    <w:autoSpaceDN w:val="0"/>
                    <w:adjustRightInd w:val="0"/>
                    <w:jc w:val="center"/>
                    <w:rPr>
                      <w:rFonts w:hint="default" w:ascii="Times New Roman" w:hAnsi="Times New Roman" w:eastAsia="仿宋" w:cs="Times New Roman"/>
                      <w:color w:val="auto"/>
                      <w:kern w:val="0"/>
                      <w:szCs w:val="21"/>
                    </w:rPr>
                  </w:pPr>
                </w:p>
              </w:tc>
            </w:tr>
            <w:tr w14:paraId="69ECD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7" w:type="pct"/>
                  <w:vAlign w:val="center"/>
                </w:tcPr>
                <w:p w14:paraId="10398EB7">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O</w:t>
                  </w:r>
                  <w:r>
                    <w:rPr>
                      <w:rFonts w:hint="default" w:ascii="Times New Roman" w:hAnsi="Times New Roman" w:eastAsia="仿宋" w:cs="Times New Roman"/>
                      <w:color w:val="auto"/>
                      <w:kern w:val="0"/>
                      <w:szCs w:val="21"/>
                      <w:vertAlign w:val="subscript"/>
                    </w:rPr>
                    <w:t>3</w:t>
                  </w:r>
                </w:p>
              </w:tc>
              <w:tc>
                <w:tcPr>
                  <w:tcW w:w="1562" w:type="pct"/>
                  <w:vAlign w:val="center"/>
                </w:tcPr>
                <w:p w14:paraId="6ED817F2">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日最大8h滑动平均值第90百分位数</w:t>
                  </w:r>
                </w:p>
              </w:tc>
              <w:tc>
                <w:tcPr>
                  <w:tcW w:w="1224" w:type="dxa"/>
                  <w:vAlign w:val="center"/>
                </w:tcPr>
                <w:p w14:paraId="2D985A66">
                  <w:pPr>
                    <w:snapToGrid w:val="0"/>
                    <w:jc w:val="center"/>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1</w:t>
                  </w:r>
                  <w:r>
                    <w:rPr>
                      <w:rFonts w:hint="default" w:ascii="Times New Roman" w:hAnsi="Times New Roman" w:eastAsia="仿宋" w:cs="Times New Roman"/>
                      <w:color w:val="auto"/>
                      <w:kern w:val="0"/>
                      <w:szCs w:val="21"/>
                      <w:lang w:val="en-US" w:eastAsia="zh-CN"/>
                    </w:rPr>
                    <w:t>68</w:t>
                  </w:r>
                </w:p>
              </w:tc>
              <w:tc>
                <w:tcPr>
                  <w:tcW w:w="1224" w:type="dxa"/>
                  <w:vAlign w:val="center"/>
                </w:tcPr>
                <w:p w14:paraId="54A7F882">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160</w:t>
                  </w:r>
                </w:p>
              </w:tc>
              <w:tc>
                <w:tcPr>
                  <w:tcW w:w="1225" w:type="dxa"/>
                  <w:vAlign w:val="center"/>
                </w:tcPr>
                <w:p w14:paraId="45408827">
                  <w:pPr>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8</w:t>
                  </w:r>
                  <w:r>
                    <w:rPr>
                      <w:rFonts w:hint="default" w:ascii="Times New Roman" w:hAnsi="Times New Roman" w:eastAsia="仿宋" w:cs="Times New Roman"/>
                      <w:color w:val="auto"/>
                      <w:kern w:val="0"/>
                      <w:szCs w:val="21"/>
                      <w:lang w:val="en-US" w:eastAsia="zh-CN"/>
                    </w:rPr>
                    <w:t>6.3</w:t>
                  </w:r>
                </w:p>
              </w:tc>
              <w:tc>
                <w:tcPr>
                  <w:tcW w:w="728" w:type="pct"/>
                  <w:vAlign w:val="center"/>
                </w:tcPr>
                <w:p w14:paraId="27C716C7">
                  <w:pPr>
                    <w:kinsoku w:val="0"/>
                    <w:overflowPunct w:val="0"/>
                    <w:autoSpaceDE w:val="0"/>
                    <w:autoSpaceDN w:val="0"/>
                    <w:adjustRightIn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不达标</w:t>
                  </w:r>
                </w:p>
              </w:tc>
            </w:tr>
          </w:tbl>
          <w:p w14:paraId="458FA8D6">
            <w:pPr>
              <w:widowControl/>
              <w:adjustRightInd w:val="0"/>
              <w:snapToGrid w:val="0"/>
              <w:spacing w:before="120" w:beforeLines="50"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由上表可知，202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年常州市环境空气中SO</w:t>
            </w:r>
            <w:r>
              <w:rPr>
                <w:rFonts w:hint="default" w:ascii="Times New Roman" w:hAnsi="Times New Roman" w:eastAsia="仿宋" w:cs="Times New Roman"/>
                <w:bCs/>
                <w:color w:val="auto"/>
                <w:sz w:val="24"/>
                <w:vertAlign w:val="subscript"/>
              </w:rPr>
              <w:t>2</w:t>
            </w:r>
            <w:r>
              <w:rPr>
                <w:rFonts w:hint="default" w:ascii="Times New Roman" w:hAnsi="Times New Roman" w:eastAsia="仿宋" w:cs="Times New Roman"/>
                <w:bCs/>
                <w:color w:val="auto"/>
                <w:sz w:val="24"/>
              </w:rPr>
              <w:t>、NO</w:t>
            </w:r>
            <w:r>
              <w:rPr>
                <w:rFonts w:hint="default" w:ascii="Times New Roman" w:hAnsi="Times New Roman" w:eastAsia="仿宋" w:cs="Times New Roman"/>
                <w:bCs/>
                <w:color w:val="auto"/>
                <w:sz w:val="24"/>
                <w:vertAlign w:val="subscript"/>
              </w:rPr>
              <w:t>2</w:t>
            </w:r>
            <w:r>
              <w:rPr>
                <w:rFonts w:hint="default" w:ascii="Times New Roman" w:hAnsi="Times New Roman" w:eastAsia="仿宋" w:cs="Times New Roman"/>
                <w:bCs/>
                <w:color w:val="auto"/>
                <w:sz w:val="24"/>
              </w:rPr>
              <w:t>年均值和日均值的第98百分位数、PM</w:t>
            </w:r>
            <w:r>
              <w:rPr>
                <w:rFonts w:hint="default" w:ascii="Times New Roman" w:hAnsi="Times New Roman" w:eastAsia="仿宋" w:cs="Times New Roman"/>
                <w:bCs/>
                <w:color w:val="auto"/>
                <w:sz w:val="24"/>
                <w:vertAlign w:val="subscript"/>
              </w:rPr>
              <w:t>10</w:t>
            </w:r>
            <w:r>
              <w:rPr>
                <w:rFonts w:hint="default" w:ascii="Times New Roman" w:hAnsi="Times New Roman" w:eastAsia="仿宋" w:cs="Times New Roman"/>
                <w:bCs/>
                <w:color w:val="auto"/>
                <w:sz w:val="24"/>
              </w:rPr>
              <w:t>年均值和日均值的第95百分位数、一氧化碳日均值的第95百分位数均达到《环境空气质量标准》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GB3095-20</w:t>
            </w:r>
            <w:r>
              <w:rPr>
                <w:rFonts w:hint="eastAsia" w:eastAsia="仿宋" w:cs="Times New Roman"/>
                <w:bCs/>
                <w:color w:val="auto"/>
                <w:sz w:val="24"/>
                <w:lang w:val="en-US" w:eastAsia="zh-CN"/>
              </w:rPr>
              <w:t>26</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二级标准，PM</w:t>
            </w:r>
            <w:r>
              <w:rPr>
                <w:rFonts w:hint="default" w:ascii="Times New Roman" w:hAnsi="Times New Roman" w:eastAsia="仿宋" w:cs="Times New Roman"/>
                <w:bCs/>
                <w:color w:val="auto"/>
                <w:sz w:val="24"/>
                <w:vertAlign w:val="subscript"/>
              </w:rPr>
              <w:t>2.5</w:t>
            </w:r>
            <w:r>
              <w:rPr>
                <w:rFonts w:hint="default" w:ascii="Times New Roman" w:hAnsi="Times New Roman" w:eastAsia="仿宋" w:cs="Times New Roman"/>
                <w:bCs/>
                <w:color w:val="auto"/>
                <w:sz w:val="24"/>
              </w:rPr>
              <w:t>日均值的第95百分位数、臭氧日最大8小时滑动平均值的第90百分位数浓度超过《环境空气质量标准》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GB3095-20</w:t>
            </w:r>
            <w:r>
              <w:rPr>
                <w:rFonts w:hint="eastAsia" w:eastAsia="仿宋" w:cs="Times New Roman"/>
                <w:bCs/>
                <w:color w:val="auto"/>
                <w:sz w:val="24"/>
                <w:lang w:val="en-US" w:eastAsia="zh-CN"/>
              </w:rPr>
              <w:t>26</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二级标准，因此判定为非达标区。</w:t>
            </w:r>
          </w:p>
          <w:p w14:paraId="57F6B86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（2）大气环境质量改善方案</w:t>
            </w:r>
          </w:p>
          <w:p w14:paraId="7D27CBDD">
            <w:pPr>
              <w:adjustRightInd w:val="0"/>
              <w:snapToGrid w:val="0"/>
              <w:spacing w:line="360" w:lineRule="auto"/>
              <w:ind w:firstLine="482"/>
              <w:rPr>
                <w:rFonts w:ascii="仿宋" w:hAnsi="仿宋" w:eastAsia="仿宋"/>
                <w:bCs/>
                <w:color w:val="auto"/>
                <w:sz w:val="24"/>
                <w:highlight w:val="none"/>
              </w:rPr>
            </w:pPr>
            <w:r>
              <w:rPr>
                <w:rFonts w:ascii="仿宋" w:hAnsi="仿宋" w:eastAsia="仿宋"/>
                <w:bCs/>
                <w:color w:val="auto"/>
                <w:sz w:val="24"/>
                <w:highlight w:val="none"/>
              </w:rPr>
              <w:t>●</w:t>
            </w:r>
            <w:r>
              <w:rPr>
                <w:rFonts w:hint="eastAsia" w:ascii="仿宋" w:hAnsi="仿宋" w:eastAsia="仿宋"/>
                <w:b/>
                <w:bCs/>
                <w:color w:val="auto"/>
                <w:sz w:val="24"/>
                <w:highlight w:val="none"/>
              </w:rPr>
              <w:t>《</w:t>
            </w:r>
            <w:r>
              <w:rPr>
                <w:rFonts w:ascii="仿宋" w:hAnsi="仿宋" w:eastAsia="仿宋"/>
                <w:b/>
                <w:bCs/>
                <w:color w:val="auto"/>
                <w:sz w:val="24"/>
                <w:highlight w:val="none"/>
              </w:rPr>
              <w:t>202</w:t>
            </w:r>
            <w:r>
              <w:rPr>
                <w:rFonts w:hint="eastAsia" w:ascii="仿宋" w:hAnsi="仿宋" w:eastAsia="仿宋"/>
                <w:b/>
                <w:bCs/>
                <w:color w:val="auto"/>
                <w:sz w:val="24"/>
                <w:highlight w:val="none"/>
              </w:rPr>
              <w:t>4</w:t>
            </w:r>
            <w:r>
              <w:rPr>
                <w:rFonts w:ascii="仿宋" w:hAnsi="仿宋" w:eastAsia="仿宋"/>
                <w:b/>
                <w:bCs/>
                <w:color w:val="auto"/>
                <w:sz w:val="24"/>
                <w:highlight w:val="none"/>
              </w:rPr>
              <w:t>年常州市生态环境状况公报</w:t>
            </w:r>
            <w:r>
              <w:rPr>
                <w:rFonts w:hint="eastAsia" w:ascii="仿宋" w:hAnsi="仿宋" w:eastAsia="仿宋"/>
                <w:b/>
                <w:bCs/>
                <w:color w:val="auto"/>
                <w:sz w:val="24"/>
                <w:highlight w:val="none"/>
              </w:rPr>
              <w:t>》</w:t>
            </w:r>
          </w:p>
          <w:p w14:paraId="317DA547">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①产业结构调整：建立健全空间准入、总量准入和项目准入</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三位一体</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的环境准入制度，落实</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两高</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项目、铸造项目等重点项目报备制度，坚决遏制</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两高</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项目盲目发展。</w:t>
            </w:r>
          </w:p>
          <w:p w14:paraId="26397121">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挥发性有机物治理：开展VOCs全流程、全环节综合治理，累计完成306项VOCs治理工程、371个储罐高效呼吸阀更换，更换率全省第一。滨江化工园区VOCs年均值和最大小时浓度均值分别同比下降40.0%、50.8%，改善幅度全省领先。</w:t>
            </w:r>
          </w:p>
          <w:p w14:paraId="654EF497">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w:t>
            </w:r>
            <w:r>
              <w:rPr>
                <w:rFonts w:hint="default" w:ascii="Times New Roman" w:hAnsi="Times New Roman" w:eastAsia="仿宋" w:cs="Times New Roman"/>
                <w:bCs/>
                <w:color w:val="auto"/>
                <w:sz w:val="24"/>
                <w:lang w:val="en-US" w:eastAsia="zh-CN"/>
              </w:rPr>
              <w:t>重点集群专项提升</w:t>
            </w:r>
            <w:r>
              <w:rPr>
                <w:rFonts w:hint="default" w:ascii="Times New Roman" w:hAnsi="Times New Roman" w:eastAsia="仿宋" w:cs="Times New Roman"/>
                <w:bCs/>
                <w:color w:val="auto"/>
                <w:sz w:val="24"/>
              </w:rPr>
              <w:t>：实施重点行业超低排放与深度治理，氮氧化物排放量同比下降3.09%，在沿江八市中下降幅度最大。高质量完成全市539家铸造行业企业的综合整治。实施重点行业集群专项提升，各重点集群共退出234家企业，整治提升645家企业。</w:t>
            </w:r>
          </w:p>
          <w:p w14:paraId="18767102">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w:t>
            </w:r>
            <w:r>
              <w:rPr>
                <w:rFonts w:hint="default" w:ascii="Times New Roman" w:hAnsi="Times New Roman" w:eastAsia="仿宋" w:cs="Times New Roman"/>
                <w:bCs/>
                <w:color w:val="auto"/>
                <w:sz w:val="24"/>
                <w:lang w:val="en-US" w:eastAsia="zh-CN"/>
              </w:rPr>
              <w:t>扬尘全面管控</w:t>
            </w:r>
            <w:r>
              <w:rPr>
                <w:rFonts w:hint="default" w:ascii="Times New Roman" w:hAnsi="Times New Roman" w:eastAsia="仿宋" w:cs="Times New Roman"/>
                <w:bCs/>
                <w:color w:val="auto"/>
                <w:sz w:val="24"/>
              </w:rPr>
              <w:t>：通过热点网格、走航车、激光雷达等排查出扬尘源问题1873处，均第一时间组织整改到位。完成弘博热电等3家码头的粉尘在线监测系统安装和华宇混凝土等5家码头的厂区扬尘提标改造。</w:t>
            </w:r>
          </w:p>
          <w:p w14:paraId="1483A83A">
            <w:pPr>
              <w:adjustRightInd w:val="0"/>
              <w:snapToGrid w:val="0"/>
              <w:spacing w:line="360" w:lineRule="auto"/>
              <w:ind w:firstLine="480" w:firstLineChars="200"/>
              <w:jc w:val="both"/>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val="en-US" w:eastAsia="zh-CN"/>
              </w:rPr>
              <w:t>⑤</w:t>
            </w:r>
            <w:r>
              <w:rPr>
                <w:rFonts w:hint="default" w:ascii="Times New Roman" w:hAnsi="Times New Roman" w:eastAsia="仿宋" w:cs="Times New Roman"/>
                <w:bCs/>
                <w:color w:val="auto"/>
                <w:sz w:val="24"/>
              </w:rPr>
              <w:t>移动源排气监管：全面实施机动车排放检测与维护(I/M)制度。有效抽检柴油货车3989辆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次</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，问题车辆均要求召回复检。对辖区内机动车排放检验机构实施全覆盖监督检查，依法依规严肃查处尾气检测弄虚作假行为</w:t>
            </w:r>
            <w:r>
              <w:rPr>
                <w:rFonts w:hint="default" w:ascii="Times New Roman" w:hAnsi="Times New Roman" w:eastAsia="仿宋" w:cs="Times New Roman"/>
                <w:bCs/>
                <w:color w:val="auto"/>
                <w:sz w:val="24"/>
                <w:lang w:eastAsia="zh-CN"/>
              </w:rPr>
              <w:t>。</w:t>
            </w:r>
          </w:p>
          <w:p w14:paraId="4B262CB3">
            <w:pPr>
              <w:widowControl/>
              <w:adjustRightInd w:val="0"/>
              <w:snapToGrid w:val="0"/>
              <w:spacing w:line="360" w:lineRule="auto"/>
              <w:ind w:firstLine="482"/>
              <w:rPr>
                <w:rFonts w:hint="eastAsia" w:ascii="仿宋" w:hAnsi="仿宋" w:eastAsia="仿宋" w:cs="仿宋"/>
                <w:b/>
                <w:color w:val="auto"/>
                <w:sz w:val="24"/>
                <w:highlight w:val="none"/>
              </w:rPr>
            </w:pPr>
            <w:r>
              <w:rPr>
                <w:rFonts w:ascii="仿宋" w:hAnsi="仿宋" w:eastAsia="仿宋"/>
                <w:b/>
                <w:color w:val="auto"/>
                <w:sz w:val="24"/>
                <w:highlight w:val="none"/>
              </w:rPr>
              <w:t>●</w:t>
            </w:r>
            <w:r>
              <w:rPr>
                <w:rFonts w:hint="eastAsia" w:ascii="仿宋" w:hAnsi="仿宋" w:eastAsia="仿宋" w:cs="仿宋"/>
                <w:b/>
                <w:color w:val="auto"/>
                <w:sz w:val="24"/>
                <w:highlight w:val="none"/>
              </w:rPr>
              <w:t>区域大气污染物削减方案及措施</w:t>
            </w:r>
          </w:p>
          <w:p w14:paraId="6896A5A8">
            <w:pPr>
              <w:adjustRightInd w:val="0"/>
              <w:snapToGrid w:val="0"/>
              <w:spacing w:line="360" w:lineRule="auto"/>
              <w:ind w:firstLine="482"/>
              <w:rPr>
                <w:rFonts w:hint="eastAsia" w:ascii="仿宋" w:hAnsi="仿宋" w:eastAsia="仿宋" w:cs="宋体"/>
                <w:color w:val="auto"/>
                <w:kern w:val="0"/>
                <w:sz w:val="24"/>
                <w:highlight w:val="none"/>
              </w:rPr>
            </w:pPr>
            <w:r>
              <w:rPr>
                <w:rFonts w:hint="eastAsia" w:ascii="仿宋" w:hAnsi="仿宋" w:eastAsia="仿宋" w:cs="仿宋"/>
                <w:bCs/>
                <w:color w:val="auto"/>
                <w:sz w:val="24"/>
                <w:highlight w:val="none"/>
                <w:lang w:val="en-US" w:eastAsia="zh-CN"/>
              </w:rPr>
              <w:t>常州市人民政府2024年8月15日发布了《市政府关于印发&lt;常州市空气质量持续改善行动计划实施方案&gt;的通知》（常政发〔2024〕51号），文件要求加快调整优化产业结构，推进产业绿色低碳发展；推进能源高效利用，加快能源清洁低碳转型；优化调整交通结构，大力发展绿色运输体系；加强面源污染治理，提高精细化管理水平；强化协同减排，切实降低污染物排放强度；完善工作机制，健全大气环境管理体系。</w:t>
            </w:r>
          </w:p>
          <w:p w14:paraId="28488E0F">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采取上述措施后，大气环境质量将得到改善。</w:t>
            </w:r>
          </w:p>
          <w:p w14:paraId="6A79E646">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（3）</w:t>
            </w:r>
            <w:r>
              <w:rPr>
                <w:rFonts w:hint="default" w:ascii="Times New Roman" w:hAnsi="Times New Roman" w:eastAsia="仿宋" w:cs="Times New Roman"/>
                <w:color w:val="auto"/>
                <w:sz w:val="24"/>
              </w:rPr>
              <w:t>补充监测</w:t>
            </w:r>
          </w:p>
          <w:p w14:paraId="1471BF41">
            <w:pPr>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根据江苏云居检测技术有限公司提供的检测报告（YJH25101604），非甲烷总烃</w:t>
            </w:r>
            <w:r>
              <w:rPr>
                <w:rFonts w:hint="default" w:ascii="Times New Roman" w:hAnsi="Times New Roman" w:eastAsia="仿宋" w:cs="Times New Roman"/>
                <w:color w:val="auto"/>
                <w:sz w:val="24"/>
                <w:lang w:val="en-US" w:eastAsia="zh-CN"/>
              </w:rPr>
              <w:t>及锡</w:t>
            </w:r>
            <w:r>
              <w:rPr>
                <w:rFonts w:hint="default" w:ascii="Times New Roman" w:hAnsi="Times New Roman" w:eastAsia="仿宋" w:cs="Times New Roman"/>
                <w:color w:val="auto"/>
                <w:sz w:val="24"/>
              </w:rPr>
              <w:t>数据引自常州瑞华新能源科技有限公司的检测报告</w:t>
            </w:r>
            <w:r>
              <w:rPr>
                <w:rFonts w:hint="default" w:ascii="Times New Roman" w:hAnsi="Times New Roman" w:eastAsia="仿宋" w:cs="Times New Roman"/>
                <w:color w:val="auto"/>
                <w:sz w:val="24"/>
                <w:lang w:val="en-US" w:eastAsia="zh-CN"/>
              </w:rPr>
              <w:t>中</w:t>
            </w:r>
            <w:r>
              <w:rPr>
                <w:rFonts w:hint="default" w:ascii="Times New Roman" w:hAnsi="Times New Roman" w:eastAsia="仿宋" w:cs="Times New Roman"/>
                <w:color w:val="auto"/>
                <w:sz w:val="24"/>
                <w:lang w:eastAsia="zh-CN"/>
              </w:rPr>
              <w:t>“珑庭花园”</w:t>
            </w:r>
            <w:r>
              <w:rPr>
                <w:rFonts w:hint="default" w:ascii="Times New Roman" w:hAnsi="Times New Roman" w:eastAsia="仿宋" w:cs="Times New Roman"/>
                <w:color w:val="auto"/>
                <w:sz w:val="24"/>
              </w:rPr>
              <w:t>测点202</w:t>
            </w:r>
            <w:r>
              <w:rPr>
                <w:rFonts w:hint="default"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rPr>
              <w:t>年</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月</w:t>
            </w:r>
            <w:r>
              <w:rPr>
                <w:rFonts w:hint="default"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日～1</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日</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2025年2月24日</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3月10</w:t>
            </w:r>
            <w:r>
              <w:rPr>
                <w:rFonts w:hint="default" w:ascii="Times New Roman" w:hAnsi="Times New Roman" w:eastAsia="仿宋" w:cs="Times New Roman"/>
                <w:color w:val="auto"/>
                <w:sz w:val="24"/>
              </w:rPr>
              <w:t>日连续7天检测数据（报告编号：YJH25030601</w:t>
            </w:r>
            <w:r>
              <w:rPr>
                <w:rFonts w:hint="default" w:ascii="Times New Roman" w:hAnsi="Times New Roman" w:eastAsia="仿宋" w:cs="Times New Roman"/>
                <w:color w:val="auto"/>
                <w:sz w:val="24"/>
                <w:lang w:eastAsia="zh-CN"/>
              </w:rPr>
              <w:t>、YJH25022103</w:t>
            </w: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val="en-US" w:eastAsia="zh-CN"/>
              </w:rPr>
              <w:t>氯化氢</w:t>
            </w:r>
            <w:r>
              <w:rPr>
                <w:rFonts w:hint="default" w:ascii="Times New Roman" w:hAnsi="Times New Roman" w:eastAsia="仿宋" w:cs="Times New Roman"/>
                <w:color w:val="auto"/>
                <w:sz w:val="24"/>
              </w:rPr>
              <w:t>数据引自常州恒优华新材料科技有限公司</w:t>
            </w:r>
            <w:r>
              <w:rPr>
                <w:rFonts w:hint="default" w:ascii="Times New Roman" w:hAnsi="Times New Roman" w:eastAsia="仿宋" w:cs="Times New Roman"/>
                <w:color w:val="auto"/>
                <w:sz w:val="24"/>
                <w:lang w:val="en-US" w:eastAsia="zh-CN"/>
              </w:rPr>
              <w:t>的检测报告中</w:t>
            </w:r>
            <w:r>
              <w:rPr>
                <w:rFonts w:hint="default" w:ascii="Times New Roman" w:hAnsi="Times New Roman" w:eastAsia="仿宋" w:cs="Times New Roman"/>
                <w:color w:val="auto"/>
                <w:sz w:val="24"/>
              </w:rPr>
              <w:t>“常州恒优华新材料科技有限公司西侧”测点202</w:t>
            </w:r>
            <w:r>
              <w:rPr>
                <w:rFonts w:hint="default"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rPr>
              <w:t>年</w:t>
            </w:r>
            <w:r>
              <w:rPr>
                <w:rFonts w:hint="default"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月1</w:t>
            </w:r>
            <w:r>
              <w:rPr>
                <w:rFonts w:hint="default"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日～</w:t>
            </w:r>
            <w:r>
              <w:rPr>
                <w:rFonts w:hint="default" w:ascii="Times New Roman" w:hAnsi="Times New Roman" w:eastAsia="仿宋" w:cs="Times New Roman"/>
                <w:color w:val="auto"/>
                <w:sz w:val="24"/>
                <w:lang w:val="en-US" w:eastAsia="zh-CN"/>
              </w:rPr>
              <w:t>20</w:t>
            </w:r>
            <w:r>
              <w:rPr>
                <w:rFonts w:hint="default" w:ascii="Times New Roman" w:hAnsi="Times New Roman" w:eastAsia="仿宋" w:cs="Times New Roman"/>
                <w:color w:val="auto"/>
                <w:sz w:val="24"/>
              </w:rPr>
              <w:t>日连续</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天检测数据（报告编号：YJH25071602）。具体统计结果见表3-2。</w:t>
            </w:r>
          </w:p>
          <w:p w14:paraId="452C80DD">
            <w:pPr>
              <w:ind w:left="431"/>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表3-2  其他污染物补充监测点位基本信息及达标情况</w:t>
            </w:r>
          </w:p>
          <w:tbl>
            <w:tblPr>
              <w:tblStyle w:val="26"/>
              <w:tblpPr w:leftFromText="180" w:rightFromText="180" w:vertAnchor="text" w:tblpXSpec="center" w:tblpY="1"/>
              <w:tblOverlap w:val="never"/>
              <w:tblW w:w="840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81"/>
              <w:gridCol w:w="780"/>
              <w:gridCol w:w="825"/>
              <w:gridCol w:w="715"/>
              <w:gridCol w:w="1200"/>
              <w:gridCol w:w="635"/>
              <w:gridCol w:w="657"/>
              <w:gridCol w:w="819"/>
              <w:gridCol w:w="681"/>
              <w:gridCol w:w="508"/>
              <w:gridCol w:w="500"/>
            </w:tblGrid>
            <w:tr w14:paraId="2E6FA7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1" w:type="dxa"/>
                  <w:vMerge w:val="restart"/>
                  <w:vAlign w:val="center"/>
                </w:tcPr>
                <w:p w14:paraId="203AB8BC">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监测点位</w:t>
                  </w:r>
                </w:p>
              </w:tc>
              <w:tc>
                <w:tcPr>
                  <w:tcW w:w="1605" w:type="dxa"/>
                  <w:gridSpan w:val="2"/>
                  <w:vAlign w:val="center"/>
                </w:tcPr>
                <w:p w14:paraId="70DF58D5">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监测点坐标/m</w:t>
                  </w:r>
                </w:p>
              </w:tc>
              <w:tc>
                <w:tcPr>
                  <w:tcW w:w="715" w:type="dxa"/>
                  <w:vMerge w:val="restart"/>
                  <w:vAlign w:val="center"/>
                </w:tcPr>
                <w:p w14:paraId="33401B87">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污染物</w:t>
                  </w:r>
                </w:p>
              </w:tc>
              <w:tc>
                <w:tcPr>
                  <w:tcW w:w="1200" w:type="dxa"/>
                  <w:vMerge w:val="restart"/>
                  <w:vAlign w:val="center"/>
                </w:tcPr>
                <w:p w14:paraId="0B953117">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监测时段</w:t>
                  </w:r>
                </w:p>
              </w:tc>
              <w:tc>
                <w:tcPr>
                  <w:tcW w:w="635" w:type="dxa"/>
                  <w:vMerge w:val="restart"/>
                  <w:vAlign w:val="center"/>
                </w:tcPr>
                <w:p w14:paraId="53CD27E1">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平均时间</w:t>
                  </w:r>
                </w:p>
              </w:tc>
              <w:tc>
                <w:tcPr>
                  <w:tcW w:w="657" w:type="dxa"/>
                  <w:vMerge w:val="restart"/>
                  <w:vAlign w:val="center"/>
                </w:tcPr>
                <w:p w14:paraId="0B45A5EB">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评价标准/（mg/m</w:t>
                  </w:r>
                  <w:r>
                    <w:rPr>
                      <w:rFonts w:hint="default" w:ascii="Times New Roman" w:hAnsi="Times New Roman" w:eastAsia="仿宋" w:cs="Times New Roman"/>
                      <w:b/>
                      <w:bCs/>
                      <w:color w:val="auto"/>
                      <w:sz w:val="18"/>
                      <w:szCs w:val="18"/>
                      <w:vertAlign w:val="superscript"/>
                    </w:rPr>
                    <w:t>3</w:t>
                  </w:r>
                  <w:r>
                    <w:rPr>
                      <w:rFonts w:hint="default" w:ascii="Times New Roman" w:hAnsi="Times New Roman" w:eastAsia="仿宋" w:cs="Times New Roman"/>
                      <w:b/>
                      <w:bCs/>
                      <w:color w:val="auto"/>
                      <w:sz w:val="18"/>
                      <w:szCs w:val="18"/>
                    </w:rPr>
                    <w:t>）</w:t>
                  </w:r>
                </w:p>
              </w:tc>
              <w:tc>
                <w:tcPr>
                  <w:tcW w:w="819" w:type="dxa"/>
                  <w:vMerge w:val="restart"/>
                  <w:vAlign w:val="center"/>
                </w:tcPr>
                <w:p w14:paraId="60889176">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监测浓度范围/（mg /m</w:t>
                  </w:r>
                  <w:r>
                    <w:rPr>
                      <w:rFonts w:hint="default" w:ascii="Times New Roman" w:hAnsi="Times New Roman" w:eastAsia="仿宋" w:cs="Times New Roman"/>
                      <w:b/>
                      <w:bCs/>
                      <w:color w:val="auto"/>
                      <w:sz w:val="18"/>
                      <w:szCs w:val="18"/>
                      <w:vertAlign w:val="superscript"/>
                    </w:rPr>
                    <w:t>3</w:t>
                  </w:r>
                  <w:r>
                    <w:rPr>
                      <w:rFonts w:hint="default" w:ascii="Times New Roman" w:hAnsi="Times New Roman" w:eastAsia="仿宋" w:cs="Times New Roman"/>
                      <w:b/>
                      <w:bCs/>
                      <w:color w:val="auto"/>
                      <w:sz w:val="18"/>
                      <w:szCs w:val="18"/>
                    </w:rPr>
                    <w:t>）</w:t>
                  </w:r>
                </w:p>
              </w:tc>
              <w:tc>
                <w:tcPr>
                  <w:tcW w:w="681" w:type="dxa"/>
                  <w:vMerge w:val="restart"/>
                  <w:vAlign w:val="center"/>
                </w:tcPr>
                <w:p w14:paraId="1CEB5EA8">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最大浓度占标率/%</w:t>
                  </w:r>
                </w:p>
              </w:tc>
              <w:tc>
                <w:tcPr>
                  <w:tcW w:w="508" w:type="dxa"/>
                  <w:vMerge w:val="restart"/>
                  <w:vAlign w:val="center"/>
                </w:tcPr>
                <w:p w14:paraId="2E3C02D8">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超标率/%</w:t>
                  </w:r>
                </w:p>
              </w:tc>
              <w:tc>
                <w:tcPr>
                  <w:tcW w:w="500" w:type="dxa"/>
                  <w:vMerge w:val="restart"/>
                  <w:vAlign w:val="center"/>
                </w:tcPr>
                <w:p w14:paraId="4ABEA5FA">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达标情况</w:t>
                  </w:r>
                </w:p>
              </w:tc>
            </w:tr>
            <w:tr w14:paraId="3FDB9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081" w:type="dxa"/>
                  <w:vMerge w:val="continue"/>
                  <w:vAlign w:val="center"/>
                </w:tcPr>
                <w:p w14:paraId="102F33AC">
                  <w:pPr>
                    <w:widowControl/>
                    <w:jc w:val="left"/>
                    <w:rPr>
                      <w:rFonts w:hint="default" w:ascii="Times New Roman" w:hAnsi="Times New Roman" w:eastAsia="仿宋" w:cs="Times New Roman"/>
                      <w:b/>
                      <w:bCs/>
                      <w:color w:val="auto"/>
                      <w:sz w:val="18"/>
                      <w:szCs w:val="18"/>
                    </w:rPr>
                  </w:pPr>
                </w:p>
              </w:tc>
              <w:tc>
                <w:tcPr>
                  <w:tcW w:w="780" w:type="dxa"/>
                  <w:vAlign w:val="center"/>
                </w:tcPr>
                <w:p w14:paraId="24373E3E">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N（°）</w:t>
                  </w:r>
                </w:p>
              </w:tc>
              <w:tc>
                <w:tcPr>
                  <w:tcW w:w="825" w:type="dxa"/>
                  <w:vAlign w:val="center"/>
                </w:tcPr>
                <w:p w14:paraId="36D1CF73">
                  <w:pPr>
                    <w:jc w:val="center"/>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E（°）</w:t>
                  </w:r>
                </w:p>
              </w:tc>
              <w:tc>
                <w:tcPr>
                  <w:tcW w:w="715" w:type="dxa"/>
                  <w:vMerge w:val="continue"/>
                  <w:vAlign w:val="center"/>
                </w:tcPr>
                <w:p w14:paraId="6A25E71A">
                  <w:pPr>
                    <w:widowControl/>
                    <w:jc w:val="left"/>
                    <w:rPr>
                      <w:rFonts w:hint="default" w:ascii="Times New Roman" w:hAnsi="Times New Roman" w:eastAsia="仿宋" w:cs="Times New Roman"/>
                      <w:b/>
                      <w:bCs/>
                      <w:color w:val="auto"/>
                      <w:sz w:val="18"/>
                      <w:szCs w:val="18"/>
                    </w:rPr>
                  </w:pPr>
                </w:p>
              </w:tc>
              <w:tc>
                <w:tcPr>
                  <w:tcW w:w="1200" w:type="dxa"/>
                  <w:vMerge w:val="continue"/>
                  <w:vAlign w:val="center"/>
                </w:tcPr>
                <w:p w14:paraId="743F5430">
                  <w:pPr>
                    <w:widowControl/>
                    <w:jc w:val="left"/>
                    <w:rPr>
                      <w:rFonts w:hint="default" w:ascii="Times New Roman" w:hAnsi="Times New Roman" w:eastAsia="仿宋" w:cs="Times New Roman"/>
                      <w:b/>
                      <w:bCs/>
                      <w:color w:val="auto"/>
                      <w:sz w:val="18"/>
                      <w:szCs w:val="18"/>
                    </w:rPr>
                  </w:pPr>
                </w:p>
              </w:tc>
              <w:tc>
                <w:tcPr>
                  <w:tcW w:w="635" w:type="dxa"/>
                  <w:vMerge w:val="continue"/>
                  <w:vAlign w:val="center"/>
                </w:tcPr>
                <w:p w14:paraId="6E121B2C">
                  <w:pPr>
                    <w:widowControl/>
                    <w:jc w:val="left"/>
                    <w:rPr>
                      <w:rFonts w:hint="default" w:ascii="Times New Roman" w:hAnsi="Times New Roman" w:eastAsia="仿宋" w:cs="Times New Roman"/>
                      <w:b/>
                      <w:bCs/>
                      <w:color w:val="auto"/>
                      <w:sz w:val="18"/>
                      <w:szCs w:val="18"/>
                    </w:rPr>
                  </w:pPr>
                </w:p>
              </w:tc>
              <w:tc>
                <w:tcPr>
                  <w:tcW w:w="657" w:type="dxa"/>
                  <w:vMerge w:val="continue"/>
                  <w:vAlign w:val="center"/>
                </w:tcPr>
                <w:p w14:paraId="24E71BAC">
                  <w:pPr>
                    <w:widowControl/>
                    <w:jc w:val="left"/>
                    <w:rPr>
                      <w:rFonts w:hint="default" w:ascii="Times New Roman" w:hAnsi="Times New Roman" w:eastAsia="仿宋" w:cs="Times New Roman"/>
                      <w:b/>
                      <w:bCs/>
                      <w:color w:val="auto"/>
                      <w:sz w:val="18"/>
                      <w:szCs w:val="18"/>
                    </w:rPr>
                  </w:pPr>
                </w:p>
              </w:tc>
              <w:tc>
                <w:tcPr>
                  <w:tcW w:w="819" w:type="dxa"/>
                  <w:vMerge w:val="continue"/>
                  <w:vAlign w:val="center"/>
                </w:tcPr>
                <w:p w14:paraId="12B2BF36">
                  <w:pPr>
                    <w:widowControl/>
                    <w:jc w:val="left"/>
                    <w:rPr>
                      <w:rFonts w:hint="default" w:ascii="Times New Roman" w:hAnsi="Times New Roman" w:eastAsia="仿宋" w:cs="Times New Roman"/>
                      <w:b/>
                      <w:bCs/>
                      <w:color w:val="auto"/>
                      <w:sz w:val="18"/>
                      <w:szCs w:val="18"/>
                    </w:rPr>
                  </w:pPr>
                </w:p>
              </w:tc>
              <w:tc>
                <w:tcPr>
                  <w:tcW w:w="681" w:type="dxa"/>
                  <w:vMerge w:val="continue"/>
                  <w:vAlign w:val="center"/>
                </w:tcPr>
                <w:p w14:paraId="28AE441F">
                  <w:pPr>
                    <w:widowControl/>
                    <w:jc w:val="left"/>
                    <w:rPr>
                      <w:rFonts w:hint="default" w:ascii="Times New Roman" w:hAnsi="Times New Roman" w:eastAsia="仿宋" w:cs="Times New Roman"/>
                      <w:b/>
                      <w:bCs/>
                      <w:color w:val="auto"/>
                      <w:sz w:val="18"/>
                      <w:szCs w:val="18"/>
                    </w:rPr>
                  </w:pPr>
                </w:p>
              </w:tc>
              <w:tc>
                <w:tcPr>
                  <w:tcW w:w="508" w:type="dxa"/>
                  <w:vMerge w:val="continue"/>
                  <w:vAlign w:val="center"/>
                </w:tcPr>
                <w:p w14:paraId="6045F527">
                  <w:pPr>
                    <w:widowControl/>
                    <w:jc w:val="left"/>
                    <w:rPr>
                      <w:rFonts w:hint="default" w:ascii="Times New Roman" w:hAnsi="Times New Roman" w:eastAsia="仿宋" w:cs="Times New Roman"/>
                      <w:b/>
                      <w:bCs/>
                      <w:color w:val="auto"/>
                      <w:sz w:val="18"/>
                      <w:szCs w:val="18"/>
                    </w:rPr>
                  </w:pPr>
                </w:p>
              </w:tc>
              <w:tc>
                <w:tcPr>
                  <w:tcW w:w="500" w:type="dxa"/>
                  <w:vMerge w:val="continue"/>
                  <w:vAlign w:val="center"/>
                </w:tcPr>
                <w:p w14:paraId="023B3354">
                  <w:pPr>
                    <w:widowControl/>
                    <w:jc w:val="left"/>
                    <w:rPr>
                      <w:rFonts w:hint="default" w:ascii="Times New Roman" w:hAnsi="Times New Roman" w:eastAsia="仿宋" w:cs="Times New Roman"/>
                      <w:b/>
                      <w:bCs/>
                      <w:color w:val="auto"/>
                      <w:sz w:val="18"/>
                      <w:szCs w:val="18"/>
                    </w:rPr>
                  </w:pPr>
                </w:p>
              </w:tc>
            </w:tr>
            <w:tr w14:paraId="5AD8FB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1081" w:type="dxa"/>
                  <w:vMerge w:val="restart"/>
                  <w:vAlign w:val="center"/>
                </w:tcPr>
                <w:p w14:paraId="7DE90854">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珑庭花园</w:t>
                  </w:r>
                </w:p>
              </w:tc>
              <w:tc>
                <w:tcPr>
                  <w:tcW w:w="780" w:type="dxa"/>
                  <w:vMerge w:val="restart"/>
                  <w:vAlign w:val="center"/>
                </w:tcPr>
                <w:p w14:paraId="44BCF756">
                  <w:pPr>
                    <w:spacing w:line="240" w:lineRule="exact"/>
                    <w:jc w:val="center"/>
                    <w:rPr>
                      <w:rFonts w:hint="default" w:ascii="Times New Roman" w:hAnsi="Times New Roman" w:eastAsia="仿宋" w:cs="Times New Roman"/>
                      <w:color w:val="auto"/>
                      <w:sz w:val="18"/>
                      <w:szCs w:val="18"/>
                      <w:lang w:eastAsia="zh-CN"/>
                    </w:rPr>
                  </w:pPr>
                  <w:r>
                    <w:rPr>
                      <w:rFonts w:hint="default" w:ascii="Times New Roman" w:hAnsi="Times New Roman" w:eastAsia="仿宋" w:cs="Times New Roman"/>
                      <w:color w:val="auto"/>
                      <w:sz w:val="18"/>
                      <w:szCs w:val="18"/>
                    </w:rPr>
                    <w:t>31.75371</w:t>
                  </w:r>
                  <w:r>
                    <w:rPr>
                      <w:rFonts w:hint="default" w:ascii="Times New Roman" w:hAnsi="Times New Roman" w:eastAsia="仿宋" w:cs="Times New Roman"/>
                      <w:color w:val="auto"/>
                      <w:sz w:val="18"/>
                      <w:szCs w:val="18"/>
                      <w:lang w:val="en-US" w:eastAsia="zh-CN"/>
                    </w:rPr>
                    <w:t>9</w:t>
                  </w:r>
                </w:p>
              </w:tc>
              <w:tc>
                <w:tcPr>
                  <w:tcW w:w="825" w:type="dxa"/>
                  <w:vMerge w:val="restart"/>
                  <w:vAlign w:val="center"/>
                </w:tcPr>
                <w:p w14:paraId="11202AA8">
                  <w:pPr>
                    <w:spacing w:line="240" w:lineRule="exact"/>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119.636856</w:t>
                  </w:r>
                </w:p>
              </w:tc>
              <w:tc>
                <w:tcPr>
                  <w:tcW w:w="715" w:type="dxa"/>
                  <w:vAlign w:val="center"/>
                </w:tcPr>
                <w:p w14:paraId="78796A0E">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非甲烷总烃</w:t>
                  </w:r>
                </w:p>
              </w:tc>
              <w:tc>
                <w:tcPr>
                  <w:tcW w:w="1200" w:type="dxa"/>
                  <w:shd w:val="clear" w:color="auto" w:fill="auto"/>
                  <w:vAlign w:val="center"/>
                </w:tcPr>
                <w:p w14:paraId="183A8A25">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202</w:t>
                  </w:r>
                  <w:r>
                    <w:rPr>
                      <w:rFonts w:hint="default" w:ascii="Times New Roman" w:hAnsi="Times New Roman" w:eastAsia="仿宋" w:cs="Times New Roman"/>
                      <w:color w:val="auto"/>
                      <w:sz w:val="18"/>
                      <w:szCs w:val="18"/>
                      <w:lang w:val="en-US" w:eastAsia="zh-CN"/>
                    </w:rPr>
                    <w:t>5.3.7</w:t>
                  </w:r>
                  <w:r>
                    <w:rPr>
                      <w:rFonts w:hint="default" w:ascii="Times New Roman" w:hAnsi="Times New Roman" w:eastAsia="仿宋" w:cs="Times New Roman"/>
                      <w:color w:val="auto"/>
                      <w:sz w:val="18"/>
                      <w:szCs w:val="18"/>
                    </w:rPr>
                    <w:t>～</w:t>
                  </w:r>
                  <w:r>
                    <w:rPr>
                      <w:rFonts w:hint="default" w:ascii="Times New Roman" w:hAnsi="Times New Roman" w:eastAsia="仿宋" w:cs="Times New Roman"/>
                      <w:color w:val="auto"/>
                      <w:sz w:val="18"/>
                      <w:szCs w:val="18"/>
                      <w:lang w:val="en-US" w:eastAsia="zh-CN"/>
                    </w:rPr>
                    <w:t>3.</w:t>
                  </w:r>
                  <w:r>
                    <w:rPr>
                      <w:rFonts w:hint="default" w:ascii="Times New Roman" w:hAnsi="Times New Roman" w:eastAsia="仿宋" w:cs="Times New Roman"/>
                      <w:color w:val="auto"/>
                      <w:sz w:val="18"/>
                      <w:szCs w:val="18"/>
                    </w:rPr>
                    <w:t>1</w:t>
                  </w:r>
                  <w:r>
                    <w:rPr>
                      <w:rFonts w:hint="default" w:ascii="Times New Roman" w:hAnsi="Times New Roman" w:eastAsia="仿宋" w:cs="Times New Roman"/>
                      <w:color w:val="auto"/>
                      <w:sz w:val="18"/>
                      <w:szCs w:val="18"/>
                      <w:lang w:val="en-US" w:eastAsia="zh-CN"/>
                    </w:rPr>
                    <w:t>3</w:t>
                  </w:r>
                </w:p>
              </w:tc>
              <w:tc>
                <w:tcPr>
                  <w:tcW w:w="635" w:type="dxa"/>
                  <w:shd w:val="clear" w:color="auto" w:fill="auto"/>
                  <w:vAlign w:val="center"/>
                </w:tcPr>
                <w:p w14:paraId="6E856A2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1h</w:t>
                  </w:r>
                </w:p>
              </w:tc>
              <w:tc>
                <w:tcPr>
                  <w:tcW w:w="657" w:type="dxa"/>
                  <w:shd w:val="clear" w:color="auto" w:fill="auto"/>
                  <w:vAlign w:val="center"/>
                </w:tcPr>
                <w:p w14:paraId="03A61439">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2.0</w:t>
                  </w:r>
                </w:p>
              </w:tc>
              <w:tc>
                <w:tcPr>
                  <w:tcW w:w="819" w:type="dxa"/>
                  <w:shd w:val="clear" w:color="auto" w:fill="auto"/>
                  <w:vAlign w:val="center"/>
                </w:tcPr>
                <w:p w14:paraId="074E1CEA">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0.52-0.79</w:t>
                  </w:r>
                </w:p>
              </w:tc>
              <w:tc>
                <w:tcPr>
                  <w:tcW w:w="681" w:type="dxa"/>
                  <w:shd w:val="clear" w:color="auto" w:fill="auto"/>
                  <w:vAlign w:val="center"/>
                </w:tcPr>
                <w:p w14:paraId="4183CF16">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39.5</w:t>
                  </w:r>
                </w:p>
              </w:tc>
              <w:tc>
                <w:tcPr>
                  <w:tcW w:w="508" w:type="dxa"/>
                  <w:vAlign w:val="center"/>
                </w:tcPr>
                <w:p w14:paraId="600E384B">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0</w:t>
                  </w:r>
                </w:p>
              </w:tc>
              <w:tc>
                <w:tcPr>
                  <w:tcW w:w="500" w:type="dxa"/>
                  <w:vAlign w:val="center"/>
                </w:tcPr>
                <w:p w14:paraId="0B312A55">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达标</w:t>
                  </w:r>
                </w:p>
              </w:tc>
            </w:tr>
            <w:tr w14:paraId="35CF4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1081" w:type="dxa"/>
                  <w:vMerge w:val="continue"/>
                  <w:vAlign w:val="center"/>
                </w:tcPr>
                <w:p w14:paraId="15C677F6">
                  <w:pPr>
                    <w:jc w:val="center"/>
                    <w:rPr>
                      <w:rFonts w:hint="default" w:ascii="Times New Roman" w:hAnsi="Times New Roman" w:eastAsia="仿宋" w:cs="Times New Roman"/>
                      <w:color w:val="auto"/>
                      <w:sz w:val="18"/>
                      <w:szCs w:val="18"/>
                    </w:rPr>
                  </w:pPr>
                </w:p>
              </w:tc>
              <w:tc>
                <w:tcPr>
                  <w:tcW w:w="780" w:type="dxa"/>
                  <w:vMerge w:val="continue"/>
                  <w:vAlign w:val="center"/>
                </w:tcPr>
                <w:p w14:paraId="65B703F3">
                  <w:pPr>
                    <w:jc w:val="center"/>
                    <w:rPr>
                      <w:rFonts w:hint="default" w:ascii="Times New Roman" w:hAnsi="Times New Roman" w:eastAsia="仿宋" w:cs="Times New Roman"/>
                      <w:color w:val="auto"/>
                      <w:sz w:val="18"/>
                      <w:szCs w:val="18"/>
                    </w:rPr>
                  </w:pPr>
                </w:p>
              </w:tc>
              <w:tc>
                <w:tcPr>
                  <w:tcW w:w="825" w:type="dxa"/>
                  <w:vMerge w:val="continue"/>
                  <w:vAlign w:val="center"/>
                </w:tcPr>
                <w:p w14:paraId="098C3263">
                  <w:pPr>
                    <w:jc w:val="center"/>
                    <w:rPr>
                      <w:rFonts w:hint="default" w:ascii="Times New Roman" w:hAnsi="Times New Roman" w:eastAsia="仿宋" w:cs="Times New Roman"/>
                      <w:color w:val="auto"/>
                      <w:sz w:val="18"/>
                      <w:szCs w:val="18"/>
                    </w:rPr>
                  </w:pPr>
                </w:p>
              </w:tc>
              <w:tc>
                <w:tcPr>
                  <w:tcW w:w="715" w:type="dxa"/>
                  <w:vAlign w:val="center"/>
                </w:tcPr>
                <w:p w14:paraId="4424478D">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锡</w:t>
                  </w:r>
                </w:p>
              </w:tc>
              <w:tc>
                <w:tcPr>
                  <w:tcW w:w="1200" w:type="dxa"/>
                  <w:shd w:val="clear" w:color="auto" w:fill="auto"/>
                  <w:vAlign w:val="center"/>
                </w:tcPr>
                <w:p w14:paraId="44D8235E">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2025.2.24</w:t>
                  </w:r>
                  <w:r>
                    <w:rPr>
                      <w:rFonts w:hint="default" w:ascii="Times New Roman" w:hAnsi="Times New Roman" w:eastAsia="仿宋" w:cs="Times New Roman"/>
                      <w:color w:val="auto"/>
                      <w:sz w:val="18"/>
                      <w:szCs w:val="18"/>
                    </w:rPr>
                    <w:t>～</w:t>
                  </w:r>
                  <w:r>
                    <w:rPr>
                      <w:rFonts w:hint="default" w:ascii="Times New Roman" w:hAnsi="Times New Roman" w:eastAsia="仿宋" w:cs="Times New Roman"/>
                      <w:color w:val="auto"/>
                      <w:sz w:val="18"/>
                      <w:szCs w:val="18"/>
                      <w:lang w:val="en-US" w:eastAsia="zh-CN"/>
                    </w:rPr>
                    <w:t>3.10</w:t>
                  </w:r>
                </w:p>
              </w:tc>
              <w:tc>
                <w:tcPr>
                  <w:tcW w:w="635" w:type="dxa"/>
                  <w:shd w:val="clear" w:color="auto" w:fill="auto"/>
                  <w:vAlign w:val="center"/>
                </w:tcPr>
                <w:p w14:paraId="5EEA2AD5">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24h</w:t>
                  </w:r>
                </w:p>
              </w:tc>
              <w:tc>
                <w:tcPr>
                  <w:tcW w:w="657" w:type="dxa"/>
                  <w:shd w:val="clear" w:color="auto" w:fill="auto"/>
                  <w:vAlign w:val="center"/>
                </w:tcPr>
                <w:p w14:paraId="79663ABF">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highlight w:val="none"/>
                    </w:rPr>
                    <w:t>0.3</w:t>
                  </w:r>
                </w:p>
              </w:tc>
              <w:tc>
                <w:tcPr>
                  <w:tcW w:w="819" w:type="dxa"/>
                  <w:shd w:val="clear" w:color="auto" w:fill="auto"/>
                  <w:vAlign w:val="center"/>
                </w:tcPr>
                <w:p w14:paraId="1FAAB9D8">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ND</w:t>
                  </w:r>
                </w:p>
              </w:tc>
              <w:tc>
                <w:tcPr>
                  <w:tcW w:w="681" w:type="dxa"/>
                  <w:shd w:val="clear" w:color="auto" w:fill="auto"/>
                  <w:vAlign w:val="center"/>
                </w:tcPr>
                <w:p w14:paraId="62A350F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w:t>
                  </w:r>
                </w:p>
              </w:tc>
              <w:tc>
                <w:tcPr>
                  <w:tcW w:w="508" w:type="dxa"/>
                  <w:vAlign w:val="center"/>
                </w:tcPr>
                <w:p w14:paraId="3000D514">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0</w:t>
                  </w:r>
                </w:p>
              </w:tc>
              <w:tc>
                <w:tcPr>
                  <w:tcW w:w="500" w:type="dxa"/>
                  <w:vAlign w:val="center"/>
                </w:tcPr>
                <w:p w14:paraId="7C1466EE">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达标</w:t>
                  </w:r>
                </w:p>
              </w:tc>
            </w:tr>
            <w:tr w14:paraId="16EF89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1081" w:type="dxa"/>
                  <w:vAlign w:val="center"/>
                </w:tcPr>
                <w:p w14:paraId="2855C2AE">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常州恒优华新材料科技有限公司西侧</w:t>
                  </w:r>
                </w:p>
              </w:tc>
              <w:tc>
                <w:tcPr>
                  <w:tcW w:w="780" w:type="dxa"/>
                  <w:vAlign w:val="center"/>
                </w:tcPr>
                <w:p w14:paraId="1C89F2B5">
                  <w:pPr>
                    <w:spacing w:line="240" w:lineRule="exact"/>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eastAsia="zh-CN"/>
                    </w:rPr>
                    <w:t>31.7503</w:t>
                  </w:r>
                  <w:r>
                    <w:rPr>
                      <w:rFonts w:hint="default" w:ascii="Times New Roman" w:hAnsi="Times New Roman" w:eastAsia="仿宋" w:cs="Times New Roman"/>
                      <w:color w:val="auto"/>
                      <w:sz w:val="18"/>
                      <w:szCs w:val="18"/>
                      <w:highlight w:val="none"/>
                      <w:lang w:val="en-US" w:eastAsia="zh-CN"/>
                    </w:rPr>
                    <w:t>50</w:t>
                  </w:r>
                </w:p>
              </w:tc>
              <w:tc>
                <w:tcPr>
                  <w:tcW w:w="825" w:type="dxa"/>
                  <w:vAlign w:val="center"/>
                </w:tcPr>
                <w:p w14:paraId="739FB0FB">
                  <w:pPr>
                    <w:spacing w:line="240" w:lineRule="exact"/>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eastAsia="zh-CN"/>
                    </w:rPr>
                    <w:t>119.623527</w:t>
                  </w:r>
                </w:p>
              </w:tc>
              <w:tc>
                <w:tcPr>
                  <w:tcW w:w="715" w:type="dxa"/>
                  <w:vAlign w:val="center"/>
                </w:tcPr>
                <w:p w14:paraId="7CE89C26">
                  <w:pPr>
                    <w:jc w:val="center"/>
                    <w:rPr>
                      <w:rFonts w:hint="default" w:ascii="Times New Roman" w:hAnsi="Times New Roman" w:eastAsia="仿宋" w:cs="Times New Roman"/>
                      <w:color w:val="auto"/>
                      <w:sz w:val="18"/>
                      <w:szCs w:val="18"/>
                      <w:lang w:eastAsia="zh-CN"/>
                    </w:rPr>
                  </w:pPr>
                  <w:r>
                    <w:rPr>
                      <w:rFonts w:hint="default" w:ascii="Times New Roman" w:hAnsi="Times New Roman" w:eastAsia="仿宋" w:cs="Times New Roman"/>
                      <w:color w:val="auto"/>
                      <w:sz w:val="18"/>
                      <w:szCs w:val="18"/>
                      <w:lang w:val="en-US" w:eastAsia="zh-CN"/>
                    </w:rPr>
                    <w:t>氯化氢</w:t>
                  </w:r>
                </w:p>
              </w:tc>
              <w:tc>
                <w:tcPr>
                  <w:tcW w:w="1200" w:type="dxa"/>
                  <w:shd w:val="clear" w:color="auto" w:fill="auto"/>
                  <w:vAlign w:val="center"/>
                </w:tcPr>
                <w:p w14:paraId="09B87F91">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202</w:t>
                  </w:r>
                  <w:r>
                    <w:rPr>
                      <w:rFonts w:hint="default" w:ascii="Times New Roman" w:hAnsi="Times New Roman" w:eastAsia="仿宋" w:cs="Times New Roman"/>
                      <w:color w:val="auto"/>
                      <w:sz w:val="18"/>
                      <w:szCs w:val="18"/>
                      <w:lang w:val="en-US" w:eastAsia="zh-CN"/>
                    </w:rPr>
                    <w:t>5.7.</w:t>
                  </w:r>
                  <w:r>
                    <w:rPr>
                      <w:rFonts w:hint="default" w:ascii="Times New Roman" w:hAnsi="Times New Roman" w:eastAsia="仿宋" w:cs="Times New Roman"/>
                      <w:color w:val="auto"/>
                      <w:sz w:val="18"/>
                      <w:szCs w:val="18"/>
                    </w:rPr>
                    <w:t>1</w:t>
                  </w:r>
                  <w:r>
                    <w:rPr>
                      <w:rFonts w:hint="default" w:ascii="Times New Roman" w:hAnsi="Times New Roman" w:eastAsia="仿宋" w:cs="Times New Roman"/>
                      <w:color w:val="auto"/>
                      <w:sz w:val="18"/>
                      <w:szCs w:val="18"/>
                      <w:lang w:val="en-US" w:eastAsia="zh-CN"/>
                    </w:rPr>
                    <w:t>8</w:t>
                  </w:r>
                  <w:r>
                    <w:rPr>
                      <w:rFonts w:hint="default" w:ascii="Times New Roman" w:hAnsi="Times New Roman" w:eastAsia="仿宋" w:cs="Times New Roman"/>
                      <w:color w:val="auto"/>
                      <w:sz w:val="18"/>
                      <w:szCs w:val="18"/>
                    </w:rPr>
                    <w:t>～</w:t>
                  </w:r>
                  <w:r>
                    <w:rPr>
                      <w:rFonts w:hint="default" w:ascii="Times New Roman" w:hAnsi="Times New Roman" w:eastAsia="仿宋" w:cs="Times New Roman"/>
                      <w:color w:val="auto"/>
                      <w:sz w:val="18"/>
                      <w:szCs w:val="18"/>
                      <w:lang w:val="en-US" w:eastAsia="zh-CN"/>
                    </w:rPr>
                    <w:t>20</w:t>
                  </w:r>
                </w:p>
              </w:tc>
              <w:tc>
                <w:tcPr>
                  <w:tcW w:w="635" w:type="dxa"/>
                  <w:shd w:val="clear" w:color="auto" w:fill="auto"/>
                  <w:vAlign w:val="center"/>
                </w:tcPr>
                <w:p w14:paraId="5329CA86">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1h</w:t>
                  </w:r>
                </w:p>
              </w:tc>
              <w:tc>
                <w:tcPr>
                  <w:tcW w:w="657" w:type="dxa"/>
                  <w:shd w:val="clear" w:color="auto" w:fill="auto"/>
                  <w:vAlign w:val="center"/>
                </w:tcPr>
                <w:p w14:paraId="4039A404">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highlight w:val="none"/>
                      <w:lang w:val="en-US" w:eastAsia="zh-CN"/>
                    </w:rPr>
                    <w:t>0.05</w:t>
                  </w:r>
                </w:p>
              </w:tc>
              <w:tc>
                <w:tcPr>
                  <w:tcW w:w="819" w:type="dxa"/>
                  <w:shd w:val="clear" w:color="auto" w:fill="auto"/>
                  <w:vAlign w:val="center"/>
                </w:tcPr>
                <w:p w14:paraId="0358E145">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ND</w:t>
                  </w:r>
                </w:p>
              </w:tc>
              <w:tc>
                <w:tcPr>
                  <w:tcW w:w="681" w:type="dxa"/>
                  <w:shd w:val="clear" w:color="auto" w:fill="auto"/>
                  <w:vAlign w:val="center"/>
                </w:tcPr>
                <w:p w14:paraId="4B470291">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w:t>
                  </w:r>
                </w:p>
              </w:tc>
              <w:tc>
                <w:tcPr>
                  <w:tcW w:w="508" w:type="dxa"/>
                  <w:vAlign w:val="center"/>
                </w:tcPr>
                <w:p w14:paraId="57A96D0C">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0</w:t>
                  </w:r>
                </w:p>
              </w:tc>
              <w:tc>
                <w:tcPr>
                  <w:tcW w:w="500" w:type="dxa"/>
                  <w:vAlign w:val="center"/>
                </w:tcPr>
                <w:p w14:paraId="373A903F">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达标</w:t>
                  </w:r>
                </w:p>
              </w:tc>
            </w:tr>
          </w:tbl>
          <w:p w14:paraId="78D93DA2">
            <w:pPr>
              <w:snapToGrid w:val="0"/>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Cs w:val="21"/>
              </w:rPr>
              <w:t>注：“ND”表示浓度未检出，锡检出限为0.</w:t>
            </w:r>
            <w:r>
              <w:rPr>
                <w:rFonts w:hint="default" w:ascii="Times New Roman" w:hAnsi="Times New Roman" w:eastAsia="仿宋" w:cs="Times New Roman"/>
                <w:b/>
                <w:bCs/>
                <w:color w:val="auto"/>
                <w:szCs w:val="21"/>
                <w:lang w:val="en-US" w:eastAsia="zh-CN"/>
              </w:rPr>
              <w:t>01</w:t>
            </w:r>
            <w:r>
              <w:rPr>
                <w:rFonts w:hint="default" w:ascii="Times New Roman" w:hAnsi="Times New Roman" w:eastAsia="仿宋" w:cs="Times New Roman"/>
                <w:b/>
                <w:bCs/>
                <w:color w:val="auto"/>
                <w:szCs w:val="21"/>
              </w:rPr>
              <w:t>μg/m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w:t>
            </w:r>
            <w:r>
              <w:rPr>
                <w:rFonts w:hint="default" w:ascii="Times New Roman" w:hAnsi="Times New Roman" w:eastAsia="仿宋" w:cs="Times New Roman"/>
                <w:b/>
                <w:bCs/>
                <w:color w:val="auto"/>
                <w:szCs w:val="21"/>
                <w:lang w:val="en-US" w:eastAsia="zh-CN"/>
              </w:rPr>
              <w:t>氯化氢</w:t>
            </w:r>
            <w:r>
              <w:rPr>
                <w:rFonts w:hint="default" w:ascii="Times New Roman" w:hAnsi="Times New Roman" w:eastAsia="仿宋" w:cs="Times New Roman"/>
                <w:b/>
                <w:bCs/>
                <w:color w:val="auto"/>
                <w:szCs w:val="21"/>
              </w:rPr>
              <w:t>检出限为</w:t>
            </w:r>
            <w:r>
              <w:rPr>
                <w:rFonts w:hint="default" w:ascii="Times New Roman" w:hAnsi="Times New Roman" w:eastAsia="仿宋" w:cs="Times New Roman"/>
                <w:b/>
                <w:bCs/>
                <w:color w:val="auto"/>
                <w:szCs w:val="21"/>
                <w:lang w:val="en-US" w:eastAsia="zh-CN"/>
              </w:rPr>
              <w:t>0.02</w:t>
            </w:r>
            <w:r>
              <w:rPr>
                <w:rFonts w:hint="default" w:ascii="Times New Roman" w:hAnsi="Times New Roman" w:eastAsia="仿宋" w:cs="Times New Roman"/>
                <w:b/>
                <w:bCs/>
                <w:color w:val="auto"/>
                <w:szCs w:val="21"/>
              </w:rPr>
              <w:t>mg/m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w:t>
            </w:r>
          </w:p>
          <w:p w14:paraId="2B42E102">
            <w:pPr>
              <w:snapToGrid w:val="0"/>
              <w:spacing w:before="120" w:beforeLines="50" w:line="360" w:lineRule="auto"/>
              <w:ind w:firstLine="480" w:firstLineChars="200"/>
              <w:rPr>
                <w:rFonts w:hint="default" w:ascii="Times New Roman" w:hAnsi="Times New Roman" w:eastAsia="仿宋" w:cs="Times New Roman"/>
                <w:color w:val="auto"/>
                <w:sz w:val="24"/>
                <w:szCs w:val="20"/>
              </w:rPr>
            </w:pPr>
            <w:r>
              <w:rPr>
                <w:rFonts w:hint="default" w:ascii="Times New Roman" w:hAnsi="Times New Roman" w:eastAsia="仿宋" w:cs="Times New Roman"/>
                <w:color w:val="auto"/>
                <w:sz w:val="24"/>
                <w:szCs w:val="20"/>
              </w:rPr>
              <w:t>珑庭花园位于本项目</w:t>
            </w:r>
            <w:r>
              <w:rPr>
                <w:rFonts w:hint="default" w:ascii="Times New Roman" w:hAnsi="Times New Roman" w:eastAsia="仿宋" w:cs="Times New Roman"/>
                <w:color w:val="auto"/>
                <w:sz w:val="24"/>
                <w:szCs w:val="20"/>
                <w:highlight w:val="none"/>
              </w:rPr>
              <w:t>西</w:t>
            </w:r>
            <w:r>
              <w:rPr>
                <w:rFonts w:hint="default" w:ascii="Times New Roman" w:hAnsi="Times New Roman" w:eastAsia="仿宋" w:cs="Times New Roman"/>
                <w:color w:val="auto"/>
                <w:sz w:val="24"/>
                <w:szCs w:val="20"/>
                <w:highlight w:val="none"/>
                <w:lang w:val="en-US" w:eastAsia="zh-CN"/>
              </w:rPr>
              <w:t>北</w:t>
            </w:r>
            <w:r>
              <w:rPr>
                <w:rFonts w:hint="default" w:ascii="Times New Roman" w:hAnsi="Times New Roman" w:eastAsia="仿宋" w:cs="Times New Roman"/>
                <w:color w:val="auto"/>
                <w:sz w:val="24"/>
                <w:szCs w:val="20"/>
                <w:highlight w:val="none"/>
              </w:rPr>
              <w:t>侧，直线距离约</w:t>
            </w:r>
            <w:r>
              <w:rPr>
                <w:rFonts w:hint="default" w:ascii="Times New Roman" w:hAnsi="Times New Roman" w:eastAsia="仿宋" w:cs="Times New Roman"/>
                <w:color w:val="auto"/>
                <w:sz w:val="24"/>
                <w:szCs w:val="20"/>
                <w:highlight w:val="none"/>
                <w:lang w:val="en-US" w:eastAsia="zh-CN"/>
              </w:rPr>
              <w:t>2.7</w:t>
            </w:r>
            <w:r>
              <w:rPr>
                <w:rFonts w:hint="default" w:ascii="Times New Roman" w:hAnsi="Times New Roman" w:eastAsia="仿宋" w:cs="Times New Roman"/>
                <w:color w:val="auto"/>
                <w:sz w:val="24"/>
                <w:szCs w:val="20"/>
                <w:highlight w:val="none"/>
              </w:rPr>
              <w:t>km，特征因子引用数据检测时间为202</w:t>
            </w:r>
            <w:r>
              <w:rPr>
                <w:rFonts w:hint="default" w:ascii="Times New Roman" w:hAnsi="Times New Roman" w:eastAsia="仿宋" w:cs="Times New Roman"/>
                <w:color w:val="auto"/>
                <w:sz w:val="24"/>
                <w:szCs w:val="20"/>
                <w:highlight w:val="none"/>
                <w:lang w:val="en-US" w:eastAsia="zh-CN"/>
              </w:rPr>
              <w:t>5</w:t>
            </w:r>
            <w:r>
              <w:rPr>
                <w:rFonts w:hint="default" w:ascii="Times New Roman" w:hAnsi="Times New Roman" w:eastAsia="仿宋" w:cs="Times New Roman"/>
                <w:color w:val="auto"/>
                <w:sz w:val="24"/>
                <w:szCs w:val="20"/>
                <w:highlight w:val="none"/>
              </w:rPr>
              <w:t>年</w:t>
            </w:r>
            <w:r>
              <w:rPr>
                <w:rFonts w:hint="default" w:ascii="Times New Roman" w:hAnsi="Times New Roman" w:eastAsia="仿宋" w:cs="Times New Roman"/>
                <w:color w:val="auto"/>
                <w:sz w:val="24"/>
                <w:szCs w:val="20"/>
                <w:highlight w:val="none"/>
                <w:lang w:val="en-US" w:eastAsia="zh-CN"/>
              </w:rPr>
              <w:t>2</w:t>
            </w:r>
            <w:r>
              <w:rPr>
                <w:rFonts w:hint="default" w:ascii="Times New Roman" w:hAnsi="Times New Roman" w:eastAsia="仿宋" w:cs="Times New Roman"/>
                <w:color w:val="auto"/>
                <w:sz w:val="24"/>
                <w:szCs w:val="20"/>
                <w:highlight w:val="none"/>
              </w:rPr>
              <w:t>月</w:t>
            </w:r>
            <w:r>
              <w:rPr>
                <w:rFonts w:hint="default" w:ascii="Times New Roman" w:hAnsi="Times New Roman" w:eastAsia="仿宋" w:cs="Times New Roman"/>
                <w:color w:val="auto"/>
                <w:sz w:val="24"/>
                <w:szCs w:val="20"/>
                <w:highlight w:val="none"/>
                <w:lang w:eastAsia="zh-CN"/>
              </w:rPr>
              <w:t>、</w:t>
            </w:r>
            <w:r>
              <w:rPr>
                <w:rFonts w:hint="default" w:ascii="Times New Roman" w:hAnsi="Times New Roman" w:eastAsia="仿宋" w:cs="Times New Roman"/>
                <w:color w:val="auto"/>
                <w:sz w:val="24"/>
                <w:szCs w:val="20"/>
                <w:highlight w:val="none"/>
                <w:lang w:val="en-US" w:eastAsia="zh-CN"/>
              </w:rPr>
              <w:t>3月</w:t>
            </w:r>
            <w:r>
              <w:rPr>
                <w:rFonts w:hint="default" w:ascii="Times New Roman" w:hAnsi="Times New Roman" w:eastAsia="仿宋" w:cs="Times New Roman"/>
                <w:color w:val="auto"/>
                <w:sz w:val="24"/>
                <w:szCs w:val="20"/>
                <w:highlight w:val="none"/>
              </w:rPr>
              <w:t>；</w:t>
            </w:r>
            <w:r>
              <w:rPr>
                <w:rFonts w:hint="default" w:ascii="Times New Roman" w:hAnsi="Times New Roman" w:eastAsia="仿宋" w:cs="Times New Roman"/>
                <w:color w:val="auto"/>
                <w:sz w:val="24"/>
                <w:szCs w:val="20"/>
              </w:rPr>
              <w:t>常州恒优华新材料科技有限公司西侧位于本项目</w:t>
            </w:r>
            <w:r>
              <w:rPr>
                <w:rFonts w:hint="default" w:ascii="Times New Roman" w:hAnsi="Times New Roman" w:eastAsia="仿宋" w:cs="Times New Roman"/>
                <w:color w:val="auto"/>
                <w:sz w:val="24"/>
                <w:szCs w:val="20"/>
                <w:highlight w:val="none"/>
                <w:lang w:val="en-US" w:eastAsia="zh-CN"/>
              </w:rPr>
              <w:t>西北</w:t>
            </w:r>
            <w:r>
              <w:rPr>
                <w:rFonts w:hint="default" w:ascii="Times New Roman" w:hAnsi="Times New Roman" w:eastAsia="仿宋" w:cs="Times New Roman"/>
                <w:color w:val="auto"/>
                <w:sz w:val="24"/>
                <w:szCs w:val="20"/>
                <w:highlight w:val="none"/>
              </w:rPr>
              <w:t>侧，直线距离约</w:t>
            </w:r>
            <w:r>
              <w:rPr>
                <w:rFonts w:hint="default" w:ascii="Times New Roman" w:hAnsi="Times New Roman" w:eastAsia="仿宋" w:cs="Times New Roman"/>
                <w:color w:val="auto"/>
                <w:sz w:val="24"/>
                <w:szCs w:val="20"/>
                <w:highlight w:val="none"/>
                <w:lang w:val="en-US" w:eastAsia="zh-CN"/>
              </w:rPr>
              <w:t>3.2k</w:t>
            </w:r>
            <w:r>
              <w:rPr>
                <w:rFonts w:hint="default" w:ascii="Times New Roman" w:hAnsi="Times New Roman" w:eastAsia="仿宋" w:cs="Times New Roman"/>
                <w:color w:val="auto"/>
                <w:sz w:val="24"/>
                <w:szCs w:val="20"/>
                <w:highlight w:val="none"/>
              </w:rPr>
              <w:t>m，</w:t>
            </w:r>
            <w:r>
              <w:rPr>
                <w:rFonts w:hint="default" w:ascii="Times New Roman" w:hAnsi="Times New Roman" w:eastAsia="仿宋" w:cs="Times New Roman"/>
                <w:color w:val="auto"/>
                <w:sz w:val="24"/>
                <w:szCs w:val="20"/>
              </w:rPr>
              <w:t>特征因子引用数据检测时间为202</w:t>
            </w:r>
            <w:r>
              <w:rPr>
                <w:rFonts w:hint="default" w:ascii="Times New Roman" w:hAnsi="Times New Roman" w:eastAsia="仿宋" w:cs="Times New Roman"/>
                <w:color w:val="auto"/>
                <w:sz w:val="24"/>
                <w:szCs w:val="20"/>
                <w:lang w:val="en-US" w:eastAsia="zh-CN"/>
              </w:rPr>
              <w:t>5</w:t>
            </w:r>
            <w:r>
              <w:rPr>
                <w:rFonts w:hint="default" w:ascii="Times New Roman" w:hAnsi="Times New Roman" w:eastAsia="仿宋" w:cs="Times New Roman"/>
                <w:color w:val="auto"/>
                <w:sz w:val="24"/>
                <w:szCs w:val="20"/>
              </w:rPr>
              <w:t>年</w:t>
            </w:r>
            <w:r>
              <w:rPr>
                <w:rFonts w:hint="default" w:ascii="Times New Roman" w:hAnsi="Times New Roman" w:eastAsia="仿宋" w:cs="Times New Roman"/>
                <w:color w:val="auto"/>
                <w:sz w:val="24"/>
                <w:szCs w:val="20"/>
                <w:lang w:val="en-US" w:eastAsia="zh-CN"/>
              </w:rPr>
              <w:t>7</w:t>
            </w:r>
            <w:r>
              <w:rPr>
                <w:rFonts w:hint="default" w:ascii="Times New Roman" w:hAnsi="Times New Roman" w:eastAsia="仿宋" w:cs="Times New Roman"/>
                <w:color w:val="auto"/>
                <w:sz w:val="24"/>
                <w:szCs w:val="20"/>
              </w:rPr>
              <w:t>月</w:t>
            </w:r>
            <w:r>
              <w:rPr>
                <w:rFonts w:hint="default" w:ascii="Times New Roman" w:hAnsi="Times New Roman" w:eastAsia="仿宋" w:cs="Times New Roman"/>
                <w:color w:val="auto"/>
                <w:sz w:val="24"/>
                <w:szCs w:val="20"/>
                <w:lang w:eastAsia="zh-CN"/>
              </w:rPr>
              <w:t>。</w:t>
            </w:r>
            <w:r>
              <w:rPr>
                <w:rFonts w:hint="default" w:ascii="Times New Roman" w:hAnsi="Times New Roman" w:eastAsia="仿宋" w:cs="Times New Roman"/>
                <w:color w:val="auto"/>
                <w:sz w:val="24"/>
                <w:szCs w:val="20"/>
              </w:rPr>
              <w:t>根据《建设项目环境影响报告表编制技术指南（污染影响类）（试行）》，“排放国家、地方环境空气质量标准中有标准限值要求的特征污染物时，引用建设项目周边5千米范围内近3年的现有监测数据”；因此，本项目引用</w:t>
            </w:r>
            <w:r>
              <w:rPr>
                <w:rFonts w:hint="default" w:ascii="Times New Roman" w:hAnsi="Times New Roman" w:eastAsia="仿宋" w:cs="Times New Roman"/>
                <w:color w:val="auto"/>
                <w:sz w:val="24"/>
              </w:rPr>
              <w:t>的非甲烷总烃、锡</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氯化氢</w:t>
            </w:r>
            <w:r>
              <w:rPr>
                <w:rFonts w:hint="default" w:ascii="Times New Roman" w:hAnsi="Times New Roman" w:eastAsia="仿宋" w:cs="Times New Roman"/>
                <w:color w:val="auto"/>
                <w:sz w:val="24"/>
                <w:szCs w:val="20"/>
              </w:rPr>
              <w:t>历史监测数据可行。</w:t>
            </w:r>
          </w:p>
          <w:p w14:paraId="5A2E8606">
            <w:pPr>
              <w:widowControl/>
              <w:adjustRightInd w:val="0"/>
              <w:snapToGrid w:val="0"/>
              <w:spacing w:line="360" w:lineRule="auto"/>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从上表数据可以得出，项目所在地环境空气中</w:t>
            </w:r>
            <w:r>
              <w:rPr>
                <w:rFonts w:hint="default" w:ascii="Times New Roman" w:hAnsi="Times New Roman" w:eastAsia="仿宋" w:cs="Times New Roman"/>
                <w:bCs/>
                <w:color w:val="auto"/>
                <w:sz w:val="24"/>
              </w:rPr>
              <w:t>非甲烷总烃小时平均浓度符合《大气污染物综合排放标准详解》中</w:t>
            </w:r>
            <w:r>
              <w:rPr>
                <w:rFonts w:hint="eastAsia" w:eastAsia="仿宋" w:cs="Times New Roman"/>
                <w:bCs/>
                <w:color w:val="auto"/>
                <w:sz w:val="24"/>
                <w:lang w:val="en-US" w:eastAsia="zh-CN"/>
              </w:rPr>
              <w:t>一次值</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氯化氢</w:t>
            </w:r>
            <w:r>
              <w:rPr>
                <w:rFonts w:hint="default" w:ascii="Times New Roman" w:hAnsi="Times New Roman" w:eastAsia="仿宋" w:cs="Times New Roman"/>
                <w:bCs/>
                <w:color w:val="auto"/>
                <w:sz w:val="24"/>
              </w:rPr>
              <w:t>小时平均浓度符合《环境影响评价技术导则 大气环境》（HJ2.2-2018）附录D中参考限值；锡及其化合物</w:t>
            </w:r>
            <w:r>
              <w:rPr>
                <w:rFonts w:hint="eastAsia" w:eastAsia="仿宋" w:cs="Times New Roman"/>
                <w:bCs/>
                <w:color w:val="auto"/>
                <w:sz w:val="24"/>
                <w:lang w:val="en-US" w:eastAsia="zh-CN"/>
              </w:rPr>
              <w:t>小时平均浓度符合</w:t>
            </w:r>
            <w:r>
              <w:rPr>
                <w:rFonts w:hint="default" w:ascii="Times New Roman" w:hAnsi="Times New Roman" w:eastAsia="仿宋" w:cs="Times New Roman"/>
                <w:bCs/>
                <w:color w:val="auto"/>
                <w:sz w:val="24"/>
              </w:rPr>
              <w:t>《大气污染物综合排放标准详解》</w:t>
            </w:r>
            <w:r>
              <w:rPr>
                <w:rFonts w:hint="eastAsia" w:ascii="Times New Roman" w:hAnsi="Times New Roman" w:eastAsia="仿宋" w:cs="Times New Roman"/>
                <w:bCs/>
                <w:color w:val="auto"/>
                <w:sz w:val="24"/>
                <w:lang w:val="en-US" w:eastAsia="zh-CN"/>
              </w:rPr>
              <w:t>中一次最高允许浓度限值</w:t>
            </w:r>
            <w:r>
              <w:rPr>
                <w:rFonts w:hint="default" w:ascii="Times New Roman" w:hAnsi="Times New Roman" w:eastAsia="仿宋" w:cs="Times New Roman"/>
                <w:bCs/>
                <w:color w:val="auto"/>
                <w:sz w:val="24"/>
              </w:rPr>
              <w:t>。</w:t>
            </w:r>
          </w:p>
          <w:p w14:paraId="59E3E132">
            <w:pPr>
              <w:widowControl/>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2、地表水环境质量现状</w:t>
            </w:r>
          </w:p>
          <w:p w14:paraId="67ED9C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（1）饮用水水源水质</w:t>
            </w:r>
          </w:p>
          <w:p w14:paraId="174E1F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常州市城市饮用水以集中供水为主，2024年全市5个县级及以上城市集中式饮用水水源地</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含备用</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，取水总量为5.23亿吨，全年每月监测均达标。</w:t>
            </w:r>
          </w:p>
          <w:p w14:paraId="19E7AD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eastAsia="zh-CN"/>
              </w:rPr>
              <w:t>（2）</w:t>
            </w:r>
            <w:r>
              <w:rPr>
                <w:rFonts w:hint="default" w:ascii="Times New Roman" w:hAnsi="Times New Roman" w:eastAsia="仿宋" w:cs="Times New Roman"/>
                <w:bCs/>
                <w:color w:val="auto"/>
                <w:sz w:val="24"/>
                <w:lang w:val="en-US" w:eastAsia="zh-CN"/>
              </w:rPr>
              <w:t>国省考断面</w:t>
            </w:r>
          </w:p>
          <w:p w14:paraId="0E6229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2024年，常州市纳入“十四五”国家地表水环境质量考核的20个断面，年均水质达到或好于《地表水环境质量标准》</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GB3838-2002)Ⅲ类标准的断面比例为85%，无劣V类断面。纳入江苏省“十四五”水环境质量目标考核的51个断面，年均水质达到或好于Ⅲ类的比例为94.1%，无劣V类断面。</w:t>
            </w:r>
          </w:p>
          <w:p w14:paraId="178D72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eastAsia="zh-CN"/>
              </w:rPr>
              <w:t>（3）太湖及</w:t>
            </w:r>
            <w:r>
              <w:rPr>
                <w:rFonts w:hint="default" w:ascii="Times New Roman" w:hAnsi="Times New Roman" w:eastAsia="仿宋" w:cs="Times New Roman"/>
                <w:bCs/>
                <w:color w:val="auto"/>
                <w:sz w:val="24"/>
                <w:lang w:val="en-US" w:eastAsia="zh-CN"/>
              </w:rPr>
              <w:t>主要入湖河道</w:t>
            </w:r>
          </w:p>
          <w:p w14:paraId="2E8981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2024年，太湖水质自2007年蓝藻事件以来首次达Ⅲ、重回“良好”湖泊，其中我市椒山点位首次达到Ⅲ类，太湖常州水域总磷同比改善24%，对全湖总磷改善幅度贡献率达182%，位列环湖城市第一，太湖入湖河道通量最大的</w:t>
            </w:r>
            <w:r>
              <w:rPr>
                <w:rFonts w:hint="default" w:ascii="Times New Roman" w:hAnsi="Times New Roman" w:eastAsia="仿宋" w:cs="Times New Roman"/>
                <w:bCs/>
                <w:color w:val="auto"/>
                <w:sz w:val="24"/>
                <w:lang w:val="en-US" w:eastAsia="zh-CN"/>
              </w:rPr>
              <w:t>百渎港</w:t>
            </w:r>
            <w:r>
              <w:rPr>
                <w:rFonts w:hint="default" w:ascii="Times New Roman" w:hAnsi="Times New Roman" w:eastAsia="仿宋" w:cs="Times New Roman"/>
                <w:bCs/>
                <w:color w:val="auto"/>
                <w:sz w:val="24"/>
                <w:lang w:eastAsia="zh-CN"/>
              </w:rPr>
              <w:t>总磷同比下降17.6%。</w:t>
            </w:r>
          </w:p>
          <w:p w14:paraId="59DAC4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境内主要湖泊</w:t>
            </w:r>
          </w:p>
          <w:p w14:paraId="10E53B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长荡湖水质稳定达到Ⅳ类，水生植物覆盖度达38.4%，由“藻型湖”逐步向“草型湖”转变；</w:t>
            </w:r>
            <w:r>
              <w:rPr>
                <w:rFonts w:hint="default" w:ascii="Times New Roman" w:hAnsi="Times New Roman" w:eastAsia="仿宋" w:cs="Times New Roman"/>
                <w:bCs/>
                <w:color w:val="auto"/>
                <w:sz w:val="24"/>
                <w:lang w:val="en-US" w:eastAsia="zh-CN"/>
              </w:rPr>
              <w:t>滆湖</w:t>
            </w:r>
            <w:r>
              <w:rPr>
                <w:rFonts w:hint="default" w:ascii="Times New Roman" w:hAnsi="Times New Roman" w:eastAsia="仿宋" w:cs="Times New Roman"/>
                <w:bCs/>
                <w:color w:val="auto"/>
                <w:sz w:val="24"/>
                <w:lang w:eastAsia="zh-CN"/>
              </w:rPr>
              <w:t>常州水域水质首次达到Ⅳ类，总磷同比改善27.9%，营养状态从“中度”改善至“轻度”。长荡湖水质稳定达到Ⅳ类。</w:t>
            </w:r>
          </w:p>
          <w:p w14:paraId="5097E3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5</w:t>
            </w:r>
            <w:r>
              <w:rPr>
                <w:rFonts w:hint="default" w:ascii="Times New Roman" w:hAnsi="Times New Roman" w:eastAsia="仿宋" w:cs="Times New Roman"/>
                <w:bCs/>
                <w:color w:val="auto"/>
                <w:sz w:val="24"/>
                <w:lang w:eastAsia="zh-CN"/>
              </w:rPr>
              <w:t>）长江干流（常州段）及主要通江支流</w:t>
            </w:r>
          </w:p>
          <w:p w14:paraId="6B1384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2024年，长江干流魏村</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右岸</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断面水质连续八年达到Ⅱ类；新孟河、德胜河、澡港河等3条主要通江支流上5个国省考断面年均水质均达到或优于Ⅲ类。</w:t>
            </w:r>
          </w:p>
          <w:p w14:paraId="6E5812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6</w:t>
            </w:r>
            <w:r>
              <w:rPr>
                <w:rFonts w:hint="default" w:ascii="Times New Roman" w:hAnsi="Times New Roman" w:eastAsia="仿宋" w:cs="Times New Roman"/>
                <w:bCs/>
                <w:color w:val="auto"/>
                <w:sz w:val="24"/>
                <w:lang w:eastAsia="zh-CN"/>
              </w:rPr>
              <w:t>）京杭大运河常州段</w:t>
            </w:r>
          </w:p>
          <w:p w14:paraId="724AA4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eastAsia="zh-CN"/>
              </w:rPr>
              <w:t>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lang w:eastAsia="zh-CN"/>
              </w:rPr>
              <w:t>年，京杭大运河（常州段）沿线五牧、连江桥下、戚墅堰等3个国省考断面年均水质均达到或好于Ⅲ类。</w:t>
            </w:r>
          </w:p>
          <w:p w14:paraId="49C9D9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lang w:val="en-US" w:eastAsia="zh-CN"/>
              </w:rPr>
            </w:pPr>
            <w:r>
              <w:rPr>
                <w:rFonts w:hint="eastAsia" w:ascii="Times New Roman" w:hAnsi="Times New Roman" w:eastAsia="仿宋" w:cs="Times New Roman"/>
                <w:bCs/>
                <w:color w:val="auto"/>
                <w:sz w:val="24"/>
                <w:lang w:val="en-US" w:eastAsia="zh-CN"/>
              </w:rPr>
              <w:t>本项目</w:t>
            </w:r>
            <w:r>
              <w:rPr>
                <w:rFonts w:hint="eastAsia" w:eastAsia="仿宋" w:cs="Times New Roman"/>
                <w:bCs/>
                <w:color w:val="auto"/>
                <w:sz w:val="24"/>
                <w:lang w:val="en-US" w:eastAsia="zh-CN"/>
              </w:rPr>
              <w:t>不新增生活污水，</w:t>
            </w:r>
            <w:r>
              <w:rPr>
                <w:rFonts w:hint="eastAsia" w:ascii="Times New Roman" w:hAnsi="Times New Roman" w:eastAsia="仿宋" w:cs="Times New Roman"/>
                <w:bCs/>
                <w:color w:val="auto"/>
                <w:sz w:val="24"/>
                <w:lang w:val="en-US" w:eastAsia="zh-CN"/>
              </w:rPr>
              <w:t>新增制纯水弃水全部用于员工冲厕</w:t>
            </w:r>
            <w:r>
              <w:rPr>
                <w:rFonts w:hint="eastAsia" w:eastAsia="仿宋" w:cs="Times New Roman"/>
                <w:bCs/>
                <w:color w:val="auto"/>
                <w:sz w:val="24"/>
                <w:lang w:val="en-US" w:eastAsia="zh-CN"/>
              </w:rPr>
              <w:t>。</w:t>
            </w:r>
            <w:r>
              <w:rPr>
                <w:rFonts w:hint="default" w:ascii="Times New Roman" w:hAnsi="Times New Roman" w:eastAsia="仿宋" w:cs="Times New Roman"/>
                <w:color w:val="auto"/>
                <w:sz w:val="24"/>
                <w:szCs w:val="20"/>
              </w:rPr>
              <w:t>根据《建设项目环境影响报告表编制技术指南（污染影响类）（试行）》</w:t>
            </w:r>
            <w:r>
              <w:rPr>
                <w:rFonts w:hint="eastAsia" w:eastAsia="仿宋" w:cs="Times New Roman"/>
                <w:color w:val="auto"/>
                <w:sz w:val="24"/>
                <w:szCs w:val="20"/>
                <w:lang w:eastAsia="zh-CN"/>
              </w:rPr>
              <w:t>，</w:t>
            </w:r>
            <w:r>
              <w:rPr>
                <w:rFonts w:hint="eastAsia" w:ascii="Times New Roman" w:hAnsi="Times New Roman" w:eastAsia="仿宋" w:cs="Times New Roman"/>
                <w:color w:val="auto"/>
                <w:sz w:val="24"/>
                <w:szCs w:val="20"/>
                <w:lang w:eastAsia="zh-CN"/>
              </w:rPr>
              <w:t>“</w:t>
            </w:r>
            <w:r>
              <w:rPr>
                <w:rFonts w:hint="default" w:ascii="Times New Roman" w:hAnsi="Times New Roman" w:eastAsia="仿宋" w:cs="Times New Roman"/>
                <w:color w:val="auto"/>
                <w:sz w:val="24"/>
                <w:szCs w:val="20"/>
                <w:lang w:eastAsia="zh-CN"/>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eastAsia="仿宋" w:cs="Times New Roman"/>
                <w:color w:val="auto"/>
                <w:sz w:val="24"/>
                <w:szCs w:val="20"/>
                <w:lang w:eastAsia="zh-CN"/>
              </w:rPr>
              <w:t>”</w:t>
            </w:r>
            <w:r>
              <w:rPr>
                <w:rFonts w:hint="default" w:ascii="Times New Roman" w:hAnsi="Times New Roman" w:eastAsia="仿宋" w:cs="Times New Roman"/>
                <w:color w:val="auto"/>
                <w:sz w:val="24"/>
                <w:szCs w:val="20"/>
              </w:rPr>
              <w:t>因此，本项目引用</w:t>
            </w:r>
            <w:r>
              <w:rPr>
                <w:rFonts w:hint="default" w:ascii="Times New Roman" w:hAnsi="Times New Roman" w:eastAsia="仿宋" w:cs="Times New Roman"/>
                <w:color w:val="auto"/>
                <w:sz w:val="24"/>
              </w:rPr>
              <w:t>的</w:t>
            </w:r>
            <w:r>
              <w:rPr>
                <w:rFonts w:hint="eastAsia" w:eastAsia="仿宋" w:cs="Times New Roman"/>
                <w:bCs/>
                <w:color w:val="auto"/>
                <w:sz w:val="24"/>
                <w:lang w:val="en-US" w:eastAsia="zh-CN"/>
              </w:rPr>
              <w:t>质量报告书相关数据即可。</w:t>
            </w:r>
          </w:p>
          <w:p w14:paraId="45ABA948">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3、噪声环境质量现状</w:t>
            </w:r>
          </w:p>
          <w:p w14:paraId="6F661EA7">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2025年</w:t>
            </w:r>
            <w:r>
              <w:rPr>
                <w:rFonts w:hint="eastAsia" w:eastAsia="仿宋" w:cs="Times New Roman"/>
                <w:bCs/>
                <w:color w:val="auto"/>
                <w:sz w:val="24"/>
                <w:highlight w:val="none"/>
                <w:lang w:val="en-US" w:eastAsia="zh-CN"/>
              </w:rPr>
              <w:t>9月5日-9月6日</w:t>
            </w:r>
            <w:r>
              <w:rPr>
                <w:rFonts w:hint="default" w:ascii="Times New Roman" w:hAnsi="Times New Roman" w:eastAsia="仿宋" w:cs="Times New Roman"/>
                <w:bCs/>
                <w:color w:val="auto"/>
                <w:sz w:val="24"/>
                <w:highlight w:val="none"/>
                <w:lang w:val="en-US" w:eastAsia="zh-CN"/>
              </w:rPr>
              <w:t>对厂界现状噪声进行了监测</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根据江苏云居检测技术有限公司提供的检测报告（YJY25090101），检测数据详见</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与项目有关的原有环境污染问题</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表2-13，</w:t>
            </w:r>
            <w:r>
              <w:rPr>
                <w:rFonts w:hint="default" w:ascii="Times New Roman" w:hAnsi="Times New Roman" w:eastAsia="仿宋" w:cs="Times New Roman"/>
                <w:color w:val="auto"/>
                <w:kern w:val="2"/>
                <w:sz w:val="24"/>
                <w:szCs w:val="24"/>
                <w:highlight w:val="none"/>
                <w:lang w:val="en-US" w:eastAsia="zh-CN" w:bidi="ar-SA"/>
              </w:rPr>
              <w:t>各厂界昼、夜间噪声排放满足《工业企业厂界环境噪声排放标准》（GB12348-2008）中3类标准限值。</w:t>
            </w:r>
          </w:p>
          <w:p w14:paraId="33DCFF3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4、生态</w:t>
            </w:r>
          </w:p>
          <w:p w14:paraId="0602230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利用</w:t>
            </w:r>
            <w:r>
              <w:rPr>
                <w:rFonts w:hint="default" w:ascii="Times New Roman" w:hAnsi="Times New Roman" w:eastAsia="仿宋" w:cs="Times New Roman"/>
                <w:bCs/>
                <w:color w:val="auto"/>
                <w:sz w:val="24"/>
                <w:highlight w:val="none"/>
              </w:rPr>
              <w:t>现有厂房</w:t>
            </w:r>
            <w:r>
              <w:rPr>
                <w:rFonts w:hint="default" w:ascii="Times New Roman" w:hAnsi="Times New Roman" w:eastAsia="仿宋" w:cs="Times New Roman"/>
                <w:bCs/>
                <w:color w:val="auto"/>
                <w:sz w:val="24"/>
                <w:highlight w:val="none"/>
                <w:lang w:val="en-US" w:eastAsia="zh-CN"/>
              </w:rPr>
              <w:t>建设实验室</w:t>
            </w:r>
            <w:r>
              <w:rPr>
                <w:rFonts w:hint="eastAsia" w:eastAsia="仿宋" w:cs="Times New Roman"/>
                <w:bCs/>
                <w:color w:val="auto"/>
                <w:sz w:val="24"/>
                <w:highlight w:val="none"/>
                <w:lang w:val="en-US" w:eastAsia="zh-CN"/>
              </w:rPr>
              <w:t>项目</w:t>
            </w:r>
            <w:r>
              <w:rPr>
                <w:rFonts w:hint="default" w:ascii="Times New Roman" w:hAnsi="Times New Roman" w:eastAsia="仿宋" w:cs="Times New Roman"/>
                <w:bCs/>
                <w:color w:val="auto"/>
                <w:sz w:val="24"/>
                <w:highlight w:val="none"/>
              </w:rPr>
              <w:t>，不新增用地，用地范围内无生态环境保护目标，故无需进行生态现状调查和评价。</w:t>
            </w:r>
          </w:p>
          <w:p w14:paraId="03D2969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5、电磁辐射</w:t>
            </w:r>
          </w:p>
          <w:p w14:paraId="02A325C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本项目不涉及电磁辐射。</w:t>
            </w:r>
          </w:p>
          <w:p w14:paraId="3C3C39AB">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6、土壤</w:t>
            </w:r>
            <w:r>
              <w:rPr>
                <w:rFonts w:hint="default" w:ascii="Times New Roman" w:hAnsi="Times New Roman" w:eastAsia="仿宋" w:cs="Times New Roman"/>
                <w:bCs/>
                <w:color w:val="auto"/>
                <w:sz w:val="24"/>
                <w:highlight w:val="none"/>
                <w:lang w:val="en-US" w:eastAsia="zh-CN"/>
              </w:rPr>
              <w:t>及地下水</w:t>
            </w:r>
          </w:p>
          <w:p w14:paraId="2D92F042">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厂房</w:t>
            </w:r>
            <w:r>
              <w:rPr>
                <w:rFonts w:hint="default" w:ascii="Times New Roman" w:hAnsi="Times New Roman" w:eastAsia="仿宋" w:cs="Times New Roman"/>
                <w:bCs/>
                <w:color w:val="auto"/>
                <w:sz w:val="24"/>
                <w:highlight w:val="none"/>
              </w:rPr>
              <w:t>地面</w:t>
            </w:r>
            <w:r>
              <w:rPr>
                <w:rFonts w:hint="default" w:ascii="Times New Roman" w:hAnsi="Times New Roman" w:eastAsia="仿宋" w:cs="Times New Roman"/>
                <w:bCs/>
                <w:color w:val="auto"/>
                <w:sz w:val="24"/>
                <w:highlight w:val="none"/>
                <w:lang w:val="en-US" w:eastAsia="zh-CN"/>
              </w:rPr>
              <w:t>已</w:t>
            </w:r>
            <w:r>
              <w:rPr>
                <w:rFonts w:hint="default" w:ascii="Times New Roman" w:hAnsi="Times New Roman" w:eastAsia="仿宋" w:cs="Times New Roman"/>
                <w:bCs/>
                <w:color w:val="auto"/>
                <w:sz w:val="24"/>
                <w:highlight w:val="none"/>
              </w:rPr>
              <w:t>做好防渗措施，同时根据《建设项目环境影响报告表编制技术指南（污染影响类）（试行）》，项目原则上不开展环境质量现状调查，故本项目无需开展土壤、地下水现状调查。</w:t>
            </w:r>
          </w:p>
          <w:p w14:paraId="3D98F10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二、环境质量标准</w:t>
            </w:r>
          </w:p>
          <w:p w14:paraId="25A5DFF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1、大气环境质量标准</w:t>
            </w:r>
          </w:p>
          <w:p w14:paraId="11DA916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根据《常州市环境空气质量功能区划分规定（2017）》（常政发</w:t>
            </w:r>
            <w:r>
              <w:rPr>
                <w:rFonts w:hint="default" w:ascii="Times New Roman" w:hAnsi="Times New Roman" w:eastAsia="仿宋" w:cs="Times New Roman"/>
                <w:bCs/>
                <w:color w:val="auto"/>
                <w:sz w:val="24"/>
                <w:lang w:eastAsia="zh-CN"/>
              </w:rPr>
              <w:t>〔2017〕160号</w:t>
            </w:r>
            <w:r>
              <w:rPr>
                <w:rFonts w:hint="default" w:ascii="Times New Roman" w:hAnsi="Times New Roman" w:eastAsia="仿宋" w:cs="Times New Roman"/>
                <w:bCs/>
                <w:color w:val="auto"/>
                <w:sz w:val="24"/>
              </w:rPr>
              <w:t>），项目所在地空气质量功能区为二类区。</w:t>
            </w:r>
            <w:r>
              <w:rPr>
                <w:rFonts w:hint="default" w:ascii="Times New Roman" w:hAnsi="Times New Roman" w:eastAsia="仿宋" w:cs="Times New Roman"/>
                <w:color w:val="auto"/>
                <w:sz w:val="24"/>
                <w:highlight w:val="none"/>
              </w:rPr>
              <w:t>基本污染物及其他污染物执行标准具体见下表</w:t>
            </w:r>
            <w:r>
              <w:rPr>
                <w:rFonts w:hint="default" w:ascii="Times New Roman" w:hAnsi="Times New Roman" w:eastAsia="仿宋" w:cs="Times New Roman"/>
                <w:bCs/>
                <w:color w:val="auto"/>
                <w:sz w:val="24"/>
              </w:rPr>
              <w:t>。</w:t>
            </w:r>
          </w:p>
          <w:p w14:paraId="77E1D072">
            <w:pPr>
              <w:snapToGrid w:val="0"/>
              <w:jc w:val="center"/>
              <w:rPr>
                <w:rFonts w:hint="default" w:ascii="Times New Roman" w:hAnsi="Times New Roman" w:eastAsia="仿宋" w:cs="Times New Roman"/>
                <w:b/>
                <w:color w:val="auto"/>
                <w:kern w:val="0"/>
                <w:sz w:val="24"/>
              </w:rPr>
            </w:pPr>
          </w:p>
          <w:p w14:paraId="05B2E01D">
            <w:pPr>
              <w:snapToGrid w:val="0"/>
              <w:jc w:val="center"/>
              <w:rPr>
                <w:rFonts w:hint="default" w:ascii="Times New Roman" w:hAnsi="Times New Roman" w:eastAsia="仿宋" w:cs="Times New Roman"/>
                <w:b/>
                <w:color w:val="auto"/>
                <w:kern w:val="0"/>
                <w:sz w:val="24"/>
              </w:rPr>
            </w:pPr>
          </w:p>
          <w:p w14:paraId="54F633C4">
            <w:pPr>
              <w:snapToGrid w:val="0"/>
              <w:jc w:val="center"/>
              <w:rPr>
                <w:rFonts w:hint="default" w:ascii="Times New Roman" w:hAnsi="Times New Roman" w:eastAsia="仿宋" w:cs="Times New Roman"/>
                <w:b/>
                <w:color w:val="auto"/>
                <w:kern w:val="0"/>
                <w:sz w:val="24"/>
              </w:rPr>
            </w:pPr>
          </w:p>
          <w:p w14:paraId="43A88A36">
            <w:pPr>
              <w:snapToGrid w:val="0"/>
              <w:jc w:val="center"/>
              <w:rPr>
                <w:rFonts w:hint="default" w:ascii="Times New Roman" w:hAnsi="Times New Roman" w:eastAsia="仿宋" w:cs="Times New Roman"/>
                <w:b/>
                <w:color w:val="auto"/>
                <w:kern w:val="0"/>
                <w:sz w:val="24"/>
              </w:rPr>
            </w:pPr>
          </w:p>
          <w:p w14:paraId="29FD42B6">
            <w:pPr>
              <w:snapToGrid w:val="0"/>
              <w:jc w:val="center"/>
              <w:rPr>
                <w:rFonts w:hint="default" w:ascii="Times New Roman" w:hAnsi="Times New Roman" w:eastAsia="仿宋" w:cs="Times New Roman"/>
                <w:b/>
                <w:color w:val="auto"/>
                <w:kern w:val="0"/>
                <w:sz w:val="24"/>
              </w:rPr>
            </w:pPr>
          </w:p>
          <w:p w14:paraId="78D500D6">
            <w:pPr>
              <w:snapToGrid w:val="0"/>
              <w:jc w:val="center"/>
              <w:rPr>
                <w:rFonts w:hint="default" w:ascii="Times New Roman" w:hAnsi="Times New Roman" w:eastAsia="仿宋" w:cs="Times New Roman"/>
                <w:b/>
                <w:color w:val="auto"/>
                <w:kern w:val="0"/>
                <w:sz w:val="24"/>
              </w:rPr>
            </w:pPr>
          </w:p>
          <w:p w14:paraId="6D149A17">
            <w:pPr>
              <w:snapToGrid w:val="0"/>
              <w:jc w:val="center"/>
              <w:rPr>
                <w:rFonts w:hint="default" w:ascii="Times New Roman" w:hAnsi="Times New Roman" w:eastAsia="仿宋" w:cs="Times New Roman"/>
                <w:b/>
                <w:color w:val="auto"/>
                <w:kern w:val="0"/>
                <w:sz w:val="24"/>
              </w:rPr>
            </w:pPr>
          </w:p>
          <w:p w14:paraId="21C5E3E0">
            <w:pPr>
              <w:snapToGrid w:val="0"/>
              <w:jc w:val="center"/>
              <w:rPr>
                <w:rFonts w:hint="default" w:ascii="Times New Roman" w:hAnsi="Times New Roman" w:eastAsia="仿宋" w:cs="Times New Roman"/>
                <w:b/>
                <w:color w:val="auto"/>
                <w:kern w:val="0"/>
                <w:sz w:val="24"/>
              </w:rPr>
            </w:pPr>
          </w:p>
          <w:p w14:paraId="1EEA8A7C">
            <w:pPr>
              <w:snapToGrid w:val="0"/>
              <w:jc w:val="center"/>
              <w:rPr>
                <w:rFonts w:hint="default" w:ascii="Times New Roman" w:hAnsi="Times New Roman" w:eastAsia="仿宋" w:cs="Times New Roman"/>
                <w:b/>
                <w:color w:val="auto"/>
                <w:kern w:val="0"/>
                <w:sz w:val="24"/>
              </w:rPr>
            </w:pPr>
          </w:p>
          <w:p w14:paraId="1C3763A1">
            <w:pPr>
              <w:snapToGrid w:val="0"/>
              <w:jc w:val="center"/>
              <w:rPr>
                <w:rFonts w:hint="default" w:ascii="Times New Roman" w:hAnsi="Times New Roman" w:eastAsia="仿宋" w:cs="Times New Roman"/>
                <w:b/>
                <w:color w:val="auto"/>
                <w:kern w:val="0"/>
                <w:sz w:val="24"/>
              </w:rPr>
            </w:pPr>
          </w:p>
          <w:p w14:paraId="5F955A66">
            <w:pPr>
              <w:snapToGrid w:val="0"/>
              <w:jc w:val="center"/>
              <w:rPr>
                <w:rFonts w:hint="default" w:ascii="Times New Roman" w:hAnsi="Times New Roman" w:eastAsia="仿宋" w:cs="Times New Roman"/>
                <w:b/>
                <w:color w:val="auto"/>
                <w:kern w:val="0"/>
                <w:sz w:val="24"/>
              </w:rPr>
            </w:pPr>
          </w:p>
          <w:p w14:paraId="427067C3">
            <w:pPr>
              <w:snapToGrid w:val="0"/>
              <w:jc w:val="center"/>
              <w:rPr>
                <w:rFonts w:hint="default" w:ascii="Times New Roman" w:hAnsi="Times New Roman" w:eastAsia="仿宋" w:cs="Times New Roman"/>
                <w:b/>
                <w:color w:val="auto"/>
                <w:kern w:val="0"/>
                <w:sz w:val="24"/>
              </w:rPr>
            </w:pPr>
          </w:p>
          <w:p w14:paraId="196F7930">
            <w:pPr>
              <w:snapToGrid w:val="0"/>
              <w:jc w:val="center"/>
              <w:rPr>
                <w:rFonts w:hint="default" w:ascii="Times New Roman" w:hAnsi="Times New Roman" w:eastAsia="仿宋" w:cs="Times New Roman"/>
                <w:b/>
                <w:color w:val="auto"/>
                <w:kern w:val="0"/>
                <w:sz w:val="24"/>
              </w:rPr>
            </w:pPr>
          </w:p>
          <w:p w14:paraId="7521FC21">
            <w:pPr>
              <w:snapToGrid w:val="0"/>
              <w:jc w:val="center"/>
              <w:rPr>
                <w:rFonts w:hint="default" w:ascii="Times New Roman" w:hAnsi="Times New Roman" w:eastAsia="仿宋" w:cs="Times New Roman"/>
                <w:b/>
                <w:color w:val="auto"/>
                <w:kern w:val="0"/>
                <w:sz w:val="24"/>
              </w:rPr>
            </w:pPr>
          </w:p>
          <w:p w14:paraId="645F3CA8">
            <w:pPr>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kern w:val="0"/>
                <w:sz w:val="24"/>
              </w:rPr>
              <w:t>表3-</w:t>
            </w:r>
            <w:r>
              <w:rPr>
                <w:rFonts w:hint="default" w:ascii="Times New Roman" w:hAnsi="Times New Roman" w:eastAsia="仿宋" w:cs="Times New Roman"/>
                <w:b/>
                <w:color w:val="auto"/>
                <w:kern w:val="0"/>
                <w:sz w:val="24"/>
                <w:lang w:val="en-US" w:eastAsia="zh-CN"/>
              </w:rPr>
              <w:t>3</w:t>
            </w:r>
            <w:r>
              <w:rPr>
                <w:rFonts w:hint="default" w:ascii="Times New Roman" w:hAnsi="Times New Roman" w:eastAsia="仿宋" w:cs="Times New Roman"/>
                <w:b/>
                <w:color w:val="auto"/>
                <w:kern w:val="0"/>
                <w:sz w:val="24"/>
              </w:rPr>
              <w:t xml:space="preserve">  </w:t>
            </w:r>
            <w:r>
              <w:rPr>
                <w:rFonts w:hint="default" w:ascii="Times New Roman" w:hAnsi="Times New Roman" w:eastAsia="仿宋" w:cs="Times New Roman"/>
                <w:b/>
                <w:color w:val="auto"/>
                <w:sz w:val="24"/>
              </w:rPr>
              <w:t>环境空气质量浓度限值</w:t>
            </w:r>
          </w:p>
          <w:tbl>
            <w:tblPr>
              <w:tblStyle w:val="26"/>
              <w:tblW w:w="4998" w:type="pct"/>
              <w:jc w:val="center"/>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66"/>
              <w:gridCol w:w="947"/>
              <w:gridCol w:w="943"/>
              <w:gridCol w:w="991"/>
              <w:gridCol w:w="2421"/>
            </w:tblGrid>
            <w:tr w14:paraId="31D870C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884" w:type="pct"/>
                  <w:vMerge w:val="restart"/>
                  <w:noWrap w:val="0"/>
                  <w:vAlign w:val="center"/>
                </w:tcPr>
                <w:p w14:paraId="05CADD47">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污染物名称</w:t>
                  </w:r>
                </w:p>
              </w:tc>
              <w:tc>
                <w:tcPr>
                  <w:tcW w:w="891" w:type="pct"/>
                  <w:vMerge w:val="restart"/>
                  <w:noWrap w:val="0"/>
                  <w:vAlign w:val="center"/>
                </w:tcPr>
                <w:p w14:paraId="06D73D20">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取值时间</w:t>
                  </w:r>
                </w:p>
              </w:tc>
              <w:tc>
                <w:tcPr>
                  <w:tcW w:w="1149" w:type="pct"/>
                  <w:gridSpan w:val="2"/>
                  <w:tcBorders>
                    <w:bottom w:val="single" w:color="auto" w:sz="4" w:space="0"/>
                  </w:tcBorders>
                  <w:noWrap w:val="0"/>
                  <w:vAlign w:val="center"/>
                </w:tcPr>
                <w:p w14:paraId="09E4F8B7">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浓度限值</w:t>
                  </w:r>
                </w:p>
              </w:tc>
              <w:tc>
                <w:tcPr>
                  <w:tcW w:w="602" w:type="pct"/>
                  <w:vMerge w:val="restart"/>
                  <w:noWrap w:val="0"/>
                  <w:vAlign w:val="center"/>
                </w:tcPr>
                <w:p w14:paraId="4629B175">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单位</w:t>
                  </w:r>
                </w:p>
              </w:tc>
              <w:tc>
                <w:tcPr>
                  <w:tcW w:w="1472" w:type="pct"/>
                  <w:vMerge w:val="restart"/>
                  <w:noWrap w:val="0"/>
                  <w:vAlign w:val="center"/>
                </w:tcPr>
                <w:p w14:paraId="016A1463">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标准来源</w:t>
                  </w:r>
                </w:p>
              </w:tc>
            </w:tr>
            <w:tr w14:paraId="0095FE05">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84" w:type="pct"/>
                  <w:vMerge w:val="continue"/>
                  <w:noWrap w:val="0"/>
                  <w:vAlign w:val="center"/>
                </w:tcPr>
                <w:p w14:paraId="67C0AE35">
                  <w:pPr>
                    <w:spacing w:before="24" w:after="24"/>
                    <w:jc w:val="center"/>
                    <w:rPr>
                      <w:rFonts w:hint="default" w:ascii="Times New Roman" w:hAnsi="Times New Roman" w:eastAsia="仿宋" w:cs="Times New Roman"/>
                      <w:b/>
                      <w:bCs/>
                      <w:color w:val="auto"/>
                      <w:szCs w:val="21"/>
                      <w:highlight w:val="none"/>
                    </w:rPr>
                  </w:pPr>
                </w:p>
              </w:tc>
              <w:tc>
                <w:tcPr>
                  <w:tcW w:w="891" w:type="pct"/>
                  <w:vMerge w:val="continue"/>
                  <w:tcBorders>
                    <w:bottom w:val="single" w:color="auto" w:sz="4" w:space="0"/>
                  </w:tcBorders>
                  <w:noWrap w:val="0"/>
                  <w:vAlign w:val="center"/>
                </w:tcPr>
                <w:p w14:paraId="480AEB54">
                  <w:pPr>
                    <w:spacing w:before="24" w:after="24"/>
                    <w:jc w:val="center"/>
                    <w:rPr>
                      <w:rFonts w:hint="default" w:ascii="Times New Roman" w:hAnsi="Times New Roman" w:eastAsia="仿宋" w:cs="Times New Roman"/>
                      <w:b/>
                      <w:bCs/>
                      <w:color w:val="auto"/>
                      <w:szCs w:val="21"/>
                      <w:highlight w:val="none"/>
                    </w:rPr>
                  </w:pPr>
                </w:p>
              </w:tc>
              <w:tc>
                <w:tcPr>
                  <w:tcW w:w="575" w:type="pct"/>
                  <w:tcBorders>
                    <w:bottom w:val="single" w:color="auto" w:sz="4" w:space="0"/>
                  </w:tcBorders>
                  <w:noWrap w:val="0"/>
                  <w:vAlign w:val="center"/>
                </w:tcPr>
                <w:p w14:paraId="3B763D74">
                  <w:pPr>
                    <w:spacing w:before="24" w:after="24"/>
                    <w:jc w:val="center"/>
                    <w:rPr>
                      <w:rFonts w:hint="default" w:eastAsia="仿宋" w:cs="Times New Roman"/>
                      <w:b/>
                      <w:bCs/>
                      <w:color w:val="auto"/>
                      <w:szCs w:val="21"/>
                      <w:highlight w:val="none"/>
                      <w:lang w:val="en-US" w:eastAsia="zh-CN"/>
                    </w:rPr>
                  </w:pPr>
                  <w:r>
                    <w:rPr>
                      <w:rFonts w:hint="eastAsia" w:eastAsia="仿宋" w:cs="Times New Roman"/>
                      <w:b/>
                      <w:bCs/>
                      <w:color w:val="auto"/>
                      <w:szCs w:val="21"/>
                      <w:highlight w:val="none"/>
                      <w:lang w:val="en-US" w:eastAsia="zh-CN"/>
                    </w:rPr>
                    <w:t>2030年12月31日前</w:t>
                  </w:r>
                </w:p>
              </w:tc>
              <w:tc>
                <w:tcPr>
                  <w:tcW w:w="573" w:type="pct"/>
                  <w:tcBorders>
                    <w:bottom w:val="single" w:color="auto" w:sz="4" w:space="0"/>
                  </w:tcBorders>
                  <w:noWrap w:val="0"/>
                  <w:vAlign w:val="center"/>
                </w:tcPr>
                <w:p w14:paraId="7CDA74E2">
                  <w:pPr>
                    <w:spacing w:before="24" w:after="24"/>
                    <w:jc w:val="center"/>
                    <w:rPr>
                      <w:rFonts w:hint="default" w:eastAsia="仿宋" w:cs="Times New Roman"/>
                      <w:b/>
                      <w:bCs/>
                      <w:color w:val="auto"/>
                      <w:szCs w:val="21"/>
                      <w:highlight w:val="none"/>
                      <w:lang w:val="en-US" w:eastAsia="zh-CN"/>
                    </w:rPr>
                  </w:pPr>
                  <w:r>
                    <w:rPr>
                      <w:rFonts w:hint="eastAsia" w:eastAsia="仿宋" w:cs="Times New Roman"/>
                      <w:b/>
                      <w:bCs/>
                      <w:color w:val="auto"/>
                      <w:szCs w:val="21"/>
                      <w:highlight w:val="none"/>
                      <w:lang w:val="en-US" w:eastAsia="zh-CN"/>
                    </w:rPr>
                    <w:t>2031年1月1日起</w:t>
                  </w:r>
                </w:p>
              </w:tc>
              <w:tc>
                <w:tcPr>
                  <w:tcW w:w="602" w:type="pct"/>
                  <w:vMerge w:val="continue"/>
                  <w:tcBorders>
                    <w:bottom w:val="single" w:color="auto" w:sz="4" w:space="0"/>
                  </w:tcBorders>
                  <w:noWrap w:val="0"/>
                  <w:vAlign w:val="center"/>
                </w:tcPr>
                <w:p w14:paraId="5482F366">
                  <w:pPr>
                    <w:spacing w:before="24" w:after="24"/>
                    <w:jc w:val="center"/>
                    <w:rPr>
                      <w:rFonts w:hint="default" w:ascii="Times New Roman" w:hAnsi="Times New Roman" w:eastAsia="仿宋" w:cs="Times New Roman"/>
                      <w:b/>
                      <w:bCs/>
                      <w:color w:val="auto"/>
                      <w:szCs w:val="21"/>
                      <w:highlight w:val="none"/>
                    </w:rPr>
                  </w:pPr>
                </w:p>
              </w:tc>
              <w:tc>
                <w:tcPr>
                  <w:tcW w:w="1472" w:type="pct"/>
                  <w:vMerge w:val="continue"/>
                  <w:noWrap w:val="0"/>
                  <w:vAlign w:val="center"/>
                </w:tcPr>
                <w:p w14:paraId="467168FB">
                  <w:pPr>
                    <w:spacing w:before="24" w:after="24"/>
                    <w:jc w:val="center"/>
                    <w:rPr>
                      <w:rFonts w:hint="default" w:ascii="Times New Roman" w:hAnsi="Times New Roman" w:eastAsia="仿宋" w:cs="Times New Roman"/>
                      <w:b/>
                      <w:bCs/>
                      <w:color w:val="auto"/>
                      <w:szCs w:val="21"/>
                      <w:highlight w:val="none"/>
                    </w:rPr>
                  </w:pPr>
                </w:p>
              </w:tc>
            </w:tr>
            <w:tr w14:paraId="63FDE3D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restart"/>
                  <w:noWrap w:val="0"/>
                  <w:vAlign w:val="center"/>
                </w:tcPr>
                <w:p w14:paraId="406E521A">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SO</w:t>
                  </w:r>
                  <w:r>
                    <w:rPr>
                      <w:rFonts w:hint="default" w:ascii="Times New Roman" w:hAnsi="Times New Roman" w:eastAsia="仿宋" w:cs="Times New Roman"/>
                      <w:color w:val="auto"/>
                      <w:szCs w:val="21"/>
                      <w:highlight w:val="none"/>
                      <w:vertAlign w:val="subscript"/>
                    </w:rPr>
                    <w:t>2</w:t>
                  </w:r>
                </w:p>
              </w:tc>
              <w:tc>
                <w:tcPr>
                  <w:tcW w:w="891" w:type="pct"/>
                  <w:tcBorders>
                    <w:top w:val="single" w:color="auto" w:sz="4" w:space="0"/>
                    <w:bottom w:val="single" w:color="auto" w:sz="4" w:space="0"/>
                  </w:tcBorders>
                  <w:noWrap w:val="0"/>
                  <w:vAlign w:val="center"/>
                </w:tcPr>
                <w:p w14:paraId="7F06E349">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575" w:type="pct"/>
                  <w:tcBorders>
                    <w:top w:val="single" w:color="auto" w:sz="4" w:space="0"/>
                    <w:bottom w:val="single" w:color="auto" w:sz="4" w:space="0"/>
                  </w:tcBorders>
                  <w:noWrap w:val="0"/>
                  <w:vAlign w:val="center"/>
                </w:tcPr>
                <w:p w14:paraId="6436FA6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60</w:t>
                  </w:r>
                </w:p>
              </w:tc>
              <w:tc>
                <w:tcPr>
                  <w:tcW w:w="573" w:type="pct"/>
                  <w:tcBorders>
                    <w:top w:val="single" w:color="auto" w:sz="4" w:space="0"/>
                    <w:bottom w:val="single" w:color="auto" w:sz="4" w:space="0"/>
                  </w:tcBorders>
                  <w:noWrap w:val="0"/>
                  <w:vAlign w:val="center"/>
                </w:tcPr>
                <w:p w14:paraId="6A356FD0">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20</w:t>
                  </w:r>
                </w:p>
              </w:tc>
              <w:tc>
                <w:tcPr>
                  <w:tcW w:w="602" w:type="pct"/>
                  <w:vMerge w:val="restart"/>
                  <w:tcBorders>
                    <w:top w:val="single" w:color="auto" w:sz="4" w:space="0"/>
                  </w:tcBorders>
                  <w:noWrap w:val="0"/>
                  <w:vAlign w:val="center"/>
                </w:tcPr>
                <w:p w14:paraId="13C79A49">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μg/m</w:t>
                  </w:r>
                  <w:r>
                    <w:rPr>
                      <w:rFonts w:hint="default" w:ascii="Times New Roman" w:hAnsi="Times New Roman" w:eastAsia="仿宋" w:cs="Times New Roman"/>
                      <w:color w:val="auto"/>
                      <w:szCs w:val="21"/>
                      <w:highlight w:val="none"/>
                      <w:vertAlign w:val="superscript"/>
                    </w:rPr>
                    <w:t>3</w:t>
                  </w:r>
                </w:p>
              </w:tc>
              <w:tc>
                <w:tcPr>
                  <w:tcW w:w="1472" w:type="pct"/>
                  <w:vMerge w:val="restart"/>
                  <w:noWrap w:val="0"/>
                  <w:vAlign w:val="center"/>
                </w:tcPr>
                <w:p w14:paraId="09A16E9A">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《环境空气质量标准》（GB3095-</w:t>
                  </w:r>
                  <w:r>
                    <w:rPr>
                      <w:rFonts w:hint="eastAsia" w:eastAsia="仿宋" w:cs="Times New Roman"/>
                      <w:color w:val="auto"/>
                      <w:szCs w:val="21"/>
                      <w:highlight w:val="none"/>
                      <w:lang w:val="en-US" w:eastAsia="zh-CN"/>
                    </w:rPr>
                    <w:t>2026</w:t>
                  </w:r>
                  <w:r>
                    <w:rPr>
                      <w:rFonts w:hint="default" w:ascii="Times New Roman" w:hAnsi="Times New Roman" w:eastAsia="仿宋" w:cs="Times New Roman"/>
                      <w:color w:val="auto"/>
                      <w:szCs w:val="21"/>
                      <w:highlight w:val="none"/>
                    </w:rPr>
                    <w:t>）中二级标准</w:t>
                  </w:r>
                </w:p>
              </w:tc>
            </w:tr>
            <w:tr w14:paraId="3973A750">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3E5A9B7D">
                  <w:pPr>
                    <w:spacing w:before="24" w:after="24"/>
                    <w:jc w:val="center"/>
                    <w:rPr>
                      <w:rFonts w:hint="default" w:ascii="Times New Roman" w:hAnsi="Times New Roman" w:eastAsia="仿宋" w:cs="Times New Roman"/>
                      <w:color w:val="auto"/>
                      <w:szCs w:val="21"/>
                      <w:highlight w:val="none"/>
                    </w:rPr>
                  </w:pPr>
                </w:p>
              </w:tc>
              <w:tc>
                <w:tcPr>
                  <w:tcW w:w="891" w:type="pct"/>
                  <w:tcBorders>
                    <w:top w:val="single" w:color="auto" w:sz="4" w:space="0"/>
                  </w:tcBorders>
                  <w:noWrap w:val="0"/>
                  <w:vAlign w:val="center"/>
                </w:tcPr>
                <w:p w14:paraId="4D025FEA">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575" w:type="pct"/>
                  <w:tcBorders>
                    <w:top w:val="single" w:color="auto" w:sz="4" w:space="0"/>
                  </w:tcBorders>
                  <w:noWrap w:val="0"/>
                  <w:vAlign w:val="center"/>
                </w:tcPr>
                <w:p w14:paraId="1E0043ED">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150</w:t>
                  </w:r>
                </w:p>
              </w:tc>
              <w:tc>
                <w:tcPr>
                  <w:tcW w:w="573" w:type="pct"/>
                  <w:tcBorders>
                    <w:top w:val="single" w:color="auto" w:sz="4" w:space="0"/>
                  </w:tcBorders>
                  <w:noWrap w:val="0"/>
                  <w:vAlign w:val="center"/>
                </w:tcPr>
                <w:p w14:paraId="46175068">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50</w:t>
                  </w:r>
                </w:p>
              </w:tc>
              <w:tc>
                <w:tcPr>
                  <w:tcW w:w="602" w:type="pct"/>
                  <w:vMerge w:val="continue"/>
                  <w:noWrap w:val="0"/>
                  <w:vAlign w:val="center"/>
                </w:tcPr>
                <w:p w14:paraId="62A4F901">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7DB52F82">
                  <w:pPr>
                    <w:spacing w:before="24" w:after="24"/>
                    <w:jc w:val="center"/>
                    <w:rPr>
                      <w:rFonts w:hint="default" w:ascii="Times New Roman" w:hAnsi="Times New Roman" w:eastAsia="仿宋" w:cs="Times New Roman"/>
                      <w:color w:val="auto"/>
                      <w:szCs w:val="21"/>
                      <w:highlight w:val="none"/>
                    </w:rPr>
                  </w:pPr>
                </w:p>
              </w:tc>
            </w:tr>
            <w:tr w14:paraId="774CA9DB">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3EB57D53">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49BCDDE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575" w:type="pct"/>
                  <w:noWrap w:val="0"/>
                  <w:vAlign w:val="center"/>
                </w:tcPr>
                <w:p w14:paraId="53398E52">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500</w:t>
                  </w:r>
                </w:p>
              </w:tc>
              <w:tc>
                <w:tcPr>
                  <w:tcW w:w="573" w:type="pct"/>
                  <w:noWrap w:val="0"/>
                  <w:vAlign w:val="center"/>
                </w:tcPr>
                <w:p w14:paraId="1523CC95">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150</w:t>
                  </w:r>
                </w:p>
              </w:tc>
              <w:tc>
                <w:tcPr>
                  <w:tcW w:w="602" w:type="pct"/>
                  <w:vMerge w:val="continue"/>
                  <w:noWrap w:val="0"/>
                  <w:vAlign w:val="center"/>
                </w:tcPr>
                <w:p w14:paraId="461448E8">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46BB88F3">
                  <w:pPr>
                    <w:spacing w:before="24" w:after="24"/>
                    <w:jc w:val="center"/>
                    <w:rPr>
                      <w:rFonts w:hint="default" w:ascii="Times New Roman" w:hAnsi="Times New Roman" w:eastAsia="仿宋" w:cs="Times New Roman"/>
                      <w:color w:val="auto"/>
                      <w:szCs w:val="21"/>
                      <w:highlight w:val="none"/>
                    </w:rPr>
                  </w:pPr>
                </w:p>
              </w:tc>
            </w:tr>
            <w:tr w14:paraId="142F1905">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restart"/>
                  <w:noWrap w:val="0"/>
                  <w:vAlign w:val="center"/>
                </w:tcPr>
                <w:p w14:paraId="49C3B3C2">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NO</w:t>
                  </w:r>
                  <w:r>
                    <w:rPr>
                      <w:rFonts w:hint="default" w:ascii="Times New Roman" w:hAnsi="Times New Roman" w:eastAsia="仿宋" w:cs="Times New Roman"/>
                      <w:color w:val="auto"/>
                      <w:szCs w:val="21"/>
                      <w:highlight w:val="none"/>
                      <w:vertAlign w:val="subscript"/>
                    </w:rPr>
                    <w:t>2</w:t>
                  </w:r>
                </w:p>
              </w:tc>
              <w:tc>
                <w:tcPr>
                  <w:tcW w:w="891" w:type="pct"/>
                  <w:noWrap w:val="0"/>
                  <w:vAlign w:val="center"/>
                </w:tcPr>
                <w:p w14:paraId="1BF76354">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575" w:type="pct"/>
                  <w:noWrap w:val="0"/>
                  <w:vAlign w:val="center"/>
                </w:tcPr>
                <w:p w14:paraId="3EC226C4">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40</w:t>
                  </w:r>
                </w:p>
              </w:tc>
              <w:tc>
                <w:tcPr>
                  <w:tcW w:w="573" w:type="pct"/>
                  <w:noWrap w:val="0"/>
                  <w:vAlign w:val="center"/>
                </w:tcPr>
                <w:p w14:paraId="738EF0E0">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30</w:t>
                  </w:r>
                </w:p>
              </w:tc>
              <w:tc>
                <w:tcPr>
                  <w:tcW w:w="602" w:type="pct"/>
                  <w:vMerge w:val="continue"/>
                  <w:noWrap w:val="0"/>
                  <w:vAlign w:val="center"/>
                </w:tcPr>
                <w:p w14:paraId="7895145D">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67028BCA">
                  <w:pPr>
                    <w:spacing w:before="24" w:after="24"/>
                    <w:jc w:val="center"/>
                    <w:rPr>
                      <w:rFonts w:hint="default" w:ascii="Times New Roman" w:hAnsi="Times New Roman" w:eastAsia="仿宋" w:cs="Times New Roman"/>
                      <w:color w:val="auto"/>
                      <w:szCs w:val="21"/>
                      <w:highlight w:val="none"/>
                    </w:rPr>
                  </w:pPr>
                </w:p>
              </w:tc>
            </w:tr>
            <w:tr w14:paraId="7AC9B386">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308455F4">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66C4B716">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575" w:type="pct"/>
                  <w:noWrap w:val="0"/>
                  <w:vAlign w:val="center"/>
                </w:tcPr>
                <w:p w14:paraId="4EC25AFB">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80</w:t>
                  </w:r>
                </w:p>
              </w:tc>
              <w:tc>
                <w:tcPr>
                  <w:tcW w:w="573" w:type="pct"/>
                  <w:noWrap w:val="0"/>
                  <w:vAlign w:val="center"/>
                </w:tcPr>
                <w:p w14:paraId="36DC3E2B">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50</w:t>
                  </w:r>
                </w:p>
              </w:tc>
              <w:tc>
                <w:tcPr>
                  <w:tcW w:w="602" w:type="pct"/>
                  <w:vMerge w:val="continue"/>
                  <w:noWrap w:val="0"/>
                  <w:vAlign w:val="center"/>
                </w:tcPr>
                <w:p w14:paraId="280B82DF">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0E64E77E">
                  <w:pPr>
                    <w:spacing w:before="24" w:after="24"/>
                    <w:jc w:val="center"/>
                    <w:rPr>
                      <w:rFonts w:hint="default" w:ascii="Times New Roman" w:hAnsi="Times New Roman" w:eastAsia="仿宋" w:cs="Times New Roman"/>
                      <w:color w:val="auto"/>
                      <w:szCs w:val="21"/>
                      <w:highlight w:val="none"/>
                    </w:rPr>
                  </w:pPr>
                </w:p>
              </w:tc>
            </w:tr>
            <w:tr w14:paraId="4B9B4BEB">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1A070184">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67A5A07E">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575" w:type="pct"/>
                  <w:noWrap w:val="0"/>
                  <w:vAlign w:val="center"/>
                </w:tcPr>
                <w:p w14:paraId="4BD375E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200</w:t>
                  </w:r>
                </w:p>
              </w:tc>
              <w:tc>
                <w:tcPr>
                  <w:tcW w:w="573" w:type="pct"/>
                  <w:noWrap w:val="0"/>
                  <w:vAlign w:val="center"/>
                </w:tcPr>
                <w:p w14:paraId="0F2AA6EC">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200</w:t>
                  </w:r>
                </w:p>
              </w:tc>
              <w:tc>
                <w:tcPr>
                  <w:tcW w:w="602" w:type="pct"/>
                  <w:vMerge w:val="continue"/>
                  <w:tcBorders>
                    <w:bottom w:val="single" w:color="auto" w:sz="4" w:space="0"/>
                  </w:tcBorders>
                  <w:noWrap w:val="0"/>
                  <w:vAlign w:val="center"/>
                </w:tcPr>
                <w:p w14:paraId="557FF75B">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6EAC97D3">
                  <w:pPr>
                    <w:spacing w:before="24" w:after="24"/>
                    <w:jc w:val="center"/>
                    <w:rPr>
                      <w:rFonts w:hint="default" w:ascii="Times New Roman" w:hAnsi="Times New Roman" w:eastAsia="仿宋" w:cs="Times New Roman"/>
                      <w:color w:val="auto"/>
                      <w:szCs w:val="21"/>
                      <w:highlight w:val="none"/>
                    </w:rPr>
                  </w:pPr>
                </w:p>
              </w:tc>
            </w:tr>
            <w:tr w14:paraId="25746198">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restart"/>
                  <w:noWrap w:val="0"/>
                  <w:vAlign w:val="center"/>
                </w:tcPr>
                <w:p w14:paraId="2A906AE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CO</w:t>
                  </w:r>
                </w:p>
              </w:tc>
              <w:tc>
                <w:tcPr>
                  <w:tcW w:w="891" w:type="pct"/>
                  <w:noWrap w:val="0"/>
                  <w:vAlign w:val="center"/>
                </w:tcPr>
                <w:p w14:paraId="266110A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575" w:type="pct"/>
                  <w:noWrap w:val="0"/>
                  <w:vAlign w:val="center"/>
                </w:tcPr>
                <w:p w14:paraId="195021BE">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w:t>
                  </w:r>
                </w:p>
              </w:tc>
              <w:tc>
                <w:tcPr>
                  <w:tcW w:w="573" w:type="pct"/>
                  <w:noWrap w:val="0"/>
                  <w:vAlign w:val="center"/>
                </w:tcPr>
                <w:p w14:paraId="04869C0A">
                  <w:pPr>
                    <w:spacing w:before="24" w:after="24"/>
                    <w:jc w:val="center"/>
                    <w:rPr>
                      <w:rFonts w:hint="eastAsia"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4</w:t>
                  </w:r>
                </w:p>
              </w:tc>
              <w:tc>
                <w:tcPr>
                  <w:tcW w:w="602" w:type="pct"/>
                  <w:vMerge w:val="restart"/>
                  <w:tcBorders>
                    <w:top w:val="single" w:color="auto" w:sz="4" w:space="0"/>
                  </w:tcBorders>
                  <w:noWrap w:val="0"/>
                  <w:vAlign w:val="center"/>
                </w:tcPr>
                <w:p w14:paraId="5D9676C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0"/>
                      <w:szCs w:val="21"/>
                      <w:highlight w:val="none"/>
                    </w:rPr>
                    <w:t>mg/m</w:t>
                  </w:r>
                  <w:r>
                    <w:rPr>
                      <w:rFonts w:hint="default" w:ascii="Times New Roman" w:hAnsi="Times New Roman" w:eastAsia="仿宋" w:cs="Times New Roman"/>
                      <w:color w:val="auto"/>
                      <w:kern w:val="0"/>
                      <w:szCs w:val="21"/>
                      <w:highlight w:val="none"/>
                      <w:vertAlign w:val="superscript"/>
                    </w:rPr>
                    <w:t>3</w:t>
                  </w:r>
                </w:p>
              </w:tc>
              <w:tc>
                <w:tcPr>
                  <w:tcW w:w="1472" w:type="pct"/>
                  <w:vMerge w:val="continue"/>
                  <w:noWrap w:val="0"/>
                  <w:vAlign w:val="center"/>
                </w:tcPr>
                <w:p w14:paraId="6FF9828A">
                  <w:pPr>
                    <w:pStyle w:val="17"/>
                    <w:rPr>
                      <w:rFonts w:hint="default" w:ascii="Times New Roman" w:hAnsi="Times New Roman" w:eastAsia="仿宋" w:cs="Times New Roman"/>
                      <w:color w:val="auto"/>
                      <w:sz w:val="21"/>
                      <w:szCs w:val="21"/>
                      <w:highlight w:val="none"/>
                    </w:rPr>
                  </w:pPr>
                </w:p>
              </w:tc>
            </w:tr>
            <w:tr w14:paraId="3874FA5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7FF4AF6B">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518D115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575" w:type="pct"/>
                  <w:noWrap w:val="0"/>
                  <w:vAlign w:val="center"/>
                </w:tcPr>
                <w:p w14:paraId="3F06168F">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10</w:t>
                  </w:r>
                </w:p>
              </w:tc>
              <w:tc>
                <w:tcPr>
                  <w:tcW w:w="573" w:type="pct"/>
                  <w:noWrap w:val="0"/>
                  <w:vAlign w:val="center"/>
                </w:tcPr>
                <w:p w14:paraId="0B439342">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10</w:t>
                  </w:r>
                </w:p>
              </w:tc>
              <w:tc>
                <w:tcPr>
                  <w:tcW w:w="602" w:type="pct"/>
                  <w:vMerge w:val="continue"/>
                  <w:noWrap w:val="0"/>
                  <w:vAlign w:val="center"/>
                </w:tcPr>
                <w:p w14:paraId="7964E4FB">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65DF355B">
                  <w:pPr>
                    <w:pStyle w:val="17"/>
                    <w:rPr>
                      <w:rFonts w:hint="default" w:ascii="Times New Roman" w:hAnsi="Times New Roman" w:eastAsia="仿宋" w:cs="Times New Roman"/>
                      <w:color w:val="auto"/>
                      <w:sz w:val="21"/>
                      <w:szCs w:val="21"/>
                      <w:highlight w:val="none"/>
                    </w:rPr>
                  </w:pPr>
                </w:p>
              </w:tc>
            </w:tr>
            <w:tr w14:paraId="37092E0A">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restart"/>
                  <w:noWrap w:val="0"/>
                  <w:vAlign w:val="center"/>
                </w:tcPr>
                <w:p w14:paraId="426B87F3">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O</w:t>
                  </w:r>
                  <w:r>
                    <w:rPr>
                      <w:rFonts w:hint="default" w:ascii="Times New Roman" w:hAnsi="Times New Roman" w:eastAsia="仿宋" w:cs="Times New Roman"/>
                      <w:color w:val="auto"/>
                      <w:szCs w:val="21"/>
                      <w:highlight w:val="none"/>
                      <w:vertAlign w:val="subscript"/>
                    </w:rPr>
                    <w:t>3</w:t>
                  </w:r>
                </w:p>
              </w:tc>
              <w:tc>
                <w:tcPr>
                  <w:tcW w:w="891" w:type="pct"/>
                  <w:noWrap w:val="0"/>
                  <w:vAlign w:val="center"/>
                </w:tcPr>
                <w:p w14:paraId="3E40B09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日最大8小时平均</w:t>
                  </w:r>
                </w:p>
              </w:tc>
              <w:tc>
                <w:tcPr>
                  <w:tcW w:w="575" w:type="pct"/>
                  <w:noWrap w:val="0"/>
                  <w:vAlign w:val="center"/>
                </w:tcPr>
                <w:p w14:paraId="57BE9AD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160</w:t>
                  </w:r>
                </w:p>
              </w:tc>
              <w:tc>
                <w:tcPr>
                  <w:tcW w:w="573" w:type="pct"/>
                  <w:noWrap w:val="0"/>
                  <w:vAlign w:val="center"/>
                </w:tcPr>
                <w:p w14:paraId="25BDEA7F">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160</w:t>
                  </w:r>
                </w:p>
              </w:tc>
              <w:tc>
                <w:tcPr>
                  <w:tcW w:w="602" w:type="pct"/>
                  <w:vMerge w:val="restart"/>
                  <w:noWrap w:val="0"/>
                  <w:vAlign w:val="center"/>
                </w:tcPr>
                <w:p w14:paraId="3144F0DF">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μg/m</w:t>
                  </w:r>
                  <w:r>
                    <w:rPr>
                      <w:rFonts w:hint="default" w:ascii="Times New Roman" w:hAnsi="Times New Roman" w:eastAsia="仿宋" w:cs="Times New Roman"/>
                      <w:color w:val="auto"/>
                      <w:szCs w:val="21"/>
                      <w:highlight w:val="none"/>
                      <w:vertAlign w:val="superscript"/>
                    </w:rPr>
                    <w:t>3</w:t>
                  </w:r>
                </w:p>
              </w:tc>
              <w:tc>
                <w:tcPr>
                  <w:tcW w:w="1472" w:type="pct"/>
                  <w:vMerge w:val="continue"/>
                  <w:noWrap w:val="0"/>
                  <w:vAlign w:val="center"/>
                </w:tcPr>
                <w:p w14:paraId="4D9D2A4C">
                  <w:pPr>
                    <w:pStyle w:val="17"/>
                    <w:rPr>
                      <w:rFonts w:hint="default" w:ascii="Times New Roman" w:hAnsi="Times New Roman" w:eastAsia="仿宋" w:cs="Times New Roman"/>
                      <w:color w:val="auto"/>
                      <w:sz w:val="21"/>
                      <w:szCs w:val="21"/>
                      <w:highlight w:val="none"/>
                    </w:rPr>
                  </w:pPr>
                </w:p>
              </w:tc>
            </w:tr>
            <w:tr w14:paraId="6CA6C9F5">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5EABFE16">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361C2AFD">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575" w:type="pct"/>
                  <w:noWrap w:val="0"/>
                  <w:vAlign w:val="center"/>
                </w:tcPr>
                <w:p w14:paraId="680AEFF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200</w:t>
                  </w:r>
                </w:p>
              </w:tc>
              <w:tc>
                <w:tcPr>
                  <w:tcW w:w="573" w:type="pct"/>
                  <w:noWrap w:val="0"/>
                  <w:vAlign w:val="center"/>
                </w:tcPr>
                <w:p w14:paraId="57FD1F64">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200</w:t>
                  </w:r>
                </w:p>
              </w:tc>
              <w:tc>
                <w:tcPr>
                  <w:tcW w:w="602" w:type="pct"/>
                  <w:vMerge w:val="continue"/>
                  <w:noWrap w:val="0"/>
                  <w:vAlign w:val="center"/>
                </w:tcPr>
                <w:p w14:paraId="718CB7A0">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6C998615">
                  <w:pPr>
                    <w:pStyle w:val="17"/>
                    <w:rPr>
                      <w:rFonts w:hint="default" w:ascii="Times New Roman" w:hAnsi="Times New Roman" w:eastAsia="仿宋" w:cs="Times New Roman"/>
                      <w:color w:val="auto"/>
                      <w:sz w:val="21"/>
                      <w:szCs w:val="21"/>
                      <w:highlight w:val="none"/>
                    </w:rPr>
                  </w:pPr>
                </w:p>
              </w:tc>
            </w:tr>
            <w:tr w14:paraId="5F6372F8">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4" w:type="pct"/>
                  <w:vMerge w:val="restart"/>
                  <w:noWrap w:val="0"/>
                  <w:vAlign w:val="center"/>
                </w:tcPr>
                <w:p w14:paraId="1E062E6E">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PM</w:t>
                  </w:r>
                  <w:r>
                    <w:rPr>
                      <w:rFonts w:hint="default" w:ascii="Times New Roman" w:hAnsi="Times New Roman" w:eastAsia="仿宋" w:cs="Times New Roman"/>
                      <w:color w:val="auto"/>
                      <w:szCs w:val="21"/>
                      <w:highlight w:val="none"/>
                      <w:vertAlign w:val="subscript"/>
                    </w:rPr>
                    <w:t>10</w:t>
                  </w:r>
                </w:p>
              </w:tc>
              <w:tc>
                <w:tcPr>
                  <w:tcW w:w="891" w:type="pct"/>
                  <w:noWrap w:val="0"/>
                  <w:vAlign w:val="center"/>
                </w:tcPr>
                <w:p w14:paraId="285AE39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575" w:type="pct"/>
                  <w:noWrap w:val="0"/>
                  <w:vAlign w:val="center"/>
                </w:tcPr>
                <w:p w14:paraId="0B8184D8">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60</w:t>
                  </w:r>
                </w:p>
              </w:tc>
              <w:tc>
                <w:tcPr>
                  <w:tcW w:w="573" w:type="pct"/>
                  <w:noWrap w:val="0"/>
                  <w:vAlign w:val="center"/>
                </w:tcPr>
                <w:p w14:paraId="2933FAE6">
                  <w:pPr>
                    <w:spacing w:before="24" w:after="24"/>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50</w:t>
                  </w:r>
                </w:p>
              </w:tc>
              <w:tc>
                <w:tcPr>
                  <w:tcW w:w="602" w:type="pct"/>
                  <w:vMerge w:val="continue"/>
                  <w:noWrap w:val="0"/>
                  <w:vAlign w:val="center"/>
                </w:tcPr>
                <w:p w14:paraId="758E9729">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4A29F2E4">
                  <w:pPr>
                    <w:pStyle w:val="17"/>
                    <w:rPr>
                      <w:rFonts w:hint="default" w:ascii="Times New Roman" w:hAnsi="Times New Roman" w:eastAsia="仿宋" w:cs="Times New Roman"/>
                      <w:color w:val="auto"/>
                      <w:sz w:val="21"/>
                      <w:szCs w:val="21"/>
                      <w:highlight w:val="none"/>
                    </w:rPr>
                  </w:pPr>
                </w:p>
              </w:tc>
            </w:tr>
            <w:tr w14:paraId="0BB6D18A">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4CEEE608">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53B31EF3">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575" w:type="pct"/>
                  <w:noWrap w:val="0"/>
                  <w:vAlign w:val="center"/>
                </w:tcPr>
                <w:p w14:paraId="5CF40F1B">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120</w:t>
                  </w:r>
                </w:p>
              </w:tc>
              <w:tc>
                <w:tcPr>
                  <w:tcW w:w="573" w:type="pct"/>
                  <w:noWrap w:val="0"/>
                  <w:vAlign w:val="center"/>
                </w:tcPr>
                <w:p w14:paraId="5F317330">
                  <w:pPr>
                    <w:spacing w:before="24" w:after="24"/>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100</w:t>
                  </w:r>
                </w:p>
              </w:tc>
              <w:tc>
                <w:tcPr>
                  <w:tcW w:w="602" w:type="pct"/>
                  <w:vMerge w:val="continue"/>
                  <w:noWrap w:val="0"/>
                  <w:vAlign w:val="center"/>
                </w:tcPr>
                <w:p w14:paraId="48B494B8">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7FCF1917">
                  <w:pPr>
                    <w:pStyle w:val="17"/>
                    <w:rPr>
                      <w:rFonts w:hint="default" w:ascii="Times New Roman" w:hAnsi="Times New Roman" w:eastAsia="仿宋" w:cs="Times New Roman"/>
                      <w:color w:val="auto"/>
                      <w:sz w:val="21"/>
                      <w:szCs w:val="21"/>
                      <w:highlight w:val="none"/>
                    </w:rPr>
                  </w:pPr>
                </w:p>
              </w:tc>
            </w:tr>
            <w:tr w14:paraId="0246A6C9">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restart"/>
                  <w:noWrap w:val="0"/>
                  <w:vAlign w:val="center"/>
                </w:tcPr>
                <w:p w14:paraId="3C9F8F5E">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PM</w:t>
                  </w:r>
                  <w:r>
                    <w:rPr>
                      <w:rFonts w:hint="default" w:ascii="Times New Roman" w:hAnsi="Times New Roman" w:eastAsia="仿宋" w:cs="Times New Roman"/>
                      <w:color w:val="auto"/>
                      <w:szCs w:val="21"/>
                      <w:highlight w:val="none"/>
                      <w:vertAlign w:val="subscript"/>
                    </w:rPr>
                    <w:t>2.5</w:t>
                  </w:r>
                </w:p>
              </w:tc>
              <w:tc>
                <w:tcPr>
                  <w:tcW w:w="891" w:type="pct"/>
                  <w:noWrap w:val="0"/>
                  <w:vAlign w:val="center"/>
                </w:tcPr>
                <w:p w14:paraId="73785EB6">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575" w:type="pct"/>
                  <w:noWrap w:val="0"/>
                  <w:vAlign w:val="center"/>
                </w:tcPr>
                <w:p w14:paraId="60C3B6A7">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30</w:t>
                  </w:r>
                </w:p>
              </w:tc>
              <w:tc>
                <w:tcPr>
                  <w:tcW w:w="573" w:type="pct"/>
                  <w:noWrap w:val="0"/>
                  <w:vAlign w:val="center"/>
                </w:tcPr>
                <w:p w14:paraId="145BE82B">
                  <w:pPr>
                    <w:spacing w:before="24" w:after="24"/>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25</w:t>
                  </w:r>
                </w:p>
              </w:tc>
              <w:tc>
                <w:tcPr>
                  <w:tcW w:w="602" w:type="pct"/>
                  <w:vMerge w:val="continue"/>
                  <w:noWrap w:val="0"/>
                  <w:vAlign w:val="center"/>
                </w:tcPr>
                <w:p w14:paraId="53F14210">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728C14F8">
                  <w:pPr>
                    <w:pStyle w:val="17"/>
                    <w:rPr>
                      <w:rFonts w:hint="default" w:ascii="Times New Roman" w:hAnsi="Times New Roman" w:eastAsia="仿宋" w:cs="Times New Roman"/>
                      <w:color w:val="auto"/>
                      <w:sz w:val="21"/>
                      <w:szCs w:val="21"/>
                      <w:highlight w:val="none"/>
                    </w:rPr>
                  </w:pPr>
                </w:p>
              </w:tc>
            </w:tr>
            <w:tr w14:paraId="331A9D9A">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1A1B61FA">
                  <w:pPr>
                    <w:spacing w:before="24" w:after="24"/>
                    <w:jc w:val="center"/>
                    <w:rPr>
                      <w:rFonts w:hint="default" w:ascii="Times New Roman" w:hAnsi="Times New Roman" w:eastAsia="仿宋" w:cs="Times New Roman"/>
                      <w:color w:val="auto"/>
                      <w:szCs w:val="21"/>
                      <w:highlight w:val="none"/>
                    </w:rPr>
                  </w:pPr>
                </w:p>
              </w:tc>
              <w:tc>
                <w:tcPr>
                  <w:tcW w:w="891" w:type="pct"/>
                  <w:noWrap w:val="0"/>
                  <w:vAlign w:val="center"/>
                </w:tcPr>
                <w:p w14:paraId="53E5EBC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575" w:type="pct"/>
                  <w:noWrap w:val="0"/>
                  <w:vAlign w:val="center"/>
                </w:tcPr>
                <w:p w14:paraId="3D56B58C">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60</w:t>
                  </w:r>
                </w:p>
              </w:tc>
              <w:tc>
                <w:tcPr>
                  <w:tcW w:w="573" w:type="pct"/>
                  <w:noWrap w:val="0"/>
                  <w:vAlign w:val="center"/>
                </w:tcPr>
                <w:p w14:paraId="2B161975">
                  <w:pPr>
                    <w:spacing w:before="24" w:after="24"/>
                    <w:jc w:val="center"/>
                    <w:rPr>
                      <w:rFonts w:hint="default" w:eastAsia="仿宋" w:cs="Times New Roman"/>
                      <w:color w:val="auto"/>
                      <w:szCs w:val="21"/>
                      <w:highlight w:val="none"/>
                      <w:lang w:val="en-US" w:eastAsia="zh-CN"/>
                    </w:rPr>
                  </w:pPr>
                  <w:r>
                    <w:rPr>
                      <w:rFonts w:hint="eastAsia" w:eastAsia="仿宋" w:cs="Times New Roman"/>
                      <w:color w:val="auto"/>
                      <w:szCs w:val="21"/>
                      <w:highlight w:val="none"/>
                      <w:lang w:val="en-US" w:eastAsia="zh-CN"/>
                    </w:rPr>
                    <w:t>50</w:t>
                  </w:r>
                </w:p>
              </w:tc>
              <w:tc>
                <w:tcPr>
                  <w:tcW w:w="602" w:type="pct"/>
                  <w:vMerge w:val="continue"/>
                  <w:noWrap w:val="0"/>
                  <w:vAlign w:val="center"/>
                </w:tcPr>
                <w:p w14:paraId="4262CE1C">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48A12993">
                  <w:pPr>
                    <w:pStyle w:val="17"/>
                    <w:rPr>
                      <w:rFonts w:hint="default" w:ascii="Times New Roman" w:hAnsi="Times New Roman" w:eastAsia="仿宋" w:cs="Times New Roman"/>
                      <w:color w:val="auto"/>
                      <w:sz w:val="21"/>
                      <w:szCs w:val="21"/>
                      <w:highlight w:val="none"/>
                    </w:rPr>
                  </w:pPr>
                </w:p>
              </w:tc>
            </w:tr>
            <w:tr w14:paraId="1647CABE">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84" w:type="pct"/>
                  <w:vMerge w:val="restart"/>
                  <w:noWrap w:val="0"/>
                  <w:vAlign w:val="center"/>
                </w:tcPr>
                <w:p w14:paraId="00554DFF">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氯化氢</w:t>
                  </w:r>
                </w:p>
              </w:tc>
              <w:tc>
                <w:tcPr>
                  <w:tcW w:w="891" w:type="pct"/>
                  <w:noWrap w:val="0"/>
                  <w:vAlign w:val="center"/>
                </w:tcPr>
                <w:p w14:paraId="5F063102">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1h平均</w:t>
                  </w:r>
                </w:p>
              </w:tc>
              <w:tc>
                <w:tcPr>
                  <w:tcW w:w="1149" w:type="pct"/>
                  <w:gridSpan w:val="2"/>
                  <w:noWrap w:val="0"/>
                  <w:vAlign w:val="center"/>
                </w:tcPr>
                <w:p w14:paraId="763BC2B6">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50</w:t>
                  </w:r>
                </w:p>
              </w:tc>
              <w:tc>
                <w:tcPr>
                  <w:tcW w:w="602" w:type="pct"/>
                  <w:vMerge w:val="restart"/>
                  <w:noWrap w:val="0"/>
                  <w:vAlign w:val="center"/>
                </w:tcPr>
                <w:p w14:paraId="5EBFEA56">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μg/m</w:t>
                  </w:r>
                  <w:r>
                    <w:rPr>
                      <w:rFonts w:hint="default" w:ascii="Times New Roman" w:hAnsi="Times New Roman" w:eastAsia="仿宋" w:cs="Times New Roman"/>
                      <w:color w:val="auto"/>
                      <w:szCs w:val="21"/>
                      <w:highlight w:val="none"/>
                      <w:vertAlign w:val="superscript"/>
                    </w:rPr>
                    <w:t>3</w:t>
                  </w:r>
                </w:p>
              </w:tc>
              <w:tc>
                <w:tcPr>
                  <w:tcW w:w="1472" w:type="pct"/>
                  <w:vMerge w:val="restart"/>
                  <w:noWrap w:val="0"/>
                  <w:vAlign w:val="center"/>
                </w:tcPr>
                <w:p w14:paraId="4F9C2E85">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环境影响评价技术导则 大气环境</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HJ 2.2-2018</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附录D</w:t>
                  </w:r>
                </w:p>
              </w:tc>
            </w:tr>
            <w:tr w14:paraId="56CC56F1">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vMerge w:val="continue"/>
                  <w:noWrap w:val="0"/>
                  <w:vAlign w:val="center"/>
                </w:tcPr>
                <w:p w14:paraId="4EC3C442">
                  <w:pPr>
                    <w:spacing w:before="24" w:after="24"/>
                    <w:jc w:val="center"/>
                    <w:rPr>
                      <w:rFonts w:hint="default" w:ascii="Times New Roman" w:hAnsi="Times New Roman" w:eastAsia="仿宋" w:cs="Times New Roman"/>
                      <w:color w:val="auto"/>
                      <w:szCs w:val="21"/>
                      <w:highlight w:val="none"/>
                      <w:lang w:val="en-US" w:eastAsia="zh-CN"/>
                    </w:rPr>
                  </w:pPr>
                </w:p>
              </w:tc>
              <w:tc>
                <w:tcPr>
                  <w:tcW w:w="891" w:type="pct"/>
                  <w:noWrap w:val="0"/>
                  <w:vAlign w:val="center"/>
                </w:tcPr>
                <w:p w14:paraId="567789ED">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日平均</w:t>
                  </w:r>
                </w:p>
              </w:tc>
              <w:tc>
                <w:tcPr>
                  <w:tcW w:w="1149" w:type="pct"/>
                  <w:gridSpan w:val="2"/>
                  <w:noWrap w:val="0"/>
                  <w:vAlign w:val="center"/>
                </w:tcPr>
                <w:p w14:paraId="36E0CC0E">
                  <w:pPr>
                    <w:spacing w:before="24" w:after="24"/>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15</w:t>
                  </w:r>
                </w:p>
              </w:tc>
              <w:tc>
                <w:tcPr>
                  <w:tcW w:w="602" w:type="pct"/>
                  <w:vMerge w:val="continue"/>
                  <w:noWrap w:val="0"/>
                  <w:vAlign w:val="center"/>
                </w:tcPr>
                <w:p w14:paraId="1E86CC93">
                  <w:pPr>
                    <w:spacing w:before="24" w:after="24"/>
                    <w:jc w:val="center"/>
                    <w:rPr>
                      <w:rFonts w:hint="default" w:ascii="Times New Roman" w:hAnsi="Times New Roman" w:eastAsia="仿宋" w:cs="Times New Roman"/>
                      <w:color w:val="auto"/>
                      <w:szCs w:val="21"/>
                      <w:highlight w:val="none"/>
                    </w:rPr>
                  </w:pPr>
                </w:p>
              </w:tc>
              <w:tc>
                <w:tcPr>
                  <w:tcW w:w="1472" w:type="pct"/>
                  <w:vMerge w:val="continue"/>
                  <w:noWrap w:val="0"/>
                  <w:vAlign w:val="center"/>
                </w:tcPr>
                <w:p w14:paraId="553A668F">
                  <w:pPr>
                    <w:spacing w:before="24" w:after="24"/>
                    <w:jc w:val="center"/>
                    <w:rPr>
                      <w:rFonts w:hint="default" w:ascii="Times New Roman" w:hAnsi="Times New Roman" w:eastAsia="仿宋" w:cs="Times New Roman"/>
                      <w:color w:val="auto"/>
                      <w:szCs w:val="21"/>
                      <w:highlight w:val="none"/>
                    </w:rPr>
                  </w:pPr>
                </w:p>
              </w:tc>
            </w:tr>
            <w:tr w14:paraId="35539FCC">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noWrap w:val="0"/>
                  <w:vAlign w:val="center"/>
                </w:tcPr>
                <w:p w14:paraId="113DA25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891" w:type="pct"/>
                  <w:noWrap w:val="0"/>
                  <w:vAlign w:val="center"/>
                </w:tcPr>
                <w:p w14:paraId="3FDA7DB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一次值</w:t>
                  </w:r>
                </w:p>
              </w:tc>
              <w:tc>
                <w:tcPr>
                  <w:tcW w:w="1149" w:type="pct"/>
                  <w:gridSpan w:val="2"/>
                  <w:noWrap w:val="0"/>
                  <w:vAlign w:val="center"/>
                </w:tcPr>
                <w:p w14:paraId="383C00C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w:t>
                  </w:r>
                </w:p>
              </w:tc>
              <w:tc>
                <w:tcPr>
                  <w:tcW w:w="602" w:type="pct"/>
                  <w:noWrap w:val="0"/>
                  <w:vAlign w:val="center"/>
                </w:tcPr>
                <w:p w14:paraId="7365663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mg/m</w:t>
                  </w:r>
                  <w:r>
                    <w:rPr>
                      <w:rFonts w:hint="default" w:ascii="Times New Roman" w:hAnsi="Times New Roman" w:eastAsia="仿宋" w:cs="Times New Roman"/>
                      <w:color w:val="auto"/>
                      <w:szCs w:val="21"/>
                      <w:highlight w:val="none"/>
                      <w:vertAlign w:val="superscript"/>
                    </w:rPr>
                    <w:t>3</w:t>
                  </w:r>
                </w:p>
              </w:tc>
              <w:tc>
                <w:tcPr>
                  <w:tcW w:w="1472" w:type="pct"/>
                  <w:vMerge w:val="restart"/>
                  <w:noWrap w:val="0"/>
                  <w:vAlign w:val="center"/>
                </w:tcPr>
                <w:p w14:paraId="21ABF343">
                  <w:pPr>
                    <w:spacing w:before="24" w:after="24"/>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《大气污染物综合排放标准详解》</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国家环境保护局科技标准司</w:t>
                  </w:r>
                  <w:r>
                    <w:rPr>
                      <w:rFonts w:hint="default" w:ascii="Times New Roman" w:hAnsi="Times New Roman" w:eastAsia="仿宋" w:cs="Times New Roman"/>
                      <w:color w:val="auto"/>
                      <w:szCs w:val="21"/>
                      <w:highlight w:val="none"/>
                      <w:lang w:eastAsia="zh-CN"/>
                    </w:rPr>
                    <w:t>）</w:t>
                  </w:r>
                </w:p>
              </w:tc>
            </w:tr>
            <w:tr w14:paraId="23D21516">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 w:type="pct"/>
                  <w:noWrap w:val="0"/>
                  <w:vAlign w:val="center"/>
                </w:tcPr>
                <w:p w14:paraId="25C1B1BB">
                  <w:pPr>
                    <w:spacing w:before="24" w:after="24"/>
                    <w:jc w:val="center"/>
                    <w:rPr>
                      <w:rFonts w:hint="default" w:ascii="Times New Roman" w:hAnsi="Times New Roman" w:eastAsia="仿宋" w:cs="Times New Roman"/>
                      <w:color w:val="auto"/>
                      <w:szCs w:val="21"/>
                      <w:highlight w:val="none"/>
                    </w:rPr>
                  </w:pPr>
                  <w:r>
                    <w:rPr>
                      <w:rFonts w:hint="eastAsia" w:ascii="仿宋" w:hAnsi="仿宋" w:eastAsia="仿宋"/>
                      <w:sz w:val="21"/>
                      <w:szCs w:val="24"/>
                    </w:rPr>
                    <w:t>锡及其化合物</w:t>
                  </w:r>
                </w:p>
              </w:tc>
              <w:tc>
                <w:tcPr>
                  <w:tcW w:w="891" w:type="pct"/>
                  <w:noWrap w:val="0"/>
                  <w:vAlign w:val="center"/>
                </w:tcPr>
                <w:p w14:paraId="0E241C5B">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一次最高允许浓度限值</w:t>
                  </w:r>
                </w:p>
              </w:tc>
              <w:tc>
                <w:tcPr>
                  <w:tcW w:w="1149" w:type="pct"/>
                  <w:gridSpan w:val="2"/>
                  <w:noWrap w:val="0"/>
                  <w:vAlign w:val="center"/>
                </w:tcPr>
                <w:p w14:paraId="60EDD12D">
                  <w:pPr>
                    <w:spacing w:before="24" w:after="24"/>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0.06</w:t>
                  </w:r>
                </w:p>
              </w:tc>
              <w:tc>
                <w:tcPr>
                  <w:tcW w:w="602" w:type="pct"/>
                  <w:noWrap w:val="0"/>
                  <w:vAlign w:val="center"/>
                </w:tcPr>
                <w:p w14:paraId="6E2A2D32">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mg/m</w:t>
                  </w:r>
                  <w:r>
                    <w:rPr>
                      <w:rFonts w:hint="default" w:ascii="Times New Roman" w:hAnsi="Times New Roman" w:eastAsia="仿宋" w:cs="Times New Roman"/>
                      <w:color w:val="auto"/>
                      <w:szCs w:val="21"/>
                      <w:highlight w:val="none"/>
                      <w:vertAlign w:val="superscript"/>
                    </w:rPr>
                    <w:t>3</w:t>
                  </w:r>
                </w:p>
              </w:tc>
              <w:tc>
                <w:tcPr>
                  <w:tcW w:w="1472" w:type="pct"/>
                  <w:vMerge w:val="continue"/>
                  <w:noWrap w:val="0"/>
                  <w:vAlign w:val="center"/>
                </w:tcPr>
                <w:p w14:paraId="2FA4CF62">
                  <w:pPr>
                    <w:spacing w:before="24" w:after="24"/>
                    <w:jc w:val="center"/>
                    <w:rPr>
                      <w:rFonts w:hint="default" w:ascii="Times New Roman" w:hAnsi="Times New Roman" w:eastAsia="仿宋" w:cs="Times New Roman"/>
                      <w:color w:val="auto"/>
                      <w:szCs w:val="21"/>
                      <w:highlight w:val="none"/>
                    </w:rPr>
                  </w:pPr>
                </w:p>
              </w:tc>
            </w:tr>
          </w:tbl>
          <w:p w14:paraId="533495EB">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2</w:t>
            </w:r>
            <w:r>
              <w:rPr>
                <w:rFonts w:hint="default" w:ascii="Times New Roman" w:hAnsi="Times New Roman" w:eastAsia="仿宋" w:cs="Times New Roman"/>
                <w:bCs/>
                <w:color w:val="auto"/>
                <w:sz w:val="24"/>
              </w:rPr>
              <w:t>、声环境质量标准</w:t>
            </w:r>
          </w:p>
          <w:p w14:paraId="1ADC25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本项目位于金坛经济开发区，</w:t>
            </w:r>
            <w:r>
              <w:rPr>
                <w:rFonts w:hint="default" w:ascii="Times New Roman" w:hAnsi="Times New Roman" w:eastAsia="仿宋" w:cs="Times New Roman"/>
                <w:bCs/>
                <w:color w:val="auto"/>
                <w:sz w:val="24"/>
                <w:lang w:val="en-US" w:eastAsia="zh-CN"/>
              </w:rPr>
              <w:t>周边均为工业企业</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本项目所在区域环境噪声执行3类声环境功能区环境噪声限值，具体见下表。</w:t>
            </w:r>
          </w:p>
          <w:p w14:paraId="102736CD">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表3-</w:t>
            </w:r>
            <w:r>
              <w:rPr>
                <w:rFonts w:hint="eastAsia" w:eastAsia="仿宋" w:cs="Times New Roman"/>
                <w:b/>
                <w:bCs/>
                <w:color w:val="auto"/>
                <w:sz w:val="24"/>
                <w:lang w:val="en-US" w:eastAsia="zh-CN"/>
              </w:rPr>
              <w:t>4</w:t>
            </w:r>
            <w:r>
              <w:rPr>
                <w:rFonts w:hint="default" w:ascii="Times New Roman" w:hAnsi="Times New Roman" w:eastAsia="仿宋" w:cs="Times New Roman"/>
                <w:b/>
                <w:bCs/>
                <w:color w:val="auto"/>
                <w:sz w:val="24"/>
              </w:rPr>
              <w:t xml:space="preserve">  环境噪声标准限值</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903"/>
              <w:gridCol w:w="2251"/>
              <w:gridCol w:w="2068"/>
            </w:tblGrid>
            <w:tr w14:paraId="7EE7EF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660" w:hRule="atLeast"/>
              </w:trPr>
              <w:tc>
                <w:tcPr>
                  <w:tcW w:w="2373" w:type="pct"/>
                  <w:tcBorders>
                    <w:top w:val="single" w:color="auto" w:sz="12" w:space="0"/>
                    <w:bottom w:val="single" w:color="auto" w:sz="2" w:space="0"/>
                    <w:right w:val="single" w:color="auto" w:sz="2" w:space="0"/>
                    <w:tl2br w:val="single" w:color="auto" w:sz="2" w:space="0"/>
                  </w:tcBorders>
                  <w:vAlign w:val="center"/>
                </w:tcPr>
                <w:p w14:paraId="45021793">
                  <w:pPr>
                    <w:jc w:val="right"/>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时段</w:t>
                  </w:r>
                </w:p>
                <w:p w14:paraId="55C73F3D">
                  <w:pP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声环境功能区类别</w:t>
                  </w:r>
                </w:p>
              </w:tc>
              <w:tc>
                <w:tcPr>
                  <w:tcW w:w="1369" w:type="pct"/>
                  <w:tcBorders>
                    <w:top w:val="single" w:color="auto" w:sz="12" w:space="0"/>
                    <w:left w:val="single" w:color="auto" w:sz="2" w:space="0"/>
                    <w:bottom w:val="single" w:color="auto" w:sz="2" w:space="0"/>
                    <w:right w:val="single" w:color="auto" w:sz="2" w:space="0"/>
                  </w:tcBorders>
                  <w:vAlign w:val="center"/>
                </w:tcPr>
                <w:p w14:paraId="23DDF17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昼间（</w:t>
                  </w:r>
                  <w:r>
                    <w:rPr>
                      <w:rFonts w:hint="default" w:ascii="Times New Roman" w:hAnsi="Times New Roman" w:eastAsia="仿宋" w:cs="Times New Roman"/>
                      <w:b/>
                      <w:color w:val="auto"/>
                      <w:szCs w:val="21"/>
                    </w:rPr>
                    <w:t>dB（A））</w:t>
                  </w:r>
                </w:p>
              </w:tc>
              <w:tc>
                <w:tcPr>
                  <w:tcW w:w="1257" w:type="pct"/>
                  <w:tcBorders>
                    <w:top w:val="single" w:color="auto" w:sz="12" w:space="0"/>
                    <w:left w:val="single" w:color="auto" w:sz="2" w:space="0"/>
                    <w:bottom w:val="single" w:color="auto" w:sz="2" w:space="0"/>
                    <w:right w:val="single" w:color="auto" w:sz="2" w:space="0"/>
                  </w:tcBorders>
                  <w:vAlign w:val="center"/>
                </w:tcPr>
                <w:p w14:paraId="6DA27A3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夜间（</w:t>
                  </w:r>
                  <w:r>
                    <w:rPr>
                      <w:rFonts w:hint="default" w:ascii="Times New Roman" w:hAnsi="Times New Roman" w:eastAsia="仿宋" w:cs="Times New Roman"/>
                      <w:b/>
                      <w:color w:val="auto"/>
                      <w:szCs w:val="21"/>
                    </w:rPr>
                    <w:t>dB（A））</w:t>
                  </w:r>
                </w:p>
              </w:tc>
            </w:tr>
            <w:tr w14:paraId="66F89E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373" w:type="pct"/>
                  <w:tcBorders>
                    <w:top w:val="single" w:color="auto" w:sz="2" w:space="0"/>
                    <w:bottom w:val="single" w:color="auto" w:sz="12" w:space="0"/>
                    <w:right w:val="single" w:color="auto" w:sz="2" w:space="0"/>
                  </w:tcBorders>
                  <w:vAlign w:val="center"/>
                </w:tcPr>
                <w:p w14:paraId="2E0821C6">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3类</w:t>
                  </w:r>
                </w:p>
              </w:tc>
              <w:tc>
                <w:tcPr>
                  <w:tcW w:w="1369" w:type="pct"/>
                  <w:tcBorders>
                    <w:top w:val="single" w:color="auto" w:sz="2" w:space="0"/>
                    <w:left w:val="single" w:color="auto" w:sz="2" w:space="0"/>
                    <w:bottom w:val="single" w:color="auto" w:sz="12" w:space="0"/>
                    <w:right w:val="single" w:color="auto" w:sz="2" w:space="0"/>
                  </w:tcBorders>
                  <w:vAlign w:val="center"/>
                </w:tcPr>
                <w:p w14:paraId="3F2626FC">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65</w:t>
                  </w:r>
                </w:p>
              </w:tc>
              <w:tc>
                <w:tcPr>
                  <w:tcW w:w="1257" w:type="pct"/>
                  <w:tcBorders>
                    <w:top w:val="single" w:color="auto" w:sz="2" w:space="0"/>
                    <w:left w:val="single" w:color="auto" w:sz="2" w:space="0"/>
                    <w:bottom w:val="single" w:color="auto" w:sz="12" w:space="0"/>
                    <w:right w:val="single" w:color="auto" w:sz="2" w:space="0"/>
                  </w:tcBorders>
                  <w:vAlign w:val="center"/>
                </w:tcPr>
                <w:p w14:paraId="402E00CF">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55</w:t>
                  </w:r>
                </w:p>
              </w:tc>
            </w:tr>
          </w:tbl>
          <w:p w14:paraId="4C5A5867">
            <w:pPr>
              <w:adjustRightInd w:val="0"/>
              <w:snapToGrid w:val="0"/>
              <w:spacing w:line="360" w:lineRule="auto"/>
              <w:ind w:firstLine="480" w:firstLineChars="200"/>
              <w:rPr>
                <w:rFonts w:hint="default" w:ascii="Times New Roman" w:hAnsi="Times New Roman" w:eastAsia="仿宋" w:cs="Times New Roman"/>
                <w:color w:val="auto"/>
                <w:sz w:val="24"/>
              </w:rPr>
            </w:pPr>
          </w:p>
          <w:p w14:paraId="0CD618D7">
            <w:pPr>
              <w:adjustRightInd w:val="0"/>
              <w:snapToGrid w:val="0"/>
              <w:spacing w:line="360" w:lineRule="auto"/>
              <w:rPr>
                <w:rFonts w:hint="default" w:ascii="Times New Roman" w:hAnsi="Times New Roman" w:eastAsia="仿宋" w:cs="Times New Roman"/>
                <w:color w:val="auto"/>
                <w:sz w:val="24"/>
              </w:rPr>
            </w:pPr>
          </w:p>
          <w:p w14:paraId="2C4609A9">
            <w:pPr>
              <w:adjustRightInd w:val="0"/>
              <w:snapToGrid w:val="0"/>
              <w:spacing w:line="360" w:lineRule="auto"/>
              <w:rPr>
                <w:rFonts w:hint="default" w:ascii="Times New Roman" w:hAnsi="Times New Roman" w:eastAsia="仿宋" w:cs="Times New Roman"/>
                <w:color w:val="auto"/>
                <w:sz w:val="24"/>
              </w:rPr>
            </w:pPr>
          </w:p>
        </w:tc>
      </w:tr>
      <w:tr w14:paraId="76491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9" w:hRule="atLeast"/>
          <w:jc w:val="center"/>
        </w:trPr>
        <w:tc>
          <w:tcPr>
            <w:tcW w:w="456" w:type="dxa"/>
            <w:vAlign w:val="center"/>
          </w:tcPr>
          <w:p w14:paraId="30AF50F4">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环境</w:t>
            </w:r>
          </w:p>
          <w:p w14:paraId="44F58CE3">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保护</w:t>
            </w:r>
          </w:p>
          <w:p w14:paraId="28816809">
            <w:pPr>
              <w:adjustRightInd w:val="0"/>
              <w:snapToGrid w:val="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目标</w:t>
            </w:r>
          </w:p>
        </w:tc>
        <w:tc>
          <w:tcPr>
            <w:tcW w:w="8441" w:type="dxa"/>
          </w:tcPr>
          <w:p w14:paraId="0AB3B8E5">
            <w:pPr>
              <w:adjustRightInd w:val="0"/>
              <w:snapToGrid w:val="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主要环境保护目标（列出名单及保护级别）：</w:t>
            </w:r>
          </w:p>
          <w:p w14:paraId="5E39DDA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1、大气环境</w:t>
            </w:r>
          </w:p>
          <w:p w14:paraId="69094044">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经现场实地踏勘，本项目厂界外500米范围内无自然保护区、风景名胜区、居住区、文化区和农村地区中人群较集中的区域等保护目标。</w:t>
            </w:r>
          </w:p>
          <w:p w14:paraId="49FDF67A">
            <w:pPr>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2、地表水环境</w:t>
            </w:r>
          </w:p>
          <w:p w14:paraId="1BFC7402">
            <w:pPr>
              <w:ind w:firstLine="964" w:firstLineChars="400"/>
              <w:jc w:val="center"/>
              <w:rPr>
                <w:rFonts w:hint="default" w:ascii="Times New Roman" w:hAnsi="Times New Roman" w:eastAsia="仿宋" w:cs="Times New Roman"/>
                <w:bCs/>
                <w:color w:val="auto"/>
                <w:sz w:val="24"/>
              </w:rPr>
            </w:pPr>
            <w:r>
              <w:rPr>
                <w:rFonts w:hint="default" w:ascii="Times New Roman" w:hAnsi="Times New Roman" w:eastAsia="仿宋" w:cs="Times New Roman"/>
                <w:b/>
                <w:bCs/>
                <w:color w:val="auto"/>
                <w:sz w:val="24"/>
              </w:rPr>
              <w:t>表3-</w:t>
            </w:r>
            <w:r>
              <w:rPr>
                <w:rFonts w:hint="eastAsia" w:eastAsia="仿宋" w:cs="Times New Roman"/>
                <w:b/>
                <w:bCs/>
                <w:color w:val="auto"/>
                <w:sz w:val="24"/>
                <w:lang w:val="en-US" w:eastAsia="zh-CN"/>
              </w:rPr>
              <w:t>5</w:t>
            </w:r>
            <w:r>
              <w:rPr>
                <w:rFonts w:hint="default" w:ascii="Times New Roman" w:hAnsi="Times New Roman" w:eastAsia="仿宋" w:cs="Times New Roman"/>
                <w:b/>
                <w:bCs/>
                <w:color w:val="auto"/>
                <w:sz w:val="24"/>
              </w:rPr>
              <w:t xml:space="preserve">  地表水环境保护目标一览表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3"/>
              <w:gridCol w:w="1008"/>
              <w:gridCol w:w="697"/>
              <w:gridCol w:w="1084"/>
              <w:gridCol w:w="719"/>
              <w:gridCol w:w="2084"/>
              <w:gridCol w:w="2000"/>
            </w:tblGrid>
            <w:tr w14:paraId="35AF5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384" w:type="pct"/>
                  <w:vAlign w:val="center"/>
                </w:tcPr>
                <w:p w14:paraId="791C0A9A">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环境</w:t>
                  </w:r>
                </w:p>
                <w:p w14:paraId="09A13534">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要素</w:t>
                  </w:r>
                </w:p>
              </w:tc>
              <w:tc>
                <w:tcPr>
                  <w:tcW w:w="612" w:type="pct"/>
                  <w:vAlign w:val="center"/>
                </w:tcPr>
                <w:p w14:paraId="2442C4E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保护对</w:t>
                  </w:r>
                </w:p>
                <w:p w14:paraId="1684EB4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象名称</w:t>
                  </w:r>
                </w:p>
              </w:tc>
              <w:tc>
                <w:tcPr>
                  <w:tcW w:w="423" w:type="pct"/>
                  <w:vAlign w:val="center"/>
                </w:tcPr>
                <w:p w14:paraId="496A2F57">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方位</w:t>
                  </w:r>
                </w:p>
              </w:tc>
              <w:tc>
                <w:tcPr>
                  <w:tcW w:w="658" w:type="pct"/>
                  <w:vAlign w:val="center"/>
                </w:tcPr>
                <w:p w14:paraId="49D77EB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距离</w:t>
                  </w:r>
                  <w:r>
                    <w:rPr>
                      <w:rFonts w:hint="eastAsia" w:eastAsia="仿宋" w:cs="Times New Roman"/>
                      <w:b/>
                      <w:bCs/>
                      <w:color w:val="auto"/>
                      <w:szCs w:val="21"/>
                      <w:lang w:eastAsia="zh-CN"/>
                    </w:rPr>
                    <w:t>（</w:t>
                  </w:r>
                  <w:r>
                    <w:rPr>
                      <w:rFonts w:hint="default" w:ascii="Times New Roman" w:hAnsi="Times New Roman" w:eastAsia="仿宋" w:cs="Times New Roman"/>
                      <w:b/>
                      <w:bCs/>
                      <w:color w:val="auto"/>
                      <w:szCs w:val="21"/>
                    </w:rPr>
                    <w:t>km</w:t>
                  </w:r>
                  <w:r>
                    <w:rPr>
                      <w:rFonts w:hint="eastAsia" w:eastAsia="仿宋" w:cs="Times New Roman"/>
                      <w:b/>
                      <w:bCs/>
                      <w:color w:val="auto"/>
                      <w:szCs w:val="21"/>
                      <w:lang w:eastAsia="zh-CN"/>
                    </w:rPr>
                    <w:t>）</w:t>
                  </w:r>
                </w:p>
              </w:tc>
              <w:tc>
                <w:tcPr>
                  <w:tcW w:w="437" w:type="pct"/>
                  <w:vAlign w:val="center"/>
                </w:tcPr>
                <w:p w14:paraId="3E3D2A63">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规模</w:t>
                  </w:r>
                </w:p>
              </w:tc>
              <w:tc>
                <w:tcPr>
                  <w:tcW w:w="1266" w:type="pct"/>
                  <w:vAlign w:val="center"/>
                </w:tcPr>
                <w:p w14:paraId="5072686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环境功能区划</w:t>
                  </w:r>
                </w:p>
              </w:tc>
              <w:tc>
                <w:tcPr>
                  <w:tcW w:w="1215" w:type="pct"/>
                  <w:vAlign w:val="center"/>
                </w:tcPr>
                <w:p w14:paraId="3DCC86E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依据</w:t>
                  </w:r>
                </w:p>
              </w:tc>
            </w:tr>
            <w:tr w14:paraId="77BAB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384" w:type="pct"/>
                  <w:vMerge w:val="restart"/>
                  <w:vAlign w:val="center"/>
                </w:tcPr>
                <w:p w14:paraId="11F6CA8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w:t>
                  </w:r>
                </w:p>
                <w:p w14:paraId="0A6A6B4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w:t>
                  </w:r>
                </w:p>
                <w:p w14:paraId="11DCB2B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境</w:t>
                  </w:r>
                </w:p>
              </w:tc>
              <w:tc>
                <w:tcPr>
                  <w:tcW w:w="612" w:type="pct"/>
                  <w:vAlign w:val="center"/>
                </w:tcPr>
                <w:p w14:paraId="68548C09">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金花河</w:t>
                  </w:r>
                </w:p>
              </w:tc>
              <w:tc>
                <w:tcPr>
                  <w:tcW w:w="423" w:type="pct"/>
                  <w:vAlign w:val="center"/>
                </w:tcPr>
                <w:p w14:paraId="1D5740BC">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w:t>
                  </w:r>
                </w:p>
              </w:tc>
              <w:tc>
                <w:tcPr>
                  <w:tcW w:w="658" w:type="pct"/>
                  <w:vAlign w:val="center"/>
                </w:tcPr>
                <w:p w14:paraId="29BF7067">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1.3</w:t>
                  </w:r>
                </w:p>
              </w:tc>
              <w:tc>
                <w:tcPr>
                  <w:tcW w:w="437" w:type="pct"/>
                  <w:vMerge w:val="restart"/>
                  <w:vAlign w:val="center"/>
                </w:tcPr>
                <w:p w14:paraId="33DAA79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小河</w:t>
                  </w:r>
                </w:p>
              </w:tc>
              <w:tc>
                <w:tcPr>
                  <w:tcW w:w="1266" w:type="pct"/>
                  <w:vMerge w:val="restart"/>
                  <w:vAlign w:val="center"/>
                </w:tcPr>
                <w:p w14:paraId="0A464AC6">
                  <w:pPr>
                    <w:jc w:val="center"/>
                    <w:rPr>
                      <w:rFonts w:hint="default" w:ascii="Times New Roman" w:hAnsi="Times New Roman" w:eastAsia="仿宋" w:cs="Times New Roman"/>
                      <w:color w:val="auto"/>
                      <w:szCs w:val="21"/>
                    </w:rPr>
                  </w:pPr>
                  <w:bookmarkStart w:id="18" w:name="_Hlk113625541"/>
                  <w:r>
                    <w:rPr>
                      <w:rFonts w:hint="default" w:ascii="Times New Roman" w:hAnsi="Times New Roman" w:eastAsia="仿宋" w:cs="Times New Roman"/>
                      <w:color w:val="auto"/>
                      <w:szCs w:val="21"/>
                    </w:rPr>
                    <w:t>《地表水环境质量标准》（GB3838-2002）中Ⅲ类水质标准</w:t>
                  </w:r>
                  <w:bookmarkEnd w:id="18"/>
                </w:p>
              </w:tc>
              <w:tc>
                <w:tcPr>
                  <w:tcW w:w="1215" w:type="pct"/>
                  <w:vMerge w:val="restart"/>
                  <w:vAlign w:val="center"/>
                </w:tcPr>
                <w:p w14:paraId="74ED53C2">
                  <w:pPr>
                    <w:jc w:val="center"/>
                    <w:rPr>
                      <w:rFonts w:hint="default" w:ascii="Times New Roman" w:hAnsi="Times New Roman" w:eastAsia="仿宋" w:cs="Times New Roman"/>
                      <w:color w:val="auto"/>
                      <w:szCs w:val="21"/>
                    </w:rPr>
                  </w:pPr>
                  <w:bookmarkStart w:id="19" w:name="_Hlk113625519"/>
                  <w:r>
                    <w:rPr>
                      <w:rFonts w:hint="default" w:ascii="Times New Roman" w:hAnsi="Times New Roman" w:eastAsia="仿宋" w:cs="Times New Roman"/>
                      <w:color w:val="auto"/>
                      <w:szCs w:val="21"/>
                    </w:rPr>
                    <w:t>《江苏省地表水（环境）功能区划（2021-2030年）》</w:t>
                  </w:r>
                  <w:bookmarkEnd w:id="19"/>
                </w:p>
              </w:tc>
            </w:tr>
            <w:tr w14:paraId="38249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384" w:type="pct"/>
                  <w:vMerge w:val="continue"/>
                  <w:vAlign w:val="center"/>
                </w:tcPr>
                <w:p w14:paraId="6BE0E100">
                  <w:pPr>
                    <w:jc w:val="center"/>
                    <w:rPr>
                      <w:rFonts w:hint="default" w:ascii="Times New Roman" w:hAnsi="Times New Roman" w:eastAsia="仿宋" w:cs="Times New Roman"/>
                      <w:color w:val="auto"/>
                      <w:szCs w:val="21"/>
                    </w:rPr>
                  </w:pPr>
                </w:p>
              </w:tc>
              <w:tc>
                <w:tcPr>
                  <w:tcW w:w="612" w:type="pct"/>
                  <w:vAlign w:val="center"/>
                </w:tcPr>
                <w:p w14:paraId="0639DA3D">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夏溪河</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含尧塘河</w:t>
                  </w:r>
                  <w:r>
                    <w:rPr>
                      <w:rFonts w:hint="default" w:ascii="Times New Roman" w:hAnsi="Times New Roman" w:eastAsia="仿宋" w:cs="Times New Roman"/>
                      <w:color w:val="auto"/>
                      <w:szCs w:val="21"/>
                      <w:lang w:eastAsia="zh-CN"/>
                    </w:rPr>
                    <w:t>）</w:t>
                  </w:r>
                </w:p>
              </w:tc>
              <w:tc>
                <w:tcPr>
                  <w:tcW w:w="423" w:type="pct"/>
                  <w:vAlign w:val="center"/>
                </w:tcPr>
                <w:p w14:paraId="13AB7CB9">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NE</w:t>
                  </w:r>
                </w:p>
              </w:tc>
              <w:tc>
                <w:tcPr>
                  <w:tcW w:w="658" w:type="pct"/>
                  <w:vAlign w:val="center"/>
                </w:tcPr>
                <w:p w14:paraId="36FE9CF4">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1.27</w:t>
                  </w:r>
                </w:p>
              </w:tc>
              <w:tc>
                <w:tcPr>
                  <w:tcW w:w="437" w:type="pct"/>
                  <w:vMerge w:val="continue"/>
                  <w:vAlign w:val="center"/>
                </w:tcPr>
                <w:p w14:paraId="66993CC4">
                  <w:pPr>
                    <w:jc w:val="center"/>
                    <w:rPr>
                      <w:rFonts w:hint="default" w:ascii="Times New Roman" w:hAnsi="Times New Roman" w:eastAsia="仿宋" w:cs="Times New Roman"/>
                      <w:color w:val="auto"/>
                      <w:szCs w:val="21"/>
                    </w:rPr>
                  </w:pPr>
                </w:p>
              </w:tc>
              <w:tc>
                <w:tcPr>
                  <w:tcW w:w="1266" w:type="pct"/>
                  <w:vMerge w:val="continue"/>
                  <w:vAlign w:val="center"/>
                </w:tcPr>
                <w:p w14:paraId="26CD1FEE">
                  <w:pPr>
                    <w:jc w:val="center"/>
                    <w:rPr>
                      <w:rFonts w:hint="default" w:ascii="Times New Roman" w:hAnsi="Times New Roman" w:eastAsia="仿宋" w:cs="Times New Roman"/>
                      <w:color w:val="auto"/>
                      <w:szCs w:val="21"/>
                    </w:rPr>
                  </w:pPr>
                </w:p>
              </w:tc>
              <w:tc>
                <w:tcPr>
                  <w:tcW w:w="1215" w:type="pct"/>
                  <w:vMerge w:val="continue"/>
                  <w:vAlign w:val="center"/>
                </w:tcPr>
                <w:p w14:paraId="72CCC0F0">
                  <w:pPr>
                    <w:jc w:val="center"/>
                    <w:rPr>
                      <w:rFonts w:hint="default" w:ascii="Times New Roman" w:hAnsi="Times New Roman" w:eastAsia="仿宋" w:cs="Times New Roman"/>
                      <w:color w:val="auto"/>
                      <w:szCs w:val="21"/>
                    </w:rPr>
                  </w:pPr>
                </w:p>
              </w:tc>
            </w:tr>
            <w:tr w14:paraId="6E20C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rPr>
              <w:tc>
                <w:tcPr>
                  <w:tcW w:w="384" w:type="pct"/>
                  <w:vMerge w:val="continue"/>
                  <w:vAlign w:val="center"/>
                </w:tcPr>
                <w:p w14:paraId="3BE700EE">
                  <w:pPr>
                    <w:jc w:val="center"/>
                    <w:rPr>
                      <w:rFonts w:hint="default" w:ascii="Times New Roman" w:hAnsi="Times New Roman" w:eastAsia="仿宋" w:cs="Times New Roman"/>
                      <w:color w:val="auto"/>
                      <w:szCs w:val="21"/>
                    </w:rPr>
                  </w:pPr>
                </w:p>
              </w:tc>
              <w:tc>
                <w:tcPr>
                  <w:tcW w:w="612" w:type="pct"/>
                  <w:vAlign w:val="center"/>
                </w:tcPr>
                <w:p w14:paraId="663F9EEE">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东钱资荡</w:t>
                  </w:r>
                </w:p>
              </w:tc>
              <w:tc>
                <w:tcPr>
                  <w:tcW w:w="423" w:type="pct"/>
                  <w:vAlign w:val="center"/>
                </w:tcPr>
                <w:p w14:paraId="529D2ABA">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w:t>
                  </w:r>
                </w:p>
              </w:tc>
              <w:tc>
                <w:tcPr>
                  <w:tcW w:w="658" w:type="pct"/>
                  <w:vAlign w:val="center"/>
                </w:tcPr>
                <w:p w14:paraId="2474E0A5">
                  <w:pPr>
                    <w:spacing w:line="240" w:lineRule="atLeas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2.12</w:t>
                  </w:r>
                </w:p>
              </w:tc>
              <w:tc>
                <w:tcPr>
                  <w:tcW w:w="437" w:type="pct"/>
                  <w:vMerge w:val="continue"/>
                  <w:vAlign w:val="center"/>
                </w:tcPr>
                <w:p w14:paraId="031459A1">
                  <w:pPr>
                    <w:jc w:val="center"/>
                    <w:rPr>
                      <w:rFonts w:hint="default" w:ascii="Times New Roman" w:hAnsi="Times New Roman" w:eastAsia="仿宋" w:cs="Times New Roman"/>
                      <w:color w:val="auto"/>
                      <w:szCs w:val="21"/>
                    </w:rPr>
                  </w:pPr>
                </w:p>
              </w:tc>
              <w:tc>
                <w:tcPr>
                  <w:tcW w:w="1266" w:type="pct"/>
                  <w:vMerge w:val="continue"/>
                  <w:vAlign w:val="center"/>
                </w:tcPr>
                <w:p w14:paraId="37972CC1">
                  <w:pPr>
                    <w:jc w:val="center"/>
                    <w:rPr>
                      <w:rFonts w:hint="default" w:ascii="Times New Roman" w:hAnsi="Times New Roman" w:eastAsia="仿宋" w:cs="Times New Roman"/>
                      <w:color w:val="auto"/>
                      <w:szCs w:val="21"/>
                    </w:rPr>
                  </w:pPr>
                </w:p>
              </w:tc>
              <w:tc>
                <w:tcPr>
                  <w:tcW w:w="1215" w:type="pct"/>
                  <w:vMerge w:val="continue"/>
                  <w:vAlign w:val="center"/>
                </w:tcPr>
                <w:p w14:paraId="71795EC3">
                  <w:pPr>
                    <w:jc w:val="center"/>
                    <w:rPr>
                      <w:rFonts w:hint="default" w:ascii="Times New Roman" w:hAnsi="Times New Roman" w:eastAsia="仿宋" w:cs="Times New Roman"/>
                      <w:color w:val="auto"/>
                      <w:szCs w:val="21"/>
                    </w:rPr>
                  </w:pPr>
                </w:p>
              </w:tc>
            </w:tr>
          </w:tbl>
          <w:p w14:paraId="3632E8ED">
            <w:pPr>
              <w:adjustRightInd w:val="0"/>
              <w:snapToGrid w:val="0"/>
              <w:ind w:firstLine="200" w:firstLineChars="200"/>
              <w:rPr>
                <w:rFonts w:hint="default" w:ascii="Times New Roman" w:hAnsi="Times New Roman" w:eastAsia="仿宋" w:cs="Times New Roman"/>
                <w:color w:val="auto"/>
                <w:kern w:val="0"/>
                <w:sz w:val="10"/>
                <w:szCs w:val="10"/>
              </w:rPr>
            </w:pPr>
          </w:p>
          <w:p w14:paraId="0E4BB1F6">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kern w:val="0"/>
                <w:sz w:val="24"/>
              </w:rPr>
              <w:t>3</w:t>
            </w:r>
            <w:r>
              <w:rPr>
                <w:rFonts w:hint="default" w:ascii="Times New Roman" w:hAnsi="Times New Roman" w:eastAsia="仿宋" w:cs="Times New Roman"/>
                <w:bCs/>
                <w:color w:val="auto"/>
                <w:sz w:val="24"/>
              </w:rPr>
              <w:t>、声环境</w:t>
            </w:r>
          </w:p>
          <w:p w14:paraId="7B139B7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经现场实地踏勘，本项目厂界外50米范围内无声环境保护目标。</w:t>
            </w:r>
          </w:p>
          <w:p w14:paraId="709BE60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4、地下水环境</w:t>
            </w:r>
          </w:p>
          <w:p w14:paraId="3D62CEDF">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经现场实地踏勘，本项目厂界外500米范围内无地下水集中式饮用水水源和热水、矿泉水、温泉等特殊地下水资源。</w:t>
            </w:r>
          </w:p>
          <w:p w14:paraId="0D04399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5、生态环境</w:t>
            </w:r>
          </w:p>
          <w:p w14:paraId="5CAEB717">
            <w:pPr>
              <w:spacing w:line="360" w:lineRule="auto"/>
              <w:ind w:firstLine="480" w:firstLineChars="200"/>
              <w:rPr>
                <w:rFonts w:hint="default" w:ascii="Times New Roman" w:hAnsi="Times New Roman" w:eastAsia="仿宋" w:cs="Times New Roman"/>
                <w:b/>
                <w:bCs/>
                <w:color w:val="auto"/>
                <w:sz w:val="10"/>
                <w:szCs w:val="10"/>
                <w:lang w:eastAsia="zh-CN"/>
              </w:rPr>
            </w:pPr>
            <w:r>
              <w:rPr>
                <w:rFonts w:hint="default" w:ascii="Times New Roman" w:hAnsi="Times New Roman" w:eastAsia="仿宋" w:cs="Times New Roman"/>
                <w:bCs/>
                <w:color w:val="auto"/>
                <w:sz w:val="24"/>
              </w:rPr>
              <w:t>本项目</w:t>
            </w:r>
            <w:r>
              <w:rPr>
                <w:rFonts w:hint="default" w:ascii="Times New Roman" w:hAnsi="Times New Roman" w:eastAsia="仿宋" w:cs="Times New Roman"/>
                <w:bCs/>
                <w:color w:val="auto"/>
                <w:sz w:val="24"/>
                <w:lang w:val="en-US" w:eastAsia="zh-CN"/>
              </w:rPr>
              <w:t>利用厂区现有厂房</w:t>
            </w:r>
            <w:r>
              <w:rPr>
                <w:rFonts w:hint="eastAsia" w:eastAsia="仿宋" w:cs="Times New Roman"/>
                <w:bCs/>
                <w:color w:val="auto"/>
                <w:sz w:val="24"/>
                <w:lang w:val="en-US" w:eastAsia="zh-CN"/>
              </w:rPr>
              <w:t>，</w:t>
            </w:r>
            <w:r>
              <w:rPr>
                <w:rFonts w:hint="default" w:ascii="Times New Roman" w:hAnsi="Times New Roman" w:eastAsia="仿宋" w:cs="Times New Roman"/>
                <w:bCs/>
                <w:color w:val="auto"/>
                <w:sz w:val="24"/>
                <w:lang w:val="en-US" w:eastAsia="zh-CN"/>
              </w:rPr>
              <w:t>为自有产品及生产配套需求提供实验及检测服务</w:t>
            </w:r>
            <w:r>
              <w:rPr>
                <w:rFonts w:hint="default" w:ascii="Times New Roman" w:hAnsi="Times New Roman" w:eastAsia="仿宋" w:cs="Times New Roman"/>
                <w:bCs/>
                <w:color w:val="auto"/>
                <w:sz w:val="24"/>
              </w:rPr>
              <w:t>，不新增用地，不涉及生态环境保护目标</w:t>
            </w:r>
            <w:r>
              <w:rPr>
                <w:rFonts w:hint="default" w:ascii="Times New Roman" w:hAnsi="Times New Roman" w:eastAsia="仿宋" w:cs="Times New Roman"/>
                <w:bCs/>
                <w:color w:val="auto"/>
                <w:sz w:val="24"/>
                <w:lang w:eastAsia="zh-CN"/>
              </w:rPr>
              <w:t>。</w:t>
            </w:r>
          </w:p>
        </w:tc>
      </w:tr>
      <w:tr w14:paraId="3247C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6" w:type="dxa"/>
            <w:vAlign w:val="center"/>
          </w:tcPr>
          <w:p w14:paraId="166FFD27">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污染</w:t>
            </w:r>
          </w:p>
          <w:p w14:paraId="2742653F">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物排</w:t>
            </w:r>
          </w:p>
          <w:p w14:paraId="46556A88">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放控</w:t>
            </w:r>
          </w:p>
          <w:p w14:paraId="44DE4A00">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制标</w:t>
            </w:r>
          </w:p>
          <w:p w14:paraId="729B390A">
            <w:pPr>
              <w:adjustRightInd w:val="0"/>
              <w:snapToGrid w:val="0"/>
              <w:spacing w:line="360" w:lineRule="auto"/>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准</w:t>
            </w:r>
          </w:p>
        </w:tc>
        <w:tc>
          <w:tcPr>
            <w:tcW w:w="8441" w:type="dxa"/>
            <w:vAlign w:val="center"/>
          </w:tcPr>
          <w:p w14:paraId="64510E6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1、大气污染物排放标准</w:t>
            </w:r>
          </w:p>
          <w:p w14:paraId="79C6A123">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本项目废气排放执行以下标准。</w:t>
            </w:r>
          </w:p>
          <w:p w14:paraId="694E0C5A">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表3-</w:t>
            </w:r>
            <w:r>
              <w:rPr>
                <w:rFonts w:hint="eastAsia" w:eastAsia="仿宋" w:cs="Times New Roman"/>
                <w:b/>
                <w:bCs/>
                <w:color w:val="auto"/>
                <w:sz w:val="24"/>
                <w:highlight w:val="none"/>
                <w:lang w:val="en-US" w:eastAsia="zh-CN"/>
              </w:rPr>
              <w:t>6</w:t>
            </w:r>
            <w:r>
              <w:rPr>
                <w:rFonts w:hint="default" w:ascii="Times New Roman" w:hAnsi="Times New Roman" w:eastAsia="仿宋" w:cs="Times New Roman"/>
                <w:b/>
                <w:bCs/>
                <w:color w:val="auto"/>
                <w:sz w:val="24"/>
                <w:highlight w:val="none"/>
              </w:rPr>
              <w:t xml:space="preserve">  大气污染物排放限值</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445"/>
              <w:gridCol w:w="1419"/>
              <w:gridCol w:w="1307"/>
              <w:gridCol w:w="2560"/>
            </w:tblGrid>
            <w:tr w14:paraId="65C92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904" w:type="pct"/>
                  <w:tcBorders>
                    <w:tl2br w:val="nil"/>
                    <w:tr2bl w:val="nil"/>
                  </w:tcBorders>
                  <w:vAlign w:val="center"/>
                </w:tcPr>
                <w:p w14:paraId="7291A43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污染物项目</w:t>
                  </w:r>
                </w:p>
              </w:tc>
              <w:tc>
                <w:tcPr>
                  <w:tcW w:w="879" w:type="pct"/>
                  <w:tcBorders>
                    <w:tl2br w:val="nil"/>
                    <w:tr2bl w:val="nil"/>
                  </w:tcBorders>
                  <w:vAlign w:val="center"/>
                </w:tcPr>
                <w:p w14:paraId="53C86DBB">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最高允许排放浓度mg/m</w:t>
                  </w:r>
                  <w:r>
                    <w:rPr>
                      <w:rFonts w:hint="default" w:ascii="Times New Roman" w:hAnsi="Times New Roman" w:eastAsia="仿宋" w:cs="Times New Roman"/>
                      <w:b/>
                      <w:bCs/>
                      <w:color w:val="auto"/>
                      <w:sz w:val="21"/>
                      <w:szCs w:val="21"/>
                      <w:vertAlign w:val="superscript"/>
                    </w:rPr>
                    <w:t>3</w:t>
                  </w:r>
                </w:p>
              </w:tc>
              <w:tc>
                <w:tcPr>
                  <w:tcW w:w="863" w:type="pct"/>
                  <w:tcBorders>
                    <w:tl2br w:val="nil"/>
                    <w:tr2bl w:val="nil"/>
                  </w:tcBorders>
                  <w:vAlign w:val="center"/>
                </w:tcPr>
                <w:p w14:paraId="6278256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最高允许排放速率kg/h</w:t>
                  </w:r>
                </w:p>
              </w:tc>
              <w:tc>
                <w:tcPr>
                  <w:tcW w:w="795" w:type="pct"/>
                  <w:tcBorders>
                    <w:tl2br w:val="nil"/>
                    <w:tr2bl w:val="nil"/>
                  </w:tcBorders>
                  <w:vAlign w:val="center"/>
                </w:tcPr>
                <w:p w14:paraId="5AB228B6">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污染物排放监控位置</w:t>
                  </w:r>
                </w:p>
              </w:tc>
              <w:tc>
                <w:tcPr>
                  <w:tcW w:w="1557" w:type="pct"/>
                  <w:tcBorders>
                    <w:tl2br w:val="nil"/>
                    <w:tr2bl w:val="nil"/>
                  </w:tcBorders>
                  <w:vAlign w:val="center"/>
                </w:tcPr>
                <w:p w14:paraId="27738D4E">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标准来源</w:t>
                  </w:r>
                </w:p>
              </w:tc>
            </w:tr>
            <w:tr w14:paraId="223C6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04" w:type="pct"/>
                  <w:tcBorders>
                    <w:tl2br w:val="nil"/>
                    <w:tr2bl w:val="nil"/>
                  </w:tcBorders>
                  <w:vAlign w:val="center"/>
                </w:tcPr>
                <w:p w14:paraId="1F69499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879" w:type="pct"/>
                  <w:tcBorders>
                    <w:tl2br w:val="nil"/>
                    <w:tr2bl w:val="nil"/>
                  </w:tcBorders>
                  <w:vAlign w:val="center"/>
                </w:tcPr>
                <w:p w14:paraId="6D995CB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863" w:type="pct"/>
                  <w:tcBorders>
                    <w:tl2br w:val="nil"/>
                    <w:tr2bl w:val="nil"/>
                  </w:tcBorders>
                  <w:vAlign w:val="center"/>
                </w:tcPr>
                <w:p w14:paraId="103BEA8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0.22</w:t>
                  </w:r>
                </w:p>
              </w:tc>
              <w:tc>
                <w:tcPr>
                  <w:tcW w:w="795" w:type="pct"/>
                  <w:vMerge w:val="restart"/>
                  <w:tcBorders>
                    <w:tl2br w:val="nil"/>
                    <w:tr2bl w:val="nil"/>
                  </w:tcBorders>
                  <w:vAlign w:val="center"/>
                </w:tcPr>
                <w:p w14:paraId="2C0EEAB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车间排气筒出口或生产设施排气筒出口</w:t>
                  </w:r>
                </w:p>
              </w:tc>
              <w:tc>
                <w:tcPr>
                  <w:tcW w:w="1557" w:type="pct"/>
                  <w:vMerge w:val="restart"/>
                  <w:tcBorders>
                    <w:tl2br w:val="nil"/>
                    <w:tr2bl w:val="nil"/>
                  </w:tcBorders>
                  <w:vAlign w:val="center"/>
                </w:tcPr>
                <w:p w14:paraId="02FBAED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《大气污染物综合排放标准》（DB32/4041-2021）表1标准</w:t>
                  </w:r>
                </w:p>
              </w:tc>
            </w:tr>
            <w:tr w14:paraId="4DE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904" w:type="pct"/>
                  <w:tcBorders>
                    <w:tl2br w:val="nil"/>
                    <w:tr2bl w:val="nil"/>
                  </w:tcBorders>
                  <w:vAlign w:val="center"/>
                </w:tcPr>
                <w:p w14:paraId="555C360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氯化氢</w:t>
                  </w:r>
                </w:p>
              </w:tc>
              <w:tc>
                <w:tcPr>
                  <w:tcW w:w="879" w:type="pct"/>
                  <w:tcBorders>
                    <w:tl2br w:val="nil"/>
                    <w:tr2bl w:val="nil"/>
                  </w:tcBorders>
                  <w:vAlign w:val="center"/>
                </w:tcPr>
                <w:p w14:paraId="42D5CBF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863" w:type="pct"/>
                  <w:tcBorders>
                    <w:tl2br w:val="nil"/>
                    <w:tr2bl w:val="nil"/>
                  </w:tcBorders>
                  <w:vAlign w:val="center"/>
                </w:tcPr>
                <w:p w14:paraId="5E0CA92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0.18</w:t>
                  </w:r>
                </w:p>
              </w:tc>
              <w:tc>
                <w:tcPr>
                  <w:tcW w:w="795" w:type="pct"/>
                  <w:vMerge w:val="continue"/>
                  <w:tcBorders>
                    <w:tl2br w:val="nil"/>
                    <w:tr2bl w:val="nil"/>
                  </w:tcBorders>
                  <w:vAlign w:val="center"/>
                </w:tcPr>
                <w:p w14:paraId="3810D4BE">
                  <w:pPr>
                    <w:jc w:val="center"/>
                    <w:rPr>
                      <w:rFonts w:hint="default" w:ascii="Times New Roman" w:hAnsi="Times New Roman" w:eastAsia="仿宋" w:cs="Times New Roman"/>
                      <w:color w:val="auto"/>
                      <w:sz w:val="21"/>
                      <w:szCs w:val="21"/>
                      <w:lang w:val="en-US" w:eastAsia="zh-CN"/>
                    </w:rPr>
                  </w:pPr>
                </w:p>
              </w:tc>
              <w:tc>
                <w:tcPr>
                  <w:tcW w:w="1557" w:type="pct"/>
                  <w:vMerge w:val="continue"/>
                  <w:tcBorders>
                    <w:tl2br w:val="nil"/>
                    <w:tr2bl w:val="nil"/>
                  </w:tcBorders>
                  <w:vAlign w:val="center"/>
                </w:tcPr>
                <w:p w14:paraId="79B19193">
                  <w:pPr>
                    <w:jc w:val="center"/>
                    <w:rPr>
                      <w:rFonts w:hint="default" w:ascii="Times New Roman" w:hAnsi="Times New Roman" w:eastAsia="仿宋" w:cs="Times New Roman"/>
                      <w:color w:val="auto"/>
                      <w:sz w:val="21"/>
                      <w:szCs w:val="21"/>
                    </w:rPr>
                  </w:pPr>
                </w:p>
              </w:tc>
            </w:tr>
            <w:tr w14:paraId="3C6A2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904" w:type="pct"/>
                  <w:tcBorders>
                    <w:tl2br w:val="nil"/>
                    <w:tr2bl w:val="nil"/>
                  </w:tcBorders>
                  <w:vAlign w:val="center"/>
                </w:tcPr>
                <w:p w14:paraId="105FC2F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NMHC</w:t>
                  </w:r>
                </w:p>
              </w:tc>
              <w:tc>
                <w:tcPr>
                  <w:tcW w:w="879" w:type="pct"/>
                  <w:tcBorders>
                    <w:tl2br w:val="nil"/>
                    <w:tr2bl w:val="nil"/>
                  </w:tcBorders>
                  <w:vAlign w:val="center"/>
                </w:tcPr>
                <w:p w14:paraId="3353596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60</w:t>
                  </w:r>
                </w:p>
              </w:tc>
              <w:tc>
                <w:tcPr>
                  <w:tcW w:w="863" w:type="pct"/>
                  <w:tcBorders>
                    <w:tl2br w:val="nil"/>
                    <w:tr2bl w:val="nil"/>
                  </w:tcBorders>
                  <w:vAlign w:val="center"/>
                </w:tcPr>
                <w:p w14:paraId="79384B1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795" w:type="pct"/>
                  <w:vMerge w:val="continue"/>
                  <w:tcBorders>
                    <w:tl2br w:val="nil"/>
                    <w:tr2bl w:val="nil"/>
                  </w:tcBorders>
                  <w:vAlign w:val="center"/>
                </w:tcPr>
                <w:p w14:paraId="7E7AA220">
                  <w:pPr>
                    <w:jc w:val="center"/>
                    <w:rPr>
                      <w:rFonts w:hint="default" w:ascii="Times New Roman" w:hAnsi="Times New Roman" w:eastAsia="仿宋" w:cs="Times New Roman"/>
                      <w:color w:val="auto"/>
                      <w:sz w:val="21"/>
                      <w:szCs w:val="21"/>
                      <w:lang w:val="en-US" w:eastAsia="zh-CN"/>
                    </w:rPr>
                  </w:pPr>
                </w:p>
              </w:tc>
              <w:tc>
                <w:tcPr>
                  <w:tcW w:w="1557" w:type="pct"/>
                  <w:vMerge w:val="continue"/>
                  <w:tcBorders>
                    <w:tl2br w:val="nil"/>
                    <w:tr2bl w:val="nil"/>
                  </w:tcBorders>
                  <w:vAlign w:val="center"/>
                </w:tcPr>
                <w:p w14:paraId="66B2664A">
                  <w:pPr>
                    <w:jc w:val="center"/>
                    <w:rPr>
                      <w:rFonts w:hint="default" w:ascii="Times New Roman" w:hAnsi="Times New Roman" w:eastAsia="仿宋" w:cs="Times New Roman"/>
                      <w:color w:val="auto"/>
                      <w:sz w:val="21"/>
                      <w:szCs w:val="21"/>
                    </w:rPr>
                  </w:pPr>
                </w:p>
              </w:tc>
            </w:tr>
            <w:tr w14:paraId="76B03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904" w:type="pct"/>
                  <w:vMerge w:val="restart"/>
                  <w:tcBorders>
                    <w:tl2br w:val="nil"/>
                    <w:tr2bl w:val="nil"/>
                  </w:tcBorders>
                  <w:vAlign w:val="center"/>
                </w:tcPr>
                <w:p w14:paraId="681FEA4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污染物项目</w:t>
                  </w:r>
                </w:p>
              </w:tc>
              <w:tc>
                <w:tcPr>
                  <w:tcW w:w="2538" w:type="pct"/>
                  <w:gridSpan w:val="3"/>
                  <w:tcBorders>
                    <w:tl2br w:val="nil"/>
                    <w:tr2bl w:val="nil"/>
                  </w:tcBorders>
                  <w:vAlign w:val="center"/>
                </w:tcPr>
                <w:p w14:paraId="538AADA3">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无组织排放监控浓度限值</w:t>
                  </w:r>
                </w:p>
              </w:tc>
              <w:tc>
                <w:tcPr>
                  <w:tcW w:w="1557" w:type="pct"/>
                  <w:vMerge w:val="restart"/>
                  <w:tcBorders>
                    <w:tl2br w:val="nil"/>
                    <w:tr2bl w:val="nil"/>
                  </w:tcBorders>
                  <w:vAlign w:val="center"/>
                </w:tcPr>
                <w:p w14:paraId="2239494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标准来源</w:t>
                  </w:r>
                </w:p>
              </w:tc>
            </w:tr>
            <w:tr w14:paraId="00A9F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4" w:type="pct"/>
                  <w:vMerge w:val="continue"/>
                  <w:tcBorders>
                    <w:tl2br w:val="nil"/>
                    <w:tr2bl w:val="nil"/>
                  </w:tcBorders>
                  <w:vAlign w:val="center"/>
                </w:tcPr>
                <w:p w14:paraId="6AE0AC69">
                  <w:pPr>
                    <w:jc w:val="center"/>
                    <w:rPr>
                      <w:rFonts w:hint="default" w:ascii="Times New Roman" w:hAnsi="Times New Roman" w:eastAsia="仿宋" w:cs="Times New Roman"/>
                      <w:b/>
                      <w:bCs/>
                      <w:color w:val="auto"/>
                      <w:sz w:val="21"/>
                      <w:szCs w:val="21"/>
                    </w:rPr>
                  </w:pPr>
                </w:p>
              </w:tc>
              <w:tc>
                <w:tcPr>
                  <w:tcW w:w="879" w:type="pct"/>
                  <w:tcBorders>
                    <w:tl2br w:val="nil"/>
                    <w:tr2bl w:val="nil"/>
                  </w:tcBorders>
                  <w:vAlign w:val="center"/>
                </w:tcPr>
                <w:p w14:paraId="44176904">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监控点</w:t>
                  </w:r>
                </w:p>
              </w:tc>
              <w:tc>
                <w:tcPr>
                  <w:tcW w:w="1658" w:type="pct"/>
                  <w:gridSpan w:val="2"/>
                  <w:tcBorders>
                    <w:tl2br w:val="nil"/>
                    <w:tr2bl w:val="nil"/>
                  </w:tcBorders>
                  <w:vAlign w:val="center"/>
                </w:tcPr>
                <w:p w14:paraId="3F832BB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浓度限值（mg/m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1557" w:type="pct"/>
                  <w:vMerge w:val="continue"/>
                  <w:tcBorders>
                    <w:tl2br w:val="nil"/>
                    <w:tr2bl w:val="nil"/>
                  </w:tcBorders>
                  <w:vAlign w:val="center"/>
                </w:tcPr>
                <w:p w14:paraId="33AD812B">
                  <w:pPr>
                    <w:jc w:val="center"/>
                    <w:rPr>
                      <w:rFonts w:hint="default" w:ascii="Times New Roman" w:hAnsi="Times New Roman" w:eastAsia="仿宋" w:cs="Times New Roman"/>
                      <w:color w:val="auto"/>
                      <w:sz w:val="21"/>
                      <w:szCs w:val="21"/>
                    </w:rPr>
                  </w:pPr>
                </w:p>
              </w:tc>
            </w:tr>
            <w:tr w14:paraId="6ED3F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904" w:type="pct"/>
                  <w:tcBorders>
                    <w:tl2br w:val="nil"/>
                    <w:tr2bl w:val="nil"/>
                  </w:tcBorders>
                  <w:vAlign w:val="center"/>
                </w:tcPr>
                <w:p w14:paraId="7A41CF5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879" w:type="pct"/>
                  <w:vMerge w:val="restart"/>
                  <w:tcBorders>
                    <w:tl2br w:val="nil"/>
                    <w:tr2bl w:val="nil"/>
                  </w:tcBorders>
                  <w:vAlign w:val="center"/>
                </w:tcPr>
                <w:p w14:paraId="55B6C5C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边界外浓度最高点</w:t>
                  </w:r>
                </w:p>
              </w:tc>
              <w:tc>
                <w:tcPr>
                  <w:tcW w:w="1658" w:type="pct"/>
                  <w:gridSpan w:val="2"/>
                  <w:tcBorders>
                    <w:tl2br w:val="nil"/>
                    <w:tr2bl w:val="nil"/>
                  </w:tcBorders>
                  <w:vAlign w:val="center"/>
                </w:tcPr>
                <w:p w14:paraId="15C6936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0.06</w:t>
                  </w:r>
                </w:p>
              </w:tc>
              <w:tc>
                <w:tcPr>
                  <w:tcW w:w="1557" w:type="pct"/>
                  <w:vMerge w:val="restart"/>
                  <w:tcBorders>
                    <w:tl2br w:val="nil"/>
                    <w:tr2bl w:val="nil"/>
                  </w:tcBorders>
                  <w:vAlign w:val="center"/>
                </w:tcPr>
                <w:p w14:paraId="32DAC04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《大气污染物综合排放标准》（DB32/4041-2021）</w:t>
                  </w:r>
                </w:p>
                <w:p w14:paraId="155BE05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表3标准</w:t>
                  </w:r>
                </w:p>
              </w:tc>
            </w:tr>
            <w:tr w14:paraId="3F6A1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904" w:type="pct"/>
                  <w:tcBorders>
                    <w:tl2br w:val="nil"/>
                    <w:tr2bl w:val="nil"/>
                  </w:tcBorders>
                  <w:vAlign w:val="center"/>
                </w:tcPr>
                <w:p w14:paraId="5F708C1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879" w:type="pct"/>
                  <w:vMerge w:val="continue"/>
                  <w:tcBorders>
                    <w:tl2br w:val="nil"/>
                    <w:tr2bl w:val="nil"/>
                  </w:tcBorders>
                  <w:vAlign w:val="center"/>
                </w:tcPr>
                <w:p w14:paraId="505DB79C">
                  <w:pPr>
                    <w:jc w:val="center"/>
                    <w:rPr>
                      <w:rFonts w:hint="default" w:ascii="Times New Roman" w:hAnsi="Times New Roman" w:eastAsia="仿宋" w:cs="Times New Roman"/>
                      <w:color w:val="auto"/>
                      <w:sz w:val="21"/>
                      <w:szCs w:val="21"/>
                    </w:rPr>
                  </w:pPr>
                </w:p>
              </w:tc>
              <w:tc>
                <w:tcPr>
                  <w:tcW w:w="1658" w:type="pct"/>
                  <w:gridSpan w:val="2"/>
                  <w:tcBorders>
                    <w:tl2br w:val="nil"/>
                    <w:tr2bl w:val="nil"/>
                  </w:tcBorders>
                  <w:vAlign w:val="center"/>
                </w:tcPr>
                <w:p w14:paraId="717E154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557" w:type="pct"/>
                  <w:vMerge w:val="continue"/>
                  <w:tcBorders>
                    <w:tl2br w:val="nil"/>
                    <w:tr2bl w:val="nil"/>
                  </w:tcBorders>
                  <w:vAlign w:val="center"/>
                </w:tcPr>
                <w:p w14:paraId="056BCEF3">
                  <w:pPr>
                    <w:jc w:val="center"/>
                    <w:rPr>
                      <w:rFonts w:hint="default" w:ascii="Times New Roman" w:hAnsi="Times New Roman" w:eastAsia="仿宋" w:cs="Times New Roman"/>
                      <w:color w:val="auto"/>
                      <w:sz w:val="21"/>
                      <w:szCs w:val="21"/>
                    </w:rPr>
                  </w:pPr>
                </w:p>
              </w:tc>
            </w:tr>
            <w:tr w14:paraId="472D6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4" w:type="pct"/>
                  <w:tcBorders>
                    <w:tl2br w:val="nil"/>
                    <w:tr2bl w:val="nil"/>
                  </w:tcBorders>
                  <w:vAlign w:val="center"/>
                </w:tcPr>
                <w:p w14:paraId="68E2BC7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氯化氢</w:t>
                  </w:r>
                </w:p>
              </w:tc>
              <w:tc>
                <w:tcPr>
                  <w:tcW w:w="879" w:type="pct"/>
                  <w:vMerge w:val="continue"/>
                  <w:tcBorders>
                    <w:tl2br w:val="nil"/>
                    <w:tr2bl w:val="nil"/>
                  </w:tcBorders>
                  <w:vAlign w:val="center"/>
                </w:tcPr>
                <w:p w14:paraId="737B90C3">
                  <w:pPr>
                    <w:jc w:val="center"/>
                    <w:rPr>
                      <w:rFonts w:hint="default" w:ascii="Times New Roman" w:hAnsi="Times New Roman" w:eastAsia="仿宋" w:cs="Times New Roman"/>
                      <w:color w:val="auto"/>
                      <w:sz w:val="21"/>
                      <w:szCs w:val="21"/>
                    </w:rPr>
                  </w:pPr>
                </w:p>
              </w:tc>
              <w:tc>
                <w:tcPr>
                  <w:tcW w:w="1658" w:type="pct"/>
                  <w:gridSpan w:val="2"/>
                  <w:tcBorders>
                    <w:tl2br w:val="nil"/>
                    <w:tr2bl w:val="nil"/>
                  </w:tcBorders>
                  <w:vAlign w:val="center"/>
                </w:tcPr>
                <w:p w14:paraId="519913E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w:t>
                  </w:r>
                </w:p>
              </w:tc>
              <w:tc>
                <w:tcPr>
                  <w:tcW w:w="1557" w:type="pct"/>
                  <w:vMerge w:val="continue"/>
                  <w:tcBorders>
                    <w:tl2br w:val="nil"/>
                    <w:tr2bl w:val="nil"/>
                  </w:tcBorders>
                  <w:vAlign w:val="center"/>
                </w:tcPr>
                <w:p w14:paraId="5F376C3A">
                  <w:pPr>
                    <w:jc w:val="center"/>
                    <w:rPr>
                      <w:rFonts w:hint="default" w:ascii="Times New Roman" w:hAnsi="Times New Roman" w:eastAsia="仿宋" w:cs="Times New Roman"/>
                      <w:color w:val="auto"/>
                      <w:sz w:val="21"/>
                      <w:szCs w:val="21"/>
                    </w:rPr>
                  </w:pPr>
                </w:p>
              </w:tc>
            </w:tr>
            <w:tr w14:paraId="339C9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4" w:type="pct"/>
                  <w:tcBorders>
                    <w:tl2br w:val="nil"/>
                    <w:tr2bl w:val="nil"/>
                  </w:tcBorders>
                  <w:vAlign w:val="center"/>
                </w:tcPr>
                <w:p w14:paraId="7C3FDB3C">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污染物项目</w:t>
                  </w:r>
                </w:p>
              </w:tc>
              <w:tc>
                <w:tcPr>
                  <w:tcW w:w="879" w:type="pct"/>
                  <w:tcBorders>
                    <w:tl2br w:val="nil"/>
                    <w:tr2bl w:val="nil"/>
                  </w:tcBorders>
                  <w:vAlign w:val="center"/>
                </w:tcPr>
                <w:p w14:paraId="566A7CD6">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无组织排放监控位置</w:t>
                  </w:r>
                </w:p>
              </w:tc>
              <w:tc>
                <w:tcPr>
                  <w:tcW w:w="863" w:type="pct"/>
                  <w:tcBorders>
                    <w:tl2br w:val="nil"/>
                    <w:tr2bl w:val="nil"/>
                  </w:tcBorders>
                  <w:vAlign w:val="center"/>
                </w:tcPr>
                <w:p w14:paraId="5E3B2A92">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限值含义</w:t>
                  </w:r>
                </w:p>
              </w:tc>
              <w:tc>
                <w:tcPr>
                  <w:tcW w:w="795" w:type="pct"/>
                  <w:tcBorders>
                    <w:tl2br w:val="nil"/>
                    <w:tr2bl w:val="nil"/>
                  </w:tcBorders>
                  <w:vAlign w:val="center"/>
                </w:tcPr>
                <w:p w14:paraId="0ACF528E">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特别排放限值(mg/m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w:t>
                  </w:r>
                </w:p>
              </w:tc>
              <w:tc>
                <w:tcPr>
                  <w:tcW w:w="1557" w:type="pct"/>
                  <w:tcBorders>
                    <w:tl2br w:val="nil"/>
                    <w:tr2bl w:val="nil"/>
                  </w:tcBorders>
                  <w:vAlign w:val="center"/>
                </w:tcPr>
                <w:p w14:paraId="17743E43">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标准来源</w:t>
                  </w:r>
                </w:p>
              </w:tc>
            </w:tr>
            <w:tr w14:paraId="4586D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4" w:type="pct"/>
                  <w:vMerge w:val="restart"/>
                  <w:tcBorders>
                    <w:tl2br w:val="nil"/>
                    <w:tr2bl w:val="nil"/>
                  </w:tcBorders>
                  <w:vAlign w:val="center"/>
                </w:tcPr>
                <w:p w14:paraId="48C54151">
                  <w:pPr>
                    <w:snapToGrid w:val="0"/>
                    <w:spacing w:line="28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highlight w:val="none"/>
                    </w:rPr>
                    <w:t>NMHC</w:t>
                  </w:r>
                </w:p>
              </w:tc>
              <w:tc>
                <w:tcPr>
                  <w:tcW w:w="879" w:type="pct"/>
                  <w:vMerge w:val="restart"/>
                  <w:tcBorders>
                    <w:tl2br w:val="nil"/>
                    <w:tr2bl w:val="nil"/>
                  </w:tcBorders>
                  <w:vAlign w:val="center"/>
                </w:tcPr>
                <w:p w14:paraId="7F46734E">
                  <w:pPr>
                    <w:snapToGrid w:val="0"/>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在厂房外设置监控点</w:t>
                  </w:r>
                </w:p>
              </w:tc>
              <w:tc>
                <w:tcPr>
                  <w:tcW w:w="863" w:type="pct"/>
                  <w:tcBorders>
                    <w:tl2br w:val="nil"/>
                    <w:tr2bl w:val="nil"/>
                  </w:tcBorders>
                  <w:vAlign w:val="center"/>
                </w:tcPr>
                <w:p w14:paraId="31258564">
                  <w:pPr>
                    <w:pStyle w:val="24"/>
                    <w:spacing w:after="0"/>
                    <w:ind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监控点处1h平均浓度值</w:t>
                  </w:r>
                </w:p>
              </w:tc>
              <w:tc>
                <w:tcPr>
                  <w:tcW w:w="795" w:type="pct"/>
                  <w:tcBorders>
                    <w:tl2br w:val="nil"/>
                    <w:tr2bl w:val="nil"/>
                  </w:tcBorders>
                  <w:vAlign w:val="center"/>
                </w:tcPr>
                <w:p w14:paraId="7EDABC7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6</w:t>
                  </w:r>
                </w:p>
              </w:tc>
              <w:tc>
                <w:tcPr>
                  <w:tcW w:w="1557" w:type="pct"/>
                  <w:vMerge w:val="restart"/>
                  <w:tcBorders>
                    <w:tl2br w:val="nil"/>
                    <w:tr2bl w:val="nil"/>
                  </w:tcBorders>
                  <w:vAlign w:val="center"/>
                </w:tcPr>
                <w:p w14:paraId="17CBB63A">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color w:val="auto"/>
                      <w:szCs w:val="21"/>
                      <w:highlight w:val="none"/>
                    </w:rPr>
                    <w:t>《大气污染物综合排放标准》（DB32/4041-2021）表2</w:t>
                  </w:r>
                </w:p>
              </w:tc>
            </w:tr>
            <w:tr w14:paraId="1F89C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4" w:type="pct"/>
                  <w:vMerge w:val="continue"/>
                  <w:tcBorders>
                    <w:tl2br w:val="nil"/>
                    <w:tr2bl w:val="nil"/>
                  </w:tcBorders>
                  <w:vAlign w:val="center"/>
                </w:tcPr>
                <w:p w14:paraId="073BFC41">
                  <w:pPr>
                    <w:snapToGrid w:val="0"/>
                    <w:spacing w:line="280" w:lineRule="exact"/>
                    <w:jc w:val="center"/>
                    <w:rPr>
                      <w:rFonts w:hint="default" w:ascii="Times New Roman" w:hAnsi="Times New Roman" w:eastAsia="仿宋" w:cs="Times New Roman"/>
                      <w:color w:val="auto"/>
                      <w:sz w:val="21"/>
                      <w:szCs w:val="21"/>
                    </w:rPr>
                  </w:pPr>
                </w:p>
              </w:tc>
              <w:tc>
                <w:tcPr>
                  <w:tcW w:w="879" w:type="pct"/>
                  <w:vMerge w:val="continue"/>
                  <w:tcBorders>
                    <w:tl2br w:val="nil"/>
                    <w:tr2bl w:val="nil"/>
                  </w:tcBorders>
                  <w:vAlign w:val="center"/>
                </w:tcPr>
                <w:p w14:paraId="19AEE139">
                  <w:pPr>
                    <w:snapToGrid w:val="0"/>
                    <w:spacing w:line="280" w:lineRule="exact"/>
                    <w:jc w:val="center"/>
                    <w:rPr>
                      <w:rFonts w:hint="default" w:ascii="Times New Roman" w:hAnsi="Times New Roman" w:eastAsia="仿宋" w:cs="Times New Roman"/>
                      <w:color w:val="auto"/>
                      <w:sz w:val="21"/>
                      <w:szCs w:val="21"/>
                    </w:rPr>
                  </w:pPr>
                </w:p>
              </w:tc>
              <w:tc>
                <w:tcPr>
                  <w:tcW w:w="863" w:type="pct"/>
                  <w:tcBorders>
                    <w:tl2br w:val="nil"/>
                    <w:tr2bl w:val="nil"/>
                  </w:tcBorders>
                  <w:vAlign w:val="center"/>
                </w:tcPr>
                <w:p w14:paraId="6E62F3C8">
                  <w:pPr>
                    <w:snapToGrid w:val="0"/>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监控点处任意一次浓度值</w:t>
                  </w:r>
                </w:p>
              </w:tc>
              <w:tc>
                <w:tcPr>
                  <w:tcW w:w="795" w:type="pct"/>
                  <w:tcBorders>
                    <w:tl2br w:val="nil"/>
                    <w:tr2bl w:val="nil"/>
                  </w:tcBorders>
                  <w:vAlign w:val="center"/>
                </w:tcPr>
                <w:p w14:paraId="3E4DE9C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rPr>
                    <w:t>20</w:t>
                  </w:r>
                </w:p>
              </w:tc>
              <w:tc>
                <w:tcPr>
                  <w:tcW w:w="1557" w:type="pct"/>
                  <w:vMerge w:val="continue"/>
                  <w:tcBorders>
                    <w:tl2br w:val="nil"/>
                    <w:tr2bl w:val="nil"/>
                  </w:tcBorders>
                  <w:vAlign w:val="center"/>
                </w:tcPr>
                <w:p w14:paraId="31284914">
                  <w:pPr>
                    <w:adjustRightInd w:val="0"/>
                    <w:snapToGrid w:val="0"/>
                    <w:jc w:val="center"/>
                    <w:rPr>
                      <w:rFonts w:hint="default" w:ascii="Times New Roman" w:hAnsi="Times New Roman" w:eastAsia="仿宋" w:cs="Times New Roman"/>
                      <w:b/>
                      <w:color w:val="auto"/>
                      <w:sz w:val="21"/>
                      <w:szCs w:val="21"/>
                    </w:rPr>
                  </w:pPr>
                </w:p>
              </w:tc>
            </w:tr>
          </w:tbl>
          <w:p w14:paraId="1F78FDB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2</w:t>
            </w:r>
            <w:r>
              <w:rPr>
                <w:rFonts w:hint="default" w:ascii="Times New Roman" w:hAnsi="Times New Roman" w:eastAsia="仿宋" w:cs="Times New Roman"/>
                <w:bCs/>
                <w:color w:val="auto"/>
                <w:sz w:val="24"/>
              </w:rPr>
              <w:t>、噪声排放标准</w:t>
            </w:r>
          </w:p>
          <w:p w14:paraId="08515E3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项目营运期厂界噪声排放执行《工业企业厂界环境噪声排放标准》（GB12348-2008）表1中3类功能区对应标准限值，具体数值见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156CC199">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表3-</w:t>
            </w:r>
            <w:r>
              <w:rPr>
                <w:rFonts w:hint="eastAsia" w:eastAsia="仿宋" w:cs="Times New Roman"/>
                <w:b/>
                <w:bCs/>
                <w:color w:val="auto"/>
                <w:sz w:val="24"/>
                <w:lang w:val="en-US" w:eastAsia="zh-CN"/>
              </w:rPr>
              <w:t>7</w:t>
            </w:r>
            <w:r>
              <w:rPr>
                <w:rFonts w:hint="default" w:ascii="Times New Roman" w:hAnsi="Times New Roman" w:eastAsia="仿宋" w:cs="Times New Roman"/>
                <w:b/>
                <w:bCs/>
                <w:color w:val="auto"/>
                <w:sz w:val="24"/>
              </w:rPr>
              <w:t xml:space="preserve">  工业企业厂界环境噪声排放标准</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971"/>
              <w:gridCol w:w="1764"/>
              <w:gridCol w:w="1490"/>
            </w:tblGrid>
            <w:tr w14:paraId="27908B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674" w:hRule="atLeast"/>
              </w:trPr>
              <w:tc>
                <w:tcPr>
                  <w:tcW w:w="3020" w:type="pct"/>
                  <w:tcBorders>
                    <w:top w:val="single" w:color="auto" w:sz="12" w:space="0"/>
                    <w:bottom w:val="single" w:color="auto" w:sz="2" w:space="0"/>
                    <w:tl2br w:val="single" w:color="auto" w:sz="2" w:space="0"/>
                  </w:tcBorders>
                  <w:vAlign w:val="center"/>
                </w:tcPr>
                <w:p w14:paraId="6592F673">
                  <w:pPr>
                    <w:jc w:val="right"/>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时段</w:t>
                  </w:r>
                </w:p>
                <w:p w14:paraId="57EA0325">
                  <w:pP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厂界外声环境功能区类别</w:t>
                  </w:r>
                </w:p>
              </w:tc>
              <w:tc>
                <w:tcPr>
                  <w:tcW w:w="1072" w:type="pct"/>
                  <w:tcBorders>
                    <w:bottom w:val="single" w:color="auto" w:sz="2" w:space="0"/>
                  </w:tcBorders>
                  <w:vAlign w:val="center"/>
                </w:tcPr>
                <w:p w14:paraId="1F6170F7">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昼间（</w:t>
                  </w:r>
                  <w:r>
                    <w:rPr>
                      <w:rFonts w:hint="default" w:ascii="Times New Roman" w:hAnsi="Times New Roman" w:eastAsia="仿宋" w:cs="Times New Roman"/>
                      <w:b/>
                      <w:color w:val="auto"/>
                      <w:szCs w:val="21"/>
                    </w:rPr>
                    <w:t>dB（A））</w:t>
                  </w:r>
                </w:p>
              </w:tc>
              <w:tc>
                <w:tcPr>
                  <w:tcW w:w="906" w:type="pct"/>
                  <w:vAlign w:val="center"/>
                </w:tcPr>
                <w:p w14:paraId="23EF473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夜间（</w:t>
                  </w:r>
                  <w:r>
                    <w:rPr>
                      <w:rFonts w:hint="default" w:ascii="Times New Roman" w:hAnsi="Times New Roman" w:eastAsia="仿宋" w:cs="Times New Roman"/>
                      <w:b/>
                      <w:color w:val="auto"/>
                      <w:szCs w:val="21"/>
                    </w:rPr>
                    <w:t>dB（A））</w:t>
                  </w:r>
                </w:p>
              </w:tc>
            </w:tr>
            <w:tr w14:paraId="146C9E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8" w:hRule="atLeast"/>
              </w:trPr>
              <w:tc>
                <w:tcPr>
                  <w:tcW w:w="3020" w:type="pct"/>
                  <w:tcBorders>
                    <w:top w:val="single" w:color="auto" w:sz="2" w:space="0"/>
                    <w:bottom w:val="single" w:color="auto" w:sz="12" w:space="0"/>
                  </w:tcBorders>
                  <w:vAlign w:val="center"/>
                </w:tcPr>
                <w:p w14:paraId="77B9D8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Cs w:val="21"/>
                      <w:highlight w:val="none"/>
                      <w:lang w:eastAsia="zh-CN"/>
                    </w:rPr>
                  </w:pPr>
                  <w:r>
                    <w:rPr>
                      <w:rFonts w:hint="default" w:ascii="Times New Roman" w:hAnsi="Times New Roman" w:eastAsia="仿宋" w:cs="Times New Roman"/>
                      <w:bCs/>
                      <w:color w:val="auto"/>
                      <w:szCs w:val="21"/>
                      <w:highlight w:val="none"/>
                      <w:lang w:val="en-US" w:eastAsia="zh-CN"/>
                    </w:rPr>
                    <w:t>3</w:t>
                  </w:r>
                </w:p>
              </w:tc>
              <w:tc>
                <w:tcPr>
                  <w:tcW w:w="1072" w:type="pct"/>
                  <w:tcBorders>
                    <w:top w:val="single" w:color="auto" w:sz="2" w:space="0"/>
                    <w:bottom w:val="single" w:color="auto" w:sz="12" w:space="0"/>
                  </w:tcBorders>
                  <w:vAlign w:val="center"/>
                </w:tcPr>
                <w:p w14:paraId="743421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65</w:t>
                  </w:r>
                </w:p>
              </w:tc>
              <w:tc>
                <w:tcPr>
                  <w:tcW w:w="906" w:type="pct"/>
                  <w:vAlign w:val="center"/>
                </w:tcPr>
                <w:p w14:paraId="0F0823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55</w:t>
                  </w:r>
                </w:p>
              </w:tc>
            </w:tr>
          </w:tbl>
          <w:p w14:paraId="1A0203B8">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3</w:t>
            </w:r>
            <w:r>
              <w:rPr>
                <w:rFonts w:hint="default" w:ascii="Times New Roman" w:hAnsi="Times New Roman" w:eastAsia="仿宋" w:cs="Times New Roman"/>
                <w:bCs/>
                <w:color w:val="auto"/>
                <w:sz w:val="24"/>
              </w:rPr>
              <w:t>、固废执行标准</w:t>
            </w:r>
          </w:p>
          <w:p w14:paraId="75CFCCB4">
            <w:pPr>
              <w:adjustRightInd w:val="0"/>
              <w:snapToGrid w:val="0"/>
              <w:spacing w:line="360" w:lineRule="auto"/>
              <w:ind w:firstLine="480" w:firstLineChars="200"/>
              <w:rPr>
                <w:rFonts w:hint="default" w:ascii="Times New Roman" w:hAnsi="Times New Roman" w:eastAsia="仿宋" w:cs="Times New Roman"/>
                <w:color w:val="auto"/>
                <w:kern w:val="0"/>
                <w:szCs w:val="21"/>
              </w:rPr>
            </w:pPr>
            <w:r>
              <w:rPr>
                <w:rFonts w:hint="default" w:ascii="Times New Roman" w:hAnsi="Times New Roman" w:eastAsia="仿宋" w:cs="Times New Roman"/>
                <w:bCs/>
                <w:color w:val="auto"/>
                <w:sz w:val="24"/>
              </w:rPr>
              <w:t>一般工业废物执行《一般工业固体废物贮存和填埋污染控制标准》（GB18599-2020）、《省生态环境厅关于进一步完</w:t>
            </w:r>
            <w:r>
              <w:rPr>
                <w:rFonts w:hint="default" w:ascii="Times New Roman" w:hAnsi="Times New Roman" w:eastAsia="仿宋" w:cs="Times New Roman"/>
                <w:bCs/>
                <w:color w:val="auto"/>
                <w:sz w:val="24"/>
                <w:lang w:eastAsia="zh-CN"/>
              </w:rPr>
              <w:t>善一</w:t>
            </w:r>
            <w:r>
              <w:rPr>
                <w:rFonts w:hint="default" w:ascii="Times New Roman" w:hAnsi="Times New Roman" w:eastAsia="仿宋" w:cs="Times New Roman"/>
                <w:bCs/>
                <w:color w:val="auto"/>
                <w:sz w:val="24"/>
              </w:rPr>
              <w:t>般工业固体废物环境管理的通知》（苏环办〔2023〕327号）等标准；危险废物执行《危险废物收集</w:t>
            </w:r>
            <w:r>
              <w:rPr>
                <w:rFonts w:hint="default" w:ascii="Times New Roman" w:hAnsi="Times New Roman" w:eastAsia="仿宋" w:cs="Times New Roman"/>
                <w:bCs/>
                <w:color w:val="auto"/>
                <w:sz w:val="24"/>
                <w:lang w:val="en-US" w:eastAsia="zh-CN"/>
              </w:rPr>
              <w:t xml:space="preserve"> </w:t>
            </w:r>
            <w:r>
              <w:rPr>
                <w:rFonts w:hint="default" w:ascii="Times New Roman" w:hAnsi="Times New Roman" w:eastAsia="仿宋" w:cs="Times New Roman"/>
                <w:bCs/>
                <w:color w:val="auto"/>
                <w:sz w:val="24"/>
              </w:rPr>
              <w:t>贮存</w:t>
            </w:r>
            <w:r>
              <w:rPr>
                <w:rFonts w:hint="default" w:ascii="Times New Roman" w:hAnsi="Times New Roman" w:eastAsia="仿宋" w:cs="Times New Roman"/>
                <w:bCs/>
                <w:color w:val="auto"/>
                <w:sz w:val="24"/>
                <w:lang w:val="en-US" w:eastAsia="zh-CN"/>
              </w:rPr>
              <w:t xml:space="preserve"> </w:t>
            </w:r>
            <w:r>
              <w:rPr>
                <w:rFonts w:hint="default" w:ascii="Times New Roman" w:hAnsi="Times New Roman" w:eastAsia="仿宋" w:cs="Times New Roman"/>
                <w:bCs/>
                <w:color w:val="auto"/>
                <w:sz w:val="24"/>
              </w:rPr>
              <w:t>运输技术规范》（HJ2025-2012）、《危险废物识别标志设置技术规范》（HJ1276-2022）、《危险废物管理计划和管理台账制定技术导则》（HJ1259-2022）、《危险废物贮存污染控制标准》（GB18597-2023）、省生态环境厅关于印发《江苏省固体废物全过程环境监管工作意见》的通知（苏环办〔2024〕16号）等相关文件。</w:t>
            </w:r>
          </w:p>
          <w:p w14:paraId="5C961051">
            <w:pPr>
              <w:adjustRightInd w:val="0"/>
              <w:snapToGrid w:val="0"/>
              <w:spacing w:line="360" w:lineRule="auto"/>
              <w:jc w:val="left"/>
              <w:rPr>
                <w:rFonts w:hint="default" w:ascii="Times New Roman" w:hAnsi="Times New Roman" w:eastAsia="仿宋" w:cs="Times New Roman"/>
                <w:color w:val="auto"/>
                <w:kern w:val="0"/>
                <w:sz w:val="10"/>
                <w:szCs w:val="10"/>
              </w:rPr>
            </w:pPr>
          </w:p>
          <w:p w14:paraId="566CB45E">
            <w:pPr>
              <w:adjustRightInd w:val="0"/>
              <w:snapToGrid w:val="0"/>
              <w:spacing w:line="360" w:lineRule="auto"/>
              <w:jc w:val="left"/>
              <w:rPr>
                <w:rFonts w:hint="default" w:ascii="Times New Roman" w:hAnsi="Times New Roman" w:eastAsia="仿宋" w:cs="Times New Roman"/>
                <w:color w:val="auto"/>
                <w:kern w:val="0"/>
                <w:sz w:val="10"/>
                <w:szCs w:val="10"/>
              </w:rPr>
            </w:pPr>
          </w:p>
          <w:p w14:paraId="711BD7DC">
            <w:pPr>
              <w:adjustRightInd w:val="0"/>
              <w:snapToGrid w:val="0"/>
              <w:spacing w:line="360" w:lineRule="auto"/>
              <w:jc w:val="left"/>
              <w:rPr>
                <w:rFonts w:hint="default" w:ascii="Times New Roman" w:hAnsi="Times New Roman" w:eastAsia="仿宋" w:cs="Times New Roman"/>
                <w:color w:val="auto"/>
                <w:kern w:val="0"/>
                <w:sz w:val="10"/>
                <w:szCs w:val="10"/>
              </w:rPr>
            </w:pPr>
          </w:p>
          <w:p w14:paraId="0F7D1611">
            <w:pPr>
              <w:adjustRightInd w:val="0"/>
              <w:snapToGrid w:val="0"/>
              <w:spacing w:line="360" w:lineRule="auto"/>
              <w:jc w:val="left"/>
              <w:rPr>
                <w:rFonts w:hint="default" w:ascii="Times New Roman" w:hAnsi="Times New Roman" w:eastAsia="仿宋" w:cs="Times New Roman"/>
                <w:color w:val="auto"/>
                <w:kern w:val="0"/>
                <w:sz w:val="10"/>
                <w:szCs w:val="10"/>
              </w:rPr>
            </w:pPr>
          </w:p>
          <w:p w14:paraId="7D6F4C2D">
            <w:pPr>
              <w:adjustRightInd w:val="0"/>
              <w:snapToGrid w:val="0"/>
              <w:spacing w:line="360" w:lineRule="auto"/>
              <w:jc w:val="left"/>
              <w:rPr>
                <w:rFonts w:hint="default" w:ascii="Times New Roman" w:hAnsi="Times New Roman" w:eastAsia="仿宋" w:cs="Times New Roman"/>
                <w:color w:val="auto"/>
                <w:kern w:val="0"/>
                <w:sz w:val="10"/>
                <w:szCs w:val="10"/>
              </w:rPr>
            </w:pPr>
          </w:p>
          <w:p w14:paraId="0AB8C044">
            <w:pPr>
              <w:adjustRightInd w:val="0"/>
              <w:snapToGrid w:val="0"/>
              <w:spacing w:line="360" w:lineRule="auto"/>
              <w:jc w:val="left"/>
              <w:rPr>
                <w:rFonts w:hint="default" w:ascii="Times New Roman" w:hAnsi="Times New Roman" w:eastAsia="仿宋" w:cs="Times New Roman"/>
                <w:color w:val="auto"/>
                <w:kern w:val="0"/>
                <w:sz w:val="10"/>
                <w:szCs w:val="10"/>
              </w:rPr>
            </w:pPr>
          </w:p>
          <w:p w14:paraId="58FA53F6">
            <w:pPr>
              <w:adjustRightInd w:val="0"/>
              <w:snapToGrid w:val="0"/>
              <w:spacing w:line="360" w:lineRule="auto"/>
              <w:jc w:val="left"/>
              <w:rPr>
                <w:rFonts w:hint="default" w:ascii="Times New Roman" w:hAnsi="Times New Roman" w:eastAsia="仿宋" w:cs="Times New Roman"/>
                <w:color w:val="auto"/>
                <w:kern w:val="0"/>
                <w:sz w:val="10"/>
                <w:szCs w:val="10"/>
              </w:rPr>
            </w:pPr>
          </w:p>
          <w:p w14:paraId="50DA0018">
            <w:pPr>
              <w:adjustRightInd w:val="0"/>
              <w:snapToGrid w:val="0"/>
              <w:spacing w:line="360" w:lineRule="auto"/>
              <w:jc w:val="left"/>
              <w:rPr>
                <w:rFonts w:hint="default" w:ascii="Times New Roman" w:hAnsi="Times New Roman" w:eastAsia="仿宋" w:cs="Times New Roman"/>
                <w:color w:val="auto"/>
                <w:kern w:val="0"/>
                <w:sz w:val="10"/>
                <w:szCs w:val="10"/>
              </w:rPr>
            </w:pPr>
          </w:p>
          <w:p w14:paraId="5221FFAB">
            <w:pPr>
              <w:adjustRightInd w:val="0"/>
              <w:snapToGrid w:val="0"/>
              <w:spacing w:line="360" w:lineRule="auto"/>
              <w:jc w:val="left"/>
              <w:rPr>
                <w:rFonts w:hint="default" w:ascii="Times New Roman" w:hAnsi="Times New Roman" w:eastAsia="仿宋" w:cs="Times New Roman"/>
                <w:color w:val="auto"/>
                <w:kern w:val="0"/>
                <w:sz w:val="10"/>
                <w:szCs w:val="10"/>
              </w:rPr>
            </w:pPr>
          </w:p>
          <w:p w14:paraId="1728A77C">
            <w:pPr>
              <w:adjustRightInd w:val="0"/>
              <w:snapToGrid w:val="0"/>
              <w:spacing w:line="360" w:lineRule="auto"/>
              <w:jc w:val="left"/>
              <w:rPr>
                <w:rFonts w:hint="default" w:ascii="Times New Roman" w:hAnsi="Times New Roman" w:eastAsia="仿宋" w:cs="Times New Roman"/>
                <w:color w:val="auto"/>
                <w:kern w:val="0"/>
                <w:sz w:val="10"/>
                <w:szCs w:val="10"/>
              </w:rPr>
            </w:pPr>
          </w:p>
          <w:p w14:paraId="583EA179">
            <w:pPr>
              <w:adjustRightInd w:val="0"/>
              <w:snapToGrid w:val="0"/>
              <w:spacing w:line="360" w:lineRule="auto"/>
              <w:jc w:val="left"/>
              <w:rPr>
                <w:rFonts w:hint="default" w:ascii="Times New Roman" w:hAnsi="Times New Roman" w:eastAsia="仿宋" w:cs="Times New Roman"/>
                <w:color w:val="auto"/>
                <w:kern w:val="0"/>
                <w:sz w:val="10"/>
                <w:szCs w:val="10"/>
              </w:rPr>
            </w:pPr>
          </w:p>
          <w:p w14:paraId="74183BF7">
            <w:pPr>
              <w:adjustRightInd w:val="0"/>
              <w:snapToGrid w:val="0"/>
              <w:spacing w:line="360" w:lineRule="auto"/>
              <w:jc w:val="left"/>
              <w:rPr>
                <w:rFonts w:hint="default" w:ascii="Times New Roman" w:hAnsi="Times New Roman" w:eastAsia="仿宋" w:cs="Times New Roman"/>
                <w:color w:val="auto"/>
                <w:kern w:val="0"/>
                <w:sz w:val="10"/>
                <w:szCs w:val="10"/>
              </w:rPr>
            </w:pPr>
          </w:p>
          <w:p w14:paraId="0C61A4E1">
            <w:pPr>
              <w:adjustRightInd w:val="0"/>
              <w:snapToGrid w:val="0"/>
              <w:spacing w:line="360" w:lineRule="auto"/>
              <w:jc w:val="left"/>
              <w:rPr>
                <w:rFonts w:hint="default" w:ascii="Times New Roman" w:hAnsi="Times New Roman" w:eastAsia="仿宋" w:cs="Times New Roman"/>
                <w:color w:val="auto"/>
                <w:kern w:val="0"/>
                <w:sz w:val="10"/>
                <w:szCs w:val="10"/>
              </w:rPr>
            </w:pPr>
          </w:p>
          <w:p w14:paraId="63676B86">
            <w:pPr>
              <w:adjustRightInd w:val="0"/>
              <w:snapToGrid w:val="0"/>
              <w:spacing w:line="360" w:lineRule="auto"/>
              <w:jc w:val="left"/>
              <w:rPr>
                <w:rFonts w:hint="default" w:ascii="Times New Roman" w:hAnsi="Times New Roman" w:eastAsia="仿宋" w:cs="Times New Roman"/>
                <w:color w:val="auto"/>
                <w:kern w:val="0"/>
                <w:sz w:val="10"/>
                <w:szCs w:val="10"/>
              </w:rPr>
            </w:pPr>
          </w:p>
          <w:p w14:paraId="4743CDB9">
            <w:pPr>
              <w:adjustRightInd w:val="0"/>
              <w:snapToGrid w:val="0"/>
              <w:spacing w:line="360" w:lineRule="auto"/>
              <w:jc w:val="left"/>
              <w:rPr>
                <w:rFonts w:hint="default" w:ascii="Times New Roman" w:hAnsi="Times New Roman" w:eastAsia="仿宋" w:cs="Times New Roman"/>
                <w:color w:val="auto"/>
                <w:kern w:val="0"/>
                <w:sz w:val="10"/>
                <w:szCs w:val="10"/>
              </w:rPr>
            </w:pPr>
          </w:p>
          <w:p w14:paraId="5FCD3522">
            <w:pPr>
              <w:adjustRightInd w:val="0"/>
              <w:snapToGrid w:val="0"/>
              <w:spacing w:line="360" w:lineRule="auto"/>
              <w:jc w:val="left"/>
              <w:rPr>
                <w:rFonts w:hint="default" w:ascii="Times New Roman" w:hAnsi="Times New Roman" w:eastAsia="仿宋" w:cs="Times New Roman"/>
                <w:color w:val="auto"/>
                <w:kern w:val="0"/>
                <w:sz w:val="10"/>
                <w:szCs w:val="10"/>
              </w:rPr>
            </w:pPr>
          </w:p>
          <w:p w14:paraId="57C44289">
            <w:pPr>
              <w:adjustRightInd w:val="0"/>
              <w:snapToGrid w:val="0"/>
              <w:spacing w:line="360" w:lineRule="auto"/>
              <w:jc w:val="left"/>
              <w:rPr>
                <w:rFonts w:hint="default" w:ascii="Times New Roman" w:hAnsi="Times New Roman" w:eastAsia="仿宋" w:cs="Times New Roman"/>
                <w:color w:val="auto"/>
                <w:kern w:val="0"/>
                <w:sz w:val="10"/>
                <w:szCs w:val="10"/>
              </w:rPr>
            </w:pPr>
          </w:p>
          <w:p w14:paraId="2A124FDB">
            <w:pPr>
              <w:adjustRightInd w:val="0"/>
              <w:snapToGrid w:val="0"/>
              <w:spacing w:line="360" w:lineRule="auto"/>
              <w:jc w:val="left"/>
              <w:rPr>
                <w:rFonts w:hint="default" w:ascii="Times New Roman" w:hAnsi="Times New Roman" w:eastAsia="仿宋" w:cs="Times New Roman"/>
                <w:color w:val="auto"/>
                <w:kern w:val="0"/>
                <w:sz w:val="10"/>
                <w:szCs w:val="10"/>
              </w:rPr>
            </w:pPr>
          </w:p>
          <w:p w14:paraId="2939847E">
            <w:pPr>
              <w:adjustRightInd w:val="0"/>
              <w:snapToGrid w:val="0"/>
              <w:spacing w:line="360" w:lineRule="auto"/>
              <w:jc w:val="left"/>
              <w:rPr>
                <w:rFonts w:hint="default" w:ascii="Times New Roman" w:hAnsi="Times New Roman" w:eastAsia="仿宋" w:cs="Times New Roman"/>
                <w:color w:val="auto"/>
                <w:kern w:val="0"/>
                <w:sz w:val="10"/>
                <w:szCs w:val="10"/>
              </w:rPr>
            </w:pPr>
          </w:p>
          <w:p w14:paraId="57C5C8EF">
            <w:pPr>
              <w:adjustRightInd w:val="0"/>
              <w:snapToGrid w:val="0"/>
              <w:spacing w:line="360" w:lineRule="auto"/>
              <w:jc w:val="left"/>
              <w:rPr>
                <w:rFonts w:hint="default" w:ascii="Times New Roman" w:hAnsi="Times New Roman" w:eastAsia="仿宋" w:cs="Times New Roman"/>
                <w:color w:val="auto"/>
                <w:kern w:val="0"/>
                <w:sz w:val="10"/>
                <w:szCs w:val="10"/>
              </w:rPr>
            </w:pPr>
          </w:p>
          <w:p w14:paraId="193376F2">
            <w:pPr>
              <w:adjustRightInd w:val="0"/>
              <w:snapToGrid w:val="0"/>
              <w:spacing w:line="360" w:lineRule="auto"/>
              <w:jc w:val="left"/>
              <w:rPr>
                <w:rFonts w:hint="default" w:ascii="Times New Roman" w:hAnsi="Times New Roman" w:eastAsia="仿宋" w:cs="Times New Roman"/>
                <w:color w:val="auto"/>
                <w:kern w:val="0"/>
                <w:sz w:val="10"/>
                <w:szCs w:val="10"/>
              </w:rPr>
            </w:pPr>
          </w:p>
          <w:p w14:paraId="574F0678">
            <w:pPr>
              <w:adjustRightInd w:val="0"/>
              <w:snapToGrid w:val="0"/>
              <w:spacing w:line="360" w:lineRule="auto"/>
              <w:jc w:val="left"/>
              <w:rPr>
                <w:rFonts w:hint="default" w:ascii="Times New Roman" w:hAnsi="Times New Roman" w:eastAsia="仿宋" w:cs="Times New Roman"/>
                <w:color w:val="auto"/>
                <w:kern w:val="0"/>
                <w:sz w:val="10"/>
                <w:szCs w:val="10"/>
              </w:rPr>
            </w:pPr>
          </w:p>
          <w:p w14:paraId="1D2776CE">
            <w:pPr>
              <w:adjustRightInd w:val="0"/>
              <w:snapToGrid w:val="0"/>
              <w:spacing w:line="360" w:lineRule="auto"/>
              <w:jc w:val="left"/>
              <w:rPr>
                <w:rFonts w:hint="default" w:ascii="Times New Roman" w:hAnsi="Times New Roman" w:eastAsia="仿宋" w:cs="Times New Roman"/>
                <w:color w:val="auto"/>
                <w:kern w:val="0"/>
                <w:sz w:val="10"/>
                <w:szCs w:val="10"/>
              </w:rPr>
            </w:pPr>
          </w:p>
          <w:p w14:paraId="7B1A7B7D">
            <w:pPr>
              <w:adjustRightInd w:val="0"/>
              <w:snapToGrid w:val="0"/>
              <w:spacing w:line="360" w:lineRule="auto"/>
              <w:jc w:val="left"/>
              <w:rPr>
                <w:rFonts w:hint="default" w:ascii="Times New Roman" w:hAnsi="Times New Roman" w:eastAsia="仿宋" w:cs="Times New Roman"/>
                <w:color w:val="auto"/>
                <w:kern w:val="0"/>
                <w:sz w:val="10"/>
                <w:szCs w:val="10"/>
              </w:rPr>
            </w:pPr>
          </w:p>
          <w:p w14:paraId="593309C7">
            <w:pPr>
              <w:adjustRightInd w:val="0"/>
              <w:snapToGrid w:val="0"/>
              <w:spacing w:line="360" w:lineRule="auto"/>
              <w:jc w:val="left"/>
              <w:rPr>
                <w:rFonts w:hint="default" w:ascii="Times New Roman" w:hAnsi="Times New Roman" w:eastAsia="仿宋" w:cs="Times New Roman"/>
                <w:color w:val="auto"/>
                <w:kern w:val="0"/>
                <w:sz w:val="10"/>
                <w:szCs w:val="10"/>
              </w:rPr>
            </w:pPr>
          </w:p>
          <w:p w14:paraId="2306551C">
            <w:pPr>
              <w:adjustRightInd w:val="0"/>
              <w:snapToGrid w:val="0"/>
              <w:spacing w:line="360" w:lineRule="auto"/>
              <w:jc w:val="left"/>
              <w:rPr>
                <w:rFonts w:hint="default" w:ascii="Times New Roman" w:hAnsi="Times New Roman" w:eastAsia="仿宋" w:cs="Times New Roman"/>
                <w:color w:val="auto"/>
                <w:kern w:val="0"/>
                <w:sz w:val="10"/>
                <w:szCs w:val="10"/>
              </w:rPr>
            </w:pPr>
          </w:p>
          <w:p w14:paraId="45559712">
            <w:pPr>
              <w:adjustRightInd w:val="0"/>
              <w:snapToGrid w:val="0"/>
              <w:spacing w:line="360" w:lineRule="auto"/>
              <w:jc w:val="left"/>
              <w:rPr>
                <w:rFonts w:hint="default" w:ascii="Times New Roman" w:hAnsi="Times New Roman" w:eastAsia="仿宋" w:cs="Times New Roman"/>
                <w:color w:val="auto"/>
                <w:kern w:val="0"/>
                <w:sz w:val="10"/>
                <w:szCs w:val="10"/>
              </w:rPr>
            </w:pPr>
          </w:p>
          <w:p w14:paraId="2381F917">
            <w:pPr>
              <w:adjustRightInd w:val="0"/>
              <w:snapToGrid w:val="0"/>
              <w:spacing w:line="360" w:lineRule="auto"/>
              <w:jc w:val="left"/>
              <w:rPr>
                <w:rFonts w:hint="default" w:ascii="Times New Roman" w:hAnsi="Times New Roman" w:eastAsia="仿宋" w:cs="Times New Roman"/>
                <w:color w:val="auto"/>
                <w:kern w:val="0"/>
                <w:sz w:val="10"/>
                <w:szCs w:val="10"/>
              </w:rPr>
            </w:pPr>
          </w:p>
          <w:p w14:paraId="0364EA63">
            <w:pPr>
              <w:adjustRightInd w:val="0"/>
              <w:snapToGrid w:val="0"/>
              <w:spacing w:line="360" w:lineRule="auto"/>
              <w:jc w:val="left"/>
              <w:rPr>
                <w:rFonts w:hint="default" w:ascii="Times New Roman" w:hAnsi="Times New Roman" w:eastAsia="仿宋" w:cs="Times New Roman"/>
                <w:color w:val="auto"/>
                <w:kern w:val="0"/>
                <w:sz w:val="10"/>
                <w:szCs w:val="10"/>
              </w:rPr>
            </w:pPr>
          </w:p>
          <w:p w14:paraId="498C1B56">
            <w:pPr>
              <w:adjustRightInd w:val="0"/>
              <w:snapToGrid w:val="0"/>
              <w:spacing w:line="360" w:lineRule="auto"/>
              <w:jc w:val="left"/>
              <w:rPr>
                <w:rFonts w:hint="default" w:ascii="Times New Roman" w:hAnsi="Times New Roman" w:eastAsia="仿宋" w:cs="Times New Roman"/>
                <w:color w:val="auto"/>
                <w:kern w:val="0"/>
                <w:sz w:val="10"/>
                <w:szCs w:val="10"/>
              </w:rPr>
            </w:pPr>
          </w:p>
          <w:p w14:paraId="49B62FFD">
            <w:pPr>
              <w:adjustRightInd w:val="0"/>
              <w:snapToGrid w:val="0"/>
              <w:spacing w:line="360" w:lineRule="auto"/>
              <w:jc w:val="left"/>
              <w:rPr>
                <w:rFonts w:hint="default" w:ascii="Times New Roman" w:hAnsi="Times New Roman" w:eastAsia="仿宋" w:cs="Times New Roman"/>
                <w:color w:val="auto"/>
                <w:kern w:val="0"/>
                <w:sz w:val="10"/>
                <w:szCs w:val="10"/>
              </w:rPr>
            </w:pPr>
          </w:p>
          <w:p w14:paraId="3D52C071">
            <w:pPr>
              <w:adjustRightInd w:val="0"/>
              <w:snapToGrid w:val="0"/>
              <w:spacing w:line="360" w:lineRule="auto"/>
              <w:jc w:val="left"/>
              <w:rPr>
                <w:rFonts w:hint="default" w:ascii="Times New Roman" w:hAnsi="Times New Roman" w:eastAsia="仿宋" w:cs="Times New Roman"/>
                <w:color w:val="auto"/>
                <w:kern w:val="0"/>
                <w:sz w:val="10"/>
                <w:szCs w:val="10"/>
              </w:rPr>
            </w:pPr>
          </w:p>
          <w:p w14:paraId="156D3201">
            <w:pPr>
              <w:adjustRightInd w:val="0"/>
              <w:snapToGrid w:val="0"/>
              <w:spacing w:line="360" w:lineRule="auto"/>
              <w:jc w:val="left"/>
              <w:rPr>
                <w:rFonts w:hint="default" w:ascii="Times New Roman" w:hAnsi="Times New Roman" w:eastAsia="仿宋" w:cs="Times New Roman"/>
                <w:color w:val="auto"/>
                <w:kern w:val="0"/>
                <w:sz w:val="10"/>
                <w:szCs w:val="10"/>
              </w:rPr>
            </w:pPr>
          </w:p>
          <w:p w14:paraId="3718E74D">
            <w:pPr>
              <w:adjustRightInd w:val="0"/>
              <w:snapToGrid w:val="0"/>
              <w:spacing w:line="360" w:lineRule="auto"/>
              <w:jc w:val="left"/>
              <w:rPr>
                <w:rFonts w:hint="default" w:ascii="Times New Roman" w:hAnsi="Times New Roman" w:eastAsia="仿宋" w:cs="Times New Roman"/>
                <w:color w:val="auto"/>
                <w:kern w:val="0"/>
                <w:sz w:val="10"/>
                <w:szCs w:val="10"/>
              </w:rPr>
            </w:pPr>
          </w:p>
          <w:p w14:paraId="7EDF7805">
            <w:pPr>
              <w:adjustRightInd w:val="0"/>
              <w:snapToGrid w:val="0"/>
              <w:spacing w:line="360" w:lineRule="auto"/>
              <w:jc w:val="left"/>
              <w:rPr>
                <w:rFonts w:hint="default" w:ascii="Times New Roman" w:hAnsi="Times New Roman" w:eastAsia="仿宋" w:cs="Times New Roman"/>
                <w:color w:val="auto"/>
                <w:kern w:val="0"/>
                <w:sz w:val="10"/>
                <w:szCs w:val="10"/>
              </w:rPr>
            </w:pPr>
          </w:p>
          <w:p w14:paraId="1ED44A85">
            <w:pPr>
              <w:adjustRightInd w:val="0"/>
              <w:snapToGrid w:val="0"/>
              <w:spacing w:line="360" w:lineRule="auto"/>
              <w:jc w:val="left"/>
              <w:rPr>
                <w:rFonts w:hint="default" w:ascii="Times New Roman" w:hAnsi="Times New Roman" w:eastAsia="仿宋" w:cs="Times New Roman"/>
                <w:color w:val="auto"/>
                <w:kern w:val="0"/>
                <w:sz w:val="10"/>
                <w:szCs w:val="10"/>
              </w:rPr>
            </w:pPr>
          </w:p>
          <w:p w14:paraId="2CF9881E">
            <w:pPr>
              <w:adjustRightInd w:val="0"/>
              <w:snapToGrid w:val="0"/>
              <w:spacing w:line="360" w:lineRule="auto"/>
              <w:jc w:val="left"/>
              <w:rPr>
                <w:rFonts w:hint="default" w:ascii="Times New Roman" w:hAnsi="Times New Roman" w:eastAsia="仿宋" w:cs="Times New Roman"/>
                <w:color w:val="auto"/>
                <w:kern w:val="0"/>
                <w:sz w:val="10"/>
                <w:szCs w:val="10"/>
              </w:rPr>
            </w:pPr>
          </w:p>
          <w:p w14:paraId="2480EDDF">
            <w:pPr>
              <w:adjustRightInd w:val="0"/>
              <w:snapToGrid w:val="0"/>
              <w:spacing w:line="360" w:lineRule="auto"/>
              <w:jc w:val="left"/>
              <w:rPr>
                <w:rFonts w:hint="default" w:ascii="Times New Roman" w:hAnsi="Times New Roman" w:eastAsia="仿宋" w:cs="Times New Roman"/>
                <w:color w:val="auto"/>
                <w:kern w:val="0"/>
                <w:sz w:val="10"/>
                <w:szCs w:val="10"/>
              </w:rPr>
            </w:pPr>
          </w:p>
          <w:p w14:paraId="3FE9A4F1">
            <w:pPr>
              <w:adjustRightInd w:val="0"/>
              <w:snapToGrid w:val="0"/>
              <w:spacing w:line="360" w:lineRule="auto"/>
              <w:jc w:val="left"/>
              <w:rPr>
                <w:rFonts w:hint="default" w:ascii="Times New Roman" w:hAnsi="Times New Roman" w:eastAsia="仿宋" w:cs="Times New Roman"/>
                <w:color w:val="auto"/>
                <w:kern w:val="0"/>
                <w:sz w:val="10"/>
                <w:szCs w:val="10"/>
              </w:rPr>
            </w:pPr>
          </w:p>
          <w:p w14:paraId="1B4A1EBE">
            <w:pPr>
              <w:adjustRightInd w:val="0"/>
              <w:snapToGrid w:val="0"/>
              <w:spacing w:line="360" w:lineRule="auto"/>
              <w:jc w:val="left"/>
              <w:rPr>
                <w:rFonts w:hint="default" w:ascii="Times New Roman" w:hAnsi="Times New Roman" w:eastAsia="仿宋" w:cs="Times New Roman"/>
                <w:color w:val="auto"/>
                <w:kern w:val="0"/>
                <w:sz w:val="10"/>
                <w:szCs w:val="10"/>
              </w:rPr>
            </w:pPr>
          </w:p>
          <w:p w14:paraId="423B69C9">
            <w:pPr>
              <w:adjustRightInd w:val="0"/>
              <w:snapToGrid w:val="0"/>
              <w:spacing w:line="360" w:lineRule="auto"/>
              <w:jc w:val="left"/>
              <w:rPr>
                <w:rFonts w:hint="default" w:ascii="Times New Roman" w:hAnsi="Times New Roman" w:eastAsia="仿宋" w:cs="Times New Roman"/>
                <w:color w:val="auto"/>
                <w:kern w:val="0"/>
                <w:sz w:val="10"/>
                <w:szCs w:val="10"/>
              </w:rPr>
            </w:pPr>
          </w:p>
          <w:p w14:paraId="5B88C62E">
            <w:pPr>
              <w:adjustRightInd w:val="0"/>
              <w:snapToGrid w:val="0"/>
              <w:spacing w:line="360" w:lineRule="auto"/>
              <w:jc w:val="left"/>
              <w:rPr>
                <w:rFonts w:hint="default" w:ascii="Times New Roman" w:hAnsi="Times New Roman" w:eastAsia="仿宋" w:cs="Times New Roman"/>
                <w:color w:val="auto"/>
                <w:kern w:val="0"/>
                <w:sz w:val="10"/>
                <w:szCs w:val="10"/>
              </w:rPr>
            </w:pPr>
          </w:p>
          <w:p w14:paraId="12B28F0B">
            <w:pPr>
              <w:adjustRightInd w:val="0"/>
              <w:snapToGrid w:val="0"/>
              <w:spacing w:line="360" w:lineRule="auto"/>
              <w:jc w:val="left"/>
              <w:rPr>
                <w:rFonts w:hint="default" w:ascii="Times New Roman" w:hAnsi="Times New Roman" w:eastAsia="仿宋" w:cs="Times New Roman"/>
                <w:color w:val="auto"/>
                <w:kern w:val="0"/>
                <w:sz w:val="10"/>
                <w:szCs w:val="10"/>
              </w:rPr>
            </w:pPr>
          </w:p>
          <w:p w14:paraId="6D16DADD">
            <w:pPr>
              <w:adjustRightInd w:val="0"/>
              <w:snapToGrid w:val="0"/>
              <w:spacing w:line="360" w:lineRule="auto"/>
              <w:jc w:val="left"/>
              <w:rPr>
                <w:rFonts w:hint="default" w:ascii="Times New Roman" w:hAnsi="Times New Roman" w:eastAsia="仿宋" w:cs="Times New Roman"/>
                <w:color w:val="auto"/>
                <w:kern w:val="0"/>
                <w:sz w:val="10"/>
                <w:szCs w:val="10"/>
              </w:rPr>
            </w:pPr>
          </w:p>
          <w:p w14:paraId="3CFA2201">
            <w:pPr>
              <w:adjustRightInd w:val="0"/>
              <w:snapToGrid w:val="0"/>
              <w:spacing w:line="360" w:lineRule="auto"/>
              <w:jc w:val="left"/>
              <w:rPr>
                <w:rFonts w:hint="default" w:ascii="Times New Roman" w:hAnsi="Times New Roman" w:eastAsia="仿宋" w:cs="Times New Roman"/>
                <w:color w:val="auto"/>
                <w:kern w:val="0"/>
                <w:sz w:val="10"/>
                <w:szCs w:val="10"/>
              </w:rPr>
            </w:pPr>
          </w:p>
          <w:p w14:paraId="7B3F994D">
            <w:pPr>
              <w:adjustRightInd w:val="0"/>
              <w:snapToGrid w:val="0"/>
              <w:spacing w:line="360" w:lineRule="auto"/>
              <w:jc w:val="left"/>
              <w:rPr>
                <w:rFonts w:hint="default" w:ascii="Times New Roman" w:hAnsi="Times New Roman" w:eastAsia="仿宋" w:cs="Times New Roman"/>
                <w:color w:val="auto"/>
                <w:kern w:val="0"/>
                <w:sz w:val="10"/>
                <w:szCs w:val="10"/>
              </w:rPr>
            </w:pPr>
          </w:p>
          <w:p w14:paraId="758131FF">
            <w:pPr>
              <w:adjustRightInd w:val="0"/>
              <w:snapToGrid w:val="0"/>
              <w:spacing w:line="360" w:lineRule="auto"/>
              <w:jc w:val="left"/>
              <w:rPr>
                <w:rFonts w:hint="default" w:ascii="Times New Roman" w:hAnsi="Times New Roman" w:eastAsia="仿宋" w:cs="Times New Roman"/>
                <w:color w:val="auto"/>
                <w:kern w:val="0"/>
                <w:sz w:val="10"/>
                <w:szCs w:val="10"/>
              </w:rPr>
            </w:pPr>
          </w:p>
          <w:p w14:paraId="073A4CA3">
            <w:pPr>
              <w:adjustRightInd w:val="0"/>
              <w:snapToGrid w:val="0"/>
              <w:spacing w:line="360" w:lineRule="auto"/>
              <w:jc w:val="left"/>
              <w:rPr>
                <w:rFonts w:hint="default" w:ascii="Times New Roman" w:hAnsi="Times New Roman" w:eastAsia="仿宋" w:cs="Times New Roman"/>
                <w:color w:val="auto"/>
                <w:kern w:val="0"/>
                <w:sz w:val="10"/>
                <w:szCs w:val="10"/>
              </w:rPr>
            </w:pPr>
          </w:p>
          <w:p w14:paraId="6F2340F9">
            <w:pPr>
              <w:adjustRightInd w:val="0"/>
              <w:snapToGrid w:val="0"/>
              <w:spacing w:line="360" w:lineRule="auto"/>
              <w:jc w:val="left"/>
              <w:rPr>
                <w:rFonts w:hint="default" w:ascii="Times New Roman" w:hAnsi="Times New Roman" w:eastAsia="仿宋" w:cs="Times New Roman"/>
                <w:color w:val="auto"/>
                <w:kern w:val="0"/>
                <w:sz w:val="10"/>
                <w:szCs w:val="10"/>
              </w:rPr>
            </w:pPr>
          </w:p>
          <w:p w14:paraId="32081682">
            <w:pPr>
              <w:adjustRightInd w:val="0"/>
              <w:snapToGrid w:val="0"/>
              <w:spacing w:line="360" w:lineRule="auto"/>
              <w:jc w:val="left"/>
              <w:rPr>
                <w:rFonts w:hint="default" w:ascii="Times New Roman" w:hAnsi="Times New Roman" w:eastAsia="仿宋" w:cs="Times New Roman"/>
                <w:color w:val="auto"/>
                <w:kern w:val="0"/>
                <w:sz w:val="10"/>
                <w:szCs w:val="10"/>
              </w:rPr>
            </w:pPr>
          </w:p>
          <w:p w14:paraId="2196B3DC">
            <w:pPr>
              <w:adjustRightInd w:val="0"/>
              <w:snapToGrid w:val="0"/>
              <w:spacing w:line="360" w:lineRule="auto"/>
              <w:jc w:val="left"/>
              <w:rPr>
                <w:rFonts w:hint="default" w:ascii="Times New Roman" w:hAnsi="Times New Roman" w:eastAsia="仿宋" w:cs="Times New Roman"/>
                <w:color w:val="auto"/>
                <w:kern w:val="0"/>
                <w:sz w:val="10"/>
                <w:szCs w:val="10"/>
              </w:rPr>
            </w:pPr>
          </w:p>
          <w:p w14:paraId="74D0D02E">
            <w:pPr>
              <w:adjustRightInd w:val="0"/>
              <w:snapToGrid w:val="0"/>
              <w:spacing w:line="360" w:lineRule="auto"/>
              <w:jc w:val="left"/>
              <w:rPr>
                <w:rFonts w:hint="default" w:ascii="Times New Roman" w:hAnsi="Times New Roman" w:eastAsia="仿宋" w:cs="Times New Roman"/>
                <w:color w:val="auto"/>
                <w:kern w:val="0"/>
                <w:sz w:val="10"/>
                <w:szCs w:val="10"/>
              </w:rPr>
            </w:pPr>
          </w:p>
          <w:p w14:paraId="71D62606">
            <w:pPr>
              <w:adjustRightInd w:val="0"/>
              <w:snapToGrid w:val="0"/>
              <w:spacing w:line="360" w:lineRule="auto"/>
              <w:jc w:val="left"/>
              <w:rPr>
                <w:rFonts w:hint="default" w:ascii="Times New Roman" w:hAnsi="Times New Roman" w:eastAsia="仿宋" w:cs="Times New Roman"/>
                <w:color w:val="auto"/>
                <w:kern w:val="0"/>
                <w:sz w:val="10"/>
                <w:szCs w:val="10"/>
              </w:rPr>
            </w:pPr>
          </w:p>
          <w:p w14:paraId="0CA01EB5">
            <w:pPr>
              <w:adjustRightInd w:val="0"/>
              <w:snapToGrid w:val="0"/>
              <w:spacing w:line="360" w:lineRule="auto"/>
              <w:jc w:val="left"/>
              <w:rPr>
                <w:rFonts w:hint="default" w:ascii="Times New Roman" w:hAnsi="Times New Roman" w:eastAsia="仿宋" w:cs="Times New Roman"/>
                <w:color w:val="auto"/>
                <w:kern w:val="0"/>
                <w:sz w:val="10"/>
                <w:szCs w:val="10"/>
              </w:rPr>
            </w:pPr>
          </w:p>
          <w:p w14:paraId="7EA77492">
            <w:pPr>
              <w:adjustRightInd w:val="0"/>
              <w:snapToGrid w:val="0"/>
              <w:spacing w:line="360" w:lineRule="auto"/>
              <w:jc w:val="left"/>
              <w:rPr>
                <w:rFonts w:hint="default" w:ascii="Times New Roman" w:hAnsi="Times New Roman" w:eastAsia="仿宋" w:cs="Times New Roman"/>
                <w:color w:val="auto"/>
                <w:kern w:val="0"/>
                <w:sz w:val="10"/>
                <w:szCs w:val="10"/>
              </w:rPr>
            </w:pPr>
          </w:p>
          <w:p w14:paraId="20C4ED3D">
            <w:pPr>
              <w:adjustRightInd w:val="0"/>
              <w:snapToGrid w:val="0"/>
              <w:spacing w:line="360" w:lineRule="auto"/>
              <w:jc w:val="left"/>
              <w:rPr>
                <w:rFonts w:hint="default" w:ascii="Times New Roman" w:hAnsi="Times New Roman" w:eastAsia="仿宋" w:cs="Times New Roman"/>
                <w:color w:val="auto"/>
                <w:kern w:val="0"/>
                <w:sz w:val="10"/>
                <w:szCs w:val="10"/>
              </w:rPr>
            </w:pPr>
          </w:p>
          <w:p w14:paraId="282B7D9C">
            <w:pPr>
              <w:adjustRightInd w:val="0"/>
              <w:snapToGrid w:val="0"/>
              <w:spacing w:line="360" w:lineRule="auto"/>
              <w:jc w:val="left"/>
              <w:rPr>
                <w:rFonts w:hint="default" w:ascii="Times New Roman" w:hAnsi="Times New Roman" w:eastAsia="仿宋" w:cs="Times New Roman"/>
                <w:color w:val="auto"/>
                <w:kern w:val="0"/>
                <w:sz w:val="10"/>
                <w:szCs w:val="10"/>
              </w:rPr>
            </w:pPr>
          </w:p>
          <w:p w14:paraId="2D3FB37B">
            <w:pPr>
              <w:adjustRightInd w:val="0"/>
              <w:snapToGrid w:val="0"/>
              <w:spacing w:line="360" w:lineRule="auto"/>
              <w:jc w:val="left"/>
              <w:rPr>
                <w:rFonts w:hint="default" w:ascii="Times New Roman" w:hAnsi="Times New Roman" w:eastAsia="仿宋" w:cs="Times New Roman"/>
                <w:color w:val="auto"/>
                <w:kern w:val="0"/>
                <w:sz w:val="10"/>
                <w:szCs w:val="10"/>
              </w:rPr>
            </w:pPr>
          </w:p>
          <w:p w14:paraId="385FC10F">
            <w:pPr>
              <w:adjustRightInd w:val="0"/>
              <w:snapToGrid w:val="0"/>
              <w:spacing w:line="360" w:lineRule="auto"/>
              <w:jc w:val="left"/>
              <w:rPr>
                <w:rFonts w:hint="default" w:ascii="Times New Roman" w:hAnsi="Times New Roman" w:eastAsia="仿宋" w:cs="Times New Roman"/>
                <w:color w:val="auto"/>
                <w:kern w:val="0"/>
                <w:sz w:val="10"/>
                <w:szCs w:val="10"/>
              </w:rPr>
            </w:pPr>
          </w:p>
          <w:p w14:paraId="3C6FB80A">
            <w:pPr>
              <w:adjustRightInd w:val="0"/>
              <w:snapToGrid w:val="0"/>
              <w:spacing w:line="360" w:lineRule="auto"/>
              <w:jc w:val="left"/>
              <w:rPr>
                <w:rFonts w:hint="default" w:ascii="Times New Roman" w:hAnsi="Times New Roman" w:eastAsia="仿宋" w:cs="Times New Roman"/>
                <w:color w:val="auto"/>
                <w:kern w:val="0"/>
                <w:sz w:val="10"/>
                <w:szCs w:val="10"/>
              </w:rPr>
            </w:pPr>
          </w:p>
          <w:p w14:paraId="5A305375">
            <w:pPr>
              <w:adjustRightInd w:val="0"/>
              <w:snapToGrid w:val="0"/>
              <w:spacing w:line="360" w:lineRule="auto"/>
              <w:jc w:val="left"/>
              <w:rPr>
                <w:rFonts w:hint="default" w:ascii="Times New Roman" w:hAnsi="Times New Roman" w:eastAsia="仿宋" w:cs="Times New Roman"/>
                <w:color w:val="auto"/>
                <w:kern w:val="0"/>
                <w:sz w:val="10"/>
                <w:szCs w:val="10"/>
              </w:rPr>
            </w:pPr>
          </w:p>
          <w:p w14:paraId="03A79903">
            <w:pPr>
              <w:adjustRightInd w:val="0"/>
              <w:snapToGrid w:val="0"/>
              <w:spacing w:line="360" w:lineRule="auto"/>
              <w:jc w:val="left"/>
              <w:rPr>
                <w:rFonts w:hint="default" w:ascii="Times New Roman" w:hAnsi="Times New Roman" w:eastAsia="仿宋" w:cs="Times New Roman"/>
                <w:color w:val="auto"/>
                <w:kern w:val="0"/>
                <w:sz w:val="10"/>
                <w:szCs w:val="10"/>
              </w:rPr>
            </w:pPr>
          </w:p>
          <w:p w14:paraId="259555F8">
            <w:pPr>
              <w:adjustRightInd w:val="0"/>
              <w:snapToGrid w:val="0"/>
              <w:spacing w:line="360" w:lineRule="auto"/>
              <w:jc w:val="left"/>
              <w:rPr>
                <w:rFonts w:hint="default" w:ascii="Times New Roman" w:hAnsi="Times New Roman" w:eastAsia="仿宋" w:cs="Times New Roman"/>
                <w:color w:val="auto"/>
                <w:kern w:val="0"/>
                <w:sz w:val="10"/>
                <w:szCs w:val="10"/>
              </w:rPr>
            </w:pPr>
          </w:p>
          <w:p w14:paraId="6893F4D0">
            <w:pPr>
              <w:adjustRightInd w:val="0"/>
              <w:snapToGrid w:val="0"/>
              <w:spacing w:line="360" w:lineRule="auto"/>
              <w:jc w:val="left"/>
              <w:rPr>
                <w:rFonts w:hint="default" w:ascii="Times New Roman" w:hAnsi="Times New Roman" w:eastAsia="仿宋" w:cs="Times New Roman"/>
                <w:color w:val="auto"/>
                <w:kern w:val="0"/>
                <w:sz w:val="10"/>
                <w:szCs w:val="10"/>
              </w:rPr>
            </w:pPr>
          </w:p>
          <w:p w14:paraId="052DC5A4">
            <w:pPr>
              <w:adjustRightInd w:val="0"/>
              <w:snapToGrid w:val="0"/>
              <w:spacing w:line="360" w:lineRule="auto"/>
              <w:jc w:val="left"/>
              <w:rPr>
                <w:rFonts w:hint="default" w:ascii="Times New Roman" w:hAnsi="Times New Roman" w:eastAsia="仿宋" w:cs="Times New Roman"/>
                <w:color w:val="auto"/>
                <w:kern w:val="0"/>
                <w:sz w:val="10"/>
                <w:szCs w:val="10"/>
              </w:rPr>
            </w:pPr>
          </w:p>
          <w:p w14:paraId="2F536776">
            <w:pPr>
              <w:adjustRightInd w:val="0"/>
              <w:snapToGrid w:val="0"/>
              <w:rPr>
                <w:rFonts w:hint="default" w:ascii="Times New Roman" w:hAnsi="Times New Roman" w:eastAsia="仿宋" w:cs="Times New Roman"/>
                <w:b/>
                <w:bCs/>
                <w:color w:val="auto"/>
                <w:sz w:val="24"/>
              </w:rPr>
            </w:pPr>
          </w:p>
        </w:tc>
      </w:tr>
    </w:tbl>
    <w:p w14:paraId="2FD7B813">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772"/>
      </w:tblGrid>
      <w:tr w14:paraId="637C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Align w:val="center"/>
          </w:tcPr>
          <w:p w14:paraId="29FF8451">
            <w:pPr>
              <w:adjustRightInd w:val="0"/>
              <w:snapToGrid w:val="0"/>
              <w:spacing w:line="360" w:lineRule="auto"/>
              <w:jc w:val="center"/>
              <w:rPr>
                <w:rFonts w:hint="default" w:ascii="Times New Roman" w:hAnsi="Times New Roman" w:eastAsia="仿宋" w:cs="Times New Roman"/>
                <w:color w:val="auto"/>
                <w:kern w:val="0"/>
                <w:sz w:val="24"/>
              </w:rPr>
            </w:pPr>
            <w:bookmarkStart w:id="20" w:name="_Toc70493865"/>
            <w:bookmarkStart w:id="21" w:name="_Toc86046741"/>
            <w:bookmarkStart w:id="22" w:name="_Toc88123598"/>
            <w:r>
              <w:rPr>
                <w:rFonts w:hint="default" w:ascii="Times New Roman" w:hAnsi="Times New Roman" w:eastAsia="仿宋" w:cs="Times New Roman"/>
                <w:color w:val="auto"/>
                <w:kern w:val="0"/>
                <w:sz w:val="24"/>
              </w:rPr>
              <w:t>总量控制指标</w:t>
            </w:r>
            <w:bookmarkEnd w:id="20"/>
            <w:bookmarkEnd w:id="21"/>
            <w:bookmarkEnd w:id="22"/>
          </w:p>
        </w:tc>
        <w:tc>
          <w:tcPr>
            <w:tcW w:w="12898" w:type="dxa"/>
          </w:tcPr>
          <w:p w14:paraId="731E9BF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1、总量控制表</w:t>
            </w:r>
          </w:p>
          <w:p w14:paraId="14D43A50">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yellow"/>
              </w:rPr>
            </w:pPr>
            <w:r>
              <w:rPr>
                <w:rFonts w:hint="default" w:ascii="Times New Roman" w:hAnsi="Times New Roman" w:eastAsia="仿宋" w:cs="Times New Roman"/>
                <w:bCs/>
                <w:color w:val="auto"/>
                <w:sz w:val="24"/>
              </w:rPr>
              <w:t>本项目污染物排放总量控制指标见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0F1B9AF1">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表3-</w:t>
            </w:r>
            <w:r>
              <w:rPr>
                <w:rFonts w:hint="eastAsia" w:eastAsia="仿宋" w:cs="Times New Roman"/>
                <w:b/>
                <w:bCs/>
                <w:color w:val="auto"/>
                <w:sz w:val="24"/>
                <w:lang w:val="en-US" w:eastAsia="zh-CN"/>
              </w:rPr>
              <w:t>8</w:t>
            </w:r>
            <w:r>
              <w:rPr>
                <w:rFonts w:hint="default" w:ascii="Times New Roman" w:hAnsi="Times New Roman" w:eastAsia="仿宋" w:cs="Times New Roman"/>
                <w:b/>
                <w:bCs/>
                <w:color w:val="auto"/>
                <w:sz w:val="24"/>
              </w:rPr>
              <w:t xml:space="preserve">  污染物排放总量控制建议指标表     单位：t/a</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
              <w:gridCol w:w="711"/>
              <w:gridCol w:w="1661"/>
              <w:gridCol w:w="1407"/>
              <w:gridCol w:w="1186"/>
              <w:gridCol w:w="1198"/>
              <w:gridCol w:w="1153"/>
              <w:gridCol w:w="1181"/>
              <w:gridCol w:w="1201"/>
              <w:gridCol w:w="1148"/>
              <w:gridCol w:w="1309"/>
            </w:tblGrid>
            <w:tr w14:paraId="63562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restart"/>
                  <w:tcBorders>
                    <w:tl2br w:val="nil"/>
                    <w:tr2bl w:val="nil"/>
                  </w:tcBorders>
                  <w:noWrap w:val="0"/>
                  <w:vAlign w:val="center"/>
                </w:tcPr>
                <w:p w14:paraId="4401563F">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种类</w:t>
                  </w:r>
                </w:p>
              </w:tc>
              <w:tc>
                <w:tcPr>
                  <w:tcW w:w="944" w:type="pct"/>
                  <w:gridSpan w:val="2"/>
                  <w:vMerge w:val="restart"/>
                  <w:tcBorders>
                    <w:tl2br w:val="nil"/>
                    <w:tr2bl w:val="nil"/>
                  </w:tcBorders>
                  <w:noWrap w:val="0"/>
                  <w:vAlign w:val="center"/>
                </w:tcPr>
                <w:p w14:paraId="0424BB6C">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污染物名称</w:t>
                  </w:r>
                </w:p>
              </w:tc>
              <w:tc>
                <w:tcPr>
                  <w:tcW w:w="560" w:type="pct"/>
                  <w:vMerge w:val="restart"/>
                  <w:tcBorders>
                    <w:tl2br w:val="nil"/>
                    <w:tr2bl w:val="nil"/>
                  </w:tcBorders>
                  <w:noWrap w:val="0"/>
                  <w:vAlign w:val="center"/>
                </w:tcPr>
                <w:p w14:paraId="7E6447E9">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现有项目</w:t>
                  </w:r>
                </w:p>
                <w:p w14:paraId="258C183C">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批复量</w:t>
                  </w:r>
                </w:p>
              </w:tc>
              <w:tc>
                <w:tcPr>
                  <w:tcW w:w="1408" w:type="pct"/>
                  <w:gridSpan w:val="3"/>
                  <w:tcBorders>
                    <w:tl2br w:val="nil"/>
                    <w:tr2bl w:val="nil"/>
                  </w:tcBorders>
                  <w:noWrap w:val="0"/>
                  <w:vAlign w:val="center"/>
                </w:tcPr>
                <w:p w14:paraId="355C298E">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w:t>
                  </w:r>
                </w:p>
              </w:tc>
              <w:tc>
                <w:tcPr>
                  <w:tcW w:w="1926" w:type="pct"/>
                  <w:gridSpan w:val="4"/>
                  <w:tcBorders>
                    <w:tl2br w:val="nil"/>
                    <w:tr2bl w:val="nil"/>
                  </w:tcBorders>
                  <w:noWrap w:val="0"/>
                  <w:vAlign w:val="center"/>
                </w:tcPr>
                <w:p w14:paraId="2B958306">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总体工程</w:t>
                  </w:r>
                </w:p>
              </w:tc>
            </w:tr>
            <w:tr w14:paraId="6EE18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44AAD136">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944" w:type="pct"/>
                  <w:gridSpan w:val="2"/>
                  <w:vMerge w:val="continue"/>
                  <w:tcBorders>
                    <w:tl2br w:val="nil"/>
                    <w:tr2bl w:val="nil"/>
                  </w:tcBorders>
                  <w:noWrap w:val="0"/>
                  <w:vAlign w:val="center"/>
                </w:tcPr>
                <w:p w14:paraId="09D0BB66">
                  <w:pPr>
                    <w:spacing w:line="0" w:lineRule="atLeast"/>
                    <w:ind w:left="-105" w:leftChars="-50" w:right="-105" w:rightChars="-50"/>
                    <w:jc w:val="center"/>
                    <w:rPr>
                      <w:rFonts w:hint="default" w:ascii="Times New Roman" w:hAnsi="Times New Roman" w:eastAsia="仿宋" w:cs="Times New Roman"/>
                      <w:b/>
                      <w:color w:val="auto"/>
                      <w:sz w:val="21"/>
                      <w:szCs w:val="21"/>
                    </w:rPr>
                  </w:pPr>
                </w:p>
              </w:tc>
              <w:tc>
                <w:tcPr>
                  <w:tcW w:w="560" w:type="pct"/>
                  <w:vMerge w:val="continue"/>
                  <w:tcBorders>
                    <w:tl2br w:val="nil"/>
                    <w:tr2bl w:val="nil"/>
                  </w:tcBorders>
                  <w:noWrap w:val="0"/>
                  <w:vAlign w:val="center"/>
                </w:tcPr>
                <w:p w14:paraId="3792ABFE">
                  <w:pPr>
                    <w:spacing w:line="0" w:lineRule="atLeast"/>
                    <w:ind w:left="-105" w:leftChars="-50" w:right="-105" w:rightChars="-50"/>
                    <w:jc w:val="center"/>
                    <w:rPr>
                      <w:rFonts w:hint="default" w:ascii="Times New Roman" w:hAnsi="Times New Roman" w:eastAsia="仿宋" w:cs="Times New Roman"/>
                      <w:b/>
                      <w:color w:val="auto"/>
                      <w:sz w:val="21"/>
                      <w:szCs w:val="21"/>
                    </w:rPr>
                  </w:pPr>
                </w:p>
              </w:tc>
              <w:tc>
                <w:tcPr>
                  <w:tcW w:w="472" w:type="pct"/>
                  <w:tcBorders>
                    <w:tl2br w:val="nil"/>
                    <w:tr2bl w:val="nil"/>
                  </w:tcBorders>
                  <w:noWrap w:val="0"/>
                  <w:vAlign w:val="center"/>
                </w:tcPr>
                <w:p w14:paraId="13E77A18">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产生量</w:t>
                  </w:r>
                </w:p>
              </w:tc>
              <w:tc>
                <w:tcPr>
                  <w:tcW w:w="477" w:type="pct"/>
                  <w:tcBorders>
                    <w:tl2br w:val="nil"/>
                    <w:tr2bl w:val="nil"/>
                  </w:tcBorders>
                  <w:noWrap w:val="0"/>
                  <w:vAlign w:val="center"/>
                </w:tcPr>
                <w:p w14:paraId="571C7963">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处理削减量</w:t>
                  </w:r>
                </w:p>
              </w:tc>
              <w:tc>
                <w:tcPr>
                  <w:tcW w:w="459" w:type="pct"/>
                  <w:tcBorders>
                    <w:tl2br w:val="nil"/>
                    <w:tr2bl w:val="nil"/>
                  </w:tcBorders>
                  <w:noWrap w:val="0"/>
                  <w:vAlign w:val="center"/>
                </w:tcPr>
                <w:p w14:paraId="573F86F7">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排放总量</w:t>
                  </w:r>
                </w:p>
              </w:tc>
              <w:tc>
                <w:tcPr>
                  <w:tcW w:w="470" w:type="pct"/>
                  <w:tcBorders>
                    <w:tl2br w:val="nil"/>
                    <w:tr2bl w:val="nil"/>
                  </w:tcBorders>
                  <w:noWrap w:val="0"/>
                  <w:vAlign w:val="center"/>
                </w:tcPr>
                <w:p w14:paraId="12C063CF">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“以新带老”削减量</w:t>
                  </w:r>
                </w:p>
              </w:tc>
              <w:tc>
                <w:tcPr>
                  <w:tcW w:w="478" w:type="pct"/>
                  <w:tcBorders>
                    <w:tl2br w:val="nil"/>
                    <w:tr2bl w:val="nil"/>
                  </w:tcBorders>
                  <w:noWrap w:val="0"/>
                  <w:vAlign w:val="center"/>
                </w:tcPr>
                <w:p w14:paraId="1AD86B0D">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全厂排放总量</w:t>
                  </w:r>
                </w:p>
              </w:tc>
              <w:tc>
                <w:tcPr>
                  <w:tcW w:w="457" w:type="pct"/>
                  <w:tcBorders>
                    <w:tl2br w:val="nil"/>
                    <w:tr2bl w:val="nil"/>
                  </w:tcBorders>
                  <w:noWrap w:val="0"/>
                  <w:vAlign w:val="center"/>
                </w:tcPr>
                <w:p w14:paraId="2F0BB7E0">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排放增减量</w:t>
                  </w:r>
                </w:p>
              </w:tc>
              <w:tc>
                <w:tcPr>
                  <w:tcW w:w="520" w:type="pct"/>
                  <w:tcBorders>
                    <w:tl2br w:val="nil"/>
                    <w:tr2bl w:val="nil"/>
                  </w:tcBorders>
                  <w:noWrap w:val="0"/>
                  <w:vAlign w:val="center"/>
                </w:tcPr>
                <w:p w14:paraId="2F5D6CD6">
                  <w:pPr>
                    <w:spacing w:line="0" w:lineRule="atLeast"/>
                    <w:ind w:left="-105" w:leftChars="-50" w:right="-105" w:rightChars="-5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最终排入外环境总量</w:t>
                  </w:r>
                </w:p>
              </w:tc>
            </w:tr>
            <w:tr w14:paraId="171D2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restart"/>
                  <w:tcBorders>
                    <w:tl2br w:val="nil"/>
                    <w:tr2bl w:val="nil"/>
                  </w:tcBorders>
                  <w:noWrap w:val="0"/>
                  <w:vAlign w:val="center"/>
                </w:tcPr>
                <w:p w14:paraId="3A281A1A">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w:t>
                  </w:r>
                </w:p>
              </w:tc>
              <w:tc>
                <w:tcPr>
                  <w:tcW w:w="283" w:type="pct"/>
                  <w:vMerge w:val="restart"/>
                  <w:tcBorders>
                    <w:tl2br w:val="nil"/>
                    <w:tr2bl w:val="nil"/>
                  </w:tcBorders>
                  <w:noWrap w:val="0"/>
                  <w:vAlign w:val="center"/>
                </w:tcPr>
                <w:p w14:paraId="6CB0CF7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有组织</w:t>
                  </w:r>
                </w:p>
              </w:tc>
              <w:tc>
                <w:tcPr>
                  <w:tcW w:w="661" w:type="pct"/>
                  <w:tcBorders>
                    <w:tl2br w:val="nil"/>
                    <w:tr2bl w:val="nil"/>
                  </w:tcBorders>
                  <w:noWrap w:val="0"/>
                  <w:vAlign w:val="center"/>
                </w:tcPr>
                <w:p w14:paraId="04D5949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VOCs（以非甲烷总烃计）</w:t>
                  </w:r>
                </w:p>
              </w:tc>
              <w:tc>
                <w:tcPr>
                  <w:tcW w:w="560" w:type="pct"/>
                  <w:tcBorders>
                    <w:tl2br w:val="nil"/>
                    <w:tr2bl w:val="nil"/>
                  </w:tcBorders>
                  <w:noWrap w:val="0"/>
                  <w:vAlign w:val="center"/>
                </w:tcPr>
                <w:p w14:paraId="62F7C70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0.743</w:t>
                  </w:r>
                </w:p>
              </w:tc>
              <w:tc>
                <w:tcPr>
                  <w:tcW w:w="472" w:type="pct"/>
                  <w:tcBorders>
                    <w:tl2br w:val="nil"/>
                    <w:tr2bl w:val="nil"/>
                  </w:tcBorders>
                  <w:noWrap w:val="0"/>
                  <w:vAlign w:val="center"/>
                </w:tcPr>
                <w:p w14:paraId="2229311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0.009</w:t>
                  </w:r>
                  <w:r>
                    <w:rPr>
                      <w:rFonts w:hint="eastAsia" w:eastAsia="仿宋" w:cs="Times New Roman"/>
                      <w:color w:val="auto"/>
                      <w:sz w:val="21"/>
                      <w:szCs w:val="21"/>
                      <w:lang w:val="en-US" w:eastAsia="zh-CN"/>
                    </w:rPr>
                    <w:t>18</w:t>
                  </w:r>
                </w:p>
              </w:tc>
              <w:tc>
                <w:tcPr>
                  <w:tcW w:w="477" w:type="pct"/>
                  <w:tcBorders>
                    <w:tl2br w:val="nil"/>
                    <w:tr2bl w:val="nil"/>
                  </w:tcBorders>
                  <w:noWrap w:val="0"/>
                  <w:vAlign w:val="center"/>
                </w:tcPr>
                <w:p w14:paraId="0BFBB78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0.008</w:t>
                  </w:r>
                  <w:r>
                    <w:rPr>
                      <w:rFonts w:hint="eastAsia" w:eastAsia="仿宋" w:cs="Times New Roman"/>
                      <w:color w:val="auto"/>
                      <w:sz w:val="21"/>
                      <w:szCs w:val="21"/>
                      <w:lang w:val="en-US" w:eastAsia="zh-CN"/>
                    </w:rPr>
                    <w:t>262</w:t>
                  </w:r>
                </w:p>
              </w:tc>
              <w:tc>
                <w:tcPr>
                  <w:tcW w:w="459" w:type="pct"/>
                  <w:tcBorders>
                    <w:tl2br w:val="nil"/>
                    <w:tr2bl w:val="nil"/>
                  </w:tcBorders>
                  <w:noWrap w:val="0"/>
                  <w:vAlign w:val="center"/>
                </w:tcPr>
                <w:p w14:paraId="027D1D9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0.0009</w:t>
                  </w:r>
                  <w:r>
                    <w:rPr>
                      <w:rFonts w:hint="eastAsia" w:eastAsia="仿宋" w:cs="Times New Roman"/>
                      <w:color w:val="auto"/>
                      <w:sz w:val="21"/>
                      <w:szCs w:val="21"/>
                      <w:lang w:val="en-US" w:eastAsia="zh-CN"/>
                    </w:rPr>
                    <w:t>18</w:t>
                  </w:r>
                </w:p>
              </w:tc>
              <w:tc>
                <w:tcPr>
                  <w:tcW w:w="470" w:type="pct"/>
                  <w:tcBorders>
                    <w:tl2br w:val="nil"/>
                    <w:tr2bl w:val="nil"/>
                  </w:tcBorders>
                  <w:noWrap w:val="0"/>
                  <w:vAlign w:val="center"/>
                </w:tcPr>
                <w:p w14:paraId="4E5CF7A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559E804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w:t>
                  </w:r>
                  <w:r>
                    <w:rPr>
                      <w:rFonts w:hint="eastAsia" w:eastAsia="仿宋" w:cs="Times New Roman"/>
                      <w:color w:val="auto"/>
                      <w:sz w:val="21"/>
                      <w:szCs w:val="21"/>
                      <w:lang w:val="en-US" w:eastAsia="zh-CN"/>
                    </w:rPr>
                    <w:t>43918</w:t>
                  </w:r>
                </w:p>
              </w:tc>
              <w:tc>
                <w:tcPr>
                  <w:tcW w:w="457" w:type="pct"/>
                  <w:tcBorders>
                    <w:tl2br w:val="nil"/>
                    <w:tr2bl w:val="nil"/>
                  </w:tcBorders>
                  <w:noWrap w:val="0"/>
                  <w:vAlign w:val="center"/>
                </w:tcPr>
                <w:p w14:paraId="2CF91EC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+0.0009</w:t>
                  </w:r>
                  <w:r>
                    <w:rPr>
                      <w:rFonts w:hint="eastAsia" w:eastAsia="仿宋" w:cs="Times New Roman"/>
                      <w:color w:val="auto"/>
                      <w:sz w:val="21"/>
                      <w:szCs w:val="21"/>
                      <w:lang w:val="en-US" w:eastAsia="zh-CN"/>
                    </w:rPr>
                    <w:t>18</w:t>
                  </w:r>
                </w:p>
              </w:tc>
              <w:tc>
                <w:tcPr>
                  <w:tcW w:w="520" w:type="pct"/>
                  <w:tcBorders>
                    <w:tl2br w:val="nil"/>
                    <w:tr2bl w:val="nil"/>
                  </w:tcBorders>
                  <w:noWrap w:val="0"/>
                  <w:vAlign w:val="center"/>
                </w:tcPr>
                <w:p w14:paraId="10F9440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w:t>
                  </w:r>
                  <w:r>
                    <w:rPr>
                      <w:rFonts w:hint="eastAsia" w:eastAsia="仿宋" w:cs="Times New Roman"/>
                      <w:color w:val="auto"/>
                      <w:sz w:val="21"/>
                      <w:szCs w:val="21"/>
                      <w:lang w:val="en-US" w:eastAsia="zh-CN"/>
                    </w:rPr>
                    <w:t>43918</w:t>
                  </w:r>
                </w:p>
              </w:tc>
            </w:tr>
            <w:tr w14:paraId="002EF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0" w:type="pct"/>
                  <w:vMerge w:val="continue"/>
                  <w:tcBorders>
                    <w:tl2br w:val="nil"/>
                    <w:tr2bl w:val="nil"/>
                  </w:tcBorders>
                  <w:noWrap w:val="0"/>
                  <w:vAlign w:val="center"/>
                </w:tcPr>
                <w:p w14:paraId="70305EAB">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4530630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167F0CE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锡及其化合物</w:t>
                  </w:r>
                </w:p>
              </w:tc>
              <w:tc>
                <w:tcPr>
                  <w:tcW w:w="560" w:type="pct"/>
                  <w:tcBorders>
                    <w:tl2br w:val="nil"/>
                    <w:tr2bl w:val="nil"/>
                  </w:tcBorders>
                  <w:noWrap w:val="0"/>
                  <w:vAlign w:val="center"/>
                </w:tcPr>
                <w:p w14:paraId="1DE3986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c>
                <w:tcPr>
                  <w:tcW w:w="472" w:type="pct"/>
                  <w:tcBorders>
                    <w:tl2br w:val="nil"/>
                    <w:tr2bl w:val="nil"/>
                  </w:tcBorders>
                  <w:noWrap w:val="0"/>
                  <w:vAlign w:val="center"/>
                </w:tcPr>
                <w:p w14:paraId="5FDE152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3EE381C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135FB8B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05BE8AE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2503F1C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c>
                <w:tcPr>
                  <w:tcW w:w="457" w:type="pct"/>
                  <w:tcBorders>
                    <w:tl2br w:val="nil"/>
                    <w:tr2bl w:val="nil"/>
                  </w:tcBorders>
                  <w:noWrap w:val="0"/>
                  <w:vAlign w:val="center"/>
                </w:tcPr>
                <w:p w14:paraId="7F6E584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28C384E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r>
            <w:tr w14:paraId="6A482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461C9770">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0413612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6D33D95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560" w:type="pct"/>
                  <w:tcBorders>
                    <w:tl2br w:val="nil"/>
                    <w:tr2bl w:val="nil"/>
                  </w:tcBorders>
                  <w:noWrap w:val="0"/>
                  <w:vAlign w:val="center"/>
                </w:tcPr>
                <w:p w14:paraId="0FC56F6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0.054</w:t>
                  </w:r>
                </w:p>
              </w:tc>
              <w:tc>
                <w:tcPr>
                  <w:tcW w:w="472" w:type="pct"/>
                  <w:tcBorders>
                    <w:tl2br w:val="nil"/>
                    <w:tr2bl w:val="nil"/>
                  </w:tcBorders>
                  <w:noWrap w:val="0"/>
                  <w:vAlign w:val="center"/>
                </w:tcPr>
                <w:p w14:paraId="585239A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0A0C29E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63B1C6A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0B77211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1D8B928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0.054</w:t>
                  </w:r>
                </w:p>
              </w:tc>
              <w:tc>
                <w:tcPr>
                  <w:tcW w:w="457" w:type="pct"/>
                  <w:tcBorders>
                    <w:tl2br w:val="nil"/>
                    <w:tr2bl w:val="nil"/>
                  </w:tcBorders>
                  <w:noWrap w:val="0"/>
                  <w:vAlign w:val="center"/>
                </w:tcPr>
                <w:p w14:paraId="7B7A642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2D1BA5D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0.054</w:t>
                  </w:r>
                </w:p>
              </w:tc>
            </w:tr>
            <w:tr w14:paraId="6D2F4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vMerge w:val="continue"/>
                  <w:tcBorders>
                    <w:tl2br w:val="nil"/>
                    <w:tr2bl w:val="nil"/>
                  </w:tcBorders>
                  <w:noWrap w:val="0"/>
                  <w:vAlign w:val="center"/>
                </w:tcPr>
                <w:p w14:paraId="7FF7E01B">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7D01E1D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5F72806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氯化氢</w:t>
                  </w:r>
                </w:p>
              </w:tc>
              <w:tc>
                <w:tcPr>
                  <w:tcW w:w="560" w:type="pct"/>
                  <w:tcBorders>
                    <w:tl2br w:val="nil"/>
                    <w:tr2bl w:val="nil"/>
                  </w:tcBorders>
                  <w:noWrap w:val="0"/>
                  <w:vAlign w:val="center"/>
                </w:tcPr>
                <w:p w14:paraId="2A52E2C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2" w:type="pct"/>
                  <w:tcBorders>
                    <w:tl2br w:val="nil"/>
                    <w:tr2bl w:val="nil"/>
                  </w:tcBorders>
                  <w:shd w:val="clear" w:color="auto" w:fill="auto"/>
                  <w:noWrap w:val="0"/>
                  <w:vAlign w:val="center"/>
                </w:tcPr>
                <w:p w14:paraId="457B948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0.00</w:t>
                  </w:r>
                  <w:r>
                    <w:rPr>
                      <w:rFonts w:hint="eastAsia" w:eastAsia="仿宋" w:cs="Times New Roman"/>
                      <w:color w:val="auto"/>
                      <w:sz w:val="21"/>
                      <w:szCs w:val="21"/>
                      <w:highlight w:val="none"/>
                      <w:lang w:val="en-US" w:eastAsia="zh-CN"/>
                    </w:rPr>
                    <w:t>0365</w:t>
                  </w:r>
                </w:p>
              </w:tc>
              <w:tc>
                <w:tcPr>
                  <w:tcW w:w="477" w:type="pct"/>
                  <w:tcBorders>
                    <w:tl2br w:val="nil"/>
                    <w:tr2bl w:val="nil"/>
                  </w:tcBorders>
                  <w:shd w:val="clear" w:color="auto" w:fill="auto"/>
                  <w:noWrap w:val="0"/>
                  <w:vAlign w:val="center"/>
                </w:tcPr>
                <w:p w14:paraId="533CE40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0.000274</w:t>
                  </w:r>
                </w:p>
              </w:tc>
              <w:tc>
                <w:tcPr>
                  <w:tcW w:w="459" w:type="pct"/>
                  <w:tcBorders>
                    <w:tl2br w:val="nil"/>
                    <w:tr2bl w:val="nil"/>
                  </w:tcBorders>
                  <w:shd w:val="clear" w:color="auto" w:fill="auto"/>
                  <w:noWrap w:val="0"/>
                  <w:vAlign w:val="center"/>
                </w:tcPr>
                <w:p w14:paraId="5820BD9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0.000091</w:t>
                  </w:r>
                </w:p>
              </w:tc>
              <w:tc>
                <w:tcPr>
                  <w:tcW w:w="470" w:type="pct"/>
                  <w:tcBorders>
                    <w:tl2br w:val="nil"/>
                    <w:tr2bl w:val="nil"/>
                  </w:tcBorders>
                  <w:noWrap w:val="0"/>
                  <w:vAlign w:val="center"/>
                </w:tcPr>
                <w:p w14:paraId="5F6406A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36137A7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highlight w:val="none"/>
                      <w:lang w:val="en-US" w:eastAsia="zh-CN"/>
                    </w:rPr>
                    <w:t>0.000091</w:t>
                  </w:r>
                </w:p>
              </w:tc>
              <w:tc>
                <w:tcPr>
                  <w:tcW w:w="457" w:type="pct"/>
                  <w:tcBorders>
                    <w:tl2br w:val="nil"/>
                    <w:tr2bl w:val="nil"/>
                  </w:tcBorders>
                  <w:noWrap w:val="0"/>
                  <w:vAlign w:val="center"/>
                </w:tcPr>
                <w:p w14:paraId="6E6843A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highlight w:val="none"/>
                      <w:lang w:val="en-US" w:eastAsia="zh-CN"/>
                    </w:rPr>
                    <w:t>0.000091</w:t>
                  </w:r>
                </w:p>
              </w:tc>
              <w:tc>
                <w:tcPr>
                  <w:tcW w:w="520" w:type="pct"/>
                  <w:tcBorders>
                    <w:tl2br w:val="nil"/>
                    <w:tr2bl w:val="nil"/>
                  </w:tcBorders>
                  <w:noWrap w:val="0"/>
                  <w:vAlign w:val="center"/>
                </w:tcPr>
                <w:p w14:paraId="11CDEB9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highlight w:val="none"/>
                      <w:lang w:val="en-US" w:eastAsia="zh-CN"/>
                    </w:rPr>
                    <w:t>0.000091</w:t>
                  </w:r>
                </w:p>
              </w:tc>
            </w:tr>
            <w:tr w14:paraId="7EBB3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78B8EED0">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restart"/>
                  <w:tcBorders>
                    <w:tl2br w:val="nil"/>
                    <w:tr2bl w:val="nil"/>
                  </w:tcBorders>
                  <w:noWrap w:val="0"/>
                  <w:vAlign w:val="center"/>
                </w:tcPr>
                <w:p w14:paraId="20531F5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w:t>
                  </w:r>
                </w:p>
              </w:tc>
              <w:tc>
                <w:tcPr>
                  <w:tcW w:w="661" w:type="pct"/>
                  <w:tcBorders>
                    <w:tl2br w:val="nil"/>
                    <w:tr2bl w:val="nil"/>
                  </w:tcBorders>
                  <w:noWrap w:val="0"/>
                  <w:vAlign w:val="center"/>
                </w:tcPr>
                <w:p w14:paraId="58DC3A3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VOCs（以非甲烷总烃计）</w:t>
                  </w:r>
                </w:p>
              </w:tc>
              <w:tc>
                <w:tcPr>
                  <w:tcW w:w="560" w:type="pct"/>
                  <w:tcBorders>
                    <w:tl2br w:val="nil"/>
                    <w:tr2bl w:val="nil"/>
                  </w:tcBorders>
                  <w:noWrap w:val="0"/>
                  <w:vAlign w:val="center"/>
                </w:tcPr>
                <w:p w14:paraId="258E2BA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0.826</w:t>
                  </w:r>
                </w:p>
              </w:tc>
              <w:tc>
                <w:tcPr>
                  <w:tcW w:w="472" w:type="pct"/>
                  <w:tcBorders>
                    <w:tl2br w:val="nil"/>
                    <w:tr2bl w:val="nil"/>
                  </w:tcBorders>
                  <w:noWrap w:val="0"/>
                  <w:vAlign w:val="center"/>
                </w:tcPr>
                <w:p w14:paraId="3559135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r>
                    <w:rPr>
                      <w:rFonts w:hint="eastAsia" w:eastAsia="仿宋" w:cs="Times New Roman"/>
                      <w:color w:val="auto"/>
                      <w:sz w:val="21"/>
                      <w:szCs w:val="21"/>
                      <w:lang w:val="en-US" w:eastAsia="zh-CN"/>
                    </w:rPr>
                    <w:t>02</w:t>
                  </w:r>
                </w:p>
              </w:tc>
              <w:tc>
                <w:tcPr>
                  <w:tcW w:w="477" w:type="pct"/>
                  <w:tcBorders>
                    <w:tl2br w:val="nil"/>
                    <w:tr2bl w:val="nil"/>
                  </w:tcBorders>
                  <w:noWrap w:val="0"/>
                  <w:vAlign w:val="center"/>
                </w:tcPr>
                <w:p w14:paraId="6203AC1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63831D7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r>
                    <w:rPr>
                      <w:rFonts w:hint="eastAsia" w:eastAsia="仿宋" w:cs="Times New Roman"/>
                      <w:color w:val="auto"/>
                      <w:sz w:val="21"/>
                      <w:szCs w:val="21"/>
                      <w:lang w:val="en-US" w:eastAsia="zh-CN"/>
                    </w:rPr>
                    <w:t>02</w:t>
                  </w:r>
                </w:p>
              </w:tc>
              <w:tc>
                <w:tcPr>
                  <w:tcW w:w="470" w:type="pct"/>
                  <w:tcBorders>
                    <w:tl2br w:val="nil"/>
                    <w:tr2bl w:val="nil"/>
                  </w:tcBorders>
                  <w:noWrap w:val="0"/>
                  <w:vAlign w:val="center"/>
                </w:tcPr>
                <w:p w14:paraId="17FE937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76EED0E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0.827</w:t>
                  </w:r>
                  <w:r>
                    <w:rPr>
                      <w:rFonts w:hint="eastAsia" w:eastAsia="仿宋" w:cs="Times New Roman"/>
                      <w:color w:val="auto"/>
                      <w:sz w:val="21"/>
                      <w:szCs w:val="21"/>
                      <w:lang w:val="en-US" w:eastAsia="zh-CN"/>
                    </w:rPr>
                    <w:t>02</w:t>
                  </w:r>
                </w:p>
              </w:tc>
              <w:tc>
                <w:tcPr>
                  <w:tcW w:w="457" w:type="pct"/>
                  <w:tcBorders>
                    <w:tl2br w:val="nil"/>
                    <w:tr2bl w:val="nil"/>
                  </w:tcBorders>
                  <w:noWrap w:val="0"/>
                  <w:vAlign w:val="center"/>
                </w:tcPr>
                <w:p w14:paraId="1F9D665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w:t>
                  </w:r>
                  <w:r>
                    <w:rPr>
                      <w:rFonts w:hint="eastAsia" w:eastAsia="仿宋" w:cs="Times New Roman"/>
                      <w:color w:val="auto"/>
                      <w:sz w:val="21"/>
                      <w:szCs w:val="21"/>
                      <w:lang w:val="en-US" w:eastAsia="zh-CN"/>
                    </w:rPr>
                    <w:t>02</w:t>
                  </w:r>
                </w:p>
              </w:tc>
              <w:tc>
                <w:tcPr>
                  <w:tcW w:w="520" w:type="pct"/>
                  <w:tcBorders>
                    <w:tl2br w:val="nil"/>
                    <w:tr2bl w:val="nil"/>
                  </w:tcBorders>
                  <w:noWrap w:val="0"/>
                  <w:vAlign w:val="center"/>
                </w:tcPr>
                <w:p w14:paraId="3BEE235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0.827</w:t>
                  </w:r>
                  <w:r>
                    <w:rPr>
                      <w:rFonts w:hint="eastAsia" w:eastAsia="仿宋" w:cs="Times New Roman"/>
                      <w:color w:val="auto"/>
                      <w:sz w:val="21"/>
                      <w:szCs w:val="21"/>
                      <w:lang w:val="en-US" w:eastAsia="zh-CN"/>
                    </w:rPr>
                    <w:t>02</w:t>
                  </w:r>
                </w:p>
              </w:tc>
            </w:tr>
            <w:tr w14:paraId="54031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573FF480">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78FBF3E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7F1DB5F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锡及其化合物</w:t>
                  </w:r>
                </w:p>
              </w:tc>
              <w:tc>
                <w:tcPr>
                  <w:tcW w:w="560" w:type="pct"/>
                  <w:tcBorders>
                    <w:tl2br w:val="nil"/>
                    <w:tr2bl w:val="nil"/>
                  </w:tcBorders>
                  <w:noWrap w:val="0"/>
                  <w:vAlign w:val="center"/>
                </w:tcPr>
                <w:p w14:paraId="4E8DF52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c>
                <w:tcPr>
                  <w:tcW w:w="472" w:type="pct"/>
                  <w:tcBorders>
                    <w:tl2br w:val="nil"/>
                    <w:tr2bl w:val="nil"/>
                  </w:tcBorders>
                  <w:noWrap w:val="0"/>
                  <w:vAlign w:val="center"/>
                </w:tcPr>
                <w:p w14:paraId="08541D0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79AB5D6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74F31BF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122C25F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75A824F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c>
                <w:tcPr>
                  <w:tcW w:w="457" w:type="pct"/>
                  <w:tcBorders>
                    <w:tl2br w:val="nil"/>
                    <w:tr2bl w:val="nil"/>
                  </w:tcBorders>
                  <w:noWrap w:val="0"/>
                  <w:vAlign w:val="center"/>
                </w:tcPr>
                <w:p w14:paraId="05C3C61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5F8D9DD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0.0003</w:t>
                  </w:r>
                </w:p>
              </w:tc>
            </w:tr>
            <w:tr w14:paraId="14881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04D6CBED">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225FCD7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2C6F419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硫酸雾</w:t>
                  </w:r>
                </w:p>
              </w:tc>
              <w:tc>
                <w:tcPr>
                  <w:tcW w:w="560" w:type="pct"/>
                  <w:tcBorders>
                    <w:tl2br w:val="nil"/>
                    <w:tr2bl w:val="nil"/>
                  </w:tcBorders>
                  <w:noWrap w:val="0"/>
                  <w:vAlign w:val="center"/>
                </w:tcPr>
                <w:p w14:paraId="18F8EFF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0.024</w:t>
                  </w:r>
                </w:p>
              </w:tc>
              <w:tc>
                <w:tcPr>
                  <w:tcW w:w="472" w:type="pct"/>
                  <w:tcBorders>
                    <w:tl2br w:val="nil"/>
                    <w:tr2bl w:val="nil"/>
                  </w:tcBorders>
                  <w:noWrap w:val="0"/>
                  <w:vAlign w:val="center"/>
                </w:tcPr>
                <w:p w14:paraId="24DE4EE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4CFFE00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7271E81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2C5ED58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FF65CA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0.024</w:t>
                  </w:r>
                </w:p>
              </w:tc>
              <w:tc>
                <w:tcPr>
                  <w:tcW w:w="457" w:type="pct"/>
                  <w:tcBorders>
                    <w:tl2br w:val="nil"/>
                    <w:tr2bl w:val="nil"/>
                  </w:tcBorders>
                  <w:noWrap w:val="0"/>
                  <w:vAlign w:val="center"/>
                </w:tcPr>
                <w:p w14:paraId="348BE08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2499B3E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0.024</w:t>
                  </w:r>
                </w:p>
              </w:tc>
            </w:tr>
            <w:tr w14:paraId="25E81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6F2D8166">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2CFC9EE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033E9E9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氯化氢</w:t>
                  </w:r>
                </w:p>
              </w:tc>
              <w:tc>
                <w:tcPr>
                  <w:tcW w:w="560" w:type="pct"/>
                  <w:tcBorders>
                    <w:tl2br w:val="nil"/>
                    <w:tr2bl w:val="nil"/>
                  </w:tcBorders>
                  <w:noWrap w:val="0"/>
                  <w:vAlign w:val="center"/>
                </w:tcPr>
                <w:p w14:paraId="0B25FFE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2" w:type="pct"/>
                  <w:tcBorders>
                    <w:tl2br w:val="nil"/>
                    <w:tr2bl w:val="nil"/>
                  </w:tcBorders>
                  <w:shd w:val="clear" w:color="auto" w:fill="auto"/>
                  <w:noWrap w:val="0"/>
                  <w:vAlign w:val="center"/>
                </w:tcPr>
                <w:p w14:paraId="306C880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yellow"/>
                      <w:lang w:val="en-US" w:eastAsia="zh-CN"/>
                    </w:rPr>
                  </w:pPr>
                  <w:r>
                    <w:rPr>
                      <w:rFonts w:hint="eastAsia" w:eastAsia="仿宋" w:cs="Times New Roman"/>
                      <w:color w:val="auto"/>
                      <w:sz w:val="21"/>
                      <w:szCs w:val="21"/>
                      <w:highlight w:val="none"/>
                      <w:lang w:val="en-US" w:eastAsia="zh-CN"/>
                    </w:rPr>
                    <w:t>0.00004</w:t>
                  </w:r>
                </w:p>
              </w:tc>
              <w:tc>
                <w:tcPr>
                  <w:tcW w:w="477" w:type="pct"/>
                  <w:tcBorders>
                    <w:tl2br w:val="nil"/>
                    <w:tr2bl w:val="nil"/>
                  </w:tcBorders>
                  <w:shd w:val="clear" w:color="auto" w:fill="auto"/>
                  <w:noWrap w:val="0"/>
                  <w:vAlign w:val="center"/>
                </w:tcPr>
                <w:p w14:paraId="1A77945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yellow"/>
                      <w:lang w:val="en-US" w:eastAsia="zh-CN"/>
                    </w:rPr>
                  </w:pPr>
                  <w:r>
                    <w:rPr>
                      <w:rFonts w:hint="default" w:ascii="Times New Roman" w:hAnsi="Times New Roman" w:eastAsia="仿宋" w:cs="Times New Roman"/>
                      <w:color w:val="auto"/>
                      <w:sz w:val="21"/>
                      <w:szCs w:val="21"/>
                      <w:highlight w:val="none"/>
                      <w:lang w:val="en-US" w:eastAsia="zh-CN"/>
                    </w:rPr>
                    <w:t>0</w:t>
                  </w:r>
                </w:p>
              </w:tc>
              <w:tc>
                <w:tcPr>
                  <w:tcW w:w="459" w:type="pct"/>
                  <w:tcBorders>
                    <w:tl2br w:val="nil"/>
                    <w:tr2bl w:val="nil"/>
                  </w:tcBorders>
                  <w:shd w:val="clear" w:color="auto" w:fill="auto"/>
                  <w:noWrap w:val="0"/>
                  <w:vAlign w:val="center"/>
                </w:tcPr>
                <w:p w14:paraId="72965C3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highlight w:val="yellow"/>
                      <w:lang w:val="en-US" w:eastAsia="zh-CN"/>
                    </w:rPr>
                  </w:pPr>
                  <w:r>
                    <w:rPr>
                      <w:rFonts w:hint="eastAsia" w:eastAsia="仿宋" w:cs="Times New Roman"/>
                      <w:color w:val="auto"/>
                      <w:sz w:val="21"/>
                      <w:szCs w:val="21"/>
                      <w:highlight w:val="none"/>
                      <w:lang w:val="en-US" w:eastAsia="zh-CN"/>
                    </w:rPr>
                    <w:t>0.00004</w:t>
                  </w:r>
                </w:p>
              </w:tc>
              <w:tc>
                <w:tcPr>
                  <w:tcW w:w="470" w:type="pct"/>
                  <w:tcBorders>
                    <w:tl2br w:val="nil"/>
                    <w:tr2bl w:val="nil"/>
                  </w:tcBorders>
                  <w:noWrap w:val="0"/>
                  <w:vAlign w:val="center"/>
                </w:tcPr>
                <w:p w14:paraId="3DF1865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4AC731D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highlight w:val="none"/>
                      <w:lang w:val="en-US" w:eastAsia="zh-CN"/>
                    </w:rPr>
                    <w:t>0.00004</w:t>
                  </w:r>
                </w:p>
              </w:tc>
              <w:tc>
                <w:tcPr>
                  <w:tcW w:w="457" w:type="pct"/>
                  <w:tcBorders>
                    <w:tl2br w:val="nil"/>
                    <w:tr2bl w:val="nil"/>
                  </w:tcBorders>
                  <w:noWrap w:val="0"/>
                  <w:vAlign w:val="center"/>
                </w:tcPr>
                <w:p w14:paraId="02D7660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r>
                    <w:rPr>
                      <w:rFonts w:hint="eastAsia" w:eastAsia="仿宋" w:cs="Times New Roman"/>
                      <w:color w:val="auto"/>
                      <w:sz w:val="21"/>
                      <w:szCs w:val="21"/>
                      <w:highlight w:val="none"/>
                      <w:lang w:val="en-US" w:eastAsia="zh-CN"/>
                    </w:rPr>
                    <w:t>0.00004</w:t>
                  </w:r>
                </w:p>
              </w:tc>
              <w:tc>
                <w:tcPr>
                  <w:tcW w:w="520" w:type="pct"/>
                  <w:tcBorders>
                    <w:tl2br w:val="nil"/>
                    <w:tr2bl w:val="nil"/>
                  </w:tcBorders>
                  <w:noWrap w:val="0"/>
                  <w:vAlign w:val="center"/>
                </w:tcPr>
                <w:p w14:paraId="654F9AD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highlight w:val="none"/>
                      <w:lang w:val="en-US" w:eastAsia="zh-CN"/>
                    </w:rPr>
                    <w:t>0.00004</w:t>
                  </w:r>
                </w:p>
              </w:tc>
            </w:tr>
            <w:tr w14:paraId="58D9E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 w:type="pct"/>
                  <w:vMerge w:val="restart"/>
                  <w:tcBorders>
                    <w:tl2br w:val="nil"/>
                    <w:tr2bl w:val="nil"/>
                  </w:tcBorders>
                  <w:noWrap w:val="0"/>
                  <w:vAlign w:val="center"/>
                </w:tcPr>
                <w:p w14:paraId="16B668AD">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w:t>
                  </w:r>
                </w:p>
              </w:tc>
              <w:tc>
                <w:tcPr>
                  <w:tcW w:w="283" w:type="pct"/>
                  <w:vMerge w:val="restart"/>
                  <w:tcBorders>
                    <w:tl2br w:val="nil"/>
                    <w:tr2bl w:val="nil"/>
                  </w:tcBorders>
                  <w:noWrap w:val="0"/>
                  <w:vAlign w:val="center"/>
                </w:tcPr>
                <w:p w14:paraId="7985332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生活</w:t>
                  </w:r>
                </w:p>
                <w:p w14:paraId="4FEFB94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污水</w:t>
                  </w:r>
                </w:p>
              </w:tc>
              <w:tc>
                <w:tcPr>
                  <w:tcW w:w="661" w:type="pct"/>
                  <w:tcBorders>
                    <w:tl2br w:val="nil"/>
                    <w:tr2bl w:val="nil"/>
                  </w:tcBorders>
                  <w:noWrap w:val="0"/>
                  <w:vAlign w:val="center"/>
                </w:tcPr>
                <w:p w14:paraId="64EDB2B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废水量</w:t>
                  </w:r>
                </w:p>
              </w:tc>
              <w:tc>
                <w:tcPr>
                  <w:tcW w:w="560" w:type="pct"/>
                  <w:tcBorders>
                    <w:tl2br w:val="nil"/>
                    <w:tr2bl w:val="nil"/>
                  </w:tcBorders>
                  <w:noWrap w:val="0"/>
                  <w:vAlign w:val="center"/>
                </w:tcPr>
                <w:p w14:paraId="3B37033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1800</w:t>
                  </w:r>
                </w:p>
              </w:tc>
              <w:tc>
                <w:tcPr>
                  <w:tcW w:w="472" w:type="pct"/>
                  <w:tcBorders>
                    <w:tl2br w:val="nil"/>
                    <w:tr2bl w:val="nil"/>
                  </w:tcBorders>
                  <w:noWrap w:val="0"/>
                  <w:vAlign w:val="center"/>
                </w:tcPr>
                <w:p w14:paraId="6DD4CD2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686ED26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5EB2FB3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3F7588A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39CE711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1800</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center"/>
                </w:tcPr>
                <w:p w14:paraId="2FF021F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13D3464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1800</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67813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6E8CFAAE">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11C2B1D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0E191DE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tc>
              <w:tc>
                <w:tcPr>
                  <w:tcW w:w="560" w:type="pct"/>
                  <w:tcBorders>
                    <w:tl2br w:val="nil"/>
                    <w:tr2bl w:val="nil"/>
                  </w:tcBorders>
                  <w:noWrap w:val="0"/>
                  <w:vAlign w:val="center"/>
                </w:tcPr>
                <w:p w14:paraId="46C2666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0.72</w:t>
                  </w:r>
                </w:p>
              </w:tc>
              <w:tc>
                <w:tcPr>
                  <w:tcW w:w="472" w:type="pct"/>
                  <w:tcBorders>
                    <w:tl2br w:val="nil"/>
                    <w:tr2bl w:val="nil"/>
                  </w:tcBorders>
                  <w:noWrap w:val="0"/>
                  <w:vAlign w:val="center"/>
                </w:tcPr>
                <w:p w14:paraId="34BF035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69372BA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749BF81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64DCFD1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F2ACDC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0.72</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352A923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0893857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0.09</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520DE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5F810E44">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56A34F5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39604FB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tc>
              <w:tc>
                <w:tcPr>
                  <w:tcW w:w="560" w:type="pct"/>
                  <w:tcBorders>
                    <w:tl2br w:val="nil"/>
                    <w:tr2bl w:val="nil"/>
                  </w:tcBorders>
                  <w:noWrap w:val="0"/>
                  <w:vAlign w:val="center"/>
                </w:tcPr>
                <w:p w14:paraId="3DA10EF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0.36</w:t>
                  </w:r>
                </w:p>
              </w:tc>
              <w:tc>
                <w:tcPr>
                  <w:tcW w:w="472" w:type="pct"/>
                  <w:tcBorders>
                    <w:tl2br w:val="nil"/>
                    <w:tr2bl w:val="nil"/>
                  </w:tcBorders>
                  <w:noWrap w:val="0"/>
                  <w:vAlign w:val="center"/>
                </w:tcPr>
                <w:p w14:paraId="6761967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754A611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716F547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0E57A12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28D42D8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0.36</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751DCFC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0FC676A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0.018</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1B8B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08C2884C">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2BA29B9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570BC39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氨氮</w:t>
                  </w:r>
                </w:p>
              </w:tc>
              <w:tc>
                <w:tcPr>
                  <w:tcW w:w="560" w:type="pct"/>
                  <w:tcBorders>
                    <w:tl2br w:val="nil"/>
                    <w:tr2bl w:val="nil"/>
                  </w:tcBorders>
                  <w:noWrap w:val="0"/>
                  <w:vAlign w:val="center"/>
                </w:tcPr>
                <w:p w14:paraId="4988B9F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0.045</w:t>
                  </w:r>
                </w:p>
              </w:tc>
              <w:tc>
                <w:tcPr>
                  <w:tcW w:w="472" w:type="pct"/>
                  <w:tcBorders>
                    <w:tl2br w:val="nil"/>
                    <w:tr2bl w:val="nil"/>
                  </w:tcBorders>
                  <w:noWrap w:val="0"/>
                  <w:vAlign w:val="center"/>
                </w:tcPr>
                <w:p w14:paraId="21384F9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7FE1E6E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7DD3393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3ED3552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44AA26B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0.045</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3C7E80B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7486799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0.0072</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1B207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183FF1A2">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4E6BFF3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p>
              </w:tc>
              <w:tc>
                <w:tcPr>
                  <w:tcW w:w="661" w:type="pct"/>
                  <w:tcBorders>
                    <w:tl2br w:val="nil"/>
                    <w:tr2bl w:val="nil"/>
                  </w:tcBorders>
                  <w:noWrap w:val="0"/>
                  <w:vAlign w:val="center"/>
                </w:tcPr>
                <w:p w14:paraId="478ED98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总磷</w:t>
                  </w:r>
                </w:p>
              </w:tc>
              <w:tc>
                <w:tcPr>
                  <w:tcW w:w="560" w:type="pct"/>
                  <w:tcBorders>
                    <w:tl2br w:val="nil"/>
                    <w:tr2bl w:val="nil"/>
                  </w:tcBorders>
                  <w:noWrap w:val="0"/>
                  <w:vAlign w:val="center"/>
                </w:tcPr>
                <w:p w14:paraId="56A807B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0.0054</w:t>
                  </w:r>
                </w:p>
              </w:tc>
              <w:tc>
                <w:tcPr>
                  <w:tcW w:w="472" w:type="pct"/>
                  <w:tcBorders>
                    <w:tl2br w:val="nil"/>
                    <w:tr2bl w:val="nil"/>
                  </w:tcBorders>
                  <w:noWrap w:val="0"/>
                  <w:vAlign w:val="center"/>
                </w:tcPr>
                <w:p w14:paraId="453295D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32F8BA7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324503C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12FF40E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69CBDE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0.0054</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04076D3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2345681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0.0009</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499A5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27506E37">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5AF275A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3EFFC43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总氮</w:t>
                  </w:r>
                </w:p>
              </w:tc>
              <w:tc>
                <w:tcPr>
                  <w:tcW w:w="560" w:type="pct"/>
                  <w:tcBorders>
                    <w:tl2br w:val="nil"/>
                    <w:tr2bl w:val="nil"/>
                  </w:tcBorders>
                  <w:noWrap w:val="0"/>
                  <w:vAlign w:val="center"/>
                </w:tcPr>
                <w:p w14:paraId="4963BE6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0.072</w:t>
                  </w:r>
                </w:p>
              </w:tc>
              <w:tc>
                <w:tcPr>
                  <w:tcW w:w="472" w:type="pct"/>
                  <w:tcBorders>
                    <w:tl2br w:val="nil"/>
                    <w:tr2bl w:val="nil"/>
                  </w:tcBorders>
                  <w:noWrap w:val="0"/>
                  <w:vAlign w:val="center"/>
                </w:tcPr>
                <w:p w14:paraId="1DD9A8F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7AEF94D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6F5FA06F">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65074A3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01CC1AC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0.072</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20C6BAA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534F04E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0.0216</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1BC29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5A809292">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restart"/>
                  <w:tcBorders>
                    <w:tl2br w:val="nil"/>
                    <w:tr2bl w:val="nil"/>
                  </w:tcBorders>
                  <w:noWrap w:val="0"/>
                  <w:vAlign w:val="center"/>
                </w:tcPr>
                <w:p w14:paraId="04A08F9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生产</w:t>
                  </w:r>
                </w:p>
                <w:p w14:paraId="279393A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废水</w:t>
                  </w:r>
                </w:p>
              </w:tc>
              <w:tc>
                <w:tcPr>
                  <w:tcW w:w="661" w:type="pct"/>
                  <w:tcBorders>
                    <w:tl2br w:val="nil"/>
                    <w:tr2bl w:val="nil"/>
                  </w:tcBorders>
                  <w:noWrap w:val="0"/>
                  <w:vAlign w:val="center"/>
                </w:tcPr>
                <w:p w14:paraId="645B9DE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废水量</w:t>
                  </w:r>
                </w:p>
              </w:tc>
              <w:tc>
                <w:tcPr>
                  <w:tcW w:w="560" w:type="pct"/>
                  <w:tcBorders>
                    <w:tl2br w:val="nil"/>
                    <w:tr2bl w:val="nil"/>
                  </w:tcBorders>
                  <w:noWrap w:val="0"/>
                  <w:vAlign w:val="center"/>
                </w:tcPr>
                <w:p w14:paraId="17DF31E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463</w:t>
                  </w:r>
                </w:p>
              </w:tc>
              <w:tc>
                <w:tcPr>
                  <w:tcW w:w="472" w:type="pct"/>
                  <w:tcBorders>
                    <w:tl2br w:val="nil"/>
                    <w:tr2bl w:val="nil"/>
                  </w:tcBorders>
                  <w:noWrap w:val="0"/>
                  <w:vAlign w:val="center"/>
                </w:tcPr>
                <w:p w14:paraId="2E7E94D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77" w:type="pct"/>
                  <w:tcBorders>
                    <w:tl2br w:val="nil"/>
                    <w:tr2bl w:val="nil"/>
                  </w:tcBorders>
                  <w:noWrap w:val="0"/>
                  <w:vAlign w:val="center"/>
                </w:tcPr>
                <w:p w14:paraId="0FFCA77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459" w:type="pct"/>
                  <w:tcBorders>
                    <w:tl2br w:val="nil"/>
                    <w:tr2bl w:val="nil"/>
                  </w:tcBorders>
                  <w:noWrap w:val="0"/>
                  <w:vAlign w:val="center"/>
                </w:tcPr>
                <w:p w14:paraId="02FCC09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630172E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B0B61C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463</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1F5EAAE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1AB6DF7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463</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5E494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60" w:type="pct"/>
                  <w:vMerge w:val="continue"/>
                  <w:tcBorders>
                    <w:tl2br w:val="nil"/>
                    <w:tr2bl w:val="nil"/>
                  </w:tcBorders>
                  <w:noWrap w:val="0"/>
                  <w:vAlign w:val="center"/>
                </w:tcPr>
                <w:p w14:paraId="1EED9BC9">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66C2C28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6DD36D2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tc>
              <w:tc>
                <w:tcPr>
                  <w:tcW w:w="560" w:type="pct"/>
                  <w:tcBorders>
                    <w:tl2br w:val="nil"/>
                    <w:tr2bl w:val="nil"/>
                  </w:tcBorders>
                  <w:noWrap w:val="0"/>
                  <w:vAlign w:val="center"/>
                </w:tcPr>
                <w:p w14:paraId="209B91E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0.139</w:t>
                  </w:r>
                </w:p>
              </w:tc>
              <w:tc>
                <w:tcPr>
                  <w:tcW w:w="472" w:type="pct"/>
                  <w:tcBorders>
                    <w:tl2br w:val="nil"/>
                    <w:tr2bl w:val="nil"/>
                  </w:tcBorders>
                  <w:noWrap w:val="0"/>
                  <w:vAlign w:val="center"/>
                </w:tcPr>
                <w:p w14:paraId="4C193D7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0.00006</w:t>
                  </w:r>
                </w:p>
              </w:tc>
              <w:tc>
                <w:tcPr>
                  <w:tcW w:w="477" w:type="pct"/>
                  <w:tcBorders>
                    <w:tl2br w:val="nil"/>
                    <w:tr2bl w:val="nil"/>
                  </w:tcBorders>
                  <w:noWrap w:val="0"/>
                  <w:vAlign w:val="center"/>
                </w:tcPr>
                <w:p w14:paraId="415DC01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0.00006</w:t>
                  </w:r>
                </w:p>
              </w:tc>
              <w:tc>
                <w:tcPr>
                  <w:tcW w:w="459" w:type="pct"/>
                  <w:tcBorders>
                    <w:tl2br w:val="nil"/>
                    <w:tr2bl w:val="nil"/>
                  </w:tcBorders>
                  <w:noWrap w:val="0"/>
                  <w:vAlign w:val="center"/>
                </w:tcPr>
                <w:p w14:paraId="4B7722C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71DF8C1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7D73F61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0.139</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4914823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19D42F7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0.023</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3AAFD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3BC7DDF0">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01F0A58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50AAD1A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tc>
              <w:tc>
                <w:tcPr>
                  <w:tcW w:w="560" w:type="pct"/>
                  <w:tcBorders>
                    <w:tl2br w:val="nil"/>
                    <w:tr2bl w:val="nil"/>
                  </w:tcBorders>
                  <w:noWrap w:val="0"/>
                  <w:vAlign w:val="center"/>
                </w:tcPr>
                <w:p w14:paraId="32B0408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0.014</w:t>
                  </w:r>
                </w:p>
              </w:tc>
              <w:tc>
                <w:tcPr>
                  <w:tcW w:w="1186" w:type="dxa"/>
                  <w:tcBorders>
                    <w:tl2br w:val="nil"/>
                    <w:tr2bl w:val="nil"/>
                  </w:tcBorders>
                  <w:noWrap w:val="0"/>
                  <w:vAlign w:val="center"/>
                </w:tcPr>
                <w:p w14:paraId="333C3B28">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0.00006</w:t>
                  </w:r>
                </w:p>
              </w:tc>
              <w:tc>
                <w:tcPr>
                  <w:tcW w:w="1198" w:type="dxa"/>
                  <w:tcBorders>
                    <w:tl2br w:val="nil"/>
                    <w:tr2bl w:val="nil"/>
                  </w:tcBorders>
                  <w:noWrap w:val="0"/>
                  <w:vAlign w:val="center"/>
                </w:tcPr>
                <w:p w14:paraId="1BA5424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0.00006</w:t>
                  </w:r>
                </w:p>
              </w:tc>
              <w:tc>
                <w:tcPr>
                  <w:tcW w:w="459" w:type="pct"/>
                  <w:tcBorders>
                    <w:tl2br w:val="nil"/>
                    <w:tr2bl w:val="nil"/>
                  </w:tcBorders>
                  <w:noWrap w:val="0"/>
                  <w:vAlign w:val="center"/>
                </w:tcPr>
                <w:p w14:paraId="600DA5F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58BB2B6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74796C7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0.014</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18DA50C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0E7091F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0.0046</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060DC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79FA44B2">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4CE1659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448DC34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氨氮</w:t>
                  </w:r>
                </w:p>
              </w:tc>
              <w:tc>
                <w:tcPr>
                  <w:tcW w:w="560" w:type="pct"/>
                  <w:tcBorders>
                    <w:tl2br w:val="nil"/>
                    <w:tr2bl w:val="nil"/>
                  </w:tcBorders>
                  <w:noWrap w:val="0"/>
                  <w:vAlign w:val="center"/>
                </w:tcPr>
                <w:p w14:paraId="491E05E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0.0005</w:t>
                  </w:r>
                </w:p>
              </w:tc>
              <w:tc>
                <w:tcPr>
                  <w:tcW w:w="472" w:type="pct"/>
                  <w:tcBorders>
                    <w:tl2br w:val="nil"/>
                    <w:tr2bl w:val="nil"/>
                  </w:tcBorders>
                  <w:noWrap w:val="0"/>
                  <w:vAlign w:val="center"/>
                </w:tcPr>
                <w:p w14:paraId="3247606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3FCC369B">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4119A67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1563791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2755AB8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0.0005</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2328AC0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38EE577D">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0.0019</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7C636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1A375049">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309DA8A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4F70003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总磷</w:t>
                  </w:r>
                </w:p>
              </w:tc>
              <w:tc>
                <w:tcPr>
                  <w:tcW w:w="560" w:type="pct"/>
                  <w:tcBorders>
                    <w:tl2br w:val="nil"/>
                    <w:tr2bl w:val="nil"/>
                  </w:tcBorders>
                  <w:noWrap w:val="0"/>
                  <w:vAlign w:val="center"/>
                </w:tcPr>
                <w:p w14:paraId="6A85296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0.0001</w:t>
                  </w:r>
                </w:p>
              </w:tc>
              <w:tc>
                <w:tcPr>
                  <w:tcW w:w="472" w:type="pct"/>
                  <w:tcBorders>
                    <w:tl2br w:val="nil"/>
                    <w:tr2bl w:val="nil"/>
                  </w:tcBorders>
                  <w:noWrap w:val="0"/>
                  <w:vAlign w:val="center"/>
                </w:tcPr>
                <w:p w14:paraId="4CB5850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53C718F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11CA969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306BD49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FACA35E">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0.0001</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0F1D38E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3B998B0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0.0002</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4867F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2A6F8639">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0E1D45F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6A35EF90">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总氮</w:t>
                  </w:r>
                </w:p>
              </w:tc>
              <w:tc>
                <w:tcPr>
                  <w:tcW w:w="560" w:type="pct"/>
                  <w:tcBorders>
                    <w:tl2br w:val="nil"/>
                    <w:tr2bl w:val="nil"/>
                  </w:tcBorders>
                  <w:noWrap w:val="0"/>
                  <w:vAlign w:val="center"/>
                </w:tcPr>
                <w:p w14:paraId="2DDBF02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0.0007</w:t>
                  </w:r>
                </w:p>
              </w:tc>
              <w:tc>
                <w:tcPr>
                  <w:tcW w:w="472" w:type="pct"/>
                  <w:tcBorders>
                    <w:tl2br w:val="nil"/>
                    <w:tr2bl w:val="nil"/>
                  </w:tcBorders>
                  <w:noWrap w:val="0"/>
                  <w:vAlign w:val="center"/>
                </w:tcPr>
                <w:p w14:paraId="259FB86A">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531F694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0EC2DD1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63624D6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60A91D8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0.0007</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1C4A50F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73A00FD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0.006</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7D6E6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464EC407">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283" w:type="pct"/>
                  <w:vMerge w:val="continue"/>
                  <w:tcBorders>
                    <w:tl2br w:val="nil"/>
                    <w:tr2bl w:val="nil"/>
                  </w:tcBorders>
                  <w:noWrap w:val="0"/>
                  <w:vAlign w:val="center"/>
                </w:tcPr>
                <w:p w14:paraId="38E75EC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p>
              </w:tc>
              <w:tc>
                <w:tcPr>
                  <w:tcW w:w="661" w:type="pct"/>
                  <w:tcBorders>
                    <w:tl2br w:val="nil"/>
                    <w:tr2bl w:val="nil"/>
                  </w:tcBorders>
                  <w:noWrap w:val="0"/>
                  <w:vAlign w:val="center"/>
                </w:tcPr>
                <w:p w14:paraId="6D69A0C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LAS</w:t>
                  </w:r>
                </w:p>
              </w:tc>
              <w:tc>
                <w:tcPr>
                  <w:tcW w:w="560" w:type="pct"/>
                  <w:tcBorders>
                    <w:tl2br w:val="nil"/>
                    <w:tr2bl w:val="nil"/>
                  </w:tcBorders>
                  <w:noWrap w:val="0"/>
                  <w:vAlign w:val="center"/>
                </w:tcPr>
                <w:p w14:paraId="6B0F3414">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0.0002</w:t>
                  </w:r>
                </w:p>
              </w:tc>
              <w:tc>
                <w:tcPr>
                  <w:tcW w:w="472" w:type="pct"/>
                  <w:tcBorders>
                    <w:tl2br w:val="nil"/>
                    <w:tr2bl w:val="nil"/>
                  </w:tcBorders>
                  <w:noWrap w:val="0"/>
                  <w:vAlign w:val="center"/>
                </w:tcPr>
                <w:p w14:paraId="5F555FD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39132EC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40BBD2AC">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bottom"/>
                </w:tcPr>
                <w:p w14:paraId="5EA2426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2E2C9F85">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0.0002</w:t>
                  </w:r>
                  <w:r>
                    <w:rPr>
                      <w:rFonts w:hint="default" w:ascii="Times New Roman" w:hAnsi="Times New Roman" w:eastAsia="仿宋" w:cs="Times New Roman"/>
                      <w:color w:val="auto"/>
                      <w:sz w:val="18"/>
                      <w:szCs w:val="18"/>
                      <w:vertAlign w:val="superscript"/>
                    </w:rPr>
                    <w:t>[1]</w:t>
                  </w:r>
                </w:p>
              </w:tc>
              <w:tc>
                <w:tcPr>
                  <w:tcW w:w="457" w:type="pct"/>
                  <w:tcBorders>
                    <w:tl2br w:val="nil"/>
                    <w:tr2bl w:val="nil"/>
                  </w:tcBorders>
                  <w:noWrap w:val="0"/>
                  <w:vAlign w:val="bottom"/>
                </w:tcPr>
                <w:p w14:paraId="0BEE0E1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1C48D882">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0.0002</w:t>
                  </w:r>
                  <w:r>
                    <w:rPr>
                      <w:rFonts w:hint="default" w:ascii="Times New Roman" w:hAnsi="Times New Roman" w:eastAsia="仿宋" w:cs="Times New Roman"/>
                      <w:color w:val="auto"/>
                      <w:sz w:val="18"/>
                      <w:szCs w:val="18"/>
                      <w:vertAlign w:val="superscript"/>
                    </w:rPr>
                    <w:t>[</w:t>
                  </w:r>
                  <w:r>
                    <w:rPr>
                      <w:rFonts w:hint="default" w:ascii="Times New Roman" w:hAnsi="Times New Roman" w:eastAsia="仿宋" w:cs="Times New Roman"/>
                      <w:color w:val="auto"/>
                      <w:sz w:val="18"/>
                      <w:szCs w:val="18"/>
                      <w:vertAlign w:val="superscript"/>
                      <w:lang w:val="en-US" w:eastAsia="zh-CN"/>
                    </w:rPr>
                    <w:t>2</w:t>
                  </w:r>
                  <w:r>
                    <w:rPr>
                      <w:rFonts w:hint="default" w:ascii="Times New Roman" w:hAnsi="Times New Roman" w:eastAsia="仿宋" w:cs="Times New Roman"/>
                      <w:color w:val="auto"/>
                      <w:sz w:val="18"/>
                      <w:szCs w:val="18"/>
                      <w:vertAlign w:val="superscript"/>
                    </w:rPr>
                    <w:t>]</w:t>
                  </w:r>
                </w:p>
              </w:tc>
            </w:tr>
            <w:tr w14:paraId="64F6B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restart"/>
                  <w:tcBorders>
                    <w:tl2br w:val="nil"/>
                    <w:tr2bl w:val="nil"/>
                  </w:tcBorders>
                  <w:noWrap w:val="0"/>
                  <w:vAlign w:val="center"/>
                </w:tcPr>
                <w:p w14:paraId="32041561">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固废</w:t>
                  </w:r>
                </w:p>
              </w:tc>
              <w:tc>
                <w:tcPr>
                  <w:tcW w:w="944" w:type="pct"/>
                  <w:gridSpan w:val="2"/>
                  <w:tcBorders>
                    <w:tl2br w:val="nil"/>
                    <w:tr2bl w:val="nil"/>
                  </w:tcBorders>
                  <w:noWrap w:val="0"/>
                  <w:vAlign w:val="center"/>
                </w:tcPr>
                <w:p w14:paraId="3C5BC3F9">
                  <w:pPr>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一般固废</w:t>
                  </w:r>
                </w:p>
              </w:tc>
              <w:tc>
                <w:tcPr>
                  <w:tcW w:w="560" w:type="pct"/>
                  <w:tcBorders>
                    <w:tl2br w:val="nil"/>
                    <w:tr2bl w:val="nil"/>
                  </w:tcBorders>
                  <w:noWrap w:val="0"/>
                  <w:vAlign w:val="center"/>
                </w:tcPr>
                <w:p w14:paraId="2CCC8EC3">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1186" w:type="dxa"/>
                  <w:tcBorders>
                    <w:tl2br w:val="nil"/>
                    <w:tr2bl w:val="nil"/>
                  </w:tcBorders>
                  <w:noWrap w:val="0"/>
                  <w:vAlign w:val="center"/>
                </w:tcPr>
                <w:p w14:paraId="42BD2D25">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Cs w:val="21"/>
                      <w:lang w:val="en-US" w:eastAsia="zh-CN"/>
                    </w:rPr>
                    <w:t>2.</w:t>
                  </w:r>
                  <w:r>
                    <w:rPr>
                      <w:rFonts w:hint="eastAsia" w:eastAsia="仿宋" w:cs="Times New Roman"/>
                      <w:color w:val="auto"/>
                      <w:szCs w:val="21"/>
                      <w:lang w:val="en-US" w:eastAsia="zh-CN"/>
                    </w:rPr>
                    <w:t>25</w:t>
                  </w:r>
                </w:p>
              </w:tc>
              <w:tc>
                <w:tcPr>
                  <w:tcW w:w="1198" w:type="dxa"/>
                  <w:tcBorders>
                    <w:tl2br w:val="nil"/>
                    <w:tr2bl w:val="nil"/>
                  </w:tcBorders>
                  <w:noWrap w:val="0"/>
                  <w:vAlign w:val="center"/>
                </w:tcPr>
                <w:p w14:paraId="2147C9D9">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Cs w:val="21"/>
                      <w:lang w:val="en-US" w:eastAsia="zh-CN"/>
                    </w:rPr>
                    <w:t>2.</w:t>
                  </w:r>
                  <w:r>
                    <w:rPr>
                      <w:rFonts w:hint="eastAsia" w:eastAsia="仿宋" w:cs="Times New Roman"/>
                      <w:color w:val="auto"/>
                      <w:szCs w:val="21"/>
                      <w:lang w:val="en-US" w:eastAsia="zh-CN"/>
                    </w:rPr>
                    <w:t>25</w:t>
                  </w:r>
                </w:p>
              </w:tc>
              <w:tc>
                <w:tcPr>
                  <w:tcW w:w="459" w:type="pct"/>
                  <w:tcBorders>
                    <w:tl2br w:val="nil"/>
                    <w:tr2bl w:val="nil"/>
                  </w:tcBorders>
                  <w:noWrap w:val="0"/>
                  <w:vAlign w:val="center"/>
                </w:tcPr>
                <w:p w14:paraId="54D6CD41">
                  <w:pPr>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1052BC80">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477D4A51">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57" w:type="pct"/>
                  <w:tcBorders>
                    <w:tl2br w:val="nil"/>
                    <w:tr2bl w:val="nil"/>
                  </w:tcBorders>
                  <w:noWrap w:val="0"/>
                  <w:vAlign w:val="center"/>
                </w:tcPr>
                <w:p w14:paraId="710AEACF">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567653F6">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r>
            <w:tr w14:paraId="4ADE6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76D387BA">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944" w:type="pct"/>
                  <w:gridSpan w:val="2"/>
                  <w:tcBorders>
                    <w:tl2br w:val="nil"/>
                    <w:tr2bl w:val="nil"/>
                  </w:tcBorders>
                  <w:noWrap w:val="0"/>
                  <w:vAlign w:val="center"/>
                </w:tcPr>
                <w:p w14:paraId="2DE050F8">
                  <w:pPr>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危险废物</w:t>
                  </w:r>
                </w:p>
              </w:tc>
              <w:tc>
                <w:tcPr>
                  <w:tcW w:w="560" w:type="pct"/>
                  <w:tcBorders>
                    <w:tl2br w:val="nil"/>
                    <w:tr2bl w:val="nil"/>
                  </w:tcBorders>
                  <w:noWrap w:val="0"/>
                  <w:vAlign w:val="center"/>
                </w:tcPr>
                <w:p w14:paraId="48677C27">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1186" w:type="dxa"/>
                  <w:tcBorders>
                    <w:tl2br w:val="nil"/>
                    <w:tr2bl w:val="nil"/>
                  </w:tcBorders>
                  <w:noWrap w:val="0"/>
                  <w:vAlign w:val="center"/>
                </w:tcPr>
                <w:p w14:paraId="2282169D">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2.5</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83</w:t>
                  </w:r>
                </w:p>
              </w:tc>
              <w:tc>
                <w:tcPr>
                  <w:tcW w:w="1198" w:type="dxa"/>
                  <w:tcBorders>
                    <w:tl2br w:val="nil"/>
                    <w:tr2bl w:val="nil"/>
                  </w:tcBorders>
                  <w:noWrap w:val="0"/>
                  <w:vAlign w:val="center"/>
                </w:tcPr>
                <w:p w14:paraId="020C1CA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2.5</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83</w:t>
                  </w:r>
                </w:p>
              </w:tc>
              <w:tc>
                <w:tcPr>
                  <w:tcW w:w="459" w:type="pct"/>
                  <w:tcBorders>
                    <w:tl2br w:val="nil"/>
                    <w:tr2bl w:val="nil"/>
                  </w:tcBorders>
                  <w:noWrap w:val="0"/>
                  <w:vAlign w:val="center"/>
                </w:tcPr>
                <w:p w14:paraId="43F63D03">
                  <w:pPr>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7305CADA">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79C214D8">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57" w:type="pct"/>
                  <w:tcBorders>
                    <w:tl2br w:val="nil"/>
                    <w:tr2bl w:val="nil"/>
                  </w:tcBorders>
                  <w:noWrap w:val="0"/>
                  <w:vAlign w:val="center"/>
                </w:tcPr>
                <w:p w14:paraId="59C0D193">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193D3D22">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r>
            <w:tr w14:paraId="4E422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0" w:type="pct"/>
                  <w:vMerge w:val="continue"/>
                  <w:tcBorders>
                    <w:tl2br w:val="nil"/>
                    <w:tr2bl w:val="nil"/>
                  </w:tcBorders>
                  <w:noWrap w:val="0"/>
                  <w:vAlign w:val="center"/>
                </w:tcPr>
                <w:p w14:paraId="41EB9EC6">
                  <w:pPr>
                    <w:spacing w:line="0" w:lineRule="atLeast"/>
                    <w:ind w:left="-105" w:leftChars="-50" w:right="-105" w:rightChars="-50"/>
                    <w:jc w:val="center"/>
                    <w:rPr>
                      <w:rFonts w:hint="default" w:ascii="Times New Roman" w:hAnsi="Times New Roman" w:eastAsia="仿宋" w:cs="Times New Roman"/>
                      <w:color w:val="auto"/>
                      <w:sz w:val="21"/>
                      <w:szCs w:val="21"/>
                    </w:rPr>
                  </w:pPr>
                </w:p>
              </w:tc>
              <w:tc>
                <w:tcPr>
                  <w:tcW w:w="944" w:type="pct"/>
                  <w:gridSpan w:val="2"/>
                  <w:tcBorders>
                    <w:tl2br w:val="nil"/>
                    <w:tr2bl w:val="nil"/>
                  </w:tcBorders>
                  <w:noWrap w:val="0"/>
                  <w:vAlign w:val="center"/>
                </w:tcPr>
                <w:p w14:paraId="3B9A263F">
                  <w:pPr>
                    <w:snapToGrid w:val="0"/>
                    <w:spacing w:line="0" w:lineRule="atLeast"/>
                    <w:ind w:left="-105" w:leftChars="-50" w:right="-105" w:rightChars="-5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生活垃圾</w:t>
                  </w:r>
                </w:p>
              </w:tc>
              <w:tc>
                <w:tcPr>
                  <w:tcW w:w="560" w:type="pct"/>
                  <w:tcBorders>
                    <w:tl2br w:val="nil"/>
                    <w:tr2bl w:val="nil"/>
                  </w:tcBorders>
                  <w:noWrap w:val="0"/>
                  <w:vAlign w:val="center"/>
                </w:tcPr>
                <w:p w14:paraId="2CECB999">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72" w:type="pct"/>
                  <w:tcBorders>
                    <w:tl2br w:val="nil"/>
                    <w:tr2bl w:val="nil"/>
                  </w:tcBorders>
                  <w:noWrap w:val="0"/>
                  <w:vAlign w:val="center"/>
                </w:tcPr>
                <w:p w14:paraId="6D902986">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7" w:type="pct"/>
                  <w:tcBorders>
                    <w:tl2br w:val="nil"/>
                    <w:tr2bl w:val="nil"/>
                  </w:tcBorders>
                  <w:noWrap w:val="0"/>
                  <w:vAlign w:val="center"/>
                </w:tcPr>
                <w:p w14:paraId="184DDD11">
                  <w:pPr>
                    <w:adjustRightInd w:val="0"/>
                    <w:snapToGrid w:val="0"/>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59" w:type="pct"/>
                  <w:tcBorders>
                    <w:tl2br w:val="nil"/>
                    <w:tr2bl w:val="nil"/>
                  </w:tcBorders>
                  <w:noWrap w:val="0"/>
                  <w:vAlign w:val="center"/>
                </w:tcPr>
                <w:p w14:paraId="0F113770">
                  <w:pPr>
                    <w:spacing w:line="0" w:lineRule="atLeast"/>
                    <w:ind w:left="-105" w:leftChars="-50" w:right="-105" w:rightChars="-5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w:t>
                  </w:r>
                </w:p>
              </w:tc>
              <w:tc>
                <w:tcPr>
                  <w:tcW w:w="470" w:type="pct"/>
                  <w:tcBorders>
                    <w:tl2br w:val="nil"/>
                    <w:tr2bl w:val="nil"/>
                  </w:tcBorders>
                  <w:noWrap w:val="0"/>
                  <w:vAlign w:val="center"/>
                </w:tcPr>
                <w:p w14:paraId="28F18FAE">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78" w:type="pct"/>
                  <w:tcBorders>
                    <w:tl2br w:val="nil"/>
                    <w:tr2bl w:val="nil"/>
                  </w:tcBorders>
                  <w:noWrap w:val="0"/>
                  <w:vAlign w:val="center"/>
                </w:tcPr>
                <w:p w14:paraId="5887C9C9">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457" w:type="pct"/>
                  <w:tcBorders>
                    <w:tl2br w:val="nil"/>
                    <w:tr2bl w:val="nil"/>
                  </w:tcBorders>
                  <w:noWrap w:val="0"/>
                  <w:vAlign w:val="center"/>
                </w:tcPr>
                <w:p w14:paraId="0C8C8379">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c>
                <w:tcPr>
                  <w:tcW w:w="520" w:type="pct"/>
                  <w:tcBorders>
                    <w:tl2br w:val="nil"/>
                    <w:tr2bl w:val="nil"/>
                  </w:tcBorders>
                  <w:noWrap w:val="0"/>
                  <w:vAlign w:val="center"/>
                </w:tcPr>
                <w:p w14:paraId="4402C08C">
                  <w:pPr>
                    <w:spacing w:line="0" w:lineRule="atLeast"/>
                    <w:ind w:left="-105" w:leftChars="-50" w:right="-105" w:rightChars="-5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w:t>
                  </w:r>
                </w:p>
              </w:tc>
            </w:tr>
          </w:tbl>
          <w:p w14:paraId="13BCD406">
            <w:pPr>
              <w:rPr>
                <w:rFonts w:hint="default" w:ascii="Times New Roman" w:hAnsi="Times New Roman" w:eastAsia="仿宋" w:cs="Times New Roman"/>
                <w:color w:val="auto"/>
              </w:rPr>
            </w:pPr>
            <w:r>
              <w:rPr>
                <w:rFonts w:hint="default" w:ascii="Times New Roman" w:hAnsi="Times New Roman" w:eastAsia="仿宋" w:cs="Times New Roman"/>
                <w:color w:val="auto"/>
                <w:sz w:val="18"/>
                <w:szCs w:val="18"/>
              </w:rPr>
              <w:t>注：[1]为接管至常州金坛区第二污水处理有限公司的处理考核量；[2]为参照常州金坛区第二污水处理有限公司出水指标计算，作为该项目排入外环境的水污染物总量。</w:t>
            </w:r>
          </w:p>
          <w:p w14:paraId="24BC5AA9">
            <w:pPr>
              <w:adjustRightInd w:val="0"/>
              <w:snapToGrid w:val="0"/>
              <w:spacing w:before="120" w:beforeLines="50" w:line="348"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2、平衡方案</w:t>
            </w:r>
          </w:p>
          <w:p w14:paraId="7D9F268A">
            <w:pPr>
              <w:adjustRightInd w:val="0"/>
              <w:snapToGrid w:val="0"/>
              <w:spacing w:line="360" w:lineRule="auto"/>
              <w:ind w:firstLine="480" w:firstLineChars="200"/>
              <w:rPr>
                <w:rFonts w:hint="default" w:ascii="Times New Roman" w:hAnsi="Times New Roman" w:eastAsia="仿宋" w:cs="Times New Roman"/>
                <w:bCs/>
                <w:color w:val="auto"/>
                <w:spacing w:val="-6"/>
                <w:sz w:val="24"/>
              </w:rPr>
            </w:pPr>
            <w:r>
              <w:rPr>
                <w:rFonts w:hint="default" w:ascii="Times New Roman" w:hAnsi="Times New Roman" w:eastAsia="仿宋" w:cs="Times New Roman"/>
                <w:bCs/>
                <w:color w:val="auto"/>
                <w:sz w:val="24"/>
              </w:rPr>
              <w:t>废气：</w:t>
            </w:r>
            <w:r>
              <w:rPr>
                <w:rFonts w:hint="default" w:ascii="Times New Roman" w:hAnsi="Times New Roman" w:eastAsia="仿宋" w:cs="Times New Roman"/>
                <w:bCs/>
                <w:color w:val="auto"/>
                <w:spacing w:val="-6"/>
                <w:sz w:val="24"/>
              </w:rPr>
              <w:t>根据《常州市建设项目主要污染物排放总量指标审核及管理实施细则》</w:t>
            </w:r>
            <w:r>
              <w:rPr>
                <w:rFonts w:hint="default" w:ascii="Times New Roman" w:hAnsi="Times New Roman" w:eastAsia="仿宋" w:cs="Times New Roman"/>
                <w:bCs/>
                <w:color w:val="auto"/>
                <w:spacing w:val="-6"/>
                <w:sz w:val="24"/>
                <w:lang w:val="en-US" w:eastAsia="zh-CN"/>
              </w:rPr>
              <w:t>（常政办发〔2015〕104号）</w:t>
            </w:r>
            <w:r>
              <w:rPr>
                <w:rFonts w:hint="default" w:ascii="Times New Roman" w:hAnsi="Times New Roman" w:eastAsia="仿宋" w:cs="Times New Roman"/>
                <w:bCs/>
                <w:color w:val="auto"/>
                <w:spacing w:val="-6"/>
                <w:sz w:val="24"/>
              </w:rPr>
              <w:t>规定：“</w:t>
            </w:r>
            <w:r>
              <w:rPr>
                <w:rFonts w:hint="default" w:ascii="Times New Roman" w:hAnsi="Times New Roman" w:eastAsia="仿宋" w:cs="Times New Roman"/>
                <w:bCs/>
                <w:color w:val="auto"/>
                <w:spacing w:val="-6"/>
                <w:sz w:val="24"/>
                <w:lang w:val="en-US" w:eastAsia="zh-CN"/>
              </w:rPr>
              <w:t>建设项目主要污染物排放总量指标按工程减排类项目2倍削减量替代或关闭类项目1.5倍削减量替代</w:t>
            </w:r>
            <w:r>
              <w:rPr>
                <w:rFonts w:hint="default" w:ascii="Times New Roman" w:hAnsi="Times New Roman" w:eastAsia="仿宋" w:cs="Times New Roman"/>
                <w:bCs/>
                <w:color w:val="auto"/>
                <w:spacing w:val="-6"/>
                <w:sz w:val="24"/>
              </w:rPr>
              <w:t>”。</w:t>
            </w:r>
          </w:p>
          <w:p w14:paraId="4413BE2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rPr>
              <w:t>本项目大气污染物总量控制因子为VOCs（</w:t>
            </w:r>
            <w:r>
              <w:rPr>
                <w:rFonts w:hint="default" w:ascii="Times New Roman" w:hAnsi="Times New Roman" w:eastAsia="仿宋" w:cs="Times New Roman"/>
                <w:bCs/>
                <w:color w:val="auto"/>
                <w:sz w:val="24"/>
                <w:lang w:val="en-US" w:eastAsia="zh-CN"/>
              </w:rPr>
              <w:t>以</w:t>
            </w:r>
            <w:r>
              <w:rPr>
                <w:rFonts w:hint="default" w:ascii="Times New Roman" w:hAnsi="Times New Roman" w:eastAsia="仿宋" w:cs="Times New Roman"/>
                <w:bCs/>
                <w:color w:val="auto"/>
                <w:sz w:val="24"/>
              </w:rPr>
              <w:t>非甲烷总烃</w:t>
            </w:r>
            <w:r>
              <w:rPr>
                <w:rFonts w:hint="default" w:ascii="Times New Roman" w:hAnsi="Times New Roman" w:eastAsia="仿宋" w:cs="Times New Roman"/>
                <w:bCs/>
                <w:color w:val="auto"/>
                <w:sz w:val="24"/>
                <w:lang w:val="en-US" w:eastAsia="zh-CN"/>
              </w:rPr>
              <w:t>计</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0.001938</w:t>
            </w:r>
            <w:r>
              <w:rPr>
                <w:rFonts w:hint="default" w:ascii="Times New Roman" w:hAnsi="Times New Roman" w:eastAsia="仿宋" w:cs="Times New Roman"/>
                <w:bCs/>
                <w:color w:val="auto"/>
                <w:sz w:val="24"/>
              </w:rPr>
              <w:t>t/a（有组织</w:t>
            </w:r>
            <w:r>
              <w:rPr>
                <w:rFonts w:hint="default" w:ascii="Times New Roman" w:hAnsi="Times New Roman" w:eastAsia="仿宋" w:cs="Times New Roman"/>
                <w:bCs/>
                <w:color w:val="auto"/>
                <w:sz w:val="24"/>
                <w:lang w:val="en-US" w:eastAsia="zh-CN"/>
              </w:rPr>
              <w:t>0.000918</w:t>
            </w:r>
            <w:r>
              <w:rPr>
                <w:rFonts w:hint="default" w:ascii="Times New Roman" w:hAnsi="Times New Roman" w:eastAsia="仿宋" w:cs="Times New Roman"/>
                <w:bCs/>
                <w:color w:val="auto"/>
                <w:sz w:val="24"/>
              </w:rPr>
              <w:t>t/a+无组织</w:t>
            </w:r>
            <w:r>
              <w:rPr>
                <w:rFonts w:hint="default" w:ascii="Times New Roman" w:hAnsi="Times New Roman" w:eastAsia="仿宋" w:cs="Times New Roman"/>
                <w:bCs/>
                <w:color w:val="auto"/>
                <w:sz w:val="24"/>
                <w:lang w:val="en-US" w:eastAsia="zh-CN"/>
              </w:rPr>
              <w:t>0.00102</w:t>
            </w:r>
            <w:r>
              <w:rPr>
                <w:rFonts w:hint="default" w:ascii="Times New Roman" w:hAnsi="Times New Roman" w:eastAsia="仿宋" w:cs="Times New Roman"/>
                <w:bCs/>
                <w:color w:val="auto"/>
                <w:sz w:val="24"/>
              </w:rPr>
              <w:t>t/a），拟在常州市金坛区范围内平衡。</w:t>
            </w:r>
            <w:r>
              <w:rPr>
                <w:rFonts w:hint="default" w:ascii="Times New Roman" w:hAnsi="Times New Roman" w:eastAsia="仿宋" w:cs="Times New Roman"/>
                <w:bCs/>
                <w:color w:val="auto"/>
                <w:sz w:val="24"/>
                <w:highlight w:val="none"/>
              </w:rPr>
              <w:t>其他特征污染因子</w:t>
            </w:r>
            <w:r>
              <w:rPr>
                <w:rFonts w:hint="default" w:ascii="Times New Roman" w:hAnsi="Times New Roman" w:eastAsia="仿宋" w:cs="Times New Roman"/>
                <w:bCs/>
                <w:color w:val="auto"/>
                <w:sz w:val="24"/>
                <w:highlight w:val="none"/>
                <w:lang w:val="en-US" w:eastAsia="zh-CN"/>
              </w:rPr>
              <w:t>氯化氢0.000131t/a（有组织0.000091t/a、无组织0.00004t/a）</w:t>
            </w:r>
            <w:r>
              <w:rPr>
                <w:rFonts w:hint="default" w:ascii="Times New Roman" w:hAnsi="Times New Roman" w:eastAsia="仿宋" w:cs="Times New Roman"/>
                <w:bCs/>
                <w:color w:val="auto"/>
                <w:sz w:val="24"/>
              </w:rPr>
              <w:t>，仅为考核总量，不纳入总量控制指标内。</w:t>
            </w:r>
          </w:p>
          <w:p w14:paraId="722AB4FA">
            <w:pPr>
              <w:adjustRightInd w:val="0"/>
              <w:snapToGrid w:val="0"/>
              <w:spacing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废水：本项目</w:t>
            </w:r>
            <w:r>
              <w:rPr>
                <w:rFonts w:hint="default" w:ascii="Times New Roman" w:hAnsi="Times New Roman" w:eastAsia="仿宋" w:cs="Times New Roman"/>
                <w:bCs/>
                <w:color w:val="auto"/>
                <w:sz w:val="24"/>
                <w:lang w:val="en-US" w:eastAsia="zh-CN"/>
              </w:rPr>
              <w:t>不新增废水排放量，不需申请总量。</w:t>
            </w:r>
          </w:p>
          <w:p w14:paraId="6367F880">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固废：固废排放总量为零。</w:t>
            </w:r>
          </w:p>
          <w:p w14:paraId="13C2FD77">
            <w:pPr>
              <w:adjustRightInd w:val="0"/>
              <w:snapToGrid w:val="0"/>
              <w:spacing w:line="360" w:lineRule="auto"/>
              <w:ind w:firstLine="480" w:firstLineChars="200"/>
              <w:rPr>
                <w:rFonts w:hint="default" w:ascii="Times New Roman" w:hAnsi="Times New Roman" w:eastAsia="仿宋" w:cs="Times New Roman"/>
                <w:bCs/>
                <w:color w:val="auto"/>
                <w:sz w:val="24"/>
              </w:rPr>
            </w:pPr>
          </w:p>
          <w:p w14:paraId="24C6BFB0">
            <w:pPr>
              <w:adjustRightInd w:val="0"/>
              <w:snapToGrid w:val="0"/>
              <w:spacing w:line="360" w:lineRule="auto"/>
              <w:ind w:firstLine="480" w:firstLineChars="200"/>
              <w:rPr>
                <w:rFonts w:hint="default" w:ascii="Times New Roman" w:hAnsi="Times New Roman" w:eastAsia="仿宋" w:cs="Times New Roman"/>
                <w:bCs/>
                <w:color w:val="auto"/>
                <w:sz w:val="24"/>
              </w:rPr>
            </w:pPr>
          </w:p>
          <w:p w14:paraId="31C8E9C8">
            <w:pPr>
              <w:pStyle w:val="25"/>
              <w:ind w:firstLine="480"/>
              <w:rPr>
                <w:rFonts w:hint="default" w:ascii="Times New Roman" w:hAnsi="Times New Roman" w:eastAsia="仿宋" w:cs="Times New Roman"/>
                <w:bCs/>
                <w:color w:val="auto"/>
                <w:sz w:val="24"/>
              </w:rPr>
            </w:pPr>
          </w:p>
          <w:p w14:paraId="4B57D8C2">
            <w:pPr>
              <w:pStyle w:val="24"/>
              <w:ind w:firstLine="240"/>
              <w:rPr>
                <w:rFonts w:hint="default" w:ascii="Times New Roman" w:hAnsi="Times New Roman" w:eastAsia="仿宋" w:cs="Times New Roman"/>
                <w:bCs/>
                <w:color w:val="auto"/>
                <w:sz w:val="24"/>
              </w:rPr>
            </w:pPr>
          </w:p>
          <w:p w14:paraId="502E7D91">
            <w:pPr>
              <w:rPr>
                <w:rFonts w:hint="default" w:ascii="Times New Roman" w:hAnsi="Times New Roman" w:eastAsia="仿宋" w:cs="Times New Roman"/>
                <w:bCs/>
                <w:color w:val="auto"/>
                <w:sz w:val="24"/>
              </w:rPr>
            </w:pPr>
          </w:p>
          <w:p w14:paraId="45D05D30">
            <w:pPr>
              <w:adjustRightInd w:val="0"/>
              <w:snapToGrid w:val="0"/>
              <w:spacing w:line="360" w:lineRule="auto"/>
              <w:ind w:firstLine="480" w:firstLineChars="200"/>
              <w:rPr>
                <w:rFonts w:hint="default" w:ascii="Times New Roman" w:hAnsi="Times New Roman" w:eastAsia="仿宋" w:cs="Times New Roman"/>
                <w:bCs/>
                <w:color w:val="auto"/>
                <w:sz w:val="24"/>
              </w:rPr>
            </w:pPr>
          </w:p>
          <w:p w14:paraId="5B80D4E3">
            <w:pPr>
              <w:adjustRightInd w:val="0"/>
              <w:snapToGrid w:val="0"/>
              <w:spacing w:line="360" w:lineRule="auto"/>
              <w:ind w:firstLine="480" w:firstLineChars="200"/>
              <w:rPr>
                <w:rFonts w:hint="default" w:ascii="Times New Roman" w:hAnsi="Times New Roman" w:eastAsia="仿宋" w:cs="Times New Roman"/>
                <w:bCs/>
                <w:color w:val="auto"/>
                <w:sz w:val="24"/>
              </w:rPr>
            </w:pPr>
          </w:p>
          <w:p w14:paraId="35765D95">
            <w:pPr>
              <w:adjustRightInd w:val="0"/>
              <w:snapToGrid w:val="0"/>
              <w:spacing w:line="360" w:lineRule="auto"/>
              <w:rPr>
                <w:rFonts w:hint="default" w:ascii="Times New Roman" w:hAnsi="Times New Roman" w:eastAsia="仿宋" w:cs="Times New Roman"/>
                <w:snapToGrid w:val="0"/>
                <w:color w:val="auto"/>
              </w:rPr>
            </w:pPr>
          </w:p>
        </w:tc>
      </w:tr>
    </w:tbl>
    <w:p w14:paraId="0A290CAE">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21"/>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0F89FCD8">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bookmarkStart w:id="23" w:name="_Toc9198"/>
      <w:r>
        <w:rPr>
          <w:rFonts w:hint="default" w:ascii="Times New Roman" w:hAnsi="Times New Roman" w:eastAsia="仿宋" w:cs="Times New Roman"/>
          <w:snapToGrid w:val="0"/>
          <w:color w:val="auto"/>
          <w:sz w:val="30"/>
          <w:szCs w:val="30"/>
        </w:rPr>
        <w:t>四、主要环境影响和保护措施</w:t>
      </w:r>
      <w:bookmarkEnd w:id="23"/>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6"/>
        <w:gridCol w:w="8635"/>
      </w:tblGrid>
      <w:tr w14:paraId="24DAF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346" w:type="dxa"/>
            <w:tcMar>
              <w:left w:w="28" w:type="dxa"/>
              <w:right w:w="28" w:type="dxa"/>
            </w:tcMar>
            <w:vAlign w:val="center"/>
          </w:tcPr>
          <w:p w14:paraId="4A56FEEE">
            <w:pPr>
              <w:pStyle w:val="21"/>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施工</w:t>
            </w:r>
          </w:p>
          <w:p w14:paraId="03FB8E19">
            <w:pPr>
              <w:pStyle w:val="21"/>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期环</w:t>
            </w:r>
          </w:p>
          <w:p w14:paraId="0D7C0834">
            <w:pPr>
              <w:pStyle w:val="21"/>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境保</w:t>
            </w:r>
          </w:p>
          <w:p w14:paraId="6B2F99C9">
            <w:pPr>
              <w:pStyle w:val="21"/>
              <w:adjustRightInd w:val="0"/>
              <w:snapToGrid w:val="0"/>
              <w:spacing w:before="0" w:beforeAutospacing="0" w:after="0" w:afterAutospacing="0"/>
              <w:jc w:val="center"/>
              <w:rPr>
                <w:rFonts w:hint="default" w:ascii="Times New Roman" w:hAnsi="Times New Roman" w:eastAsia="仿宋" w:cs="Times New Roman"/>
                <w:color w:val="auto"/>
                <w:kern w:val="2"/>
                <w:szCs w:val="24"/>
              </w:rPr>
            </w:pPr>
            <w:r>
              <w:rPr>
                <w:rFonts w:hint="default" w:ascii="Times New Roman" w:hAnsi="Times New Roman" w:eastAsia="仿宋" w:cs="Times New Roman"/>
                <w:color w:val="auto"/>
                <w:kern w:val="2"/>
                <w:szCs w:val="24"/>
              </w:rPr>
              <w:t>护措</w:t>
            </w:r>
          </w:p>
          <w:p w14:paraId="167EDA36">
            <w:pPr>
              <w:pStyle w:val="21"/>
              <w:adjustRightInd w:val="0"/>
              <w:snapToGrid w:val="0"/>
              <w:spacing w:before="0" w:beforeAutospacing="0" w:after="0" w:afterAutospacing="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color w:val="auto"/>
                <w:kern w:val="2"/>
                <w:szCs w:val="24"/>
              </w:rPr>
              <w:t>施</w:t>
            </w:r>
          </w:p>
        </w:tc>
        <w:tc>
          <w:tcPr>
            <w:tcW w:w="8635" w:type="dxa"/>
            <w:vAlign w:val="center"/>
          </w:tcPr>
          <w:p w14:paraId="03B42432">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w:t>
            </w:r>
            <w:r>
              <w:rPr>
                <w:rFonts w:hint="default" w:ascii="Times New Roman" w:hAnsi="Times New Roman" w:eastAsia="仿宋" w:cs="Times New Roman"/>
                <w:bCs/>
                <w:color w:val="auto"/>
                <w:sz w:val="24"/>
                <w:highlight w:val="none"/>
                <w:lang w:val="en-US" w:eastAsia="zh-CN"/>
              </w:rPr>
              <w:t>利用厂区现有闲置厂房</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为自有电子产品及生产配套需求提供实验及检测服务</w:t>
            </w:r>
            <w:r>
              <w:rPr>
                <w:rFonts w:hint="eastAsia"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color w:val="auto"/>
                <w:sz w:val="24"/>
                <w:lang w:val="en-US" w:eastAsia="zh-CN"/>
              </w:rPr>
              <w:t>施工期</w:t>
            </w:r>
            <w:r>
              <w:rPr>
                <w:rFonts w:hint="default" w:ascii="Times New Roman" w:hAnsi="Times New Roman" w:eastAsia="仿宋" w:cs="Times New Roman"/>
                <w:color w:val="auto"/>
                <w:sz w:val="24"/>
              </w:rPr>
              <w:t>仅设备安装调试，施工期较短，工程量较小，对周围环境影响较小。</w:t>
            </w:r>
          </w:p>
        </w:tc>
      </w:tr>
      <w:tr w14:paraId="36F33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dxa"/>
            <w:tcMar>
              <w:left w:w="28" w:type="dxa"/>
              <w:right w:w="28" w:type="dxa"/>
            </w:tcMar>
            <w:vAlign w:val="center"/>
          </w:tcPr>
          <w:p w14:paraId="292E4C19">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59666148">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200CAC73">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2E265B09">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09053154">
            <w:pPr>
              <w:adjustRightInd w:val="0"/>
              <w:snapToGrid w:val="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w:t>
            </w:r>
          </w:p>
          <w:p w14:paraId="0A8C025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 w:val="24"/>
              </w:rPr>
              <w:t>措施</w:t>
            </w:r>
          </w:p>
        </w:tc>
        <w:tc>
          <w:tcPr>
            <w:tcW w:w="8635" w:type="dxa"/>
            <w:vAlign w:val="center"/>
          </w:tcPr>
          <w:p w14:paraId="6512CAF3">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一、废气</w:t>
            </w:r>
          </w:p>
          <w:p w14:paraId="0FA8289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1、源强核算</w:t>
            </w:r>
          </w:p>
          <w:p w14:paraId="6D7A6A3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（1）有组织废气</w:t>
            </w:r>
          </w:p>
          <w:p w14:paraId="769644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①滴定实验废气</w:t>
            </w:r>
          </w:p>
          <w:p w14:paraId="6E374D66">
            <w:pPr>
              <w:keepNext w:val="0"/>
              <w:keepLines w:val="0"/>
              <w:pageBreakBefore w:val="0"/>
              <w:widowControl w:val="0"/>
              <w:tabs>
                <w:tab w:val="center" w:pos="4156"/>
                <w:tab w:val="left" w:pos="6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本项目滴定使用的盐酸浓度较低，分别为0.1mol/L（质量分数约0.36%）、1.0mol/L（质量分数约3.64%），装在密闭试剂瓶中，只在试剂使用时短时间打开瓶子，随后立即封闭，滴定过程全程密闭。</w:t>
            </w:r>
            <w:r>
              <w:rPr>
                <w:rFonts w:hint="eastAsia" w:eastAsia="仿宋" w:cs="Times New Roman"/>
                <w:bCs/>
                <w:color w:val="auto"/>
                <w:sz w:val="24"/>
                <w:szCs w:val="24"/>
                <w:lang w:val="en-US" w:eastAsia="zh-CN"/>
              </w:rPr>
              <w:t>故本项目仅考虑试剂瓶打开时产生的酸雾。</w:t>
            </w:r>
          </w:p>
          <w:p w14:paraId="2E6F08D5">
            <w:pPr>
              <w:keepNext w:val="0"/>
              <w:keepLines w:val="0"/>
              <w:pageBreakBefore w:val="0"/>
              <w:widowControl w:val="0"/>
              <w:tabs>
                <w:tab w:val="center" w:pos="4156"/>
                <w:tab w:val="left" w:pos="6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酸雾产生量根据《环境统计手册》（四川科学出版社）中酸液蒸发计算公式计算，具体公式如下：</w:t>
            </w:r>
          </w:p>
          <w:p w14:paraId="4A95E1A1">
            <w:pPr>
              <w:tabs>
                <w:tab w:val="center" w:pos="4156"/>
                <w:tab w:val="left" w:pos="6375"/>
              </w:tabs>
              <w:spacing w:line="360" w:lineRule="auto"/>
              <w:ind w:firstLine="480" w:firstLineChars="20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drawing>
                <wp:inline distT="0" distB="0" distL="114300" distR="114300">
                  <wp:extent cx="2372360" cy="207010"/>
                  <wp:effectExtent l="0" t="0" r="0" b="190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1"/>
                          <a:stretch>
                            <a:fillRect/>
                          </a:stretch>
                        </pic:blipFill>
                        <pic:spPr>
                          <a:xfrm>
                            <a:off x="0" y="0"/>
                            <a:ext cx="2372360" cy="207010"/>
                          </a:xfrm>
                          <a:prstGeom prst="rect">
                            <a:avLst/>
                          </a:prstGeom>
                          <a:noFill/>
                          <a:ln>
                            <a:noFill/>
                          </a:ln>
                        </pic:spPr>
                      </pic:pic>
                    </a:graphicData>
                  </a:graphic>
                </wp:inline>
              </w:drawing>
            </w:r>
          </w:p>
          <w:p w14:paraId="2D5DFC89">
            <w:pPr>
              <w:tabs>
                <w:tab w:val="center" w:pos="4156"/>
                <w:tab w:val="left" w:pos="6375"/>
              </w:tabs>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式中：Gz——液体的蒸发量（kg/h）；</w:t>
            </w:r>
          </w:p>
          <w:p w14:paraId="4F8FFF17">
            <w:pPr>
              <w:tabs>
                <w:tab w:val="center" w:pos="4156"/>
                <w:tab w:val="left" w:pos="6375"/>
              </w:tabs>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z w:val="24"/>
                <w:szCs w:val="24"/>
              </w:rPr>
              <w:t>M——液体的分子量</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lang w:val="en-US" w:eastAsia="zh-CN"/>
              </w:rPr>
              <w:t>氯化氢取值36.5</w:t>
            </w:r>
            <w:r>
              <w:rPr>
                <w:rFonts w:hint="default" w:ascii="Times New Roman" w:hAnsi="Times New Roman" w:eastAsia="仿宋" w:cs="Times New Roman"/>
                <w:color w:val="auto"/>
                <w:sz w:val="24"/>
                <w:szCs w:val="24"/>
              </w:rPr>
              <w:t>；</w:t>
            </w:r>
          </w:p>
          <w:p w14:paraId="12C55F25">
            <w:pPr>
              <w:tabs>
                <w:tab w:val="center" w:pos="4156"/>
                <w:tab w:val="left" w:pos="6375"/>
              </w:tabs>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V——蒸发液体表面上的空气流速（m/s），以实测数据为准，无条件实测，查表取</w:t>
            </w:r>
            <w:r>
              <w:rPr>
                <w:rFonts w:hint="default" w:ascii="Times New Roman" w:hAnsi="Times New Roman" w:eastAsia="仿宋" w:cs="Times New Roman"/>
                <w:bCs/>
                <w:color w:val="auto"/>
                <w:sz w:val="24"/>
                <w:szCs w:val="24"/>
              </w:rPr>
              <w:t>0.3m/s</w:t>
            </w:r>
            <w:r>
              <w:rPr>
                <w:rFonts w:hint="default" w:ascii="Times New Roman" w:hAnsi="Times New Roman" w:eastAsia="仿宋" w:cs="Times New Roman"/>
                <w:color w:val="auto"/>
                <w:sz w:val="24"/>
                <w:szCs w:val="24"/>
              </w:rPr>
              <w:t>（环境统计手册P73）</w:t>
            </w:r>
            <w:r>
              <w:rPr>
                <w:rFonts w:hint="default" w:ascii="Times New Roman" w:hAnsi="Times New Roman" w:eastAsia="仿宋" w:cs="Times New Roman"/>
                <w:bCs/>
                <w:color w:val="auto"/>
                <w:sz w:val="24"/>
                <w:szCs w:val="24"/>
              </w:rPr>
              <w:t>；</w:t>
            </w:r>
          </w:p>
          <w:p w14:paraId="3C896EB3">
            <w:pPr>
              <w:tabs>
                <w:tab w:val="center" w:pos="4156"/>
                <w:tab w:val="left" w:pos="6375"/>
              </w:tabs>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P——相应于液体温度下的空气中的蒸汽分压力（毫米汞柱），当液体重量浓度低于10%时，用水溶液的饱和蒸汽压代替</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查表取值17.5</w:t>
            </w:r>
            <w:r>
              <w:rPr>
                <w:rFonts w:hint="default" w:ascii="Times New Roman" w:hAnsi="Times New Roman" w:eastAsia="仿宋" w:cs="Times New Roman"/>
                <w:color w:val="auto"/>
                <w:sz w:val="24"/>
                <w:szCs w:val="24"/>
              </w:rPr>
              <w:t>；</w:t>
            </w:r>
          </w:p>
          <w:p w14:paraId="13FDE935">
            <w:pPr>
              <w:keepNext w:val="0"/>
              <w:keepLines w:val="0"/>
              <w:pageBreakBefore w:val="0"/>
              <w:widowControl w:val="0"/>
              <w:tabs>
                <w:tab w:val="center" w:pos="4156"/>
                <w:tab w:val="left" w:pos="637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F——液体蒸发面的表面积</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取值0.0025m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rPr>
              <w:t>。</w:t>
            </w:r>
          </w:p>
          <w:p w14:paraId="520532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经计算Gz=0.001kg/h，年工作300天，实验</w:t>
            </w:r>
            <w:r>
              <w:rPr>
                <w:rFonts w:hint="eastAsia" w:eastAsia="仿宋" w:cs="Times New Roman"/>
                <w:bCs/>
                <w:color w:val="auto"/>
                <w:sz w:val="24"/>
                <w:lang w:val="en-US" w:eastAsia="zh-CN"/>
              </w:rPr>
              <w:t>试剂瓶</w:t>
            </w:r>
            <w:r>
              <w:rPr>
                <w:rFonts w:hint="default" w:ascii="Times New Roman" w:hAnsi="Times New Roman" w:eastAsia="仿宋" w:cs="Times New Roman"/>
                <w:bCs/>
                <w:color w:val="auto"/>
                <w:sz w:val="24"/>
                <w:lang w:val="en-US" w:eastAsia="zh-CN"/>
              </w:rPr>
              <w:t>敞开时间以0.5h/d计，则滴定实验氯化氢产生量为0.15kg/a。</w:t>
            </w:r>
            <w:r>
              <w:rPr>
                <w:rFonts w:hint="default" w:ascii="Times New Roman" w:hAnsi="Times New Roman" w:eastAsia="仿宋" w:cs="Times New Roman"/>
                <w:bCs/>
                <w:color w:val="auto"/>
                <w:sz w:val="24"/>
                <w:highlight w:val="none"/>
                <w:lang w:val="en-US" w:eastAsia="zh-CN"/>
              </w:rPr>
              <w:t>建设单位拟在实验台上方设1个集气罩收集废气，废气捕集率可达90%，则氯化氢有组织产生量为0.135kg/a。</w:t>
            </w:r>
          </w:p>
          <w:p w14:paraId="0B7C7F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②制样测试废气</w:t>
            </w:r>
          </w:p>
          <w:p w14:paraId="7FA9F6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a、制样固化废气</w:t>
            </w:r>
          </w:p>
          <w:p w14:paraId="35DB4A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本项目制样固化为树脂，废气</w:t>
            </w:r>
            <w:r>
              <w:rPr>
                <w:rFonts w:hint="default" w:ascii="Times New Roman" w:hAnsi="Times New Roman" w:eastAsia="仿宋" w:cs="Times New Roman"/>
                <w:color w:val="auto"/>
                <w:sz w:val="24"/>
                <w:highlight w:val="none"/>
              </w:rPr>
              <w:t>中主要污染物</w:t>
            </w:r>
            <w:r>
              <w:rPr>
                <w:rFonts w:hint="default" w:ascii="Times New Roman" w:hAnsi="Times New Roman" w:eastAsia="仿宋" w:cs="Times New Roman"/>
                <w:bCs/>
                <w:color w:val="auto"/>
                <w:sz w:val="24"/>
                <w:lang w:val="en-US" w:eastAsia="zh-CN"/>
              </w:rPr>
              <w:t>以非甲烷总烃计，参考《排放源统计调查产排污核算方法和系数手册》中“08 树脂纤维加工”，成型有机废气产生源强为60.0kg/t-原料。本项目制样原料用量合计为14.75kg/a，则非甲烷总烃产生量为0.9kg/a。</w:t>
            </w:r>
          </w:p>
          <w:p w14:paraId="1B0EFE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b、腐蚀、清洁废气</w:t>
            </w:r>
          </w:p>
          <w:p w14:paraId="45B218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质量实验腐蚀过程使用乙醇氯化铁，组分为三氯化铁5-10%、盐酸1-5%、氯化镍&lt;0.01%、剩余乙醇</w:t>
            </w:r>
            <w:r>
              <w:rPr>
                <w:rFonts w:hint="default" w:ascii="Times New Roman" w:hAnsi="Times New Roman" w:eastAsia="仿宋" w:cs="Times New Roman"/>
                <w:bCs/>
                <w:color w:val="auto"/>
                <w:sz w:val="24"/>
                <w:szCs w:val="24"/>
                <w:highlight w:val="none"/>
                <w:lang w:val="en-US" w:eastAsia="zh-CN"/>
              </w:rPr>
              <w:t>，</w:t>
            </w:r>
            <w:r>
              <w:rPr>
                <w:rFonts w:hint="default" w:ascii="Times New Roman" w:hAnsi="Times New Roman" w:eastAsia="仿宋" w:cs="Times New Roman"/>
                <w:bCs/>
                <w:color w:val="auto"/>
                <w:sz w:val="24"/>
                <w:szCs w:val="24"/>
                <w:lang w:val="en-US" w:eastAsia="zh-CN"/>
              </w:rPr>
              <w:t>本项目考虑最不利情况，盐酸含量取5%，乙醇含量取90%，实验过程腐蚀皿为敞开式。参考</w:t>
            </w:r>
            <w:r>
              <w:rPr>
                <w:rFonts w:hint="default" w:ascii="Times New Roman" w:hAnsi="Times New Roman" w:eastAsia="仿宋" w:cs="Times New Roman"/>
                <w:color w:val="auto"/>
                <w:sz w:val="24"/>
                <w:szCs w:val="24"/>
              </w:rPr>
              <w:t>酸液蒸发计算公式</w:t>
            </w:r>
            <w:r>
              <w:rPr>
                <w:rFonts w:hint="default" w:ascii="Times New Roman" w:hAnsi="Times New Roman" w:eastAsia="仿宋" w:cs="Times New Roman"/>
                <w:bCs/>
                <w:color w:val="auto"/>
                <w:sz w:val="24"/>
                <w:szCs w:val="24"/>
                <w:lang w:val="en-US" w:eastAsia="zh-CN"/>
              </w:rPr>
              <w:t>，</w:t>
            </w:r>
            <w:r>
              <w:rPr>
                <w:rFonts w:hint="default" w:ascii="Times New Roman" w:hAnsi="Times New Roman" w:eastAsia="仿宋" w:cs="Times New Roman"/>
                <w:color w:val="auto"/>
                <w:sz w:val="24"/>
                <w:szCs w:val="24"/>
              </w:rPr>
              <w:t>液体蒸发面的表面积</w:t>
            </w:r>
            <w:r>
              <w:rPr>
                <w:rFonts w:hint="default" w:ascii="Times New Roman" w:hAnsi="Times New Roman" w:eastAsia="仿宋" w:cs="Times New Roman"/>
                <w:color w:val="auto"/>
                <w:sz w:val="24"/>
                <w:szCs w:val="24"/>
                <w:lang w:val="en-US" w:eastAsia="zh-CN"/>
              </w:rPr>
              <w:t>取值0.00</w:t>
            </w:r>
            <w:r>
              <w:rPr>
                <w:rFonts w:hint="eastAsia" w:eastAsia="仿宋" w:cs="Times New Roman"/>
                <w:color w:val="auto"/>
                <w:sz w:val="24"/>
                <w:szCs w:val="24"/>
                <w:lang w:val="en-US" w:eastAsia="zh-CN"/>
              </w:rPr>
              <w:t>44</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，经计算</w:t>
            </w:r>
            <w:r>
              <w:rPr>
                <w:rFonts w:hint="default" w:ascii="Times New Roman" w:hAnsi="Times New Roman" w:eastAsia="仿宋" w:cs="Times New Roman"/>
                <w:bCs/>
                <w:color w:val="auto"/>
                <w:sz w:val="24"/>
                <w:szCs w:val="24"/>
                <w:lang w:val="en-US" w:eastAsia="zh-CN"/>
              </w:rPr>
              <w:t>Gz=0.00</w:t>
            </w:r>
            <w:r>
              <w:rPr>
                <w:rFonts w:hint="eastAsia" w:eastAsia="仿宋" w:cs="Times New Roman"/>
                <w:bCs/>
                <w:color w:val="auto"/>
                <w:sz w:val="24"/>
                <w:szCs w:val="24"/>
                <w:lang w:val="en-US" w:eastAsia="zh-CN"/>
              </w:rPr>
              <w:t>17</w:t>
            </w:r>
            <w:r>
              <w:rPr>
                <w:rFonts w:hint="default" w:ascii="Times New Roman" w:hAnsi="Times New Roman" w:eastAsia="仿宋" w:cs="Times New Roman"/>
                <w:bCs/>
                <w:color w:val="auto"/>
                <w:sz w:val="24"/>
                <w:lang w:val="en-US" w:eastAsia="zh-CN"/>
              </w:rPr>
              <w:t>kg/h，年工作300天，实验敞开时间以</w:t>
            </w:r>
            <w:r>
              <w:rPr>
                <w:rFonts w:hint="eastAsia" w:eastAsia="仿宋" w:cs="Times New Roman"/>
                <w:bCs/>
                <w:color w:val="auto"/>
                <w:sz w:val="24"/>
                <w:lang w:val="en-US" w:eastAsia="zh-CN"/>
              </w:rPr>
              <w:t>0.5</w:t>
            </w:r>
            <w:r>
              <w:rPr>
                <w:rFonts w:hint="default" w:ascii="Times New Roman" w:hAnsi="Times New Roman" w:eastAsia="仿宋" w:cs="Times New Roman"/>
                <w:bCs/>
                <w:color w:val="auto"/>
                <w:sz w:val="24"/>
                <w:lang w:val="en-US" w:eastAsia="zh-CN"/>
              </w:rPr>
              <w:t>h/d计，则氯化氢产生量为</w:t>
            </w:r>
            <w:r>
              <w:rPr>
                <w:rFonts w:hint="eastAsia" w:eastAsia="仿宋" w:cs="Times New Roman"/>
                <w:bCs/>
                <w:color w:val="auto"/>
                <w:sz w:val="24"/>
                <w:lang w:val="en-US" w:eastAsia="zh-CN"/>
              </w:rPr>
              <w:t>0.255</w:t>
            </w:r>
            <w:r>
              <w:rPr>
                <w:rFonts w:hint="default" w:ascii="Times New Roman" w:hAnsi="Times New Roman" w:eastAsia="仿宋" w:cs="Times New Roman"/>
                <w:bCs/>
                <w:color w:val="auto"/>
                <w:sz w:val="24"/>
                <w:lang w:val="en-US" w:eastAsia="zh-CN"/>
              </w:rPr>
              <w:t>kg/a。</w:t>
            </w:r>
            <w:r>
              <w:rPr>
                <w:rFonts w:hint="default" w:ascii="Times New Roman" w:hAnsi="Times New Roman" w:eastAsia="仿宋" w:cs="Times New Roman"/>
                <w:color w:val="auto"/>
                <w:sz w:val="24"/>
                <w:highlight w:val="none"/>
                <w:lang w:val="en-US" w:eastAsia="zh-CN"/>
              </w:rPr>
              <w:t>乙醇</w:t>
            </w:r>
            <w:r>
              <w:rPr>
                <w:rFonts w:hint="default" w:ascii="Times New Roman" w:hAnsi="Times New Roman" w:eastAsia="仿宋" w:cs="Times New Roman"/>
                <w:color w:val="auto"/>
                <w:sz w:val="24"/>
                <w:highlight w:val="none"/>
              </w:rPr>
              <w:t>挥发产生有机废气</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bCs/>
                <w:color w:val="auto"/>
                <w:sz w:val="24"/>
                <w:lang w:val="en-US" w:eastAsia="zh-CN"/>
              </w:rPr>
              <w:t>以非甲烷总烃计，</w:t>
            </w:r>
            <w:r>
              <w:rPr>
                <w:rFonts w:hint="default" w:ascii="Times New Roman" w:hAnsi="Times New Roman" w:eastAsia="仿宋" w:cs="Times New Roman"/>
                <w:bCs/>
                <w:color w:val="auto"/>
                <w:sz w:val="24"/>
                <w:szCs w:val="24"/>
                <w:lang w:val="en-US" w:eastAsia="zh-CN"/>
              </w:rPr>
              <w:t>考虑乙醇全部挥发，本项目乙醇氯化铁用量为5</w:t>
            </w:r>
            <w:r>
              <w:rPr>
                <w:rFonts w:hint="eastAsia" w:eastAsia="仿宋" w:cs="Times New Roman"/>
                <w:bCs/>
                <w:color w:val="auto"/>
                <w:sz w:val="24"/>
                <w:szCs w:val="24"/>
                <w:lang w:val="en-US" w:eastAsia="zh-CN"/>
              </w:rPr>
              <w:t>.3kg/a</w:t>
            </w:r>
            <w:r>
              <w:rPr>
                <w:rFonts w:hint="default" w:ascii="Times New Roman" w:hAnsi="Times New Roman" w:eastAsia="仿宋" w:cs="Times New Roman"/>
                <w:bCs/>
                <w:color w:val="auto"/>
                <w:sz w:val="24"/>
                <w:szCs w:val="24"/>
                <w:lang w:val="en-US" w:eastAsia="zh-CN"/>
              </w:rPr>
              <w:t>，则非甲烷总烃产生量为4.7kg/a。</w:t>
            </w:r>
          </w:p>
          <w:p w14:paraId="4295E596">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本项目使用</w:t>
            </w:r>
            <w:r>
              <w:rPr>
                <w:rFonts w:hint="default" w:ascii="Times New Roman" w:hAnsi="Times New Roman" w:eastAsia="仿宋" w:cs="Times New Roman"/>
                <w:color w:val="auto"/>
                <w:sz w:val="24"/>
                <w:highlight w:val="none"/>
                <w:lang w:val="en-US" w:eastAsia="zh-CN"/>
              </w:rPr>
              <w:t>乙醇对样品腐蚀面进行</w:t>
            </w:r>
            <w:r>
              <w:rPr>
                <w:rFonts w:hint="default" w:ascii="Times New Roman" w:hAnsi="Times New Roman" w:eastAsia="仿宋" w:cs="Times New Roman"/>
                <w:color w:val="auto"/>
                <w:sz w:val="24"/>
                <w:highlight w:val="none"/>
              </w:rPr>
              <w:t>清洁擦拭，在擦拭过程中</w:t>
            </w:r>
            <w:r>
              <w:rPr>
                <w:rFonts w:hint="default" w:ascii="Times New Roman" w:hAnsi="Times New Roman" w:eastAsia="仿宋" w:cs="Times New Roman"/>
                <w:color w:val="auto"/>
                <w:sz w:val="24"/>
                <w:highlight w:val="none"/>
                <w:lang w:val="en-US" w:eastAsia="zh-CN"/>
              </w:rPr>
              <w:t>乙醇</w:t>
            </w:r>
            <w:r>
              <w:rPr>
                <w:rFonts w:hint="default" w:ascii="Times New Roman" w:hAnsi="Times New Roman" w:eastAsia="仿宋" w:cs="Times New Roman"/>
                <w:color w:val="auto"/>
                <w:sz w:val="24"/>
                <w:highlight w:val="none"/>
              </w:rPr>
              <w:t>挥发产生有机废气，除少量残留在抹布中（约占使用量的10%），其余全部挥发，废气中主要污染物以非甲烷总烃计。本项目</w:t>
            </w:r>
            <w:r>
              <w:rPr>
                <w:rFonts w:hint="default" w:ascii="Times New Roman" w:hAnsi="Times New Roman" w:eastAsia="仿宋" w:cs="Times New Roman"/>
                <w:color w:val="auto"/>
                <w:sz w:val="24"/>
                <w:highlight w:val="none"/>
                <w:lang w:val="en-US" w:eastAsia="zh-CN"/>
              </w:rPr>
              <w:t>乙醇</w:t>
            </w:r>
            <w:r>
              <w:rPr>
                <w:rFonts w:hint="eastAsia" w:eastAsia="仿宋" w:cs="Times New Roman"/>
                <w:color w:val="auto"/>
                <w:sz w:val="24"/>
                <w:highlight w:val="none"/>
                <w:lang w:val="en-US" w:eastAsia="zh-CN"/>
              </w:rPr>
              <w:t>（96%）</w:t>
            </w:r>
            <w:r>
              <w:rPr>
                <w:rFonts w:hint="default" w:ascii="Times New Roman" w:hAnsi="Times New Roman" w:eastAsia="仿宋" w:cs="Times New Roman"/>
                <w:color w:val="auto"/>
                <w:sz w:val="24"/>
                <w:highlight w:val="none"/>
              </w:rPr>
              <w:t>用量为</w:t>
            </w:r>
            <w:r>
              <w:rPr>
                <w:rFonts w:hint="eastAsia" w:eastAsia="仿宋" w:cs="Times New Roman"/>
                <w:color w:val="auto"/>
                <w:sz w:val="24"/>
                <w:highlight w:val="none"/>
                <w:lang w:val="en-US" w:eastAsia="zh-CN"/>
              </w:rPr>
              <w:t>4kg/a</w:t>
            </w:r>
            <w:r>
              <w:rPr>
                <w:rFonts w:hint="default" w:ascii="Times New Roman" w:hAnsi="Times New Roman" w:eastAsia="仿宋" w:cs="Times New Roman"/>
                <w:color w:val="auto"/>
                <w:sz w:val="24"/>
                <w:highlight w:val="none"/>
              </w:rPr>
              <w:t>，则擦拭废气中非甲烷总烃产生量为</w:t>
            </w:r>
            <w:r>
              <w:rPr>
                <w:rFonts w:hint="default" w:ascii="Times New Roman" w:hAnsi="Times New Roman" w:eastAsia="仿宋" w:cs="Times New Roman"/>
                <w:color w:val="auto"/>
                <w:sz w:val="24"/>
                <w:highlight w:val="none"/>
                <w:lang w:val="en-US" w:eastAsia="zh-CN"/>
              </w:rPr>
              <w:t>3.4kg</w:t>
            </w:r>
            <w:r>
              <w:rPr>
                <w:rFonts w:hint="default" w:ascii="Times New Roman" w:hAnsi="Times New Roman" w:eastAsia="仿宋" w:cs="Times New Roman"/>
                <w:color w:val="auto"/>
                <w:sz w:val="24"/>
                <w:highlight w:val="none"/>
              </w:rPr>
              <w:t>/a。</w:t>
            </w:r>
          </w:p>
          <w:p w14:paraId="06D4692B">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制样固化、腐蚀、清洁废气经实验台上方集气罩收集，废气捕集率可达90%，则氯化氢、非甲烷总烃有组织产生量分为</w:t>
            </w:r>
            <w:r>
              <w:rPr>
                <w:rFonts w:hint="eastAsia" w:eastAsia="仿宋" w:cs="Times New Roman"/>
                <w:bCs/>
                <w:color w:val="auto"/>
                <w:sz w:val="24"/>
                <w:highlight w:val="none"/>
                <w:lang w:val="en-US" w:eastAsia="zh-CN"/>
              </w:rPr>
              <w:t>0.23</w:t>
            </w:r>
            <w:r>
              <w:rPr>
                <w:rFonts w:hint="default" w:ascii="Times New Roman" w:hAnsi="Times New Roman" w:eastAsia="仿宋" w:cs="Times New Roman"/>
                <w:bCs/>
                <w:color w:val="auto"/>
                <w:sz w:val="24"/>
                <w:highlight w:val="none"/>
                <w:lang w:val="en-US" w:eastAsia="zh-CN"/>
              </w:rPr>
              <w:t>kg/a、8.1kg/a</w:t>
            </w:r>
            <w:r>
              <w:rPr>
                <w:rFonts w:hint="eastAsia" w:eastAsia="仿宋" w:cs="Times New Roman"/>
                <w:bCs/>
                <w:color w:val="auto"/>
                <w:sz w:val="24"/>
                <w:highlight w:val="none"/>
                <w:lang w:val="en-US" w:eastAsia="zh-CN"/>
              </w:rPr>
              <w:t>，全年制样测试时间为600h。</w:t>
            </w:r>
          </w:p>
          <w:p w14:paraId="1602E82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lang w:val="en-US" w:eastAsia="zh-CN"/>
              </w:rPr>
              <w:t>③焊接测试废气</w:t>
            </w:r>
          </w:p>
          <w:p w14:paraId="63B56F62">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实验台上放置1个锡焊测试台，锡焊使用助焊剂+焊锡丝或焊锡膏，可焊性测试使用焊锡膏</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均有</w:t>
            </w:r>
            <w:r>
              <w:rPr>
                <w:rFonts w:hint="default" w:ascii="Times New Roman" w:hAnsi="Times New Roman" w:eastAsia="仿宋" w:cs="Times New Roman"/>
                <w:bCs/>
                <w:color w:val="auto"/>
                <w:sz w:val="24"/>
                <w:highlight w:val="none"/>
              </w:rPr>
              <w:t>锡烟产生</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焊锡膏、助焊剂含有挥发性有机物，则</w:t>
            </w:r>
            <w:r>
              <w:rPr>
                <w:rFonts w:hint="default" w:ascii="Times New Roman" w:hAnsi="Times New Roman" w:eastAsia="仿宋" w:cs="Times New Roman"/>
                <w:color w:val="auto"/>
                <w:sz w:val="24"/>
                <w:highlight w:val="none"/>
              </w:rPr>
              <w:t>废气中主要污染物</w:t>
            </w:r>
            <w:r>
              <w:rPr>
                <w:rFonts w:hint="default" w:ascii="Times New Roman" w:hAnsi="Times New Roman" w:eastAsia="仿宋" w:cs="Times New Roman"/>
                <w:bCs/>
                <w:color w:val="auto"/>
                <w:sz w:val="24"/>
                <w:highlight w:val="none"/>
                <w:lang w:val="en-US" w:eastAsia="zh-CN"/>
              </w:rPr>
              <w:t>以</w:t>
            </w:r>
            <w:r>
              <w:rPr>
                <w:rFonts w:hint="default" w:ascii="Times New Roman" w:hAnsi="Times New Roman" w:eastAsia="仿宋" w:cs="Times New Roman"/>
                <w:bCs/>
                <w:color w:val="auto"/>
                <w:sz w:val="24"/>
                <w:highlight w:val="none"/>
              </w:rPr>
              <w:t>锡及其化合物</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非甲烷总烃</w:t>
            </w:r>
            <w:r>
              <w:rPr>
                <w:rFonts w:hint="eastAsia" w:eastAsia="仿宋" w:cs="Times New Roman"/>
                <w:bCs/>
                <w:color w:val="auto"/>
                <w:sz w:val="24"/>
                <w:highlight w:val="none"/>
                <w:lang w:val="en-US" w:eastAsia="zh-CN"/>
              </w:rPr>
              <w:t>计</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参考</w:t>
            </w:r>
            <w:r>
              <w:rPr>
                <w:rFonts w:hint="default" w:ascii="Times New Roman" w:hAnsi="Times New Roman" w:eastAsia="仿宋" w:cs="Times New Roman"/>
                <w:bCs/>
                <w:color w:val="auto"/>
                <w:sz w:val="24"/>
                <w:highlight w:val="none"/>
              </w:rPr>
              <w:t>《排放源统计调查产排污核算方法和系数手册》中“电子电气行业系数手册”，使用无铅焊料</w:t>
            </w:r>
            <w:r>
              <w:rPr>
                <w:rFonts w:hint="default" w:ascii="Times New Roman" w:hAnsi="Times New Roman" w:eastAsia="仿宋" w:cs="Times New Roman"/>
                <w:bCs/>
                <w:color w:val="auto"/>
                <w:sz w:val="24"/>
                <w:highlight w:val="none"/>
                <w:lang w:val="en-US" w:eastAsia="zh-CN"/>
              </w:rPr>
              <w:t>手工焊污染物</w:t>
            </w:r>
            <w:r>
              <w:rPr>
                <w:rFonts w:hint="default" w:ascii="Times New Roman" w:hAnsi="Times New Roman" w:eastAsia="仿宋" w:cs="Times New Roman"/>
                <w:bCs/>
                <w:color w:val="auto"/>
                <w:sz w:val="24"/>
                <w:highlight w:val="none"/>
              </w:rPr>
              <w:t>产污系数为</w:t>
            </w:r>
            <w:r>
              <w:rPr>
                <w:rFonts w:hint="default" w:ascii="Times New Roman" w:hAnsi="Times New Roman" w:eastAsia="仿宋" w:cs="Times New Roman"/>
                <w:bCs/>
                <w:color w:val="auto"/>
                <w:sz w:val="24"/>
                <w:highlight w:val="none"/>
                <w:lang w:val="en-US" w:eastAsia="zh-CN"/>
              </w:rPr>
              <w:t>0.4023</w:t>
            </w:r>
            <w:r>
              <w:rPr>
                <w:rFonts w:hint="default" w:ascii="Times New Roman" w:hAnsi="Times New Roman" w:eastAsia="仿宋" w:cs="Times New Roman"/>
                <w:bCs/>
                <w:color w:val="auto"/>
                <w:sz w:val="24"/>
                <w:highlight w:val="none"/>
              </w:rPr>
              <w:t>g/kg-焊料，本项目</w:t>
            </w:r>
            <w:r>
              <w:rPr>
                <w:rFonts w:hint="default" w:ascii="Times New Roman" w:hAnsi="Times New Roman" w:eastAsia="仿宋" w:cs="Times New Roman"/>
                <w:bCs/>
                <w:color w:val="auto"/>
                <w:sz w:val="24"/>
                <w:highlight w:val="none"/>
                <w:lang w:val="en-US" w:eastAsia="zh-CN"/>
              </w:rPr>
              <w:t>焊锡膏、焊锡丝、助焊剂用量分别为2.5kg/a、0.5kg/a、</w:t>
            </w:r>
            <w:r>
              <w:rPr>
                <w:rFonts w:hint="eastAsia" w:eastAsia="仿宋" w:cs="Times New Roman"/>
                <w:bCs/>
                <w:color w:val="auto"/>
                <w:sz w:val="24"/>
                <w:highlight w:val="none"/>
                <w:lang w:val="en-US" w:eastAsia="zh-CN"/>
              </w:rPr>
              <w:t>0.85kg/a</w:t>
            </w:r>
            <w:r>
              <w:rPr>
                <w:rFonts w:hint="default" w:ascii="Times New Roman" w:hAnsi="Times New Roman" w:eastAsia="仿宋" w:cs="Times New Roman"/>
                <w:bCs/>
                <w:color w:val="auto"/>
                <w:sz w:val="24"/>
                <w:highlight w:val="none"/>
              </w:rPr>
              <w:t>，则该过程锡及其化合物产生量约</w:t>
            </w:r>
            <w:r>
              <w:rPr>
                <w:rFonts w:hint="default" w:ascii="Times New Roman" w:hAnsi="Times New Roman" w:eastAsia="仿宋" w:cs="Times New Roman"/>
                <w:bCs/>
                <w:color w:val="auto"/>
                <w:sz w:val="24"/>
                <w:highlight w:val="none"/>
                <w:lang w:val="en-US" w:eastAsia="zh-CN"/>
              </w:rPr>
              <w:t>1.55g</w:t>
            </w:r>
            <w:r>
              <w:rPr>
                <w:rFonts w:hint="default" w:ascii="Times New Roman" w:hAnsi="Times New Roman" w:eastAsia="仿宋" w:cs="Times New Roman"/>
                <w:bCs/>
                <w:color w:val="auto"/>
                <w:sz w:val="24"/>
                <w:highlight w:val="none"/>
              </w:rPr>
              <w:t>/a</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产生量极小，不做深入定量分析与评价</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考虑最不利情况，焊锡膏、助焊剂</w:t>
            </w:r>
            <w:r>
              <w:rPr>
                <w:rFonts w:hint="eastAsia" w:eastAsia="仿宋" w:cs="Times New Roman"/>
                <w:bCs/>
                <w:color w:val="auto"/>
                <w:sz w:val="24"/>
                <w:highlight w:val="none"/>
                <w:lang w:val="en-US" w:eastAsia="zh-CN"/>
              </w:rPr>
              <w:t>中</w:t>
            </w:r>
            <w:r>
              <w:rPr>
                <w:rFonts w:hint="default" w:ascii="Times New Roman" w:hAnsi="Times New Roman" w:eastAsia="仿宋" w:cs="Times New Roman"/>
                <w:bCs/>
                <w:color w:val="auto"/>
                <w:sz w:val="24"/>
                <w:highlight w:val="none"/>
                <w:lang w:val="en-US" w:eastAsia="zh-CN"/>
              </w:rPr>
              <w:t>有机组分全部挥发，焊锡膏中有机组分为16%、助焊剂中有机组分为90%，则非甲烷总烃产生量为1.2kg/a。</w:t>
            </w:r>
          </w:p>
          <w:p w14:paraId="24AF48F9">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焊接测试废气经实验台上方集气罩收集，废气捕集率可达90%，则非甲烷总烃有组织产生量为1.08kg/a。</w:t>
            </w:r>
          </w:p>
          <w:p w14:paraId="35910983">
            <w:pPr>
              <w:adjustRightInd w:val="0"/>
              <w:snapToGrid w:val="0"/>
              <w:spacing w:line="360" w:lineRule="auto"/>
              <w:ind w:firstLine="480" w:firstLineChars="200"/>
              <w:jc w:val="both"/>
              <w:rPr>
                <w:rFonts w:hint="eastAsia" w:ascii="Times New Roman" w:hAnsi="Times New Roman" w:eastAsia="仿宋" w:cs="Times New Roman"/>
                <w:bCs/>
                <w:color w:val="auto"/>
                <w:sz w:val="24"/>
                <w:highlight w:val="none"/>
                <w:lang w:val="en-US" w:eastAsia="zh-CN"/>
              </w:rPr>
            </w:pPr>
            <w:r>
              <w:rPr>
                <w:rFonts w:hint="eastAsia" w:ascii="Times New Roman" w:hAnsi="Times New Roman" w:eastAsia="仿宋" w:cs="Times New Roman"/>
                <w:bCs/>
                <w:color w:val="auto"/>
                <w:sz w:val="24"/>
                <w:highlight w:val="none"/>
                <w:lang w:val="en-US" w:eastAsia="zh-CN"/>
              </w:rPr>
              <w:t>④危废仓库</w:t>
            </w:r>
          </w:p>
          <w:p w14:paraId="01ABAD7C">
            <w:pPr>
              <w:adjustRightInd w:val="0"/>
              <w:snapToGrid w:val="0"/>
              <w:spacing w:line="360" w:lineRule="auto"/>
              <w:ind w:firstLine="480" w:firstLineChars="200"/>
              <w:rPr>
                <w:rFonts w:hint="default" w:ascii="Times New Roman" w:hAnsi="Times New Roman" w:eastAsia="仿宋" w:cs="Times New Roman"/>
                <w:color w:val="auto"/>
                <w:sz w:val="24"/>
                <w:lang w:eastAsia="zh-CN"/>
              </w:rPr>
            </w:pPr>
            <w:r>
              <w:rPr>
                <w:rFonts w:hint="default" w:ascii="Times New Roman" w:hAnsi="Times New Roman" w:eastAsia="仿宋" w:cs="Times New Roman"/>
                <w:color w:val="auto"/>
                <w:sz w:val="24"/>
                <w:lang w:eastAsia="zh-CN"/>
              </w:rPr>
              <w:t>危废仓库</w:t>
            </w:r>
            <w:r>
              <w:rPr>
                <w:rFonts w:hint="default" w:ascii="Times New Roman" w:hAnsi="Times New Roman" w:eastAsia="仿宋" w:cs="Times New Roman"/>
                <w:color w:val="auto"/>
                <w:sz w:val="24"/>
              </w:rPr>
              <w:t>内</w:t>
            </w:r>
            <w:r>
              <w:rPr>
                <w:rFonts w:hint="default" w:ascii="Times New Roman" w:hAnsi="Times New Roman" w:eastAsia="仿宋" w:cs="Times New Roman"/>
                <w:color w:val="auto"/>
                <w:sz w:val="24"/>
                <w:lang w:val="en-US" w:eastAsia="zh-CN"/>
              </w:rPr>
              <w:t>废劳保用品及抹布、废活性炭</w:t>
            </w:r>
            <w:r>
              <w:rPr>
                <w:rFonts w:hint="default" w:ascii="Times New Roman" w:hAnsi="Times New Roman" w:eastAsia="仿宋" w:cs="Times New Roman"/>
                <w:color w:val="auto"/>
                <w:sz w:val="24"/>
              </w:rPr>
              <w:t>等在暂存过程中会挥发有机废气</w:t>
            </w:r>
            <w:r>
              <w:rPr>
                <w:rFonts w:hint="eastAsia" w:eastAsia="仿宋" w:cs="Times New Roman"/>
                <w:color w:val="auto"/>
                <w:sz w:val="24"/>
                <w:lang w:val="en-US" w:eastAsia="zh-CN"/>
              </w:rPr>
              <w:t>和氯化氢</w:t>
            </w:r>
            <w:r>
              <w:rPr>
                <w:rFonts w:hint="default" w:ascii="Times New Roman" w:hAnsi="Times New Roman" w:eastAsia="仿宋" w:cs="Times New Roman"/>
                <w:color w:val="auto"/>
                <w:sz w:val="24"/>
              </w:rPr>
              <w:t>，由于各类危险废</w:t>
            </w:r>
            <w:r>
              <w:rPr>
                <w:rFonts w:hint="eastAsia" w:eastAsia="仿宋" w:cs="Times New Roman"/>
                <w:color w:val="auto"/>
                <w:sz w:val="24"/>
                <w:lang w:eastAsia="zh-CN"/>
              </w:rPr>
              <w:t>物进</w:t>
            </w:r>
            <w:r>
              <w:rPr>
                <w:rFonts w:hint="default" w:ascii="Times New Roman" w:hAnsi="Times New Roman" w:eastAsia="仿宋" w:cs="Times New Roman"/>
                <w:color w:val="auto"/>
                <w:sz w:val="24"/>
              </w:rPr>
              <w:t>入</w:t>
            </w:r>
            <w:r>
              <w:rPr>
                <w:rFonts w:hint="default" w:ascii="Times New Roman" w:hAnsi="Times New Roman" w:eastAsia="仿宋" w:cs="Times New Roman"/>
                <w:color w:val="auto"/>
                <w:sz w:val="24"/>
                <w:lang w:eastAsia="zh-CN"/>
              </w:rPr>
              <w:t>危废仓库</w:t>
            </w:r>
            <w:r>
              <w:rPr>
                <w:rFonts w:hint="default" w:ascii="Times New Roman" w:hAnsi="Times New Roman" w:eastAsia="仿宋" w:cs="Times New Roman"/>
                <w:color w:val="auto"/>
                <w:sz w:val="24"/>
              </w:rPr>
              <w:t>暂存前将按要求进行密封包装，</w:t>
            </w:r>
            <w:r>
              <w:rPr>
                <w:rFonts w:hint="eastAsia" w:eastAsia="仿宋" w:cs="Times New Roman"/>
                <w:color w:val="auto"/>
                <w:sz w:val="24"/>
                <w:lang w:val="en-US" w:eastAsia="zh-CN"/>
              </w:rPr>
              <w:t>危废</w:t>
            </w:r>
            <w:r>
              <w:rPr>
                <w:rFonts w:hint="default" w:ascii="Times New Roman" w:hAnsi="Times New Roman" w:eastAsia="仿宋" w:cs="Times New Roman"/>
                <w:color w:val="auto"/>
                <w:sz w:val="24"/>
              </w:rPr>
              <w:t>在</w:t>
            </w:r>
            <w:r>
              <w:rPr>
                <w:rFonts w:hint="default" w:ascii="Times New Roman" w:hAnsi="Times New Roman" w:eastAsia="仿宋" w:cs="Times New Roman"/>
                <w:color w:val="auto"/>
                <w:sz w:val="24"/>
                <w:lang w:eastAsia="zh-CN"/>
              </w:rPr>
              <w:t>危废仓库</w:t>
            </w:r>
            <w:r>
              <w:rPr>
                <w:rFonts w:hint="default" w:ascii="Times New Roman" w:hAnsi="Times New Roman" w:eastAsia="仿宋" w:cs="Times New Roman"/>
                <w:color w:val="auto"/>
                <w:sz w:val="24"/>
              </w:rPr>
              <w:t>内暂存过程中废气挥发量极少，故本项目不对</w:t>
            </w:r>
            <w:r>
              <w:rPr>
                <w:rFonts w:hint="default" w:ascii="Times New Roman" w:hAnsi="Times New Roman" w:eastAsia="仿宋" w:cs="Times New Roman"/>
                <w:color w:val="auto"/>
                <w:sz w:val="24"/>
                <w:lang w:eastAsia="zh-CN"/>
              </w:rPr>
              <w:t>危废仓库</w:t>
            </w:r>
            <w:r>
              <w:rPr>
                <w:rFonts w:hint="default" w:ascii="Times New Roman" w:hAnsi="Times New Roman" w:eastAsia="仿宋" w:cs="Times New Roman"/>
                <w:color w:val="auto"/>
                <w:sz w:val="24"/>
              </w:rPr>
              <w:t>废气进行定量分析。</w:t>
            </w:r>
          </w:p>
          <w:p w14:paraId="03CDFA2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建设项目有组织废气产生源强见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4B5B2E3D">
            <w:pPr>
              <w:pStyle w:val="10"/>
              <w:spacing w:before="0" w:after="0" w:line="240" w:lineRule="auto"/>
              <w:ind w:right="0"/>
              <w:jc w:val="center"/>
              <w:rPr>
                <w:rFonts w:hint="default" w:ascii="Times New Roman" w:hAnsi="Times New Roman" w:eastAsia="仿宋" w:cs="Times New Roman"/>
                <w:b/>
                <w:bCs/>
                <w:color w:val="auto"/>
                <w:kern w:val="2"/>
                <w:sz w:val="24"/>
                <w:szCs w:val="24"/>
              </w:rPr>
            </w:pPr>
            <w:r>
              <w:rPr>
                <w:rFonts w:hint="default" w:ascii="Times New Roman" w:hAnsi="Times New Roman" w:eastAsia="仿宋" w:cs="Times New Roman"/>
                <w:b/>
                <w:bCs/>
                <w:color w:val="auto"/>
                <w:kern w:val="2"/>
                <w:sz w:val="24"/>
                <w:szCs w:val="24"/>
              </w:rPr>
              <w:t>表4-</w:t>
            </w:r>
            <w:r>
              <w:rPr>
                <w:rFonts w:hint="default" w:ascii="Times New Roman" w:hAnsi="Times New Roman" w:eastAsia="仿宋" w:cs="Times New Roman"/>
                <w:b/>
                <w:bCs/>
                <w:color w:val="auto"/>
                <w:kern w:val="2"/>
                <w:sz w:val="24"/>
                <w:szCs w:val="24"/>
                <w:lang w:val="en-US" w:eastAsia="zh-CN"/>
              </w:rPr>
              <w:t>1</w:t>
            </w:r>
            <w:r>
              <w:rPr>
                <w:rFonts w:hint="default" w:ascii="Times New Roman" w:hAnsi="Times New Roman" w:eastAsia="仿宋" w:cs="Times New Roman"/>
                <w:b/>
                <w:bCs/>
                <w:color w:val="auto"/>
                <w:kern w:val="2"/>
                <w:sz w:val="24"/>
                <w:szCs w:val="24"/>
              </w:rPr>
              <w:t xml:space="preserve">  有组织废气产生情况表</w:t>
            </w:r>
          </w:p>
          <w:tbl>
            <w:tblPr>
              <w:tblStyle w:val="26"/>
              <w:tblW w:w="84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84"/>
              <w:gridCol w:w="2001"/>
              <w:gridCol w:w="1824"/>
              <w:gridCol w:w="1407"/>
              <w:gridCol w:w="1527"/>
            </w:tblGrid>
            <w:tr w14:paraId="7EDD9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97" w:type="pct"/>
                  <w:vMerge w:val="restart"/>
                  <w:vAlign w:val="center"/>
                </w:tcPr>
                <w:p w14:paraId="6F0B87A0">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污染源名称</w:t>
                  </w:r>
                </w:p>
              </w:tc>
              <w:tc>
                <w:tcPr>
                  <w:tcW w:w="1185" w:type="pct"/>
                  <w:vMerge w:val="restart"/>
                  <w:vAlign w:val="center"/>
                </w:tcPr>
                <w:p w14:paraId="3C47403D">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913" w:type="pct"/>
                  <w:gridSpan w:val="2"/>
                  <w:vAlign w:val="center"/>
                </w:tcPr>
                <w:p w14:paraId="0837B286">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产生情况</w:t>
                  </w:r>
                </w:p>
              </w:tc>
              <w:tc>
                <w:tcPr>
                  <w:tcW w:w="904" w:type="pct"/>
                  <w:vMerge w:val="restart"/>
                  <w:vAlign w:val="center"/>
                </w:tcPr>
                <w:p w14:paraId="08217886">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年运行时间h</w:t>
                  </w:r>
                </w:p>
              </w:tc>
            </w:tr>
            <w:tr w14:paraId="64A22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97" w:type="pct"/>
                  <w:vMerge w:val="continue"/>
                  <w:vAlign w:val="center"/>
                </w:tcPr>
                <w:p w14:paraId="76F7E5BB">
                  <w:pPr>
                    <w:contextualSpacing/>
                    <w:rPr>
                      <w:rFonts w:hint="default" w:ascii="Times New Roman" w:hAnsi="Times New Roman" w:eastAsia="仿宋" w:cs="Times New Roman"/>
                      <w:b/>
                      <w:bCs/>
                      <w:color w:val="auto"/>
                      <w:szCs w:val="21"/>
                    </w:rPr>
                  </w:pPr>
                </w:p>
              </w:tc>
              <w:tc>
                <w:tcPr>
                  <w:tcW w:w="1185" w:type="pct"/>
                  <w:vMerge w:val="continue"/>
                  <w:vAlign w:val="center"/>
                </w:tcPr>
                <w:p w14:paraId="4614235C">
                  <w:pPr>
                    <w:contextualSpacing/>
                    <w:rPr>
                      <w:rFonts w:hint="default" w:ascii="Times New Roman" w:hAnsi="Times New Roman" w:eastAsia="仿宋" w:cs="Times New Roman"/>
                      <w:b/>
                      <w:bCs/>
                      <w:color w:val="auto"/>
                      <w:szCs w:val="21"/>
                    </w:rPr>
                  </w:pPr>
                </w:p>
              </w:tc>
              <w:tc>
                <w:tcPr>
                  <w:tcW w:w="1080" w:type="pct"/>
                  <w:tcMar>
                    <w:top w:w="0" w:type="dxa"/>
                    <w:left w:w="28" w:type="dxa"/>
                    <w:bottom w:w="0" w:type="dxa"/>
                    <w:right w:w="28" w:type="dxa"/>
                  </w:tcMar>
                  <w:vAlign w:val="center"/>
                </w:tcPr>
                <w:p w14:paraId="4F3BF5C7">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w:t>
                  </w:r>
                  <w:r>
                    <w:rPr>
                      <w:rFonts w:hint="default" w:ascii="Times New Roman" w:hAnsi="Times New Roman" w:eastAsia="仿宋" w:cs="Times New Roman"/>
                      <w:b/>
                      <w:bCs/>
                      <w:color w:val="auto"/>
                      <w:szCs w:val="21"/>
                      <w:lang w:val="en-US" w:eastAsia="zh-CN"/>
                    </w:rPr>
                    <w:t>kg</w:t>
                  </w:r>
                  <w:r>
                    <w:rPr>
                      <w:rFonts w:hint="default" w:ascii="Times New Roman" w:hAnsi="Times New Roman" w:eastAsia="仿宋" w:cs="Times New Roman"/>
                      <w:b/>
                      <w:bCs/>
                      <w:color w:val="auto"/>
                      <w:szCs w:val="21"/>
                    </w:rPr>
                    <w:t>/a</w:t>
                  </w:r>
                </w:p>
              </w:tc>
              <w:tc>
                <w:tcPr>
                  <w:tcW w:w="833" w:type="pct"/>
                  <w:vAlign w:val="center"/>
                </w:tcPr>
                <w:p w14:paraId="1E926989">
                  <w:pPr>
                    <w:contextualSpacing/>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速率kg/h</w:t>
                  </w:r>
                </w:p>
              </w:tc>
              <w:tc>
                <w:tcPr>
                  <w:tcW w:w="904" w:type="pct"/>
                  <w:vMerge w:val="continue"/>
                  <w:vAlign w:val="center"/>
                </w:tcPr>
                <w:p w14:paraId="4BFB1AEE">
                  <w:pPr>
                    <w:contextualSpacing/>
                    <w:rPr>
                      <w:rFonts w:hint="default" w:ascii="Times New Roman" w:hAnsi="Times New Roman" w:eastAsia="仿宋" w:cs="Times New Roman"/>
                      <w:b/>
                      <w:bCs/>
                      <w:color w:val="auto"/>
                      <w:szCs w:val="21"/>
                    </w:rPr>
                  </w:pPr>
                </w:p>
              </w:tc>
            </w:tr>
            <w:tr w14:paraId="77470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97" w:type="pct"/>
                  <w:vAlign w:val="center"/>
                </w:tcPr>
                <w:p w14:paraId="6F393ECC">
                  <w:pPr>
                    <w:contextualSpacing/>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lang w:val="en-US" w:eastAsia="zh-CN"/>
                    </w:rPr>
                    <w:t>滴定实验</w:t>
                  </w:r>
                </w:p>
              </w:tc>
              <w:tc>
                <w:tcPr>
                  <w:tcW w:w="1185" w:type="pct"/>
                  <w:vAlign w:val="center"/>
                </w:tcPr>
                <w:p w14:paraId="119C0782">
                  <w:pPr>
                    <w:contextualSpacing/>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氯化氢</w:t>
                  </w:r>
                </w:p>
              </w:tc>
              <w:tc>
                <w:tcPr>
                  <w:tcW w:w="1080" w:type="pct"/>
                  <w:tcMar>
                    <w:top w:w="0" w:type="dxa"/>
                    <w:left w:w="28" w:type="dxa"/>
                    <w:bottom w:w="0" w:type="dxa"/>
                    <w:right w:w="28" w:type="dxa"/>
                  </w:tcMar>
                  <w:vAlign w:val="center"/>
                </w:tcPr>
                <w:p w14:paraId="3B19CF4B">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0.135</w:t>
                  </w:r>
                </w:p>
              </w:tc>
              <w:tc>
                <w:tcPr>
                  <w:tcW w:w="833" w:type="pct"/>
                  <w:vAlign w:val="center"/>
                </w:tcPr>
                <w:p w14:paraId="21702B9E">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0.0009</w:t>
                  </w:r>
                </w:p>
              </w:tc>
              <w:tc>
                <w:tcPr>
                  <w:tcW w:w="904" w:type="pct"/>
                  <w:vAlign w:val="center"/>
                </w:tcPr>
                <w:p w14:paraId="338DFD5F">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highlight w:val="none"/>
                      <w:lang w:val="en-US" w:eastAsia="zh-CN"/>
                    </w:rPr>
                    <w:t>150</w:t>
                  </w:r>
                </w:p>
              </w:tc>
            </w:tr>
            <w:tr w14:paraId="3A8A9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97" w:type="pct"/>
                  <w:vMerge w:val="restart"/>
                  <w:vAlign w:val="center"/>
                </w:tcPr>
                <w:p w14:paraId="66837A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bCs/>
                      <w:color w:val="auto"/>
                      <w:szCs w:val="21"/>
                      <w:lang w:val="en-US" w:eastAsia="zh-CN"/>
                    </w:rPr>
                    <w:t>制样测试</w:t>
                  </w:r>
                </w:p>
              </w:tc>
              <w:tc>
                <w:tcPr>
                  <w:tcW w:w="1185" w:type="pct"/>
                  <w:vAlign w:val="center"/>
                </w:tcPr>
                <w:p w14:paraId="70833A5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非甲烷总烃</w:t>
                  </w:r>
                </w:p>
              </w:tc>
              <w:tc>
                <w:tcPr>
                  <w:tcW w:w="1080" w:type="pct"/>
                  <w:tcMar>
                    <w:top w:w="0" w:type="dxa"/>
                    <w:left w:w="28" w:type="dxa"/>
                    <w:bottom w:w="0" w:type="dxa"/>
                    <w:right w:w="28" w:type="dxa"/>
                  </w:tcMar>
                  <w:vAlign w:val="center"/>
                </w:tcPr>
                <w:p w14:paraId="0D6F0260">
                  <w:pPr>
                    <w:keepNext w:val="0"/>
                    <w:keepLines w:val="0"/>
                    <w:pageBreakBefore w:val="0"/>
                    <w:widowControl w:val="0"/>
                    <w:kinsoku/>
                    <w:wordWrap/>
                    <w:overflowPunct/>
                    <w:topLinePunct w:val="0"/>
                    <w:autoSpaceDE/>
                    <w:autoSpaceDN/>
                    <w:bidi w:val="0"/>
                    <w:adjustRightInd/>
                    <w:snapToGrid/>
                    <w:contextualSpacing/>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8.1</w:t>
                  </w:r>
                </w:p>
              </w:tc>
              <w:tc>
                <w:tcPr>
                  <w:tcW w:w="833" w:type="pct"/>
                  <w:vAlign w:val="center"/>
                </w:tcPr>
                <w:p w14:paraId="312ADFDB">
                  <w:pPr>
                    <w:keepNext w:val="0"/>
                    <w:keepLines w:val="0"/>
                    <w:pageBreakBefore w:val="0"/>
                    <w:widowControl w:val="0"/>
                    <w:kinsoku/>
                    <w:wordWrap/>
                    <w:overflowPunct/>
                    <w:topLinePunct w:val="0"/>
                    <w:autoSpaceDE/>
                    <w:autoSpaceDN/>
                    <w:bidi w:val="0"/>
                    <w:adjustRightInd/>
                    <w:snapToGrid/>
                    <w:contextualSpacing/>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0.014</w:t>
                  </w:r>
                </w:p>
              </w:tc>
              <w:tc>
                <w:tcPr>
                  <w:tcW w:w="904" w:type="pct"/>
                  <w:vMerge w:val="restart"/>
                  <w:vAlign w:val="center"/>
                </w:tcPr>
                <w:p w14:paraId="28B29789">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600</w:t>
                  </w:r>
                </w:p>
              </w:tc>
            </w:tr>
            <w:tr w14:paraId="313D9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7" w:hRule="atLeast"/>
                <w:jc w:val="center"/>
              </w:trPr>
              <w:tc>
                <w:tcPr>
                  <w:tcW w:w="997" w:type="pct"/>
                  <w:vMerge w:val="continue"/>
                  <w:vAlign w:val="center"/>
                </w:tcPr>
                <w:p w14:paraId="68C20A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Cs w:val="21"/>
                    </w:rPr>
                  </w:pPr>
                </w:p>
              </w:tc>
              <w:tc>
                <w:tcPr>
                  <w:tcW w:w="1185" w:type="pct"/>
                  <w:vAlign w:val="center"/>
                </w:tcPr>
                <w:p w14:paraId="7F3F040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氯化氢</w:t>
                  </w:r>
                </w:p>
              </w:tc>
              <w:tc>
                <w:tcPr>
                  <w:tcW w:w="1080" w:type="pct"/>
                  <w:tcMar>
                    <w:top w:w="0" w:type="dxa"/>
                    <w:left w:w="28" w:type="dxa"/>
                    <w:bottom w:w="0" w:type="dxa"/>
                    <w:right w:w="28" w:type="dxa"/>
                  </w:tcMar>
                  <w:vAlign w:val="center"/>
                </w:tcPr>
                <w:p w14:paraId="183FB3EE">
                  <w:pPr>
                    <w:contextualSpacing/>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0.23</w:t>
                  </w:r>
                </w:p>
              </w:tc>
              <w:tc>
                <w:tcPr>
                  <w:tcW w:w="833" w:type="pct"/>
                  <w:vAlign w:val="center"/>
                </w:tcPr>
                <w:p w14:paraId="12F79134">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0.00</w:t>
                  </w:r>
                  <w:r>
                    <w:rPr>
                      <w:rFonts w:hint="eastAsia" w:eastAsia="仿宋" w:cs="Times New Roman"/>
                      <w:bCs/>
                      <w:color w:val="auto"/>
                      <w:szCs w:val="21"/>
                      <w:lang w:val="en-US" w:eastAsia="zh-CN"/>
                    </w:rPr>
                    <w:t>04</w:t>
                  </w:r>
                </w:p>
              </w:tc>
              <w:tc>
                <w:tcPr>
                  <w:tcW w:w="904" w:type="pct"/>
                  <w:vMerge w:val="continue"/>
                  <w:vAlign w:val="center"/>
                </w:tcPr>
                <w:p w14:paraId="65B41258">
                  <w:pPr>
                    <w:contextualSpacing/>
                    <w:jc w:val="center"/>
                    <w:rPr>
                      <w:rFonts w:hint="default" w:ascii="Times New Roman" w:hAnsi="Times New Roman" w:eastAsia="仿宋" w:cs="Times New Roman"/>
                      <w:bCs/>
                      <w:color w:val="auto"/>
                      <w:szCs w:val="21"/>
                      <w:lang w:val="en-US" w:eastAsia="zh-CN"/>
                    </w:rPr>
                  </w:pPr>
                </w:p>
              </w:tc>
            </w:tr>
            <w:tr w14:paraId="1A00B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6" w:hRule="atLeast"/>
                <w:jc w:val="center"/>
              </w:trPr>
              <w:tc>
                <w:tcPr>
                  <w:tcW w:w="997" w:type="pct"/>
                  <w:vMerge w:val="restart"/>
                  <w:vAlign w:val="center"/>
                </w:tcPr>
                <w:p w14:paraId="7D8112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bCs/>
                      <w:color w:val="auto"/>
                      <w:szCs w:val="21"/>
                      <w:lang w:val="en-US" w:eastAsia="zh-CN"/>
                    </w:rPr>
                    <w:t>焊接测试</w:t>
                  </w:r>
                </w:p>
              </w:tc>
              <w:tc>
                <w:tcPr>
                  <w:tcW w:w="1185" w:type="pct"/>
                  <w:vAlign w:val="center"/>
                </w:tcPr>
                <w:p w14:paraId="366380D7">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highlight w:val="none"/>
                      <w:lang w:val="en-US" w:eastAsia="zh-CN"/>
                    </w:rPr>
                    <w:t>非甲烷总烃</w:t>
                  </w:r>
                </w:p>
              </w:tc>
              <w:tc>
                <w:tcPr>
                  <w:tcW w:w="1080" w:type="pct"/>
                  <w:shd w:val="clear" w:color="auto" w:fill="auto"/>
                  <w:tcMar>
                    <w:top w:w="0" w:type="dxa"/>
                    <w:left w:w="28" w:type="dxa"/>
                    <w:bottom w:w="0" w:type="dxa"/>
                    <w:right w:w="28" w:type="dxa"/>
                  </w:tcMar>
                  <w:vAlign w:val="center"/>
                </w:tcPr>
                <w:p w14:paraId="36B58435">
                  <w:pPr>
                    <w:contextualSpacing/>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1.08</w:t>
                  </w:r>
                </w:p>
              </w:tc>
              <w:tc>
                <w:tcPr>
                  <w:tcW w:w="833" w:type="pct"/>
                  <w:shd w:val="clear" w:color="auto" w:fill="auto"/>
                  <w:tcMar>
                    <w:top w:w="0" w:type="dxa"/>
                    <w:left w:w="28" w:type="dxa"/>
                    <w:bottom w:w="0" w:type="dxa"/>
                    <w:right w:w="28" w:type="dxa"/>
                  </w:tcMar>
                  <w:vAlign w:val="center"/>
                </w:tcPr>
                <w:p w14:paraId="1A3D6B7C">
                  <w:pPr>
                    <w:contextualSpacing/>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0.004</w:t>
                  </w:r>
                </w:p>
              </w:tc>
              <w:tc>
                <w:tcPr>
                  <w:tcW w:w="904" w:type="pct"/>
                  <w:vMerge w:val="restart"/>
                  <w:vAlign w:val="center"/>
                </w:tcPr>
                <w:p w14:paraId="0291A032">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300</w:t>
                  </w:r>
                </w:p>
              </w:tc>
            </w:tr>
            <w:tr w14:paraId="13E21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6" w:hRule="atLeast"/>
                <w:jc w:val="center"/>
              </w:trPr>
              <w:tc>
                <w:tcPr>
                  <w:tcW w:w="997" w:type="pct"/>
                  <w:vMerge w:val="continue"/>
                  <w:vAlign w:val="center"/>
                </w:tcPr>
                <w:p w14:paraId="7D7202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Cs w:val="21"/>
                      <w:lang w:val="en-US"/>
                    </w:rPr>
                  </w:pPr>
                </w:p>
              </w:tc>
              <w:tc>
                <w:tcPr>
                  <w:tcW w:w="1185" w:type="pct"/>
                  <w:vAlign w:val="center"/>
                </w:tcPr>
                <w:p w14:paraId="25B8DD95">
                  <w:pPr>
                    <w:contextualSpacing/>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锡及其化合物</w:t>
                  </w:r>
                </w:p>
              </w:tc>
              <w:tc>
                <w:tcPr>
                  <w:tcW w:w="1913" w:type="pct"/>
                  <w:gridSpan w:val="2"/>
                  <w:tcMar>
                    <w:top w:w="0" w:type="dxa"/>
                    <w:left w:w="28" w:type="dxa"/>
                    <w:bottom w:w="0" w:type="dxa"/>
                    <w:right w:w="28" w:type="dxa"/>
                  </w:tcMar>
                  <w:vAlign w:val="center"/>
                </w:tcPr>
                <w:p w14:paraId="4EEF4043">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不定量分析</w:t>
                  </w:r>
                </w:p>
              </w:tc>
              <w:tc>
                <w:tcPr>
                  <w:tcW w:w="904" w:type="pct"/>
                  <w:vMerge w:val="continue"/>
                  <w:vAlign w:val="center"/>
                </w:tcPr>
                <w:p w14:paraId="10066218">
                  <w:pPr>
                    <w:contextualSpacing/>
                    <w:jc w:val="center"/>
                    <w:rPr>
                      <w:rFonts w:hint="default" w:ascii="Times New Roman" w:hAnsi="Times New Roman" w:eastAsia="仿宋" w:cs="Times New Roman"/>
                      <w:bCs/>
                      <w:color w:val="auto"/>
                      <w:szCs w:val="21"/>
                      <w:lang w:val="en-US" w:eastAsia="zh-CN"/>
                    </w:rPr>
                  </w:pPr>
                </w:p>
              </w:tc>
            </w:tr>
            <w:tr w14:paraId="45BEE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6" w:hRule="atLeast"/>
                <w:jc w:val="center"/>
              </w:trPr>
              <w:tc>
                <w:tcPr>
                  <w:tcW w:w="997" w:type="pct"/>
                  <w:vAlign w:val="center"/>
                </w:tcPr>
                <w:p w14:paraId="0FE7FB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危废仓库</w:t>
                  </w:r>
                </w:p>
              </w:tc>
              <w:tc>
                <w:tcPr>
                  <w:tcW w:w="1185" w:type="pct"/>
                  <w:vAlign w:val="center"/>
                </w:tcPr>
                <w:p w14:paraId="35B93508">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w:t>
                  </w:r>
                  <w:r>
                    <w:rPr>
                      <w:rFonts w:hint="eastAsia" w:ascii="Times New Roman" w:hAnsi="Times New Roman" w:eastAsia="仿宋" w:cs="Times New Roman"/>
                      <w:bCs/>
                      <w:color w:val="auto"/>
                      <w:szCs w:val="21"/>
                      <w:lang w:val="en-US" w:eastAsia="zh-CN"/>
                    </w:rPr>
                    <w:t>、非甲烷总烃</w:t>
                  </w:r>
                </w:p>
              </w:tc>
              <w:tc>
                <w:tcPr>
                  <w:tcW w:w="1913" w:type="pct"/>
                  <w:gridSpan w:val="2"/>
                  <w:tcMar>
                    <w:top w:w="0" w:type="dxa"/>
                    <w:left w:w="28" w:type="dxa"/>
                    <w:bottom w:w="0" w:type="dxa"/>
                    <w:right w:w="28" w:type="dxa"/>
                  </w:tcMar>
                  <w:vAlign w:val="center"/>
                </w:tcPr>
                <w:p w14:paraId="761CF0A4">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不定量分析</w:t>
                  </w:r>
                </w:p>
              </w:tc>
              <w:tc>
                <w:tcPr>
                  <w:tcW w:w="904" w:type="pct"/>
                  <w:vAlign w:val="center"/>
                </w:tcPr>
                <w:p w14:paraId="2EB1F2E5">
                  <w:pPr>
                    <w:contextualSpacing/>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4800</w:t>
                  </w:r>
                </w:p>
              </w:tc>
            </w:tr>
          </w:tbl>
          <w:p w14:paraId="69E3AF6A">
            <w:pPr>
              <w:ind w:firstLine="200" w:firstLineChars="200"/>
              <w:rPr>
                <w:rFonts w:hint="default" w:ascii="Times New Roman" w:hAnsi="Times New Roman" w:eastAsia="仿宋" w:cs="Times New Roman"/>
                <w:color w:val="auto"/>
                <w:sz w:val="10"/>
                <w:szCs w:val="10"/>
              </w:rPr>
            </w:pPr>
          </w:p>
          <w:p w14:paraId="136257E6">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（2）无组织废气</w:t>
            </w:r>
          </w:p>
          <w:p w14:paraId="230EFD02">
            <w:pPr>
              <w:pStyle w:val="11"/>
              <w:spacing w:after="0" w:line="360" w:lineRule="auto"/>
              <w:ind w:left="0" w:leftChars="0" w:firstLine="472" w:firstLineChars="200"/>
              <w:rPr>
                <w:rFonts w:hint="default" w:ascii="Times New Roman" w:hAnsi="Times New Roman" w:eastAsia="仿宋" w:cs="Times New Roman"/>
                <w:color w:val="auto"/>
                <w:spacing w:val="-2"/>
                <w:highlight w:val="none"/>
                <w:lang w:val="en-US" w:eastAsia="zh-CN"/>
              </w:rPr>
            </w:pPr>
            <w:r>
              <w:rPr>
                <w:rFonts w:hint="eastAsia" w:ascii="仿宋" w:hAnsi="仿宋" w:eastAsia="仿宋" w:cs="仿宋"/>
                <w:color w:val="auto"/>
                <w:spacing w:val="-2"/>
                <w:szCs w:val="24"/>
                <w:highlight w:val="none"/>
              </w:rPr>
              <w:t>根据上述工程分析，</w:t>
            </w:r>
            <w:r>
              <w:rPr>
                <w:rFonts w:hint="eastAsia" w:ascii="仿宋" w:hAnsi="仿宋" w:eastAsia="仿宋" w:cs="仿宋"/>
                <w:color w:val="auto"/>
                <w:spacing w:val="-2"/>
                <w:szCs w:val="24"/>
                <w:highlight w:val="none"/>
                <w:lang w:val="en-US" w:eastAsia="zh-CN"/>
              </w:rPr>
              <w:t>无组织废气为</w:t>
            </w:r>
            <w:r>
              <w:rPr>
                <w:rFonts w:hint="eastAsia" w:ascii="仿宋" w:hAnsi="仿宋" w:eastAsia="仿宋" w:cs="仿宋"/>
                <w:bCs/>
                <w:color w:val="auto"/>
                <w:sz w:val="24"/>
                <w:highlight w:val="none"/>
                <w:lang w:val="en-US" w:eastAsia="zh-CN"/>
              </w:rPr>
              <w:t>1#实验室</w:t>
            </w:r>
            <w:r>
              <w:rPr>
                <w:rFonts w:hint="eastAsia" w:ascii="仿宋" w:hAnsi="仿宋" w:eastAsia="仿宋" w:cs="仿宋"/>
                <w:color w:val="auto"/>
                <w:spacing w:val="-2"/>
                <w:szCs w:val="24"/>
                <w:highlight w:val="none"/>
                <w:lang w:val="en-US" w:eastAsia="zh-CN"/>
              </w:rPr>
              <w:t>集气罩</w:t>
            </w:r>
            <w:r>
              <w:rPr>
                <w:rFonts w:hint="eastAsia" w:ascii="仿宋" w:hAnsi="仿宋" w:eastAsia="仿宋" w:cs="仿宋"/>
                <w:color w:val="auto"/>
                <w:spacing w:val="-2"/>
                <w:szCs w:val="24"/>
                <w:highlight w:val="none"/>
              </w:rPr>
              <w:t>未捕集的</w:t>
            </w:r>
            <w:r>
              <w:rPr>
                <w:rFonts w:hint="eastAsia" w:ascii="仿宋" w:hAnsi="仿宋" w:eastAsia="仿宋" w:cs="仿宋"/>
                <w:color w:val="auto"/>
                <w:spacing w:val="-2"/>
                <w:szCs w:val="24"/>
                <w:highlight w:val="none"/>
                <w:lang w:val="en-US" w:eastAsia="zh-CN"/>
              </w:rPr>
              <w:t>废气，</w:t>
            </w:r>
            <w:r>
              <w:rPr>
                <w:rFonts w:hint="eastAsia" w:eastAsia="仿宋" w:cs="Times New Roman"/>
                <w:color w:val="auto"/>
                <w:spacing w:val="-2"/>
                <w:szCs w:val="24"/>
                <w:highlight w:val="none"/>
                <w:lang w:val="en-US" w:eastAsia="zh-CN"/>
              </w:rPr>
              <w:t>将其视为单一面源</w:t>
            </w:r>
            <w:r>
              <w:rPr>
                <w:rFonts w:hint="default" w:ascii="Times New Roman" w:hAnsi="Times New Roman" w:eastAsia="仿宋" w:cs="Times New Roman"/>
                <w:color w:val="auto"/>
                <w:spacing w:val="-2"/>
                <w:szCs w:val="24"/>
                <w:highlight w:val="none"/>
                <w:lang w:val="en-US" w:eastAsia="zh-CN"/>
              </w:rPr>
              <w:t>，</w:t>
            </w:r>
            <w:r>
              <w:rPr>
                <w:rFonts w:hint="default" w:ascii="Times New Roman" w:hAnsi="Times New Roman" w:eastAsia="仿宋" w:cs="Times New Roman"/>
                <w:color w:val="auto"/>
                <w:sz w:val="24"/>
                <w:lang w:val="en-US" w:eastAsia="zh-CN"/>
              </w:rPr>
              <w:t>本项目</w:t>
            </w:r>
            <w:r>
              <w:rPr>
                <w:rFonts w:hint="default" w:ascii="Times New Roman" w:hAnsi="Times New Roman" w:eastAsia="仿宋" w:cs="Times New Roman"/>
                <w:color w:val="auto"/>
                <w:sz w:val="24"/>
              </w:rPr>
              <w:t>无组织废气产生情况</w:t>
            </w:r>
            <w:r>
              <w:rPr>
                <w:rFonts w:hint="default" w:ascii="Times New Roman" w:hAnsi="Times New Roman" w:eastAsia="仿宋" w:cs="Times New Roman"/>
                <w:color w:val="auto"/>
                <w:sz w:val="24"/>
                <w:lang w:val="en-US" w:eastAsia="zh-CN"/>
              </w:rPr>
              <w:t>见下表</w:t>
            </w:r>
            <w:r>
              <w:rPr>
                <w:rFonts w:hint="default" w:ascii="Times New Roman" w:hAnsi="Times New Roman" w:eastAsia="仿宋" w:cs="Times New Roman"/>
                <w:color w:val="auto"/>
                <w:spacing w:val="-2"/>
                <w:szCs w:val="24"/>
                <w:highlight w:val="none"/>
                <w:lang w:val="en-US" w:eastAsia="zh-CN"/>
              </w:rPr>
              <w:t>。</w:t>
            </w:r>
          </w:p>
          <w:p w14:paraId="367300DF">
            <w:pPr>
              <w:widowControl/>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无组织废气产生情况表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4"/>
              <w:gridCol w:w="1144"/>
              <w:gridCol w:w="1649"/>
              <w:gridCol w:w="1336"/>
              <w:gridCol w:w="1019"/>
              <w:gridCol w:w="1017"/>
              <w:gridCol w:w="1267"/>
            </w:tblGrid>
            <w:tr w14:paraId="65FF8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584" w:type="pct"/>
                  <w:vAlign w:val="center"/>
                </w:tcPr>
                <w:p w14:paraId="7D469276">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面源名称</w:t>
                  </w:r>
                </w:p>
              </w:tc>
              <w:tc>
                <w:tcPr>
                  <w:tcW w:w="679" w:type="pct"/>
                  <w:vAlign w:val="center"/>
                </w:tcPr>
                <w:p w14:paraId="3008ADEF">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污染物产生环节</w:t>
                  </w:r>
                </w:p>
              </w:tc>
              <w:tc>
                <w:tcPr>
                  <w:tcW w:w="979" w:type="pct"/>
                  <w:vAlign w:val="center"/>
                </w:tcPr>
                <w:p w14:paraId="623FC638">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793" w:type="pct"/>
                  <w:vAlign w:val="center"/>
                </w:tcPr>
                <w:p w14:paraId="032F79E0">
                  <w:pPr>
                    <w:widowControl/>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w:t>
                  </w:r>
                  <w:r>
                    <w:rPr>
                      <w:rFonts w:hint="default" w:ascii="Times New Roman" w:hAnsi="Times New Roman" w:eastAsia="仿宋" w:cs="Times New Roman"/>
                      <w:b/>
                      <w:bCs/>
                      <w:color w:val="auto"/>
                      <w:szCs w:val="21"/>
                      <w:lang w:val="en-US" w:eastAsia="zh-CN"/>
                    </w:rPr>
                    <w:t>kg</w:t>
                  </w:r>
                  <w:r>
                    <w:rPr>
                      <w:rFonts w:hint="default" w:ascii="Times New Roman" w:hAnsi="Times New Roman" w:eastAsia="仿宋" w:cs="Times New Roman"/>
                      <w:b/>
                      <w:bCs/>
                      <w:color w:val="auto"/>
                      <w:szCs w:val="21"/>
                    </w:rPr>
                    <w:t>/a</w:t>
                  </w:r>
                </w:p>
              </w:tc>
              <w:tc>
                <w:tcPr>
                  <w:tcW w:w="605" w:type="pct"/>
                  <w:shd w:val="clear" w:color="auto" w:fill="auto"/>
                  <w:vAlign w:val="center"/>
                </w:tcPr>
                <w:p w14:paraId="2226B39A">
                  <w:pPr>
                    <w:widowControl/>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产生速率</w:t>
                  </w:r>
                  <w:r>
                    <w:rPr>
                      <w:rFonts w:hint="default" w:ascii="Times New Roman" w:hAnsi="Times New Roman" w:eastAsia="仿宋" w:cs="Times New Roman"/>
                      <w:b/>
                      <w:bCs/>
                      <w:color w:val="auto"/>
                      <w:szCs w:val="21"/>
                    </w:rPr>
                    <w:t>kg/h</w:t>
                  </w:r>
                </w:p>
              </w:tc>
              <w:tc>
                <w:tcPr>
                  <w:tcW w:w="604" w:type="pct"/>
                  <w:shd w:val="clear" w:color="auto" w:fill="auto"/>
                  <w:vAlign w:val="center"/>
                </w:tcPr>
                <w:p w14:paraId="2638141F">
                  <w:pPr>
                    <w:widowControl/>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面源面积（m</w:t>
                  </w:r>
                  <w:r>
                    <w:rPr>
                      <w:rFonts w:hint="default" w:ascii="Times New Roman" w:hAnsi="Times New Roman" w:eastAsia="仿宋" w:cs="Times New Roman"/>
                      <w:b/>
                      <w:bCs/>
                      <w:color w:val="auto"/>
                      <w:szCs w:val="21"/>
                      <w:highlight w:val="none"/>
                      <w:vertAlign w:val="superscript"/>
                    </w:rPr>
                    <w:t>2</w:t>
                  </w:r>
                  <w:r>
                    <w:rPr>
                      <w:rFonts w:hint="default" w:ascii="Times New Roman" w:hAnsi="Times New Roman" w:eastAsia="仿宋" w:cs="Times New Roman"/>
                      <w:b/>
                      <w:bCs/>
                      <w:color w:val="auto"/>
                      <w:szCs w:val="21"/>
                      <w:highlight w:val="none"/>
                    </w:rPr>
                    <w:t>）</w:t>
                  </w:r>
                </w:p>
              </w:tc>
              <w:tc>
                <w:tcPr>
                  <w:tcW w:w="752" w:type="pct"/>
                  <w:shd w:val="clear" w:color="auto" w:fill="auto"/>
                  <w:vAlign w:val="center"/>
                </w:tcPr>
                <w:p w14:paraId="2D61742D">
                  <w:pPr>
                    <w:widowControl/>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面源高度（m）</w:t>
                  </w:r>
                </w:p>
              </w:tc>
            </w:tr>
            <w:tr w14:paraId="1C0F3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584" w:type="pct"/>
                  <w:vMerge w:val="restart"/>
                  <w:vAlign w:val="center"/>
                </w:tcPr>
                <w:p w14:paraId="08C42C5E">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1#实验室</w:t>
                  </w:r>
                </w:p>
              </w:tc>
              <w:tc>
                <w:tcPr>
                  <w:tcW w:w="679" w:type="pct"/>
                  <w:vMerge w:val="restart"/>
                  <w:vAlign w:val="center"/>
                </w:tcPr>
                <w:p w14:paraId="393E14A2">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未捕集的废气</w:t>
                  </w:r>
                </w:p>
              </w:tc>
              <w:tc>
                <w:tcPr>
                  <w:tcW w:w="979" w:type="pct"/>
                  <w:vAlign w:val="center"/>
                </w:tcPr>
                <w:p w14:paraId="5100C1F3">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lang w:val="en-US" w:eastAsia="zh-CN"/>
                    </w:rPr>
                    <w:t>氯化氢</w:t>
                  </w:r>
                </w:p>
              </w:tc>
              <w:tc>
                <w:tcPr>
                  <w:tcW w:w="793" w:type="pct"/>
                  <w:vAlign w:val="center"/>
                </w:tcPr>
                <w:p w14:paraId="0D6E4490">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r>
                    <w:rPr>
                      <w:rFonts w:hint="eastAsia" w:eastAsia="仿宋" w:cs="Times New Roman"/>
                      <w:color w:val="auto"/>
                      <w:szCs w:val="21"/>
                      <w:lang w:val="en-US" w:eastAsia="zh-CN"/>
                    </w:rPr>
                    <w:t>04</w:t>
                  </w:r>
                </w:p>
              </w:tc>
              <w:tc>
                <w:tcPr>
                  <w:tcW w:w="605" w:type="pct"/>
                  <w:shd w:val="clear" w:color="auto" w:fill="auto"/>
                  <w:vAlign w:val="center"/>
                </w:tcPr>
                <w:p w14:paraId="795AC3BF">
                  <w:pPr>
                    <w:widowControl/>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0.00007</w:t>
                  </w:r>
                </w:p>
              </w:tc>
              <w:tc>
                <w:tcPr>
                  <w:tcW w:w="604" w:type="pct"/>
                  <w:vMerge w:val="restart"/>
                  <w:shd w:val="clear" w:color="auto" w:fill="auto"/>
                  <w:vAlign w:val="center"/>
                </w:tcPr>
                <w:p w14:paraId="116C8392">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w:t>
                  </w:r>
                </w:p>
              </w:tc>
              <w:tc>
                <w:tcPr>
                  <w:tcW w:w="752" w:type="pct"/>
                  <w:vMerge w:val="restart"/>
                  <w:shd w:val="clear" w:color="auto" w:fill="auto"/>
                  <w:vAlign w:val="center"/>
                </w:tcPr>
                <w:p w14:paraId="2EA341CD">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w:t>
                  </w:r>
                </w:p>
              </w:tc>
            </w:tr>
            <w:tr w14:paraId="5FA71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trPr>
              <w:tc>
                <w:tcPr>
                  <w:tcW w:w="584" w:type="pct"/>
                  <w:vMerge w:val="continue"/>
                  <w:vAlign w:val="center"/>
                </w:tcPr>
                <w:p w14:paraId="1B64B632">
                  <w:pPr>
                    <w:widowControl/>
                    <w:jc w:val="center"/>
                    <w:rPr>
                      <w:rFonts w:hint="default" w:ascii="Times New Roman" w:hAnsi="Times New Roman" w:eastAsia="仿宋" w:cs="Times New Roman"/>
                      <w:color w:val="auto"/>
                      <w:szCs w:val="21"/>
                    </w:rPr>
                  </w:pPr>
                </w:p>
              </w:tc>
              <w:tc>
                <w:tcPr>
                  <w:tcW w:w="679" w:type="pct"/>
                  <w:vMerge w:val="continue"/>
                  <w:vAlign w:val="center"/>
                </w:tcPr>
                <w:p w14:paraId="1ECCDEB9">
                  <w:pPr>
                    <w:widowControl/>
                    <w:adjustRightInd w:val="0"/>
                    <w:snapToGrid w:val="0"/>
                    <w:jc w:val="center"/>
                    <w:rPr>
                      <w:rFonts w:hint="default" w:ascii="Times New Roman" w:hAnsi="Times New Roman" w:eastAsia="仿宋" w:cs="Times New Roman"/>
                      <w:color w:val="auto"/>
                      <w:szCs w:val="21"/>
                    </w:rPr>
                  </w:pPr>
                </w:p>
              </w:tc>
              <w:tc>
                <w:tcPr>
                  <w:tcW w:w="979" w:type="pct"/>
                  <w:vAlign w:val="center"/>
                </w:tcPr>
                <w:p w14:paraId="3EF73507">
                  <w:pPr>
                    <w:widowControl/>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lang w:val="en-US" w:eastAsia="zh-CN"/>
                    </w:rPr>
                    <w:t>非甲烷总烃</w:t>
                  </w:r>
                </w:p>
              </w:tc>
              <w:tc>
                <w:tcPr>
                  <w:tcW w:w="793" w:type="pct"/>
                  <w:vAlign w:val="center"/>
                </w:tcPr>
                <w:p w14:paraId="3A9CCB5B">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1.02</w:t>
                  </w:r>
                </w:p>
              </w:tc>
              <w:tc>
                <w:tcPr>
                  <w:tcW w:w="605" w:type="pct"/>
                  <w:shd w:val="clear" w:color="auto" w:fill="auto"/>
                  <w:vAlign w:val="center"/>
                </w:tcPr>
                <w:p w14:paraId="610FFA41">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0.002</w:t>
                  </w:r>
                </w:p>
              </w:tc>
              <w:tc>
                <w:tcPr>
                  <w:tcW w:w="604" w:type="pct"/>
                  <w:vMerge w:val="continue"/>
                  <w:shd w:val="clear" w:color="auto" w:fill="auto"/>
                  <w:vAlign w:val="center"/>
                </w:tcPr>
                <w:p w14:paraId="427292D7">
                  <w:pPr>
                    <w:widowControl/>
                    <w:jc w:val="center"/>
                    <w:rPr>
                      <w:rFonts w:hint="default" w:ascii="Times New Roman" w:hAnsi="Times New Roman" w:eastAsia="仿宋" w:cs="Times New Roman"/>
                      <w:color w:val="auto"/>
                      <w:szCs w:val="21"/>
                    </w:rPr>
                  </w:pPr>
                </w:p>
              </w:tc>
              <w:tc>
                <w:tcPr>
                  <w:tcW w:w="752" w:type="pct"/>
                  <w:vMerge w:val="continue"/>
                  <w:shd w:val="clear" w:color="auto" w:fill="auto"/>
                  <w:vAlign w:val="center"/>
                </w:tcPr>
                <w:p w14:paraId="15BECB8A">
                  <w:pPr>
                    <w:widowControl/>
                    <w:jc w:val="center"/>
                    <w:rPr>
                      <w:rFonts w:hint="default" w:ascii="Times New Roman" w:hAnsi="Times New Roman" w:eastAsia="仿宋" w:cs="Times New Roman"/>
                      <w:color w:val="auto"/>
                      <w:szCs w:val="21"/>
                    </w:rPr>
                  </w:pPr>
                </w:p>
              </w:tc>
            </w:tr>
            <w:tr w14:paraId="56BCA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584" w:type="pct"/>
                  <w:vMerge w:val="continue"/>
                  <w:vAlign w:val="center"/>
                </w:tcPr>
                <w:p w14:paraId="581E02DC">
                  <w:pPr>
                    <w:widowControl/>
                    <w:jc w:val="center"/>
                    <w:rPr>
                      <w:rFonts w:hint="default" w:ascii="Times New Roman" w:hAnsi="Times New Roman" w:eastAsia="仿宋" w:cs="Times New Roman"/>
                      <w:color w:val="auto"/>
                      <w:szCs w:val="21"/>
                    </w:rPr>
                  </w:pPr>
                </w:p>
              </w:tc>
              <w:tc>
                <w:tcPr>
                  <w:tcW w:w="679" w:type="pct"/>
                  <w:vMerge w:val="continue"/>
                  <w:vAlign w:val="center"/>
                </w:tcPr>
                <w:p w14:paraId="52D9F01C">
                  <w:pPr>
                    <w:widowControl/>
                    <w:adjustRightInd w:val="0"/>
                    <w:snapToGrid w:val="0"/>
                    <w:jc w:val="center"/>
                    <w:rPr>
                      <w:rFonts w:hint="default" w:ascii="Times New Roman" w:hAnsi="Times New Roman" w:eastAsia="仿宋" w:cs="Times New Roman"/>
                      <w:color w:val="auto"/>
                      <w:szCs w:val="21"/>
                    </w:rPr>
                  </w:pPr>
                </w:p>
              </w:tc>
              <w:tc>
                <w:tcPr>
                  <w:tcW w:w="979" w:type="pct"/>
                  <w:vAlign w:val="center"/>
                </w:tcPr>
                <w:p w14:paraId="7C6F8155">
                  <w:pPr>
                    <w:widowControl/>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锡及其化合物</w:t>
                  </w:r>
                </w:p>
              </w:tc>
              <w:tc>
                <w:tcPr>
                  <w:tcW w:w="1399" w:type="pct"/>
                  <w:gridSpan w:val="2"/>
                  <w:vAlign w:val="center"/>
                </w:tcPr>
                <w:p w14:paraId="238C2363">
                  <w:pPr>
                    <w:widowControl/>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不定量分析</w:t>
                  </w:r>
                </w:p>
              </w:tc>
              <w:tc>
                <w:tcPr>
                  <w:tcW w:w="604" w:type="pct"/>
                  <w:vMerge w:val="continue"/>
                  <w:shd w:val="clear" w:color="auto" w:fill="auto"/>
                  <w:vAlign w:val="center"/>
                </w:tcPr>
                <w:p w14:paraId="3826DA1D">
                  <w:pPr>
                    <w:widowControl/>
                    <w:jc w:val="center"/>
                    <w:rPr>
                      <w:rFonts w:hint="default" w:ascii="Times New Roman" w:hAnsi="Times New Roman" w:eastAsia="仿宋" w:cs="Times New Roman"/>
                      <w:color w:val="auto"/>
                      <w:szCs w:val="21"/>
                    </w:rPr>
                  </w:pPr>
                </w:p>
              </w:tc>
              <w:tc>
                <w:tcPr>
                  <w:tcW w:w="752" w:type="pct"/>
                  <w:vMerge w:val="continue"/>
                  <w:shd w:val="clear" w:color="auto" w:fill="auto"/>
                  <w:vAlign w:val="center"/>
                </w:tcPr>
                <w:p w14:paraId="0F112163">
                  <w:pPr>
                    <w:widowControl/>
                    <w:jc w:val="center"/>
                    <w:rPr>
                      <w:rFonts w:hint="default" w:ascii="Times New Roman" w:hAnsi="Times New Roman" w:eastAsia="仿宋" w:cs="Times New Roman"/>
                      <w:color w:val="auto"/>
                      <w:szCs w:val="21"/>
                    </w:rPr>
                  </w:pPr>
                </w:p>
              </w:tc>
            </w:tr>
          </w:tbl>
          <w:p w14:paraId="641F2AAB">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2、大气污染防治措施</w:t>
            </w:r>
          </w:p>
          <w:p w14:paraId="2DB4B30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（1）有组织废气</w:t>
            </w:r>
          </w:p>
          <w:p w14:paraId="4CC4F297">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①废气收集及治理方案</w:t>
            </w:r>
          </w:p>
          <w:p w14:paraId="7E2BE59A">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本项目废气收集、治理方案具体见下表：</w:t>
            </w:r>
          </w:p>
          <w:p w14:paraId="4AC4EBC9">
            <w:pPr>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3</w:t>
            </w:r>
            <w:r>
              <w:rPr>
                <w:rFonts w:hint="default" w:ascii="Times New Roman" w:hAnsi="Times New Roman" w:eastAsia="仿宋" w:cs="Times New Roman"/>
                <w:b/>
                <w:color w:val="auto"/>
                <w:sz w:val="24"/>
              </w:rPr>
              <w:t xml:space="preserve">  废气收集、处置方案一览表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775"/>
              <w:gridCol w:w="1117"/>
              <w:gridCol w:w="2066"/>
              <w:gridCol w:w="1014"/>
              <w:gridCol w:w="1385"/>
              <w:gridCol w:w="1256"/>
            </w:tblGrid>
            <w:tr w14:paraId="2C01E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14:paraId="016A874F">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产生源</w:t>
                  </w:r>
                </w:p>
              </w:tc>
              <w:tc>
                <w:tcPr>
                  <w:tcW w:w="1123" w:type="pct"/>
                  <w:gridSpan w:val="2"/>
                  <w:vAlign w:val="center"/>
                </w:tcPr>
                <w:p w14:paraId="6CD2648E">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产生环节</w:t>
                  </w:r>
                </w:p>
              </w:tc>
              <w:tc>
                <w:tcPr>
                  <w:tcW w:w="1226" w:type="pct"/>
                  <w:vAlign w:val="center"/>
                </w:tcPr>
                <w:p w14:paraId="32049E8D">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污染物</w:t>
                  </w:r>
                </w:p>
              </w:tc>
              <w:tc>
                <w:tcPr>
                  <w:tcW w:w="602" w:type="pct"/>
                  <w:vAlign w:val="center"/>
                </w:tcPr>
                <w:p w14:paraId="7820FA1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收集</w:t>
                  </w:r>
                </w:p>
                <w:p w14:paraId="71220E77">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方式</w:t>
                  </w:r>
                </w:p>
              </w:tc>
              <w:tc>
                <w:tcPr>
                  <w:tcW w:w="822" w:type="pct"/>
                  <w:vAlign w:val="center"/>
                </w:tcPr>
                <w:p w14:paraId="3F09D30D">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治理措施</w:t>
                  </w:r>
                </w:p>
              </w:tc>
              <w:tc>
                <w:tcPr>
                  <w:tcW w:w="745" w:type="pct"/>
                  <w:vAlign w:val="center"/>
                </w:tcPr>
                <w:p w14:paraId="5B8E8CE8">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排放方式</w:t>
                  </w:r>
                </w:p>
              </w:tc>
            </w:tr>
            <w:tr w14:paraId="724AE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78" w:type="pct"/>
                  <w:vMerge w:val="restart"/>
                  <w:vAlign w:val="center"/>
                </w:tcPr>
                <w:p w14:paraId="5E7F8971">
                  <w:pPr>
                    <w:adjustRightInd w:val="0"/>
                    <w:snapToGrid w:val="0"/>
                    <w:jc w:val="center"/>
                    <w:rPr>
                      <w:rFonts w:hint="default" w:ascii="Times New Roman" w:hAnsi="Times New Roman" w:eastAsia="仿宋" w:cs="Times New Roman"/>
                      <w:bCs/>
                      <w:color w:val="auto"/>
                      <w:szCs w:val="21"/>
                      <w:lang w:val="en-US" w:eastAsia="zh-CN"/>
                    </w:rPr>
                  </w:pPr>
                  <w:r>
                    <w:rPr>
                      <w:rFonts w:hint="eastAsia" w:ascii="仿宋" w:hAnsi="仿宋" w:eastAsia="仿宋" w:cs="仿宋"/>
                      <w:color w:val="auto"/>
                      <w:spacing w:val="-2"/>
                      <w:szCs w:val="24"/>
                      <w:highlight w:val="none"/>
                      <w:lang w:val="en-US" w:eastAsia="zh-CN"/>
                    </w:rPr>
                    <w:t>1#实验</w:t>
                  </w:r>
                  <w:r>
                    <w:rPr>
                      <w:rFonts w:hint="default" w:ascii="Times New Roman" w:hAnsi="Times New Roman" w:eastAsia="仿宋" w:cs="Times New Roman"/>
                      <w:bCs/>
                      <w:color w:val="auto"/>
                      <w:szCs w:val="21"/>
                      <w:lang w:val="en-US" w:eastAsia="zh-CN"/>
                    </w:rPr>
                    <w:t>室</w:t>
                  </w:r>
                </w:p>
              </w:tc>
              <w:tc>
                <w:tcPr>
                  <w:tcW w:w="1123" w:type="pct"/>
                  <w:gridSpan w:val="2"/>
                  <w:vAlign w:val="center"/>
                </w:tcPr>
                <w:p w14:paraId="5DD034F0">
                  <w:pPr>
                    <w:contextualSpacing/>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滴定实验</w:t>
                  </w:r>
                </w:p>
              </w:tc>
              <w:tc>
                <w:tcPr>
                  <w:tcW w:w="1226" w:type="pct"/>
                  <w:vAlign w:val="center"/>
                </w:tcPr>
                <w:p w14:paraId="47FEBF5E">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w:t>
                  </w:r>
                </w:p>
              </w:tc>
              <w:tc>
                <w:tcPr>
                  <w:tcW w:w="602" w:type="pct"/>
                  <w:vMerge w:val="restart"/>
                  <w:vAlign w:val="center"/>
                </w:tcPr>
                <w:p w14:paraId="0B0BB2AA">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集气罩</w:t>
                  </w:r>
                </w:p>
              </w:tc>
              <w:tc>
                <w:tcPr>
                  <w:tcW w:w="822" w:type="pct"/>
                  <w:vMerge w:val="restart"/>
                  <w:vAlign w:val="center"/>
                </w:tcPr>
                <w:p w14:paraId="45F15DCB">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Cs w:val="21"/>
                      <w:lang w:val="en-US" w:eastAsia="zh-CN"/>
                    </w:rPr>
                    <w:t>碱液喷淋塔</w:t>
                  </w:r>
                  <w:r>
                    <w:rPr>
                      <w:rFonts w:hint="eastAsia" w:eastAsia="仿宋" w:cs="Times New Roman"/>
                      <w:color w:val="FF0000"/>
                      <w:szCs w:val="21"/>
                      <w:lang w:eastAsia="zh-CN"/>
                    </w:rPr>
                    <w:t>（</w:t>
                  </w:r>
                  <w:r>
                    <w:rPr>
                      <w:rFonts w:hint="eastAsia" w:eastAsia="仿宋" w:cs="Times New Roman"/>
                      <w:color w:val="FF0000"/>
                      <w:szCs w:val="21"/>
                      <w:lang w:val="en-US" w:eastAsia="zh-CN"/>
                    </w:rPr>
                    <w:t>含吸水填料</w:t>
                  </w:r>
                  <w:r>
                    <w:rPr>
                      <w:rFonts w:hint="eastAsia" w:eastAsia="仿宋" w:cs="Times New Roman"/>
                      <w:color w:val="FF0000"/>
                      <w:szCs w:val="21"/>
                      <w:lang w:eastAsia="zh-CN"/>
                    </w:rPr>
                    <w:t>）</w:t>
                  </w:r>
                  <w:r>
                    <w:rPr>
                      <w:rFonts w:hint="default" w:ascii="Times New Roman" w:hAnsi="Times New Roman" w:eastAsia="仿宋" w:cs="Times New Roman"/>
                      <w:color w:val="auto"/>
                      <w:szCs w:val="21"/>
                      <w:lang w:val="en-US" w:eastAsia="zh-CN"/>
                    </w:rPr>
                    <w:t>+3#两级活性炭吸附装置（依托现有）</w:t>
                  </w:r>
                </w:p>
              </w:tc>
              <w:tc>
                <w:tcPr>
                  <w:tcW w:w="745" w:type="pct"/>
                  <w:vMerge w:val="restart"/>
                  <w:vAlign w:val="center"/>
                </w:tcPr>
                <w:p w14:paraId="44B6E2F8">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Cs w:val="21"/>
                      <w:lang w:val="en-US" w:eastAsia="zh-CN"/>
                    </w:rPr>
                    <w:t>25m高3#排气筒（依托现有）</w:t>
                  </w:r>
                </w:p>
              </w:tc>
            </w:tr>
            <w:tr w14:paraId="0B319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78" w:type="pct"/>
                  <w:vMerge w:val="continue"/>
                  <w:vAlign w:val="center"/>
                </w:tcPr>
                <w:p w14:paraId="050BB75A">
                  <w:pPr>
                    <w:adjustRightInd w:val="0"/>
                    <w:snapToGrid w:val="0"/>
                    <w:jc w:val="center"/>
                    <w:rPr>
                      <w:rFonts w:hint="default" w:ascii="Times New Roman" w:hAnsi="Times New Roman" w:eastAsia="仿宋" w:cs="Times New Roman"/>
                      <w:bCs/>
                      <w:color w:val="auto"/>
                      <w:szCs w:val="21"/>
                    </w:rPr>
                  </w:pPr>
                </w:p>
              </w:tc>
              <w:tc>
                <w:tcPr>
                  <w:tcW w:w="460" w:type="pct"/>
                  <w:vMerge w:val="restart"/>
                  <w:vAlign w:val="center"/>
                </w:tcPr>
                <w:p w14:paraId="18AFCE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制样测试</w:t>
                  </w:r>
                </w:p>
              </w:tc>
              <w:tc>
                <w:tcPr>
                  <w:tcW w:w="663" w:type="pct"/>
                  <w:vAlign w:val="center"/>
                </w:tcPr>
                <w:p w14:paraId="7936EA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制样固化</w:t>
                  </w:r>
                </w:p>
              </w:tc>
              <w:tc>
                <w:tcPr>
                  <w:tcW w:w="1226" w:type="pct"/>
                  <w:vAlign w:val="center"/>
                </w:tcPr>
                <w:p w14:paraId="170B25C2">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非甲烷总烃</w:t>
                  </w:r>
                </w:p>
              </w:tc>
              <w:tc>
                <w:tcPr>
                  <w:tcW w:w="602" w:type="pct"/>
                  <w:vMerge w:val="continue"/>
                  <w:vAlign w:val="center"/>
                </w:tcPr>
                <w:p w14:paraId="50EA98AE">
                  <w:pPr>
                    <w:adjustRightInd w:val="0"/>
                    <w:snapToGrid w:val="0"/>
                    <w:jc w:val="center"/>
                    <w:rPr>
                      <w:rFonts w:hint="default" w:ascii="Times New Roman" w:hAnsi="Times New Roman" w:eastAsia="仿宋" w:cs="Times New Roman"/>
                      <w:bCs/>
                      <w:color w:val="auto"/>
                      <w:szCs w:val="21"/>
                      <w:lang w:val="en-US" w:eastAsia="zh-CN"/>
                    </w:rPr>
                  </w:pPr>
                </w:p>
              </w:tc>
              <w:tc>
                <w:tcPr>
                  <w:tcW w:w="822" w:type="pct"/>
                  <w:vMerge w:val="continue"/>
                  <w:vAlign w:val="center"/>
                </w:tcPr>
                <w:p w14:paraId="7040B43C">
                  <w:pPr>
                    <w:adjustRightInd w:val="0"/>
                    <w:snapToGrid w:val="0"/>
                    <w:jc w:val="center"/>
                    <w:rPr>
                      <w:rFonts w:hint="default" w:ascii="Times New Roman" w:hAnsi="Times New Roman" w:eastAsia="仿宋" w:cs="Times New Roman"/>
                      <w:bCs/>
                      <w:color w:val="auto"/>
                      <w:szCs w:val="21"/>
                    </w:rPr>
                  </w:pPr>
                </w:p>
              </w:tc>
              <w:tc>
                <w:tcPr>
                  <w:tcW w:w="745" w:type="pct"/>
                  <w:vMerge w:val="continue"/>
                  <w:vAlign w:val="center"/>
                </w:tcPr>
                <w:p w14:paraId="7B08D86C">
                  <w:pPr>
                    <w:adjustRightInd w:val="0"/>
                    <w:snapToGrid w:val="0"/>
                    <w:jc w:val="center"/>
                    <w:rPr>
                      <w:rFonts w:hint="default" w:ascii="Times New Roman" w:hAnsi="Times New Roman" w:eastAsia="仿宋" w:cs="Times New Roman"/>
                      <w:bCs/>
                      <w:color w:val="auto"/>
                      <w:szCs w:val="21"/>
                    </w:rPr>
                  </w:pPr>
                </w:p>
              </w:tc>
            </w:tr>
            <w:tr w14:paraId="46B90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78" w:type="pct"/>
                  <w:vMerge w:val="continue"/>
                  <w:vAlign w:val="center"/>
                </w:tcPr>
                <w:p w14:paraId="3614997E">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c>
                <w:tcPr>
                  <w:tcW w:w="460" w:type="pct"/>
                  <w:vMerge w:val="continue"/>
                  <w:vAlign w:val="center"/>
                </w:tcPr>
                <w:p w14:paraId="0F1006D9">
                  <w:pPr>
                    <w:adjustRightInd w:val="0"/>
                    <w:snapToGrid w:val="0"/>
                    <w:jc w:val="center"/>
                    <w:rPr>
                      <w:rFonts w:hint="default" w:ascii="Times New Roman" w:hAnsi="Times New Roman" w:eastAsia="仿宋" w:cs="Times New Roman"/>
                      <w:bCs/>
                      <w:color w:val="auto"/>
                      <w:szCs w:val="21"/>
                      <w:lang w:val="en-US" w:eastAsia="zh-CN"/>
                    </w:rPr>
                  </w:pPr>
                </w:p>
              </w:tc>
              <w:tc>
                <w:tcPr>
                  <w:tcW w:w="663" w:type="pct"/>
                  <w:vAlign w:val="center"/>
                </w:tcPr>
                <w:p w14:paraId="7BAC83A9">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腐蚀</w:t>
                  </w:r>
                </w:p>
              </w:tc>
              <w:tc>
                <w:tcPr>
                  <w:tcW w:w="1226" w:type="pct"/>
                  <w:vAlign w:val="center"/>
                </w:tcPr>
                <w:p w14:paraId="2A8427E3">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氯化氢、非甲烷总烃</w:t>
                  </w:r>
                </w:p>
              </w:tc>
              <w:tc>
                <w:tcPr>
                  <w:tcW w:w="602" w:type="pct"/>
                  <w:vMerge w:val="continue"/>
                  <w:vAlign w:val="center"/>
                </w:tcPr>
                <w:p w14:paraId="778161EB">
                  <w:pPr>
                    <w:adjustRightInd w:val="0"/>
                    <w:snapToGrid w:val="0"/>
                    <w:jc w:val="center"/>
                    <w:rPr>
                      <w:rFonts w:hint="default" w:ascii="Times New Roman" w:hAnsi="Times New Roman" w:eastAsia="仿宋" w:cs="Times New Roman"/>
                      <w:bCs/>
                      <w:color w:val="auto"/>
                      <w:szCs w:val="21"/>
                      <w:lang w:val="en-US" w:eastAsia="zh-CN"/>
                    </w:rPr>
                  </w:pPr>
                </w:p>
              </w:tc>
              <w:tc>
                <w:tcPr>
                  <w:tcW w:w="822" w:type="pct"/>
                  <w:vMerge w:val="continue"/>
                  <w:vAlign w:val="center"/>
                </w:tcPr>
                <w:p w14:paraId="2CE51826">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c>
                <w:tcPr>
                  <w:tcW w:w="745" w:type="pct"/>
                  <w:vMerge w:val="continue"/>
                  <w:vAlign w:val="center"/>
                </w:tcPr>
                <w:p w14:paraId="4D4D5167">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r>
            <w:tr w14:paraId="30607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78" w:type="pct"/>
                  <w:vMerge w:val="continue"/>
                  <w:vAlign w:val="center"/>
                </w:tcPr>
                <w:p w14:paraId="080A5AE6">
                  <w:pPr>
                    <w:adjustRightInd w:val="0"/>
                    <w:snapToGrid w:val="0"/>
                    <w:jc w:val="center"/>
                    <w:rPr>
                      <w:rFonts w:hint="default" w:ascii="Times New Roman" w:hAnsi="Times New Roman" w:eastAsia="仿宋" w:cs="Times New Roman"/>
                      <w:bCs/>
                      <w:color w:val="auto"/>
                      <w:szCs w:val="21"/>
                    </w:rPr>
                  </w:pPr>
                </w:p>
              </w:tc>
              <w:tc>
                <w:tcPr>
                  <w:tcW w:w="460" w:type="pct"/>
                  <w:vMerge w:val="continue"/>
                  <w:shd w:val="clear" w:color="auto" w:fill="auto"/>
                  <w:vAlign w:val="center"/>
                </w:tcPr>
                <w:p w14:paraId="4C37533C">
                  <w:pPr>
                    <w:adjustRightInd w:val="0"/>
                    <w:snapToGrid w:val="0"/>
                    <w:jc w:val="center"/>
                    <w:rPr>
                      <w:rFonts w:hint="default" w:ascii="Times New Roman" w:hAnsi="Times New Roman" w:eastAsia="仿宋" w:cs="Times New Roman"/>
                      <w:bCs/>
                      <w:color w:val="auto"/>
                      <w:szCs w:val="21"/>
                      <w:lang w:val="en-US" w:eastAsia="zh-CN"/>
                    </w:rPr>
                  </w:pPr>
                </w:p>
              </w:tc>
              <w:tc>
                <w:tcPr>
                  <w:tcW w:w="663" w:type="pct"/>
                  <w:shd w:val="clear" w:color="auto" w:fill="auto"/>
                  <w:vAlign w:val="center"/>
                </w:tcPr>
                <w:p w14:paraId="294FAA0D">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清洁</w:t>
                  </w:r>
                </w:p>
              </w:tc>
              <w:tc>
                <w:tcPr>
                  <w:tcW w:w="1226" w:type="pct"/>
                  <w:shd w:val="clear" w:color="auto" w:fill="auto"/>
                  <w:vAlign w:val="center"/>
                </w:tcPr>
                <w:p w14:paraId="69B0F820">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非甲烷总烃</w:t>
                  </w:r>
                </w:p>
              </w:tc>
              <w:tc>
                <w:tcPr>
                  <w:tcW w:w="602" w:type="pct"/>
                  <w:vMerge w:val="continue"/>
                  <w:vAlign w:val="center"/>
                </w:tcPr>
                <w:p w14:paraId="304F49F8">
                  <w:pPr>
                    <w:adjustRightInd w:val="0"/>
                    <w:snapToGrid w:val="0"/>
                    <w:jc w:val="center"/>
                    <w:rPr>
                      <w:rFonts w:hint="default" w:ascii="Times New Roman" w:hAnsi="Times New Roman" w:eastAsia="仿宋" w:cs="Times New Roman"/>
                      <w:bCs/>
                      <w:color w:val="auto"/>
                      <w:szCs w:val="21"/>
                      <w:lang w:val="en-US" w:eastAsia="zh-CN"/>
                    </w:rPr>
                  </w:pPr>
                </w:p>
              </w:tc>
              <w:tc>
                <w:tcPr>
                  <w:tcW w:w="822" w:type="pct"/>
                  <w:vMerge w:val="continue"/>
                  <w:vAlign w:val="center"/>
                </w:tcPr>
                <w:p w14:paraId="55111510">
                  <w:pPr>
                    <w:adjustRightInd w:val="0"/>
                    <w:snapToGrid w:val="0"/>
                    <w:jc w:val="center"/>
                    <w:rPr>
                      <w:rFonts w:hint="default" w:ascii="Times New Roman" w:hAnsi="Times New Roman" w:eastAsia="仿宋" w:cs="Times New Roman"/>
                      <w:bCs/>
                      <w:color w:val="auto"/>
                      <w:szCs w:val="21"/>
                    </w:rPr>
                  </w:pPr>
                </w:p>
              </w:tc>
              <w:tc>
                <w:tcPr>
                  <w:tcW w:w="745" w:type="pct"/>
                  <w:vMerge w:val="continue"/>
                  <w:vAlign w:val="center"/>
                </w:tcPr>
                <w:p w14:paraId="455E3344">
                  <w:pPr>
                    <w:adjustRightInd w:val="0"/>
                    <w:snapToGrid w:val="0"/>
                    <w:jc w:val="center"/>
                    <w:rPr>
                      <w:rFonts w:hint="default" w:ascii="Times New Roman" w:hAnsi="Times New Roman" w:eastAsia="仿宋" w:cs="Times New Roman"/>
                      <w:bCs/>
                      <w:color w:val="auto"/>
                      <w:szCs w:val="21"/>
                    </w:rPr>
                  </w:pPr>
                </w:p>
              </w:tc>
            </w:tr>
            <w:tr w14:paraId="02790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8" w:type="pct"/>
                  <w:vMerge w:val="continue"/>
                  <w:vAlign w:val="center"/>
                </w:tcPr>
                <w:p w14:paraId="2F7D8E4A">
                  <w:pPr>
                    <w:adjustRightInd w:val="0"/>
                    <w:snapToGrid w:val="0"/>
                    <w:jc w:val="center"/>
                    <w:rPr>
                      <w:rFonts w:hint="default" w:ascii="Times New Roman" w:hAnsi="Times New Roman" w:eastAsia="仿宋" w:cs="Times New Roman"/>
                      <w:bCs/>
                      <w:color w:val="auto"/>
                      <w:szCs w:val="21"/>
                    </w:rPr>
                  </w:pPr>
                </w:p>
              </w:tc>
              <w:tc>
                <w:tcPr>
                  <w:tcW w:w="1123" w:type="pct"/>
                  <w:gridSpan w:val="2"/>
                  <w:vAlign w:val="center"/>
                </w:tcPr>
                <w:p w14:paraId="6CC61B82">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焊接测试</w:t>
                  </w:r>
                </w:p>
              </w:tc>
              <w:tc>
                <w:tcPr>
                  <w:tcW w:w="1226" w:type="pct"/>
                  <w:vAlign w:val="center"/>
                </w:tcPr>
                <w:p w14:paraId="65DD7403">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锡及其化合物、非甲烷总烃</w:t>
                  </w:r>
                </w:p>
              </w:tc>
              <w:tc>
                <w:tcPr>
                  <w:tcW w:w="602" w:type="pct"/>
                  <w:vMerge w:val="continue"/>
                  <w:vAlign w:val="center"/>
                </w:tcPr>
                <w:p w14:paraId="5DC0DF23">
                  <w:pPr>
                    <w:adjustRightInd w:val="0"/>
                    <w:snapToGrid w:val="0"/>
                    <w:jc w:val="center"/>
                    <w:rPr>
                      <w:rFonts w:hint="default" w:ascii="Times New Roman" w:hAnsi="Times New Roman" w:eastAsia="仿宋" w:cs="Times New Roman"/>
                      <w:bCs/>
                      <w:color w:val="auto"/>
                      <w:szCs w:val="21"/>
                      <w:lang w:val="en-US" w:eastAsia="zh-CN"/>
                    </w:rPr>
                  </w:pPr>
                </w:p>
              </w:tc>
              <w:tc>
                <w:tcPr>
                  <w:tcW w:w="822" w:type="pct"/>
                  <w:vMerge w:val="continue"/>
                  <w:vAlign w:val="center"/>
                </w:tcPr>
                <w:p w14:paraId="11A9FB5D">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c>
                <w:tcPr>
                  <w:tcW w:w="745" w:type="pct"/>
                  <w:vMerge w:val="continue"/>
                  <w:vAlign w:val="center"/>
                </w:tcPr>
                <w:p w14:paraId="0084D088">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r>
            <w:tr w14:paraId="3D2CC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78" w:type="pct"/>
                  <w:vAlign w:val="center"/>
                </w:tcPr>
                <w:p w14:paraId="14148E96">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危废仓库</w:t>
                  </w:r>
                </w:p>
              </w:tc>
              <w:tc>
                <w:tcPr>
                  <w:tcW w:w="1123" w:type="pct"/>
                  <w:gridSpan w:val="2"/>
                  <w:vAlign w:val="center"/>
                </w:tcPr>
                <w:p w14:paraId="5BC51F6F">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危废暂存</w:t>
                  </w:r>
                </w:p>
              </w:tc>
              <w:tc>
                <w:tcPr>
                  <w:tcW w:w="1226" w:type="pct"/>
                  <w:vAlign w:val="center"/>
                </w:tcPr>
                <w:p w14:paraId="129A8ACF">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氯化氢、非甲烷总烃</w:t>
                  </w:r>
                </w:p>
              </w:tc>
              <w:tc>
                <w:tcPr>
                  <w:tcW w:w="602" w:type="pct"/>
                  <w:vAlign w:val="center"/>
                </w:tcPr>
                <w:p w14:paraId="53942636">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整体换风</w:t>
                  </w:r>
                </w:p>
              </w:tc>
              <w:tc>
                <w:tcPr>
                  <w:tcW w:w="822" w:type="pct"/>
                  <w:vMerge w:val="continue"/>
                  <w:vAlign w:val="center"/>
                </w:tcPr>
                <w:p w14:paraId="4AC0B044">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c>
                <w:tcPr>
                  <w:tcW w:w="745" w:type="pct"/>
                  <w:vMerge w:val="continue"/>
                  <w:vAlign w:val="center"/>
                </w:tcPr>
                <w:p w14:paraId="2D644B0A">
                  <w:pPr>
                    <w:adjustRightInd w:val="0"/>
                    <w:snapToGrid w:val="0"/>
                    <w:jc w:val="center"/>
                    <w:rPr>
                      <w:rFonts w:hint="default" w:ascii="Times New Roman" w:hAnsi="Times New Roman" w:eastAsia="仿宋" w:cs="Times New Roman"/>
                      <w:bCs/>
                      <w:color w:val="auto"/>
                      <w:kern w:val="2"/>
                      <w:sz w:val="21"/>
                      <w:szCs w:val="21"/>
                      <w:lang w:val="en-US" w:eastAsia="zh-CN" w:bidi="ar-SA"/>
                    </w:rPr>
                  </w:pPr>
                </w:p>
              </w:tc>
            </w:tr>
          </w:tbl>
          <w:p w14:paraId="5E889F7C">
            <w:pPr>
              <w:adjustRightInd w:val="0"/>
              <w:snapToGrid w:val="0"/>
              <w:spacing w:line="360" w:lineRule="auto"/>
              <w:ind w:firstLine="200" w:firstLineChars="200"/>
              <w:jc w:val="left"/>
              <w:rPr>
                <w:rFonts w:hint="default" w:ascii="Times New Roman" w:hAnsi="Times New Roman" w:eastAsia="仿宋" w:cs="Times New Roman"/>
                <w:bCs/>
                <w:color w:val="auto"/>
                <w:sz w:val="10"/>
                <w:szCs w:val="10"/>
              </w:rPr>
            </w:pPr>
          </w:p>
          <w:p w14:paraId="68FC029A">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废气收集、净化流程示意图见下图。</w:t>
            </w:r>
          </w:p>
          <w:p w14:paraId="7C4DA594">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object>
                <v:shape id="_x0000_i1030" o:spt="75" type="#_x0000_t75" style="height:168.1pt;width:420.7pt;" o:ole="t" filled="f" o:preferrelative="t" stroked="f" coordsize="21600,21600">
                  <v:path/>
                  <v:fill on="f" focussize="0,0"/>
                  <v:stroke on="f"/>
                  <v:imagedata r:id="rId23" o:title=""/>
                  <o:lock v:ext="edit" aspectratio="f"/>
                  <w10:wrap type="none"/>
                  <w10:anchorlock/>
                </v:shape>
                <o:OLEObject Type="Embed" ProgID="Visio.Drawing.15" ShapeID="_x0000_i1030" DrawAspect="Content" ObjectID="_1468075730" r:id="rId22">
                  <o:LockedField>false</o:LockedField>
                </o:OLEObject>
              </w:object>
            </w:r>
          </w:p>
          <w:p w14:paraId="4D4D0C92">
            <w:pPr>
              <w:pStyle w:val="11"/>
              <w:adjustRightInd w:val="0"/>
              <w:snapToGrid w:val="0"/>
              <w:spacing w:after="0" w:line="360" w:lineRule="auto"/>
              <w:ind w:left="0" w:leftChars="0"/>
              <w:jc w:val="center"/>
              <w:rPr>
                <w:rFonts w:hint="default" w:ascii="Times New Roman" w:hAnsi="Times New Roman" w:eastAsia="仿宋" w:cs="Times New Roman"/>
                <w:b/>
                <w:color w:val="auto"/>
                <w:highlight w:val="none"/>
              </w:rPr>
            </w:pPr>
            <w:r>
              <w:rPr>
                <w:rFonts w:hint="default" w:ascii="Times New Roman" w:hAnsi="Times New Roman" w:eastAsia="仿宋" w:cs="Times New Roman"/>
                <w:b/>
                <w:color w:val="auto"/>
                <w:highlight w:val="none"/>
              </w:rPr>
              <w:t>图4-1 废气收集、净化示意图</w:t>
            </w:r>
          </w:p>
          <w:p w14:paraId="1F4A3C4B">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②废气收集设计参数</w:t>
            </w:r>
          </w:p>
          <w:p w14:paraId="0DF6A59C">
            <w:pPr>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集气罩的集风量根据《废气处理工程技术手册》（王纯、张殿印主编）计算，公式为：</w:t>
            </w:r>
          </w:p>
          <w:p w14:paraId="583A5D37">
            <w:pPr>
              <w:spacing w:line="360" w:lineRule="auto"/>
              <w:ind w:firstLine="480" w:firstLineChars="200"/>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Q=K(A+B)×H×V×3600</w:t>
            </w:r>
          </w:p>
          <w:p w14:paraId="7FE5A5E4">
            <w:pPr>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其中：Q-集气罩设计风量，m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/h；</w:t>
            </w:r>
          </w:p>
          <w:p w14:paraId="2F419AB2">
            <w:pPr>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K-设计安全参数，一般取1.4；</w:t>
            </w:r>
          </w:p>
          <w:p w14:paraId="1F970380">
            <w:pPr>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A+B-集气罩周长，m；</w:t>
            </w:r>
          </w:p>
          <w:p w14:paraId="0303D65F">
            <w:pPr>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H-污染源至集气罩的距离，m；</w:t>
            </w:r>
          </w:p>
          <w:p w14:paraId="06359C5A">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V-设计气体流速，m/s，根据《实验室废气污染控制技术规范》中</w:t>
            </w:r>
            <w:r>
              <w:rPr>
                <w:rFonts w:hint="eastAsia" w:eastAsia="仿宋" w:cs="Times New Roman"/>
                <w:bCs/>
                <w:color w:val="auto"/>
                <w:sz w:val="24"/>
                <w:lang w:eastAsia="zh-CN"/>
              </w:rPr>
              <w:t>“5.4距排风罩开口面最远处废气无组织排放位置控制风速不应低于0.3m/s”</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本项目取值0.5m/s</w:t>
            </w:r>
            <w:r>
              <w:rPr>
                <w:rFonts w:hint="default" w:ascii="Times New Roman" w:hAnsi="Times New Roman" w:eastAsia="仿宋" w:cs="Times New Roman"/>
                <w:bCs/>
                <w:color w:val="auto"/>
                <w:sz w:val="24"/>
              </w:rPr>
              <w:t>。</w:t>
            </w:r>
          </w:p>
          <w:p w14:paraId="6EA2A2C9">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4</w:t>
            </w:r>
            <w:r>
              <w:rPr>
                <w:rFonts w:hint="default" w:ascii="Times New Roman" w:hAnsi="Times New Roman" w:eastAsia="仿宋" w:cs="Times New Roman"/>
                <w:b/>
                <w:color w:val="auto"/>
                <w:sz w:val="24"/>
                <w:highlight w:val="none"/>
              </w:rPr>
              <w:t xml:space="preserve">  废气收集设计参数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946"/>
              <w:gridCol w:w="1654"/>
              <w:gridCol w:w="932"/>
              <w:gridCol w:w="1007"/>
              <w:gridCol w:w="1018"/>
              <w:gridCol w:w="1276"/>
            </w:tblGrid>
            <w:tr w14:paraId="1E8C7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tcBorders>
                    <w:bottom w:val="single" w:color="auto" w:sz="4" w:space="0"/>
                  </w:tcBorders>
                  <w:vAlign w:val="center"/>
                </w:tcPr>
                <w:p w14:paraId="038D6D95">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车间</w:t>
                  </w:r>
                </w:p>
              </w:tc>
              <w:tc>
                <w:tcPr>
                  <w:tcW w:w="562" w:type="pct"/>
                  <w:vAlign w:val="center"/>
                </w:tcPr>
                <w:p w14:paraId="08343AB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产生环节</w:t>
                  </w:r>
                </w:p>
              </w:tc>
              <w:tc>
                <w:tcPr>
                  <w:tcW w:w="982" w:type="pct"/>
                  <w:vAlign w:val="center"/>
                </w:tcPr>
                <w:p w14:paraId="7ECF891C">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收集参数</w:t>
                  </w:r>
                </w:p>
              </w:tc>
              <w:tc>
                <w:tcPr>
                  <w:tcW w:w="553" w:type="pct"/>
                  <w:vAlign w:val="center"/>
                </w:tcPr>
                <w:p w14:paraId="1DA71637">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各环节废气量</w:t>
                  </w:r>
                </w:p>
              </w:tc>
              <w:tc>
                <w:tcPr>
                  <w:tcW w:w="598" w:type="pct"/>
                  <w:vAlign w:val="center"/>
                </w:tcPr>
                <w:p w14:paraId="316A609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废气量</w:t>
                  </w:r>
                  <w:r>
                    <w:rPr>
                      <w:rFonts w:hint="default" w:ascii="Times New Roman" w:hAnsi="Times New Roman" w:eastAsia="仿宋" w:cs="Times New Roman"/>
                      <w:b/>
                      <w:bCs/>
                      <w:color w:val="auto"/>
                      <w:szCs w:val="21"/>
                      <w:lang w:val="en-US" w:eastAsia="zh-CN"/>
                    </w:rPr>
                    <w:t>合计</w:t>
                  </w:r>
                  <w:r>
                    <w:rPr>
                      <w:rFonts w:hint="default" w:ascii="Times New Roman" w:hAnsi="Times New Roman" w:eastAsia="仿宋" w:cs="Times New Roman"/>
                      <w:b/>
                      <w:bCs/>
                      <w:color w:val="auto"/>
                      <w:szCs w:val="21"/>
                    </w:rPr>
                    <w:t>（m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/h）</w:t>
                  </w:r>
                </w:p>
              </w:tc>
              <w:tc>
                <w:tcPr>
                  <w:tcW w:w="604" w:type="pct"/>
                  <w:vAlign w:val="center"/>
                </w:tcPr>
                <w:p w14:paraId="1D6A6C31">
                  <w:pPr>
                    <w:jc w:val="center"/>
                    <w:rPr>
                      <w:rFonts w:hint="eastAsia" w:ascii="Times New Roman" w:hAnsi="Times New Roman" w:eastAsia="仿宋" w:cs="Times New Roman"/>
                      <w:b/>
                      <w:bCs/>
                      <w:color w:val="auto"/>
                      <w:szCs w:val="21"/>
                      <w:lang w:val="en-US" w:eastAsia="zh-CN"/>
                    </w:rPr>
                  </w:pPr>
                  <w:r>
                    <w:rPr>
                      <w:rFonts w:hint="eastAsia" w:eastAsia="仿宋" w:cs="Times New Roman"/>
                      <w:b/>
                      <w:bCs/>
                      <w:color w:val="auto"/>
                      <w:szCs w:val="21"/>
                      <w:lang w:val="en-US" w:eastAsia="zh-CN"/>
                    </w:rPr>
                    <w:t>设计风量</w:t>
                  </w:r>
                  <w:r>
                    <w:rPr>
                      <w:rFonts w:hint="default" w:ascii="Times New Roman" w:hAnsi="Times New Roman" w:eastAsia="仿宋" w:cs="Times New Roman"/>
                      <w:b/>
                      <w:bCs/>
                      <w:color w:val="auto"/>
                      <w:szCs w:val="21"/>
                    </w:rPr>
                    <w:t>（m</w:t>
                  </w:r>
                  <w:r>
                    <w:rPr>
                      <w:rFonts w:hint="default" w:ascii="Times New Roman" w:hAnsi="Times New Roman" w:eastAsia="仿宋" w:cs="Times New Roman"/>
                      <w:b/>
                      <w:bCs/>
                      <w:color w:val="auto"/>
                      <w:szCs w:val="21"/>
                      <w:vertAlign w:val="superscript"/>
                    </w:rPr>
                    <w:t>3</w:t>
                  </w:r>
                  <w:r>
                    <w:rPr>
                      <w:rFonts w:hint="default" w:ascii="Times New Roman" w:hAnsi="Times New Roman" w:eastAsia="仿宋" w:cs="Times New Roman"/>
                      <w:b/>
                      <w:bCs/>
                      <w:color w:val="auto"/>
                      <w:szCs w:val="21"/>
                    </w:rPr>
                    <w:t>/h）</w:t>
                  </w:r>
                </w:p>
              </w:tc>
              <w:tc>
                <w:tcPr>
                  <w:tcW w:w="758" w:type="pct"/>
                  <w:vAlign w:val="center"/>
                </w:tcPr>
                <w:p w14:paraId="566D0207">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措施及排放口编号</w:t>
                  </w:r>
                </w:p>
              </w:tc>
            </w:tr>
            <w:tr w14:paraId="65287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40" w:type="pct"/>
                  <w:tcBorders>
                    <w:top w:val="single" w:color="auto" w:sz="4" w:space="0"/>
                    <w:bottom w:val="single" w:color="auto" w:sz="4" w:space="0"/>
                  </w:tcBorders>
                  <w:vAlign w:val="center"/>
                </w:tcPr>
                <w:p w14:paraId="7E439EEC">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1#</w:t>
                  </w:r>
                  <w:r>
                    <w:rPr>
                      <w:rFonts w:hint="default" w:ascii="Times New Roman" w:hAnsi="Times New Roman" w:eastAsia="仿宋" w:cs="Times New Roman"/>
                      <w:bCs/>
                      <w:color w:val="auto"/>
                      <w:szCs w:val="21"/>
                      <w:lang w:val="en-US" w:eastAsia="zh-CN"/>
                    </w:rPr>
                    <w:t>实验室</w:t>
                  </w:r>
                </w:p>
                <w:p w14:paraId="5CBD637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（本项目）</w:t>
                  </w:r>
                </w:p>
              </w:tc>
              <w:tc>
                <w:tcPr>
                  <w:tcW w:w="562" w:type="pct"/>
                  <w:vAlign w:val="center"/>
                </w:tcPr>
                <w:p w14:paraId="676CBAB1">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滴定实验、制样测试、焊接测试</w:t>
                  </w:r>
                </w:p>
              </w:tc>
              <w:tc>
                <w:tcPr>
                  <w:tcW w:w="982" w:type="pct"/>
                  <w:vAlign w:val="center"/>
                </w:tcPr>
                <w:p w14:paraId="38AC3E1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实验台上方设1个圆形集气罩，内径为350mm，集气罩距离污染源距离0.3m</w:t>
                  </w:r>
                </w:p>
              </w:tc>
              <w:tc>
                <w:tcPr>
                  <w:tcW w:w="553" w:type="pct"/>
                  <w:vAlign w:val="center"/>
                </w:tcPr>
                <w:p w14:paraId="0BBB883D">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831</w:t>
                  </w:r>
                </w:p>
              </w:tc>
              <w:tc>
                <w:tcPr>
                  <w:tcW w:w="598" w:type="pct"/>
                  <w:vMerge w:val="restart"/>
                  <w:vAlign w:val="center"/>
                </w:tcPr>
                <w:p w14:paraId="1FF24C73">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5972</w:t>
                  </w:r>
                </w:p>
              </w:tc>
              <w:tc>
                <w:tcPr>
                  <w:tcW w:w="604" w:type="pct"/>
                  <w:vMerge w:val="restart"/>
                  <w:vAlign w:val="center"/>
                </w:tcPr>
                <w:p w14:paraId="079826ED">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6000</w:t>
                  </w:r>
                </w:p>
              </w:tc>
              <w:tc>
                <w:tcPr>
                  <w:tcW w:w="758" w:type="pct"/>
                  <w:vMerge w:val="restart"/>
                  <w:vAlign w:val="center"/>
                </w:tcPr>
                <w:p w14:paraId="0FF49B5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lang w:val="en-US" w:eastAsia="zh-CN"/>
                    </w:rPr>
                    <w:t>碱液喷淋塔</w:t>
                  </w:r>
                  <w:r>
                    <w:rPr>
                      <w:rFonts w:hint="eastAsia" w:eastAsia="仿宋" w:cs="Times New Roman"/>
                      <w:color w:val="FF0000"/>
                      <w:szCs w:val="21"/>
                      <w:lang w:eastAsia="zh-CN"/>
                    </w:rPr>
                    <w:t>（</w:t>
                  </w:r>
                  <w:r>
                    <w:rPr>
                      <w:rFonts w:hint="eastAsia" w:eastAsia="仿宋" w:cs="Times New Roman"/>
                      <w:color w:val="FF0000"/>
                      <w:szCs w:val="21"/>
                      <w:lang w:val="en-US" w:eastAsia="zh-CN"/>
                    </w:rPr>
                    <w:t>含吸水填料</w:t>
                  </w:r>
                  <w:r>
                    <w:rPr>
                      <w:rFonts w:hint="eastAsia" w:eastAsia="仿宋" w:cs="Times New Roman"/>
                      <w:color w:val="FF0000"/>
                      <w:szCs w:val="21"/>
                      <w:lang w:eastAsia="zh-CN"/>
                    </w:rPr>
                    <w:t>）</w:t>
                  </w:r>
                  <w:r>
                    <w:rPr>
                      <w:rFonts w:hint="default" w:ascii="Times New Roman" w:hAnsi="Times New Roman" w:eastAsia="仿宋" w:cs="Times New Roman"/>
                      <w:color w:val="auto"/>
                      <w:szCs w:val="21"/>
                      <w:lang w:val="en-US" w:eastAsia="zh-CN"/>
                    </w:rPr>
                    <w:t>+3#两级活性炭吸附装置+25m高3#排气筒（依托现有）</w:t>
                  </w:r>
                </w:p>
              </w:tc>
            </w:tr>
            <w:tr w14:paraId="61CF4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40" w:type="pct"/>
                  <w:tcBorders>
                    <w:top w:val="single" w:color="auto" w:sz="4" w:space="0"/>
                  </w:tcBorders>
                  <w:vAlign w:val="center"/>
                </w:tcPr>
                <w:p w14:paraId="62B634F6">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酸洗、防氧化（现有项目）</w:t>
                  </w:r>
                  <w:r>
                    <w:rPr>
                      <w:rFonts w:hint="eastAsia" w:ascii="Times New Roman" w:hAnsi="Times New Roman" w:eastAsia="仿宋" w:cs="Times New Roman"/>
                      <w:bCs/>
                      <w:color w:val="auto"/>
                      <w:szCs w:val="21"/>
                      <w:lang w:val="en-US" w:eastAsia="zh-CN"/>
                    </w:rPr>
                    <w:t>，</w:t>
                  </w:r>
                  <w:r>
                    <w:rPr>
                      <w:rFonts w:hint="default" w:ascii="Times New Roman" w:hAnsi="Times New Roman" w:eastAsia="仿宋" w:cs="Times New Roman"/>
                      <w:bCs/>
                      <w:color w:val="auto"/>
                      <w:szCs w:val="21"/>
                      <w:lang w:val="en-US" w:eastAsia="zh-CN"/>
                    </w:rPr>
                    <w:t>危废仓库</w:t>
                  </w:r>
                  <w:r>
                    <w:rPr>
                      <w:rFonts w:hint="eastAsia" w:eastAsia="仿宋" w:cs="Times New Roman"/>
                      <w:bCs/>
                      <w:color w:val="auto"/>
                      <w:szCs w:val="21"/>
                      <w:lang w:val="en-US" w:eastAsia="zh-CN"/>
                    </w:rPr>
                    <w:t>（本项目、现有项目）</w:t>
                  </w:r>
                </w:p>
              </w:tc>
              <w:tc>
                <w:tcPr>
                  <w:tcW w:w="562" w:type="pct"/>
                  <w:vAlign w:val="center"/>
                </w:tcPr>
                <w:p w14:paraId="0CF2F20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酸洗/防氧化、危废暂存</w:t>
                  </w:r>
                </w:p>
              </w:tc>
              <w:tc>
                <w:tcPr>
                  <w:tcW w:w="982" w:type="pct"/>
                  <w:vAlign w:val="center"/>
                </w:tcPr>
                <w:p w14:paraId="45C69BB2">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集气罩、整体换风</w:t>
                  </w:r>
                </w:p>
              </w:tc>
              <w:tc>
                <w:tcPr>
                  <w:tcW w:w="553" w:type="pct"/>
                  <w:vAlign w:val="center"/>
                </w:tcPr>
                <w:p w14:paraId="689E3CBE">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5141</w:t>
                  </w:r>
                </w:p>
              </w:tc>
              <w:tc>
                <w:tcPr>
                  <w:tcW w:w="598" w:type="pct"/>
                  <w:vMerge w:val="continue"/>
                  <w:vAlign w:val="center"/>
                </w:tcPr>
                <w:p w14:paraId="273E97A4">
                  <w:pPr>
                    <w:jc w:val="center"/>
                    <w:rPr>
                      <w:rFonts w:hint="default" w:ascii="Times New Roman" w:hAnsi="Times New Roman" w:eastAsia="仿宋" w:cs="Times New Roman"/>
                      <w:bCs/>
                      <w:color w:val="auto"/>
                      <w:szCs w:val="21"/>
                      <w:lang w:val="en-US" w:eastAsia="zh-CN"/>
                    </w:rPr>
                  </w:pPr>
                </w:p>
              </w:tc>
              <w:tc>
                <w:tcPr>
                  <w:tcW w:w="604" w:type="pct"/>
                  <w:vMerge w:val="continue"/>
                  <w:vAlign w:val="center"/>
                </w:tcPr>
                <w:p w14:paraId="7A868255">
                  <w:pPr>
                    <w:jc w:val="center"/>
                    <w:rPr>
                      <w:rFonts w:hint="default" w:ascii="Times New Roman" w:hAnsi="Times New Roman" w:eastAsia="仿宋" w:cs="Times New Roman"/>
                      <w:bCs/>
                      <w:color w:val="auto"/>
                      <w:szCs w:val="21"/>
                      <w:lang w:val="en-US" w:eastAsia="zh-CN"/>
                    </w:rPr>
                  </w:pPr>
                </w:p>
              </w:tc>
              <w:tc>
                <w:tcPr>
                  <w:tcW w:w="758" w:type="pct"/>
                  <w:vMerge w:val="continue"/>
                  <w:vAlign w:val="center"/>
                </w:tcPr>
                <w:p w14:paraId="7D6776C2">
                  <w:pPr>
                    <w:jc w:val="center"/>
                    <w:rPr>
                      <w:rFonts w:hint="default" w:ascii="Times New Roman" w:hAnsi="Times New Roman" w:eastAsia="仿宋" w:cs="Times New Roman"/>
                      <w:color w:val="auto"/>
                      <w:szCs w:val="21"/>
                      <w:lang w:val="en-US" w:eastAsia="zh-CN"/>
                    </w:rPr>
                  </w:pPr>
                </w:p>
              </w:tc>
            </w:tr>
          </w:tbl>
          <w:p w14:paraId="69EF5598">
            <w:pPr>
              <w:pStyle w:val="11"/>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firstLineChars="200"/>
              <w:textAlignment w:val="auto"/>
              <w:rPr>
                <w:rFonts w:hint="default" w:ascii="Times New Roman" w:hAnsi="Times New Roman" w:eastAsia="仿宋" w:cs="Times New Roman"/>
                <w:bCs/>
                <w:color w:val="auto"/>
              </w:rPr>
            </w:pPr>
            <w:r>
              <w:rPr>
                <w:rFonts w:hint="default" w:ascii="Times New Roman" w:hAnsi="Times New Roman" w:eastAsia="仿宋" w:cs="Times New Roman"/>
                <w:bCs/>
                <w:color w:val="auto"/>
              </w:rPr>
              <w:t>③废气治理设施运行原理及可行性分析</w:t>
            </w:r>
          </w:p>
          <w:p w14:paraId="4F35AA28">
            <w:pPr>
              <w:pStyle w:val="11"/>
              <w:adjustRightInd w:val="0"/>
              <w:snapToGrid w:val="0"/>
              <w:spacing w:after="0" w:line="360" w:lineRule="auto"/>
              <w:ind w:left="0" w:leftChars="0"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&lt;1&gt;</w:t>
            </w:r>
            <w:r>
              <w:rPr>
                <w:rFonts w:hint="default" w:ascii="Times New Roman" w:hAnsi="Times New Roman" w:eastAsia="仿宋" w:cs="Times New Roman"/>
                <w:color w:val="auto"/>
              </w:rPr>
              <w:t>碱液喷淋塔</w:t>
            </w:r>
          </w:p>
          <w:p w14:paraId="1EE35DFA">
            <w:pPr>
              <w:pStyle w:val="11"/>
              <w:adjustRightInd w:val="0"/>
              <w:snapToGrid w:val="0"/>
              <w:spacing w:after="0" w:line="360" w:lineRule="auto"/>
              <w:ind w:left="0" w:leftChars="0" w:firstLine="48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碱液喷淋塔处理酸性气体主要是采用酸碱中和的原理，酸雾由离心通风机压入或吸入吹入喷淋洗涤塔内，在喷淋塔内设置高效雾化系统，在该区段空间充满着由雾化器喷出的粒径为100-300μm的雾化液滴，烟气中酸雾与吸收碱液充分反应，去除率90%以上（本评价取保守值75%）。喷雾系统的合理选型及科学布置，使该雾化区形成无死角、重叠少的</w:t>
            </w:r>
            <w:r>
              <w:rPr>
                <w:rFonts w:hint="eastAsia" w:eastAsia="仿宋" w:cs="Times New Roman"/>
                <w:color w:val="auto"/>
                <w:highlight w:val="none"/>
                <w:lang w:val="en-US" w:eastAsia="zh-CN"/>
              </w:rPr>
              <w:t>雾化</w:t>
            </w:r>
            <w:r>
              <w:rPr>
                <w:rFonts w:hint="default" w:ascii="Times New Roman" w:hAnsi="Times New Roman" w:eastAsia="仿宋" w:cs="Times New Roman"/>
                <w:color w:val="auto"/>
                <w:highlight w:val="none"/>
                <w:lang w:val="en-US" w:eastAsia="zh-CN"/>
              </w:rPr>
              <w:t>滴相碰，其中酸雾与吸收液进行酸碱反应，从而被脱除，同时残留烟尘被带上“水珠”，质量增大。除酸后的液体落入塔体底部，定时定期排入喷淋塔后设置的收集系统，适当补充（由pH计控制酸碱度），喷淋泵浦循环喷淋吸收，充分彻底地去除酸雾。碱液喷淋塔也可对锡焊过程中产生的锡烟进行过滤，属于湿式过滤。由于废气经过碱液喷淋塔处理后会带有水汽，因此本项目在塔顶填充吸水填料</w:t>
            </w:r>
            <w:r>
              <w:rPr>
                <w:rFonts w:hint="eastAsia" w:eastAsia="仿宋" w:cs="Times New Roman"/>
                <w:color w:val="FF0000"/>
                <w:highlight w:val="none"/>
                <w:lang w:val="en-US" w:eastAsia="zh-CN"/>
              </w:rPr>
              <w:t>（PP空心除雾球）</w:t>
            </w:r>
            <w:r>
              <w:rPr>
                <w:rFonts w:hint="default" w:ascii="Times New Roman" w:hAnsi="Times New Roman" w:eastAsia="仿宋" w:cs="Times New Roman"/>
                <w:color w:val="auto"/>
                <w:highlight w:val="none"/>
                <w:lang w:val="en-US" w:eastAsia="zh-CN"/>
              </w:rPr>
              <w:t>以吸附</w:t>
            </w:r>
            <w:r>
              <w:rPr>
                <w:rFonts w:hint="eastAsia" w:eastAsia="仿宋" w:cs="Times New Roman"/>
                <w:color w:val="auto"/>
                <w:highlight w:val="none"/>
                <w:lang w:val="en-US" w:eastAsia="zh-CN"/>
              </w:rPr>
              <w:t>水汽</w:t>
            </w:r>
            <w:r>
              <w:rPr>
                <w:rFonts w:hint="default" w:ascii="Times New Roman" w:hAnsi="Times New Roman" w:eastAsia="仿宋" w:cs="Times New Roman"/>
                <w:color w:val="auto"/>
                <w:highlight w:val="none"/>
                <w:lang w:val="en-US" w:eastAsia="zh-CN"/>
              </w:rPr>
              <w:t>，从而保护后续两级活性炭吸附装置。</w:t>
            </w:r>
          </w:p>
          <w:p w14:paraId="3C90A678">
            <w:pPr>
              <w:pStyle w:val="11"/>
              <w:adjustRightInd w:val="0"/>
              <w:snapToGrid w:val="0"/>
              <w:spacing w:after="0" w:line="360" w:lineRule="auto"/>
              <w:ind w:left="0" w:leftChars="0" w:firstLine="480"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&lt;2&gt;两级活性炭吸附装置</w:t>
            </w:r>
          </w:p>
          <w:p w14:paraId="03C84760">
            <w:pPr>
              <w:pStyle w:val="11"/>
              <w:adjustRightInd w:val="0"/>
              <w:snapToGrid w:val="0"/>
              <w:spacing w:after="0" w:line="360" w:lineRule="auto"/>
              <w:ind w:left="0" w:leftChars="0" w:firstLine="480" w:firstLineChars="200"/>
              <w:rPr>
                <w:rFonts w:hint="default" w:ascii="Times New Roman" w:hAnsi="Times New Roman" w:eastAsia="仿宋" w:cs="Times New Roman"/>
                <w:bCs/>
                <w:color w:val="auto"/>
              </w:rPr>
            </w:pPr>
            <w:r>
              <w:rPr>
                <w:rFonts w:hint="default" w:ascii="Times New Roman" w:hAnsi="Times New Roman" w:eastAsia="仿宋" w:cs="Times New Roman"/>
                <w:bCs/>
                <w:color w:val="auto"/>
              </w:rPr>
              <w:t>吸附原理：在用多孔性固体物质处理流体混合物时，流体中的某些组分可被吸引到固体表面并浓集保持其上，此现象称为吸附。在进行气态污染物治理中，被处理的流体为气体，因此属于气-固吸附。被吸附的气体组分称为吸附质，多孔固体物质称为吸附剂。</w:t>
            </w:r>
          </w:p>
          <w:p w14:paraId="6F09D44C">
            <w:pPr>
              <w:pStyle w:val="11"/>
              <w:adjustRightInd w:val="0"/>
              <w:snapToGrid w:val="0"/>
              <w:spacing w:after="0" w:line="360" w:lineRule="auto"/>
              <w:ind w:left="0" w:leftChars="0" w:firstLine="48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bCs/>
                <w:color w:val="auto"/>
              </w:rPr>
              <w:t>活性炭参数如下表：</w:t>
            </w:r>
          </w:p>
          <w:p w14:paraId="24C4DDD5">
            <w:pPr>
              <w:spacing w:line="320" w:lineRule="exact"/>
              <w:jc w:val="center"/>
              <w:rPr>
                <w:rFonts w:hint="default" w:ascii="Times New Roman" w:hAnsi="Times New Roman" w:eastAsia="仿宋" w:cs="Times New Roman"/>
                <w:b/>
                <w:color w:val="auto"/>
                <w:sz w:val="24"/>
                <w:szCs w:val="22"/>
              </w:rPr>
            </w:pPr>
            <w:r>
              <w:rPr>
                <w:rFonts w:hint="default" w:ascii="Times New Roman" w:hAnsi="Times New Roman" w:eastAsia="仿宋" w:cs="Times New Roman"/>
                <w:b/>
                <w:color w:val="auto"/>
                <w:sz w:val="24"/>
                <w:szCs w:val="22"/>
              </w:rPr>
              <w:t>表4-</w:t>
            </w:r>
            <w:r>
              <w:rPr>
                <w:rFonts w:hint="eastAsia" w:eastAsia="仿宋" w:cs="Times New Roman"/>
                <w:b/>
                <w:color w:val="auto"/>
                <w:sz w:val="24"/>
                <w:szCs w:val="22"/>
                <w:lang w:val="en-US" w:eastAsia="zh-CN"/>
              </w:rPr>
              <w:t>5</w:t>
            </w:r>
            <w:r>
              <w:rPr>
                <w:rFonts w:hint="default" w:ascii="Times New Roman" w:hAnsi="Times New Roman" w:eastAsia="仿宋" w:cs="Times New Roman"/>
                <w:b/>
                <w:color w:val="auto"/>
                <w:sz w:val="24"/>
                <w:szCs w:val="22"/>
              </w:rPr>
              <w:t xml:space="preserve">  蜂窝活性炭质量参数一览表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2837"/>
              <w:gridCol w:w="4685"/>
            </w:tblGrid>
            <w:tr w14:paraId="44246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vAlign w:val="center"/>
                </w:tcPr>
                <w:p w14:paraId="18185877">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序号</w:t>
                  </w:r>
                </w:p>
              </w:tc>
              <w:tc>
                <w:tcPr>
                  <w:tcW w:w="1685" w:type="pct"/>
                  <w:tcBorders>
                    <w:tl2br w:val="nil"/>
                    <w:tr2bl w:val="nil"/>
                  </w:tcBorders>
                  <w:vAlign w:val="center"/>
                </w:tcPr>
                <w:p w14:paraId="6E3E45D6">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项目名称</w:t>
                  </w:r>
                </w:p>
              </w:tc>
              <w:tc>
                <w:tcPr>
                  <w:tcW w:w="2783" w:type="pct"/>
                  <w:tcBorders>
                    <w:tl2br w:val="nil"/>
                    <w:tr2bl w:val="nil"/>
                  </w:tcBorders>
                  <w:vAlign w:val="center"/>
                </w:tcPr>
                <w:p w14:paraId="23DE015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操作参数指标</w:t>
                  </w:r>
                </w:p>
              </w:tc>
            </w:tr>
            <w:tr w14:paraId="23AC4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522B7CF7">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1</w:t>
                  </w:r>
                </w:p>
              </w:tc>
              <w:tc>
                <w:tcPr>
                  <w:tcW w:w="1685" w:type="pct"/>
                  <w:tcBorders>
                    <w:tl2br w:val="nil"/>
                    <w:tr2bl w:val="nil"/>
                  </w:tcBorders>
                  <w:vAlign w:val="center"/>
                </w:tcPr>
                <w:p w14:paraId="40D3E29A">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活性炭类别</w:t>
                  </w:r>
                </w:p>
              </w:tc>
              <w:tc>
                <w:tcPr>
                  <w:tcW w:w="2783" w:type="pct"/>
                  <w:tcBorders>
                    <w:tl2br w:val="nil"/>
                    <w:tr2bl w:val="nil"/>
                  </w:tcBorders>
                  <w:vAlign w:val="center"/>
                </w:tcPr>
                <w:p w14:paraId="42AA070A">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color w:val="auto"/>
                      <w:szCs w:val="21"/>
                      <w:highlight w:val="none"/>
                      <w:lang w:val="en-US" w:eastAsia="zh-CN"/>
                    </w:rPr>
                    <w:t>蜂窝</w:t>
                  </w:r>
                  <w:r>
                    <w:rPr>
                      <w:rFonts w:hint="default" w:ascii="Times New Roman" w:hAnsi="Times New Roman" w:eastAsia="仿宋" w:cs="Times New Roman"/>
                      <w:color w:val="auto"/>
                      <w:szCs w:val="21"/>
                      <w:highlight w:val="none"/>
                    </w:rPr>
                    <w:t>活性炭</w:t>
                  </w:r>
                </w:p>
              </w:tc>
            </w:tr>
            <w:tr w14:paraId="524C1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44CEEC59">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2</w:t>
                  </w:r>
                </w:p>
              </w:tc>
              <w:tc>
                <w:tcPr>
                  <w:tcW w:w="1685" w:type="pct"/>
                  <w:tcBorders>
                    <w:tl2br w:val="nil"/>
                    <w:tr2bl w:val="nil"/>
                  </w:tcBorders>
                  <w:vAlign w:val="center"/>
                </w:tcPr>
                <w:p w14:paraId="33213981">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工作方式</w:t>
                  </w:r>
                </w:p>
              </w:tc>
              <w:tc>
                <w:tcPr>
                  <w:tcW w:w="2783" w:type="pct"/>
                  <w:tcBorders>
                    <w:tl2br w:val="nil"/>
                    <w:tr2bl w:val="nil"/>
                  </w:tcBorders>
                  <w:vAlign w:val="center"/>
                </w:tcPr>
                <w:p w14:paraId="0CE0C60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连续运行</w:t>
                  </w:r>
                </w:p>
              </w:tc>
            </w:tr>
            <w:tr w14:paraId="2B5FF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39A5E47C">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rPr>
                    <w:t>3</w:t>
                  </w:r>
                </w:p>
              </w:tc>
              <w:tc>
                <w:tcPr>
                  <w:tcW w:w="1685" w:type="pct"/>
                  <w:tcBorders>
                    <w:tl2br w:val="nil"/>
                    <w:tr2bl w:val="nil"/>
                  </w:tcBorders>
                  <w:vAlign w:val="center"/>
                </w:tcPr>
                <w:p w14:paraId="2D573C4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单级活性炭VOCs去除率</w:t>
                  </w:r>
                </w:p>
              </w:tc>
              <w:tc>
                <w:tcPr>
                  <w:tcW w:w="2783" w:type="pct"/>
                  <w:tcBorders>
                    <w:tl2br w:val="nil"/>
                    <w:tr2bl w:val="nil"/>
                  </w:tcBorders>
                  <w:vAlign w:val="center"/>
                </w:tcPr>
                <w:p w14:paraId="50887DF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≥75%</w:t>
                  </w:r>
                </w:p>
              </w:tc>
            </w:tr>
            <w:tr w14:paraId="02BE7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54700FCA">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4</w:t>
                  </w:r>
                </w:p>
              </w:tc>
              <w:tc>
                <w:tcPr>
                  <w:tcW w:w="1685" w:type="pct"/>
                  <w:tcBorders>
                    <w:tl2br w:val="nil"/>
                    <w:tr2bl w:val="nil"/>
                  </w:tcBorders>
                  <w:vAlign w:val="center"/>
                </w:tcPr>
                <w:p w14:paraId="43D82971">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接触速度</w:t>
                  </w:r>
                </w:p>
              </w:tc>
              <w:tc>
                <w:tcPr>
                  <w:tcW w:w="2783" w:type="pct"/>
                  <w:tcBorders>
                    <w:tl2br w:val="nil"/>
                    <w:tr2bl w:val="nil"/>
                  </w:tcBorders>
                  <w:vAlign w:val="center"/>
                </w:tcPr>
                <w:p w14:paraId="3B83C2D9">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≤1.2m/s</w:t>
                  </w:r>
                </w:p>
              </w:tc>
            </w:tr>
            <w:tr w14:paraId="2C614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755C3343">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5</w:t>
                  </w:r>
                </w:p>
              </w:tc>
              <w:tc>
                <w:tcPr>
                  <w:tcW w:w="1685" w:type="pct"/>
                  <w:tcBorders>
                    <w:tl2br w:val="nil"/>
                    <w:tr2bl w:val="nil"/>
                  </w:tcBorders>
                  <w:vAlign w:val="center"/>
                </w:tcPr>
                <w:p w14:paraId="5738D82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两级</w:t>
                  </w:r>
                  <w:r>
                    <w:rPr>
                      <w:rFonts w:hint="default" w:ascii="Times New Roman" w:hAnsi="Times New Roman" w:eastAsia="仿宋" w:cs="Times New Roman"/>
                      <w:bCs/>
                      <w:color w:val="auto"/>
                      <w:szCs w:val="21"/>
                    </w:rPr>
                    <w:t>活性炭填充量</w:t>
                  </w:r>
                </w:p>
              </w:tc>
              <w:tc>
                <w:tcPr>
                  <w:tcW w:w="2783" w:type="pct"/>
                  <w:tcBorders>
                    <w:tl2br w:val="nil"/>
                    <w:tr2bl w:val="nil"/>
                  </w:tcBorders>
                  <w:vAlign w:val="center"/>
                </w:tcPr>
                <w:p w14:paraId="2CAEB981">
                  <w:pPr>
                    <w:adjustRightInd w:val="0"/>
                    <w:snapToGrid w:val="0"/>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900kg</w:t>
                  </w:r>
                </w:p>
              </w:tc>
            </w:tr>
            <w:tr w14:paraId="4933A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shd w:val="clear" w:color="auto" w:fill="auto"/>
                  <w:vAlign w:val="center"/>
                </w:tcPr>
                <w:p w14:paraId="4E1C3FEF">
                  <w:pPr>
                    <w:adjustRightInd w:val="0"/>
                    <w:snapToGrid w:val="0"/>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6</w:t>
                  </w:r>
                </w:p>
              </w:tc>
              <w:tc>
                <w:tcPr>
                  <w:tcW w:w="1685" w:type="pct"/>
                  <w:tcBorders>
                    <w:tl2br w:val="nil"/>
                    <w:tr2bl w:val="nil"/>
                  </w:tcBorders>
                  <w:vAlign w:val="center"/>
                </w:tcPr>
                <w:p w14:paraId="2124F9D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体积密度</w:t>
                  </w:r>
                </w:p>
              </w:tc>
              <w:tc>
                <w:tcPr>
                  <w:tcW w:w="2783" w:type="pct"/>
                  <w:tcBorders>
                    <w:tl2br w:val="nil"/>
                    <w:tr2bl w:val="nil"/>
                  </w:tcBorders>
                  <w:vAlign w:val="center"/>
                </w:tcPr>
                <w:p w14:paraId="22275D5D">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650kg</w:t>
                  </w:r>
                  <w:r>
                    <w:rPr>
                      <w:rFonts w:hint="default" w:ascii="Times New Roman" w:hAnsi="Times New Roman" w:eastAsia="仿宋" w:cs="Times New Roman"/>
                      <w:bCs/>
                      <w:color w:val="auto"/>
                      <w:szCs w:val="21"/>
                    </w:rPr>
                    <w:t>/m</w:t>
                  </w:r>
                  <w:r>
                    <w:rPr>
                      <w:rFonts w:hint="default" w:ascii="Times New Roman" w:hAnsi="Times New Roman" w:eastAsia="仿宋" w:cs="Times New Roman"/>
                      <w:bCs/>
                      <w:color w:val="auto"/>
                      <w:szCs w:val="21"/>
                      <w:vertAlign w:val="superscript"/>
                    </w:rPr>
                    <w:t>3</w:t>
                  </w:r>
                </w:p>
              </w:tc>
            </w:tr>
            <w:tr w14:paraId="7B07D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1" w:type="pct"/>
                  <w:tcBorders>
                    <w:tl2br w:val="nil"/>
                    <w:tr2bl w:val="nil"/>
                  </w:tcBorders>
                  <w:vAlign w:val="center"/>
                </w:tcPr>
                <w:p w14:paraId="326DF10C">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7</w:t>
                  </w:r>
                </w:p>
              </w:tc>
              <w:tc>
                <w:tcPr>
                  <w:tcW w:w="1685" w:type="pct"/>
                  <w:tcBorders>
                    <w:tl2br w:val="nil"/>
                    <w:tr2bl w:val="nil"/>
                  </w:tcBorders>
                  <w:vAlign w:val="center"/>
                </w:tcPr>
                <w:p w14:paraId="335F21C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碘吸附值（mg/g）</w:t>
                  </w:r>
                </w:p>
              </w:tc>
              <w:tc>
                <w:tcPr>
                  <w:tcW w:w="2783" w:type="pct"/>
                  <w:tcBorders>
                    <w:tl2br w:val="nil"/>
                    <w:tr2bl w:val="nil"/>
                  </w:tcBorders>
                  <w:vAlign w:val="center"/>
                </w:tcPr>
                <w:p w14:paraId="762086AF">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≥800</w:t>
                  </w:r>
                </w:p>
              </w:tc>
            </w:tr>
          </w:tbl>
          <w:p w14:paraId="645ED466">
            <w:pPr>
              <w:pStyle w:val="11"/>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根据《材料研究与应用》2010年12月第4卷第4期，余倩等人《活性炭吸附技术对VOCs净化处理的研究进展》一文，采用两级活性炭吸附法能够使VOCs的去除率高达90-95%，本项目保守估计取90%。</w:t>
            </w:r>
          </w:p>
          <w:p w14:paraId="35C6C75A">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本项目参考《排污许可证申请与核发技术规范  电子工业》（HJ1031-2019）中电子工业排污单位废气防治可行技术参考表</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处理氯化氢的可行技术为碱液喷淋洗涤吸收法，处理挥发性有机物的可行技术为活性炭吸附法、燃烧法、浓缩+燃烧法</w:t>
            </w:r>
            <w:r>
              <w:rPr>
                <w:rFonts w:hint="default" w:ascii="Times New Roman" w:hAnsi="Times New Roman" w:eastAsia="仿宋" w:cs="Times New Roman"/>
                <w:color w:val="auto"/>
              </w:rPr>
              <w:t>。</w:t>
            </w:r>
          </w:p>
          <w:p w14:paraId="20598B46">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仿宋" w:cs="Times New Roman"/>
                <w:color w:val="auto"/>
              </w:rPr>
            </w:pPr>
            <w:r>
              <w:rPr>
                <w:rFonts w:hint="eastAsia" w:ascii="Times New Roman" w:hAnsi="Times New Roman" w:eastAsia="仿宋" w:cs="Times New Roman"/>
                <w:color w:val="auto"/>
              </w:rPr>
              <w:t>根据无锡市新环化工环境监测站于2</w:t>
            </w:r>
            <w:r>
              <w:rPr>
                <w:rFonts w:hint="default" w:ascii="Times New Roman" w:hAnsi="Times New Roman" w:eastAsia="仿宋" w:cs="Times New Roman"/>
                <w:color w:val="auto"/>
              </w:rPr>
              <w:t>019</w:t>
            </w:r>
            <w:r>
              <w:rPr>
                <w:rFonts w:hint="eastAsia" w:ascii="Times New Roman" w:hAnsi="Times New Roman" w:eastAsia="仿宋" w:cs="Times New Roman"/>
                <w:color w:val="auto"/>
              </w:rPr>
              <w:t>年3月对“常州市博源塑业有限公司年产2</w:t>
            </w:r>
            <w:r>
              <w:rPr>
                <w:rFonts w:hint="default" w:ascii="Times New Roman" w:hAnsi="Times New Roman" w:eastAsia="仿宋" w:cs="Times New Roman"/>
                <w:color w:val="auto"/>
              </w:rPr>
              <w:t>60</w:t>
            </w:r>
            <w:r>
              <w:rPr>
                <w:rFonts w:hint="eastAsia" w:ascii="Times New Roman" w:hAnsi="Times New Roman" w:eastAsia="仿宋" w:cs="Times New Roman"/>
                <w:color w:val="auto"/>
              </w:rPr>
              <w:t>万件塑料制品项目”的“两级活性炭吸附装置”废气进出口的验收检测数据，具体见下表。</w:t>
            </w:r>
          </w:p>
          <w:p w14:paraId="0C82FC08">
            <w:pPr>
              <w:adjustRightInd w:val="0"/>
              <w:snapToGrid w:val="0"/>
              <w:jc w:val="center"/>
              <w:rPr>
                <w:rFonts w:ascii="仿宋" w:hAnsi="仿宋" w:eastAsia="仿宋"/>
                <w:b/>
                <w:color w:val="auto"/>
                <w:sz w:val="24"/>
                <w:highlight w:val="none"/>
              </w:rPr>
            </w:pPr>
            <w:r>
              <w:rPr>
                <w:rFonts w:hint="eastAsia" w:ascii="仿宋" w:hAnsi="仿宋" w:eastAsia="仿宋"/>
                <w:b/>
                <w:color w:val="auto"/>
                <w:sz w:val="24"/>
                <w:highlight w:val="none"/>
              </w:rPr>
              <w:t>表4-</w:t>
            </w:r>
            <w:r>
              <w:rPr>
                <w:rFonts w:hint="eastAsia" w:ascii="仿宋" w:hAnsi="仿宋" w:eastAsia="仿宋"/>
                <w:b/>
                <w:color w:val="auto"/>
                <w:sz w:val="24"/>
                <w:highlight w:val="none"/>
                <w:lang w:val="en-US" w:eastAsia="zh-CN"/>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 xml:space="preserve"> 工程实例废气监测结果表</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402"/>
              <w:gridCol w:w="1402"/>
              <w:gridCol w:w="1402"/>
              <w:gridCol w:w="1402"/>
              <w:gridCol w:w="1408"/>
            </w:tblGrid>
            <w:tr w14:paraId="02F84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noWrap w:val="0"/>
                  <w:vAlign w:val="center"/>
                </w:tcPr>
                <w:p w14:paraId="06D56373">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项目点位</w:t>
                  </w:r>
                </w:p>
              </w:tc>
              <w:tc>
                <w:tcPr>
                  <w:tcW w:w="833" w:type="pct"/>
                  <w:vMerge w:val="restart"/>
                  <w:noWrap w:val="0"/>
                  <w:vAlign w:val="center"/>
                </w:tcPr>
                <w:p w14:paraId="4F7E2F9F">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监测时间</w:t>
                  </w:r>
                </w:p>
              </w:tc>
              <w:tc>
                <w:tcPr>
                  <w:tcW w:w="3335" w:type="pct"/>
                  <w:gridSpan w:val="4"/>
                  <w:noWrap w:val="0"/>
                  <w:vAlign w:val="center"/>
                </w:tcPr>
                <w:p w14:paraId="4611DC44">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非甲烷总烃监测结果（m</w:t>
                  </w:r>
                  <w:r>
                    <w:rPr>
                      <w:rFonts w:ascii="仿宋" w:hAnsi="仿宋" w:eastAsia="仿宋"/>
                      <w:b/>
                      <w:color w:val="auto"/>
                      <w:szCs w:val="21"/>
                      <w:highlight w:val="none"/>
                    </w:rPr>
                    <w:t>g/m</w:t>
                  </w:r>
                  <w:r>
                    <w:rPr>
                      <w:rFonts w:ascii="仿宋" w:hAnsi="仿宋" w:eastAsia="仿宋"/>
                      <w:b/>
                      <w:color w:val="auto"/>
                      <w:szCs w:val="21"/>
                      <w:highlight w:val="none"/>
                      <w:vertAlign w:val="superscript"/>
                    </w:rPr>
                    <w:t>3</w:t>
                  </w:r>
                  <w:r>
                    <w:rPr>
                      <w:rFonts w:hint="eastAsia" w:ascii="仿宋" w:hAnsi="仿宋" w:eastAsia="仿宋"/>
                      <w:b/>
                      <w:color w:val="auto"/>
                      <w:szCs w:val="21"/>
                      <w:highlight w:val="none"/>
                    </w:rPr>
                    <w:t>）</w:t>
                  </w:r>
                </w:p>
              </w:tc>
            </w:tr>
            <w:tr w14:paraId="19CEE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noWrap w:val="0"/>
                  <w:vAlign w:val="center"/>
                </w:tcPr>
                <w:p w14:paraId="351CF891">
                  <w:pPr>
                    <w:adjustRightInd w:val="0"/>
                    <w:snapToGrid w:val="0"/>
                    <w:jc w:val="center"/>
                    <w:rPr>
                      <w:rFonts w:ascii="仿宋" w:hAnsi="仿宋" w:eastAsia="仿宋"/>
                      <w:b/>
                      <w:color w:val="auto"/>
                      <w:szCs w:val="21"/>
                      <w:highlight w:val="none"/>
                    </w:rPr>
                  </w:pPr>
                </w:p>
              </w:tc>
              <w:tc>
                <w:tcPr>
                  <w:tcW w:w="833" w:type="pct"/>
                  <w:vMerge w:val="continue"/>
                  <w:noWrap w:val="0"/>
                  <w:vAlign w:val="center"/>
                </w:tcPr>
                <w:p w14:paraId="4F23DE58">
                  <w:pPr>
                    <w:adjustRightInd w:val="0"/>
                    <w:snapToGrid w:val="0"/>
                    <w:jc w:val="center"/>
                    <w:rPr>
                      <w:rFonts w:ascii="仿宋" w:hAnsi="仿宋" w:eastAsia="仿宋"/>
                      <w:b/>
                      <w:color w:val="auto"/>
                      <w:szCs w:val="21"/>
                      <w:highlight w:val="none"/>
                    </w:rPr>
                  </w:pPr>
                </w:p>
              </w:tc>
              <w:tc>
                <w:tcPr>
                  <w:tcW w:w="833" w:type="pct"/>
                  <w:noWrap w:val="0"/>
                  <w:vAlign w:val="center"/>
                </w:tcPr>
                <w:p w14:paraId="74368A0C">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1</w:t>
                  </w:r>
                </w:p>
              </w:tc>
              <w:tc>
                <w:tcPr>
                  <w:tcW w:w="833" w:type="pct"/>
                  <w:noWrap w:val="0"/>
                  <w:vAlign w:val="center"/>
                </w:tcPr>
                <w:p w14:paraId="1C7BA96C">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2</w:t>
                  </w:r>
                </w:p>
              </w:tc>
              <w:tc>
                <w:tcPr>
                  <w:tcW w:w="833" w:type="pct"/>
                  <w:noWrap w:val="0"/>
                  <w:vAlign w:val="center"/>
                </w:tcPr>
                <w:p w14:paraId="739C1ABD">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3</w:t>
                  </w:r>
                </w:p>
              </w:tc>
              <w:tc>
                <w:tcPr>
                  <w:tcW w:w="836" w:type="pct"/>
                  <w:noWrap w:val="0"/>
                  <w:vAlign w:val="center"/>
                </w:tcPr>
                <w:p w14:paraId="6576787E">
                  <w:pPr>
                    <w:adjustRightInd w:val="0"/>
                    <w:snapToGrid w:val="0"/>
                    <w:jc w:val="center"/>
                    <w:rPr>
                      <w:rFonts w:ascii="仿宋" w:hAnsi="仿宋" w:eastAsia="仿宋"/>
                      <w:b/>
                      <w:color w:val="auto"/>
                      <w:szCs w:val="21"/>
                      <w:highlight w:val="none"/>
                    </w:rPr>
                  </w:pPr>
                  <w:r>
                    <w:rPr>
                      <w:rFonts w:hint="eastAsia" w:ascii="仿宋" w:hAnsi="仿宋" w:eastAsia="仿宋"/>
                      <w:b/>
                      <w:color w:val="auto"/>
                      <w:szCs w:val="21"/>
                      <w:highlight w:val="none"/>
                    </w:rPr>
                    <w:t>平均值</w:t>
                  </w:r>
                </w:p>
              </w:tc>
            </w:tr>
            <w:tr w14:paraId="4D36F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637F3AA8">
                  <w:pPr>
                    <w:adjustRightInd w:val="0"/>
                    <w:snapToGrid w:val="0"/>
                    <w:jc w:val="center"/>
                    <w:rPr>
                      <w:rFonts w:eastAsia="仿宋"/>
                      <w:color w:val="auto"/>
                      <w:szCs w:val="21"/>
                      <w:highlight w:val="none"/>
                    </w:rPr>
                  </w:pPr>
                  <w:r>
                    <w:rPr>
                      <w:rFonts w:hint="eastAsia" w:eastAsia="仿宋"/>
                      <w:color w:val="auto"/>
                      <w:szCs w:val="21"/>
                      <w:highlight w:val="none"/>
                    </w:rPr>
                    <w:t>废气进口</w:t>
                  </w:r>
                </w:p>
              </w:tc>
              <w:tc>
                <w:tcPr>
                  <w:tcW w:w="833" w:type="pct"/>
                  <w:vMerge w:val="restart"/>
                  <w:noWrap w:val="0"/>
                  <w:vAlign w:val="center"/>
                </w:tcPr>
                <w:p w14:paraId="115704A4">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2</w:t>
                  </w:r>
                  <w:r>
                    <w:rPr>
                      <w:rFonts w:ascii="仿宋" w:hAnsi="仿宋" w:eastAsia="仿宋"/>
                      <w:color w:val="auto"/>
                      <w:szCs w:val="21"/>
                      <w:highlight w:val="none"/>
                    </w:rPr>
                    <w:t>019.3.29</w:t>
                  </w:r>
                </w:p>
              </w:tc>
              <w:tc>
                <w:tcPr>
                  <w:tcW w:w="833" w:type="pct"/>
                  <w:noWrap w:val="0"/>
                  <w:vAlign w:val="center"/>
                </w:tcPr>
                <w:p w14:paraId="22E70441">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4</w:t>
                  </w:r>
                  <w:r>
                    <w:rPr>
                      <w:rFonts w:ascii="仿宋" w:hAnsi="仿宋" w:eastAsia="仿宋"/>
                      <w:color w:val="auto"/>
                      <w:szCs w:val="21"/>
                      <w:highlight w:val="none"/>
                    </w:rPr>
                    <w:t>.22</w:t>
                  </w:r>
                </w:p>
              </w:tc>
              <w:tc>
                <w:tcPr>
                  <w:tcW w:w="833" w:type="pct"/>
                  <w:noWrap w:val="0"/>
                  <w:vAlign w:val="center"/>
                </w:tcPr>
                <w:p w14:paraId="7C643480">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3</w:t>
                  </w:r>
                  <w:r>
                    <w:rPr>
                      <w:rFonts w:ascii="仿宋" w:hAnsi="仿宋" w:eastAsia="仿宋"/>
                      <w:color w:val="auto"/>
                      <w:szCs w:val="21"/>
                      <w:highlight w:val="none"/>
                    </w:rPr>
                    <w:t>.48</w:t>
                  </w:r>
                </w:p>
              </w:tc>
              <w:tc>
                <w:tcPr>
                  <w:tcW w:w="833" w:type="pct"/>
                  <w:noWrap w:val="0"/>
                  <w:vAlign w:val="center"/>
                </w:tcPr>
                <w:p w14:paraId="1DE61AC8">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4</w:t>
                  </w:r>
                  <w:r>
                    <w:rPr>
                      <w:rFonts w:ascii="仿宋" w:hAnsi="仿宋" w:eastAsia="仿宋"/>
                      <w:color w:val="auto"/>
                      <w:szCs w:val="21"/>
                      <w:highlight w:val="none"/>
                    </w:rPr>
                    <w:t>.09</w:t>
                  </w:r>
                </w:p>
              </w:tc>
              <w:tc>
                <w:tcPr>
                  <w:tcW w:w="836" w:type="pct"/>
                  <w:noWrap w:val="0"/>
                  <w:vAlign w:val="center"/>
                </w:tcPr>
                <w:p w14:paraId="3969CBD6">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3</w:t>
                  </w:r>
                  <w:r>
                    <w:rPr>
                      <w:rFonts w:ascii="仿宋" w:hAnsi="仿宋" w:eastAsia="仿宋"/>
                      <w:color w:val="auto"/>
                      <w:szCs w:val="21"/>
                      <w:highlight w:val="none"/>
                    </w:rPr>
                    <w:t>.93</w:t>
                  </w:r>
                </w:p>
              </w:tc>
            </w:tr>
            <w:tr w14:paraId="394BE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1E1ABA96">
                  <w:pPr>
                    <w:adjustRightInd w:val="0"/>
                    <w:snapToGrid w:val="0"/>
                    <w:jc w:val="center"/>
                    <w:rPr>
                      <w:rFonts w:eastAsia="仿宋"/>
                      <w:color w:val="auto"/>
                      <w:szCs w:val="21"/>
                      <w:highlight w:val="none"/>
                    </w:rPr>
                  </w:pPr>
                  <w:r>
                    <w:rPr>
                      <w:rFonts w:hint="eastAsia" w:eastAsia="仿宋"/>
                      <w:color w:val="auto"/>
                      <w:szCs w:val="21"/>
                      <w:highlight w:val="none"/>
                    </w:rPr>
                    <w:t>废气出口</w:t>
                  </w:r>
                </w:p>
              </w:tc>
              <w:tc>
                <w:tcPr>
                  <w:tcW w:w="833" w:type="pct"/>
                  <w:vMerge w:val="continue"/>
                  <w:noWrap w:val="0"/>
                  <w:vAlign w:val="center"/>
                </w:tcPr>
                <w:p w14:paraId="64A2CCE5">
                  <w:pPr>
                    <w:adjustRightInd w:val="0"/>
                    <w:snapToGrid w:val="0"/>
                    <w:jc w:val="center"/>
                    <w:rPr>
                      <w:rFonts w:ascii="仿宋" w:hAnsi="仿宋" w:eastAsia="仿宋"/>
                      <w:color w:val="auto"/>
                      <w:szCs w:val="21"/>
                      <w:highlight w:val="none"/>
                    </w:rPr>
                  </w:pPr>
                </w:p>
              </w:tc>
              <w:tc>
                <w:tcPr>
                  <w:tcW w:w="833" w:type="pct"/>
                  <w:noWrap w:val="0"/>
                  <w:vAlign w:val="center"/>
                </w:tcPr>
                <w:p w14:paraId="5D9CBF54">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0</w:t>
                  </w:r>
                  <w:r>
                    <w:rPr>
                      <w:rFonts w:ascii="仿宋" w:hAnsi="仿宋" w:eastAsia="仿宋"/>
                      <w:color w:val="auto"/>
                      <w:szCs w:val="21"/>
                      <w:highlight w:val="none"/>
                    </w:rPr>
                    <w:t>.25</w:t>
                  </w:r>
                </w:p>
              </w:tc>
              <w:tc>
                <w:tcPr>
                  <w:tcW w:w="833" w:type="pct"/>
                  <w:noWrap w:val="0"/>
                  <w:vAlign w:val="center"/>
                </w:tcPr>
                <w:p w14:paraId="164EB8DA">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0</w:t>
                  </w:r>
                  <w:r>
                    <w:rPr>
                      <w:rFonts w:ascii="仿宋" w:hAnsi="仿宋" w:eastAsia="仿宋"/>
                      <w:color w:val="auto"/>
                      <w:szCs w:val="21"/>
                      <w:highlight w:val="none"/>
                    </w:rPr>
                    <w:t>.29</w:t>
                  </w:r>
                </w:p>
              </w:tc>
              <w:tc>
                <w:tcPr>
                  <w:tcW w:w="833" w:type="pct"/>
                  <w:noWrap w:val="0"/>
                  <w:vAlign w:val="center"/>
                </w:tcPr>
                <w:p w14:paraId="310ED79C">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0</w:t>
                  </w:r>
                  <w:r>
                    <w:rPr>
                      <w:rFonts w:ascii="仿宋" w:hAnsi="仿宋" w:eastAsia="仿宋"/>
                      <w:color w:val="auto"/>
                      <w:szCs w:val="21"/>
                      <w:highlight w:val="none"/>
                    </w:rPr>
                    <w:t>.25</w:t>
                  </w:r>
                </w:p>
              </w:tc>
              <w:tc>
                <w:tcPr>
                  <w:tcW w:w="836" w:type="pct"/>
                  <w:noWrap w:val="0"/>
                  <w:vAlign w:val="center"/>
                </w:tcPr>
                <w:p w14:paraId="7AB7B6F8">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0</w:t>
                  </w:r>
                  <w:r>
                    <w:rPr>
                      <w:rFonts w:ascii="仿宋" w:hAnsi="仿宋" w:eastAsia="仿宋"/>
                      <w:color w:val="auto"/>
                      <w:szCs w:val="21"/>
                      <w:highlight w:val="none"/>
                    </w:rPr>
                    <w:t>.26</w:t>
                  </w:r>
                </w:p>
              </w:tc>
            </w:tr>
            <w:tr w14:paraId="55756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761B31F6">
                  <w:pPr>
                    <w:adjustRightInd w:val="0"/>
                    <w:snapToGrid w:val="0"/>
                    <w:jc w:val="center"/>
                    <w:rPr>
                      <w:rFonts w:eastAsia="仿宋"/>
                      <w:color w:val="auto"/>
                      <w:szCs w:val="21"/>
                      <w:highlight w:val="none"/>
                    </w:rPr>
                  </w:pPr>
                  <w:r>
                    <w:rPr>
                      <w:rFonts w:hint="eastAsia" w:eastAsia="仿宋"/>
                      <w:color w:val="auto"/>
                      <w:szCs w:val="21"/>
                      <w:highlight w:val="none"/>
                    </w:rPr>
                    <w:t>处理效率</w:t>
                  </w:r>
                </w:p>
              </w:tc>
              <w:tc>
                <w:tcPr>
                  <w:tcW w:w="833" w:type="pct"/>
                  <w:vMerge w:val="continue"/>
                  <w:noWrap w:val="0"/>
                  <w:vAlign w:val="center"/>
                </w:tcPr>
                <w:p w14:paraId="5DA092AF">
                  <w:pPr>
                    <w:adjustRightInd w:val="0"/>
                    <w:snapToGrid w:val="0"/>
                    <w:jc w:val="center"/>
                    <w:rPr>
                      <w:rFonts w:ascii="仿宋" w:hAnsi="仿宋" w:eastAsia="仿宋"/>
                      <w:color w:val="auto"/>
                      <w:szCs w:val="21"/>
                      <w:highlight w:val="none"/>
                    </w:rPr>
                  </w:pPr>
                </w:p>
              </w:tc>
              <w:tc>
                <w:tcPr>
                  <w:tcW w:w="833" w:type="pct"/>
                  <w:noWrap w:val="0"/>
                  <w:vAlign w:val="center"/>
                </w:tcPr>
                <w:p w14:paraId="68DB727A">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9</w:t>
                  </w:r>
                  <w:r>
                    <w:rPr>
                      <w:rFonts w:ascii="仿宋" w:hAnsi="仿宋" w:eastAsia="仿宋"/>
                      <w:color w:val="auto"/>
                      <w:szCs w:val="21"/>
                      <w:highlight w:val="none"/>
                    </w:rPr>
                    <w:t>4.1</w:t>
                  </w:r>
                </w:p>
              </w:tc>
              <w:tc>
                <w:tcPr>
                  <w:tcW w:w="833" w:type="pct"/>
                  <w:noWrap w:val="0"/>
                  <w:vAlign w:val="center"/>
                </w:tcPr>
                <w:p w14:paraId="669CEC61">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9</w:t>
                  </w:r>
                  <w:r>
                    <w:rPr>
                      <w:rFonts w:ascii="仿宋" w:hAnsi="仿宋" w:eastAsia="仿宋"/>
                      <w:color w:val="auto"/>
                      <w:szCs w:val="21"/>
                      <w:highlight w:val="none"/>
                    </w:rPr>
                    <w:t>1.7</w:t>
                  </w:r>
                </w:p>
              </w:tc>
              <w:tc>
                <w:tcPr>
                  <w:tcW w:w="833" w:type="pct"/>
                  <w:noWrap w:val="0"/>
                  <w:vAlign w:val="center"/>
                </w:tcPr>
                <w:p w14:paraId="1DB8AA82">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9</w:t>
                  </w:r>
                  <w:r>
                    <w:rPr>
                      <w:rFonts w:ascii="仿宋" w:hAnsi="仿宋" w:eastAsia="仿宋"/>
                      <w:color w:val="auto"/>
                      <w:szCs w:val="21"/>
                      <w:highlight w:val="none"/>
                    </w:rPr>
                    <w:t>3.9</w:t>
                  </w:r>
                </w:p>
              </w:tc>
              <w:tc>
                <w:tcPr>
                  <w:tcW w:w="836" w:type="pct"/>
                  <w:noWrap w:val="0"/>
                  <w:vAlign w:val="center"/>
                </w:tcPr>
                <w:p w14:paraId="6D258DCF">
                  <w:pPr>
                    <w:adjustRightInd w:val="0"/>
                    <w:snapToGrid w:val="0"/>
                    <w:jc w:val="center"/>
                    <w:rPr>
                      <w:rFonts w:ascii="仿宋" w:hAnsi="仿宋" w:eastAsia="仿宋"/>
                      <w:color w:val="auto"/>
                      <w:szCs w:val="21"/>
                      <w:highlight w:val="none"/>
                    </w:rPr>
                  </w:pPr>
                  <w:r>
                    <w:rPr>
                      <w:rFonts w:hint="eastAsia" w:ascii="仿宋" w:hAnsi="仿宋" w:eastAsia="仿宋"/>
                      <w:color w:val="auto"/>
                      <w:szCs w:val="21"/>
                      <w:highlight w:val="none"/>
                    </w:rPr>
                    <w:t>9</w:t>
                  </w:r>
                  <w:r>
                    <w:rPr>
                      <w:rFonts w:ascii="仿宋" w:hAnsi="仿宋" w:eastAsia="仿宋"/>
                      <w:color w:val="auto"/>
                      <w:szCs w:val="21"/>
                      <w:highlight w:val="none"/>
                    </w:rPr>
                    <w:t>3.4</w:t>
                  </w:r>
                </w:p>
              </w:tc>
            </w:tr>
          </w:tbl>
          <w:p w14:paraId="386D3F0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由上表可知，“两级活性炭吸附装置”对有机废气的去除效率平均在90%以上。</w:t>
            </w:r>
            <w:r>
              <w:rPr>
                <w:rFonts w:hint="default" w:ascii="仿宋" w:hAnsi="仿宋" w:eastAsia="仿宋" w:cs="仿宋"/>
                <w:color w:val="auto"/>
                <w:sz w:val="24"/>
                <w:highlight w:val="none"/>
              </w:rPr>
              <w:t>综上所述，本项目废气采用碱液喷淋塔</w:t>
            </w:r>
            <w:r>
              <w:rPr>
                <w:rFonts w:hint="default" w:ascii="仿宋" w:hAnsi="仿宋" w:eastAsia="仿宋" w:cs="仿宋"/>
                <w:color w:val="FF0000"/>
                <w:sz w:val="24"/>
                <w:highlight w:val="none"/>
                <w:lang w:eastAsia="zh-CN"/>
              </w:rPr>
              <w:t>（</w:t>
            </w:r>
            <w:r>
              <w:rPr>
                <w:rFonts w:hint="default" w:ascii="仿宋" w:hAnsi="仿宋" w:eastAsia="仿宋" w:cs="仿宋"/>
                <w:color w:val="FF0000"/>
                <w:sz w:val="24"/>
                <w:highlight w:val="none"/>
                <w:lang w:val="en-US" w:eastAsia="zh-CN"/>
              </w:rPr>
              <w:t>含吸水填料</w:t>
            </w:r>
            <w:r>
              <w:rPr>
                <w:rFonts w:hint="default" w:ascii="仿宋" w:hAnsi="仿宋" w:eastAsia="仿宋" w:cs="仿宋"/>
                <w:color w:val="FF0000"/>
                <w:sz w:val="24"/>
                <w:highlight w:val="none"/>
                <w:lang w:eastAsia="zh-CN"/>
              </w:rPr>
              <w:t>）</w:t>
            </w:r>
            <w:r>
              <w:rPr>
                <w:rFonts w:hint="default" w:ascii="仿宋" w:hAnsi="仿宋" w:eastAsia="仿宋" w:cs="仿宋"/>
                <w:color w:val="auto"/>
                <w:sz w:val="24"/>
                <w:highlight w:val="none"/>
              </w:rPr>
              <w:t>+3#</w:t>
            </w:r>
            <w:r>
              <w:rPr>
                <w:rFonts w:hint="default" w:ascii="仿宋" w:hAnsi="仿宋" w:eastAsia="仿宋" w:cs="仿宋"/>
                <w:color w:val="auto"/>
                <w:sz w:val="24"/>
                <w:highlight w:val="none"/>
                <w:lang w:eastAsia="zh-CN"/>
              </w:rPr>
              <w:t>两级活性炭吸附装置</w:t>
            </w:r>
            <w:r>
              <w:rPr>
                <w:rFonts w:hint="default" w:ascii="仿宋" w:hAnsi="仿宋" w:eastAsia="仿宋" w:cs="仿宋"/>
                <w:color w:val="auto"/>
                <w:sz w:val="24"/>
                <w:highlight w:val="none"/>
                <w:lang w:val="en-US" w:eastAsia="zh-CN"/>
              </w:rPr>
              <w:t>处理</w:t>
            </w:r>
            <w:r>
              <w:rPr>
                <w:rFonts w:hint="default" w:ascii="仿宋" w:hAnsi="仿宋" w:eastAsia="仿宋" w:cs="仿宋"/>
                <w:color w:val="auto"/>
                <w:sz w:val="24"/>
                <w:highlight w:val="none"/>
              </w:rPr>
              <w:t>是可行的。</w:t>
            </w:r>
          </w:p>
          <w:p w14:paraId="03570B9D">
            <w:pPr>
              <w:pStyle w:val="11"/>
              <w:adjustRightInd w:val="0"/>
              <w:snapToGrid w:val="0"/>
              <w:spacing w:after="0" w:line="360" w:lineRule="auto"/>
              <w:ind w:left="0" w:leftChars="0" w:firstLine="48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④排气筒设置合理性分析</w:t>
            </w:r>
          </w:p>
          <w:p w14:paraId="3D0F60B9">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rPr>
              <w:t>项目在设计过程中综合考虑工艺要求、废气排放筒的距离、废气排放是否存在互相影响、废气风量、对周围环境的影响等前提下，合理设置排气筒的数量，减少对周边环境的影响。</w:t>
            </w:r>
            <w:r>
              <w:rPr>
                <w:rFonts w:hint="default" w:ascii="Times New Roman" w:hAnsi="Times New Roman" w:eastAsia="仿宋" w:cs="Times New Roman"/>
                <w:bCs/>
                <w:color w:val="auto"/>
                <w:sz w:val="24"/>
                <w:highlight w:val="none"/>
                <w:lang w:val="en-US" w:eastAsia="zh-CN"/>
              </w:rPr>
              <w:t>本</w:t>
            </w:r>
            <w:r>
              <w:rPr>
                <w:rFonts w:hint="default" w:ascii="Times New Roman" w:hAnsi="Times New Roman" w:eastAsia="仿宋" w:cs="Times New Roman"/>
                <w:bCs/>
                <w:color w:val="auto"/>
                <w:sz w:val="24"/>
                <w:highlight w:val="none"/>
              </w:rPr>
              <w:t>项目根据废气种类、产污工段等综合因素考量，拟</w:t>
            </w:r>
            <w:r>
              <w:rPr>
                <w:rFonts w:hint="default" w:ascii="Times New Roman" w:hAnsi="Times New Roman" w:eastAsia="仿宋" w:cs="Times New Roman"/>
                <w:bCs/>
                <w:color w:val="auto"/>
                <w:sz w:val="24"/>
                <w:highlight w:val="none"/>
                <w:lang w:val="en-US" w:eastAsia="zh-CN"/>
              </w:rPr>
              <w:t>将废气接入现有碱液喷淋塔</w:t>
            </w:r>
            <w:r>
              <w:rPr>
                <w:rFonts w:hint="default" w:ascii="Times New Roman" w:hAnsi="Times New Roman" w:eastAsia="仿宋" w:cs="Times New Roman"/>
                <w:bCs/>
                <w:color w:val="FF0000"/>
                <w:sz w:val="24"/>
                <w:highlight w:val="none"/>
                <w:lang w:val="en-US" w:eastAsia="zh-CN"/>
              </w:rPr>
              <w:t>（含吸水填料）</w:t>
            </w:r>
            <w:r>
              <w:rPr>
                <w:rFonts w:hint="default" w:ascii="Times New Roman" w:hAnsi="Times New Roman" w:eastAsia="仿宋" w:cs="Times New Roman"/>
                <w:bCs/>
                <w:color w:val="auto"/>
                <w:sz w:val="24"/>
                <w:highlight w:val="none"/>
                <w:lang w:val="en-US" w:eastAsia="zh-CN"/>
              </w:rPr>
              <w:t>+3#两级活性炭吸附装置处理，依托现有1根25米高3</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排气筒排放</w:t>
            </w:r>
            <w:r>
              <w:rPr>
                <w:rFonts w:hint="default" w:ascii="Times New Roman" w:hAnsi="Times New Roman" w:eastAsia="仿宋" w:cs="Times New Roman"/>
                <w:bCs/>
                <w:color w:val="auto"/>
                <w:sz w:val="24"/>
                <w:highlight w:val="none"/>
              </w:rPr>
              <w:t>。</w:t>
            </w:r>
          </w:p>
          <w:p w14:paraId="4BA2DE9D">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《制定地方大气污染物排放标准的技术方法》</w:t>
            </w:r>
            <w:r>
              <w:rPr>
                <w:rFonts w:hint="eastAsia" w:eastAsia="仿宋" w:cs="Times New Roman"/>
                <w:color w:val="auto"/>
                <w:sz w:val="24"/>
                <w:highlight w:val="none"/>
                <w:lang w:eastAsia="zh-CN"/>
              </w:rPr>
              <w:t>（</w:t>
            </w:r>
            <w:r>
              <w:rPr>
                <w:rFonts w:hint="default" w:ascii="Times New Roman" w:hAnsi="Times New Roman" w:eastAsia="仿宋" w:cs="Times New Roman"/>
                <w:color w:val="auto"/>
                <w:sz w:val="24"/>
                <w:highlight w:val="none"/>
              </w:rPr>
              <w:t>GB/T13201-91</w:t>
            </w:r>
            <w:r>
              <w:rPr>
                <w:rFonts w:hint="eastAsia" w:eastAsia="仿宋" w:cs="Times New Roman"/>
                <w:color w:val="auto"/>
                <w:sz w:val="24"/>
                <w:highlight w:val="none"/>
                <w:lang w:eastAsia="zh-CN"/>
              </w:rPr>
              <w:t>）</w:t>
            </w:r>
            <w:r>
              <w:rPr>
                <w:rFonts w:hint="default" w:ascii="Times New Roman" w:hAnsi="Times New Roman" w:eastAsia="仿宋" w:cs="Times New Roman"/>
                <w:color w:val="auto"/>
                <w:sz w:val="24"/>
                <w:highlight w:val="none"/>
              </w:rPr>
              <w:t>中规定“在排气筒四周存在居住、工作等需要保护的建筑群时，最后排气筒高度还应加上被保护建筑群的2/3平均高度”。本项目四周不存在需要保护的建筑群，本项目不予考虑。根据</w:t>
            </w:r>
            <w:r>
              <w:rPr>
                <w:rFonts w:hint="default" w:ascii="Times New Roman" w:hAnsi="Times New Roman" w:eastAsia="仿宋" w:cs="Times New Roman"/>
                <w:color w:val="auto"/>
                <w:kern w:val="2"/>
                <w:sz w:val="24"/>
                <w:szCs w:val="24"/>
                <w:highlight w:val="none"/>
                <w:lang w:val="en-US" w:eastAsia="zh-CN" w:bidi="ar-SA"/>
              </w:rPr>
              <w:t>《大气污染物综合排放标准》（DB32/4041-2021）</w:t>
            </w:r>
            <w:r>
              <w:rPr>
                <w:rFonts w:hint="default" w:ascii="Times New Roman" w:hAnsi="Times New Roman" w:eastAsia="仿宋" w:cs="Times New Roman"/>
                <w:color w:val="auto"/>
                <w:sz w:val="24"/>
                <w:highlight w:val="none"/>
              </w:rPr>
              <w:t>中规定“4.1.4 排放光气、氰化氢和氯气的排气筒高度不低于25m，其他排气筒高度不低于15m（因安全考虑或有特殊工艺要求的除外），具体高度以及与周围建筑物的相对高度关系应根据环境影响评价文件确定。”本项目排气筒</w:t>
            </w:r>
            <w:r>
              <w:rPr>
                <w:rFonts w:hint="default" w:ascii="Times New Roman" w:hAnsi="Times New Roman" w:eastAsia="仿宋" w:cs="Times New Roman"/>
                <w:color w:val="auto"/>
                <w:sz w:val="24"/>
                <w:highlight w:val="none"/>
                <w:lang w:val="en-US" w:eastAsia="zh-CN"/>
              </w:rPr>
              <w:t>高度为</w:t>
            </w:r>
            <w:r>
              <w:rPr>
                <w:rFonts w:hint="default" w:ascii="Times New Roman" w:hAnsi="Times New Roman" w:eastAsia="仿宋" w:cs="Times New Roman"/>
                <w:color w:val="auto"/>
                <w:sz w:val="24"/>
                <w:highlight w:val="none"/>
              </w:rPr>
              <w:t>25</w:t>
            </w:r>
            <w:r>
              <w:rPr>
                <w:rFonts w:hint="eastAsia" w:ascii="Times New Roman" w:hAnsi="Times New Roman" w:eastAsia="仿宋" w:cs="Times New Roman"/>
                <w:color w:val="auto"/>
                <w:sz w:val="24"/>
                <w:highlight w:val="none"/>
                <w:lang w:val="en-US" w:eastAsia="zh-CN"/>
              </w:rPr>
              <w:t>m</w:t>
            </w:r>
            <w:r>
              <w:rPr>
                <w:rFonts w:hint="eastAsia" w:ascii="Times New Roman" w:hAnsi="Times New Roman" w:eastAsia="仿宋" w:cs="Times New Roman"/>
                <w:color w:val="auto"/>
                <w:sz w:val="24"/>
                <w:highlight w:val="none"/>
                <w:lang w:eastAsia="zh-CN"/>
              </w:rPr>
              <w:t>，</w:t>
            </w:r>
            <w:r>
              <w:rPr>
                <w:rFonts w:hint="eastAsia" w:ascii="Times New Roman" w:hAnsi="Times New Roman" w:eastAsia="仿宋" w:cs="Times New Roman"/>
                <w:color w:val="auto"/>
                <w:sz w:val="24"/>
                <w:highlight w:val="none"/>
                <w:lang w:val="en-US" w:eastAsia="zh-CN"/>
              </w:rPr>
              <w:t>排放污染物不涉及光气、氰化氢和氯气</w:t>
            </w:r>
            <w:r>
              <w:rPr>
                <w:rFonts w:hint="default" w:ascii="Times New Roman" w:hAnsi="Times New Roman" w:eastAsia="仿宋" w:cs="Times New Roman"/>
                <w:color w:val="auto"/>
                <w:sz w:val="24"/>
                <w:highlight w:val="none"/>
              </w:rPr>
              <w:t>，符合该标准</w:t>
            </w:r>
            <w:r>
              <w:rPr>
                <w:rFonts w:hint="eastAsia" w:ascii="Times New Roman" w:hAnsi="Times New Roman" w:eastAsia="仿宋" w:cs="Times New Roman"/>
                <w:color w:val="auto"/>
                <w:sz w:val="24"/>
                <w:highlight w:val="none"/>
                <w:lang w:val="en-US" w:eastAsia="zh-CN"/>
              </w:rPr>
              <w:t>其他排气筒高度不低于15m的要求</w:t>
            </w:r>
            <w:r>
              <w:rPr>
                <w:rFonts w:hint="default" w:ascii="Times New Roman" w:hAnsi="Times New Roman" w:eastAsia="仿宋" w:cs="Times New Roman"/>
                <w:color w:val="auto"/>
                <w:sz w:val="24"/>
                <w:highlight w:val="none"/>
              </w:rPr>
              <w:t>。</w:t>
            </w:r>
          </w:p>
          <w:p w14:paraId="7DC51254">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⑤出口风速合理性分析</w:t>
            </w:r>
          </w:p>
          <w:p w14:paraId="6742D0AA">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参照《大气污染治理工程技术导则》（HJ2000-2010），排气筒出口流速宜取15m/s左右，本项目</w:t>
            </w:r>
            <w:r>
              <w:rPr>
                <w:rFonts w:hint="default" w:ascii="Times New Roman" w:hAnsi="Times New Roman" w:eastAsia="仿宋" w:cs="Times New Roman"/>
                <w:color w:val="auto"/>
                <w:sz w:val="24"/>
                <w:highlight w:val="none"/>
                <w:lang w:val="en-US" w:eastAsia="zh-CN"/>
              </w:rPr>
              <w:t>建成后3</w:t>
            </w:r>
            <w:r>
              <w:rPr>
                <w:rFonts w:hint="default" w:ascii="Times New Roman" w:hAnsi="Times New Roman" w:eastAsia="仿宋" w:cs="Times New Roman"/>
                <w:color w:val="auto"/>
                <w:sz w:val="24"/>
                <w:highlight w:val="none"/>
              </w:rPr>
              <w:t>#排气筒流速为13.</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m/s</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bCs/>
                <w:color w:val="auto"/>
                <w:sz w:val="24"/>
                <w:highlight w:val="none"/>
              </w:rPr>
              <w:t>流速在合适的范围内，可满足废气治理的技术要求</w:t>
            </w:r>
            <w:r>
              <w:rPr>
                <w:rFonts w:hint="default" w:ascii="Times New Roman" w:hAnsi="Times New Roman" w:eastAsia="仿宋" w:cs="Times New Roman"/>
                <w:color w:val="auto"/>
                <w:sz w:val="24"/>
                <w:highlight w:val="none"/>
              </w:rPr>
              <w:t>。</w:t>
            </w:r>
          </w:p>
          <w:p w14:paraId="64E8454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⑥依托可行性分析</w:t>
            </w:r>
          </w:p>
          <w:p w14:paraId="0FB9D90C">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本工程建成后3#排气筒废气量为5972m</w:t>
            </w:r>
            <w:r>
              <w:rPr>
                <w:rFonts w:hint="default" w:ascii="Times New Roman" w:hAnsi="Times New Roman" w:eastAsia="仿宋" w:cs="Times New Roman"/>
                <w:color w:val="auto"/>
                <w:kern w:val="2"/>
                <w:sz w:val="24"/>
                <w:szCs w:val="24"/>
                <w:highlight w:val="none"/>
                <w:vertAlign w:val="superscript"/>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/s，现有风机最大设计风量为6000m</w:t>
            </w:r>
            <w:r>
              <w:rPr>
                <w:rFonts w:hint="default" w:ascii="Times New Roman" w:hAnsi="Times New Roman" w:eastAsia="仿宋" w:cs="Times New Roman"/>
                <w:color w:val="auto"/>
                <w:kern w:val="2"/>
                <w:sz w:val="24"/>
                <w:szCs w:val="24"/>
                <w:highlight w:val="none"/>
                <w:vertAlign w:val="superscript"/>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/h，可满足废气排放要求，故本项目依托现有风机排放可行。</w:t>
            </w:r>
          </w:p>
          <w:p w14:paraId="6F70BCB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（2）无组织废气</w:t>
            </w:r>
          </w:p>
          <w:p w14:paraId="74FD3EC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为减小无组织废气对周围环境的影响，建设单位通过采取以下措施进行控制：</w:t>
            </w:r>
          </w:p>
          <w:p w14:paraId="086FD58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①对收集废气的</w:t>
            </w:r>
            <w:r>
              <w:rPr>
                <w:rFonts w:hint="default" w:ascii="Times New Roman" w:hAnsi="Times New Roman" w:eastAsia="仿宋" w:cs="Times New Roman"/>
                <w:bCs/>
                <w:color w:val="auto"/>
                <w:sz w:val="24"/>
                <w:lang w:val="en-US" w:eastAsia="zh-CN"/>
              </w:rPr>
              <w:t>集气罩</w:t>
            </w:r>
            <w:r>
              <w:rPr>
                <w:rFonts w:hint="default" w:ascii="Times New Roman" w:hAnsi="Times New Roman" w:eastAsia="仿宋" w:cs="Times New Roman"/>
                <w:bCs/>
                <w:color w:val="auto"/>
                <w:sz w:val="24"/>
              </w:rPr>
              <w:t>进行合理设计，尽可能提高废气的收集效率，减小无组织排放源强；同时加强管理，尽量减少废气的散逸；</w:t>
            </w:r>
          </w:p>
          <w:p w14:paraId="7F97475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w:t>
            </w:r>
            <w:r>
              <w:rPr>
                <w:rFonts w:hint="eastAsia" w:eastAsia="仿宋" w:cs="Times New Roman"/>
                <w:bCs/>
                <w:color w:val="auto"/>
                <w:sz w:val="24"/>
                <w:lang w:val="en-US" w:eastAsia="zh-CN"/>
              </w:rPr>
              <w:t>本项目实验试剂</w:t>
            </w:r>
            <w:r>
              <w:rPr>
                <w:rFonts w:hint="default" w:ascii="Times New Roman" w:hAnsi="Times New Roman" w:eastAsia="仿宋" w:cs="Times New Roman"/>
                <w:bCs/>
                <w:color w:val="auto"/>
                <w:sz w:val="24"/>
              </w:rPr>
              <w:t>加盖密封</w:t>
            </w:r>
            <w:r>
              <w:rPr>
                <w:rFonts w:hint="eastAsia" w:eastAsia="仿宋" w:cs="Times New Roman"/>
                <w:bCs/>
                <w:color w:val="auto"/>
                <w:sz w:val="24"/>
                <w:lang w:val="en-US" w:eastAsia="zh-CN"/>
              </w:rPr>
              <w:t>存放于1#实验室内的</w:t>
            </w:r>
            <w:r>
              <w:rPr>
                <w:rFonts w:hint="default" w:ascii="Times New Roman" w:hAnsi="Times New Roman" w:eastAsia="仿宋" w:cs="Times New Roman"/>
                <w:bCs/>
                <w:color w:val="auto"/>
                <w:sz w:val="24"/>
              </w:rPr>
              <w:t>防爆柜内</w:t>
            </w:r>
            <w:r>
              <w:rPr>
                <w:rFonts w:hint="eastAsia" w:eastAsia="仿宋" w:cs="Times New Roman"/>
                <w:bCs/>
                <w:color w:val="auto"/>
                <w:sz w:val="24"/>
                <w:lang w:eastAsia="zh-CN"/>
              </w:rPr>
              <w:t>，</w:t>
            </w:r>
            <w:r>
              <w:rPr>
                <w:rFonts w:hint="eastAsia" w:eastAsia="仿宋" w:cs="Times New Roman"/>
                <w:bCs/>
                <w:color w:val="auto"/>
                <w:sz w:val="24"/>
                <w:lang w:val="en-US" w:eastAsia="zh-CN"/>
              </w:rPr>
              <w:t>防爆柜已设置废气收集系统，并接入</w:t>
            </w:r>
            <w:r>
              <w:rPr>
                <w:rFonts w:hint="default" w:ascii="Times New Roman" w:hAnsi="Times New Roman" w:eastAsia="仿宋" w:cs="Times New Roman"/>
                <w:bCs/>
                <w:color w:val="auto"/>
                <w:sz w:val="24"/>
                <w:highlight w:val="none"/>
                <w:lang w:val="en-US" w:eastAsia="zh-CN"/>
              </w:rPr>
              <w:t>现有碱液喷淋塔（含吸水填料）+3#两级活性炭吸附装置</w:t>
            </w:r>
            <w:r>
              <w:rPr>
                <w:rFonts w:hint="eastAsia" w:eastAsia="仿宋" w:cs="Times New Roman"/>
                <w:bCs/>
                <w:color w:val="auto"/>
                <w:sz w:val="24"/>
                <w:highlight w:val="none"/>
                <w:lang w:val="en-US" w:eastAsia="zh-CN"/>
              </w:rPr>
              <w:t>，换气次数为6次/h，可满足《实验室废气污染控制技术规范》（DB32/T 4455-2023）换气次数不低于6次/h的要求</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尽量保持</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rPr>
              <w:t>实验室操作间的密闭，保证环保设备风机持续运行以提高废气捕集效率，减小无组织排放源强；</w:t>
            </w:r>
          </w:p>
          <w:p w14:paraId="6B3B6D50">
            <w:pPr>
              <w:adjustRightInd w:val="0"/>
              <w:snapToGrid w:val="0"/>
              <w:spacing w:line="360" w:lineRule="auto"/>
              <w:ind w:firstLine="480" w:firstLineChars="200"/>
              <w:jc w:val="left"/>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rPr>
              <w:t>③加强管理，增加员工意识，规范</w:t>
            </w:r>
            <w:r>
              <w:rPr>
                <w:rFonts w:hint="default" w:ascii="Times New Roman" w:hAnsi="Times New Roman" w:eastAsia="仿宋" w:cs="Times New Roman"/>
                <w:bCs/>
                <w:color w:val="auto"/>
                <w:sz w:val="24"/>
                <w:lang w:val="en-US" w:eastAsia="zh-CN"/>
              </w:rPr>
              <w:t>实验</w:t>
            </w:r>
            <w:r>
              <w:rPr>
                <w:rFonts w:hint="default" w:ascii="Times New Roman" w:hAnsi="Times New Roman" w:eastAsia="仿宋" w:cs="Times New Roman"/>
                <w:bCs/>
                <w:color w:val="auto"/>
                <w:sz w:val="24"/>
              </w:rPr>
              <w:t>操作</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实验使用</w:t>
            </w:r>
            <w:r>
              <w:rPr>
                <w:rFonts w:hint="default" w:ascii="Times New Roman" w:hAnsi="Times New Roman" w:eastAsia="仿宋" w:cs="Times New Roman"/>
                <w:bCs/>
                <w:color w:val="auto"/>
                <w:sz w:val="24"/>
                <w:lang w:val="en-US" w:eastAsia="zh-CN"/>
              </w:rPr>
              <w:t>的</w:t>
            </w:r>
            <w:r>
              <w:rPr>
                <w:rFonts w:hint="default" w:ascii="Times New Roman" w:hAnsi="Times New Roman" w:eastAsia="仿宋" w:cs="Times New Roman"/>
                <w:bCs/>
                <w:color w:val="auto"/>
                <w:sz w:val="24"/>
              </w:rPr>
              <w:t>试剂在每次取用完成后立即加盖密封，减少</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rPr>
              <w:t>实验室内无组织废气的逸散</w:t>
            </w:r>
            <w:r>
              <w:rPr>
                <w:rFonts w:hint="default" w:ascii="Times New Roman" w:hAnsi="Times New Roman" w:eastAsia="仿宋" w:cs="Times New Roman"/>
                <w:bCs/>
                <w:color w:val="auto"/>
                <w:sz w:val="24"/>
                <w:lang w:eastAsia="zh-CN"/>
              </w:rPr>
              <w:t>；</w:t>
            </w:r>
          </w:p>
          <w:p w14:paraId="41E70D5C">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④定期对废气处理设施进行维护、保养和清理，保证其处理效率。</w:t>
            </w:r>
          </w:p>
          <w:p w14:paraId="21DA6F4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综上所述，本项目无组织废气污染防治措施可行，可达标排放。</w:t>
            </w:r>
          </w:p>
          <w:p w14:paraId="44B01FD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3、达标排放分析</w:t>
            </w:r>
          </w:p>
          <w:p w14:paraId="612C9F5B">
            <w:pPr>
              <w:pStyle w:val="25"/>
              <w:rPr>
                <w:rFonts w:hint="default" w:ascii="Times New Roman" w:hAnsi="Times New Roman" w:eastAsia="仿宋" w:cs="Times New Roman"/>
                <w:color w:val="auto"/>
              </w:rPr>
            </w:pPr>
          </w:p>
          <w:p w14:paraId="4D4232EB">
            <w:pPr>
              <w:pStyle w:val="25"/>
              <w:rPr>
                <w:rFonts w:hint="default" w:ascii="Times New Roman" w:hAnsi="Times New Roman" w:eastAsia="仿宋" w:cs="Times New Roman"/>
                <w:color w:val="auto"/>
              </w:rPr>
            </w:pPr>
          </w:p>
          <w:p w14:paraId="1EB20661">
            <w:pPr>
              <w:pStyle w:val="25"/>
              <w:rPr>
                <w:rFonts w:hint="default" w:ascii="Times New Roman" w:hAnsi="Times New Roman" w:eastAsia="仿宋" w:cs="Times New Roman"/>
                <w:color w:val="auto"/>
              </w:rPr>
            </w:pPr>
          </w:p>
          <w:p w14:paraId="31E6B082">
            <w:pPr>
              <w:pStyle w:val="24"/>
              <w:ind w:left="0" w:leftChars="0" w:firstLine="0" w:firstLineChars="0"/>
              <w:rPr>
                <w:rFonts w:hint="default" w:ascii="Times New Roman" w:hAnsi="Times New Roman" w:eastAsia="仿宋" w:cs="Times New Roman"/>
                <w:color w:val="auto"/>
              </w:rPr>
            </w:pPr>
          </w:p>
          <w:p w14:paraId="7E24D6AB">
            <w:pPr>
              <w:rPr>
                <w:rFonts w:hint="default" w:ascii="Times New Roman" w:hAnsi="Times New Roman" w:eastAsia="仿宋" w:cs="Times New Roman"/>
                <w:color w:val="auto"/>
              </w:rPr>
            </w:pPr>
          </w:p>
          <w:p w14:paraId="20DBD317">
            <w:pPr>
              <w:rPr>
                <w:rFonts w:hint="default" w:ascii="Times New Roman" w:hAnsi="Times New Roman" w:eastAsia="仿宋" w:cs="Times New Roman"/>
                <w:color w:val="auto"/>
              </w:rPr>
            </w:pPr>
          </w:p>
          <w:p w14:paraId="35F3A8D9">
            <w:pPr>
              <w:rPr>
                <w:rFonts w:hint="default" w:ascii="Times New Roman" w:hAnsi="Times New Roman" w:eastAsia="仿宋" w:cs="Times New Roman"/>
                <w:color w:val="auto"/>
              </w:rPr>
            </w:pPr>
          </w:p>
          <w:p w14:paraId="09951FC4">
            <w:pPr>
              <w:rPr>
                <w:rFonts w:hint="default" w:ascii="Times New Roman" w:hAnsi="Times New Roman" w:eastAsia="仿宋" w:cs="Times New Roman"/>
                <w:color w:val="auto"/>
              </w:rPr>
            </w:pPr>
          </w:p>
          <w:p w14:paraId="5BC34B79">
            <w:pPr>
              <w:rPr>
                <w:rFonts w:hint="default" w:ascii="Times New Roman" w:hAnsi="Times New Roman" w:eastAsia="仿宋" w:cs="Times New Roman"/>
                <w:color w:val="auto"/>
              </w:rPr>
            </w:pPr>
          </w:p>
          <w:p w14:paraId="592DD7E1">
            <w:pPr>
              <w:rPr>
                <w:rFonts w:hint="default" w:ascii="Times New Roman" w:hAnsi="Times New Roman" w:eastAsia="仿宋" w:cs="Times New Roman"/>
                <w:color w:val="auto"/>
              </w:rPr>
            </w:pPr>
          </w:p>
          <w:p w14:paraId="6F9C26BA">
            <w:pPr>
              <w:rPr>
                <w:rFonts w:hint="default" w:ascii="Times New Roman" w:hAnsi="Times New Roman" w:eastAsia="仿宋" w:cs="Times New Roman"/>
                <w:color w:val="auto"/>
              </w:rPr>
            </w:pPr>
          </w:p>
          <w:p w14:paraId="3D13FF49">
            <w:pPr>
              <w:rPr>
                <w:rFonts w:hint="default" w:ascii="Times New Roman" w:hAnsi="Times New Roman" w:eastAsia="仿宋" w:cs="Times New Roman"/>
                <w:color w:val="auto"/>
              </w:rPr>
            </w:pPr>
          </w:p>
          <w:p w14:paraId="45BF2BF7">
            <w:pPr>
              <w:rPr>
                <w:rFonts w:hint="default" w:ascii="Times New Roman" w:hAnsi="Times New Roman" w:eastAsia="仿宋" w:cs="Times New Roman"/>
                <w:color w:val="auto"/>
              </w:rPr>
            </w:pPr>
          </w:p>
          <w:p w14:paraId="065380A9">
            <w:pPr>
              <w:rPr>
                <w:rFonts w:hint="default" w:ascii="Times New Roman" w:hAnsi="Times New Roman" w:eastAsia="仿宋" w:cs="Times New Roman"/>
                <w:color w:val="auto"/>
              </w:rPr>
            </w:pPr>
          </w:p>
          <w:p w14:paraId="6B988996">
            <w:pPr>
              <w:rPr>
                <w:rFonts w:hint="default" w:ascii="Times New Roman" w:hAnsi="Times New Roman" w:eastAsia="仿宋" w:cs="Times New Roman"/>
                <w:color w:val="auto"/>
              </w:rPr>
            </w:pPr>
          </w:p>
          <w:p w14:paraId="32A280AB">
            <w:pPr>
              <w:rPr>
                <w:rFonts w:hint="default" w:ascii="Times New Roman" w:hAnsi="Times New Roman" w:eastAsia="仿宋" w:cs="Times New Roman"/>
                <w:color w:val="auto"/>
              </w:rPr>
            </w:pPr>
          </w:p>
          <w:p w14:paraId="7673EFB3">
            <w:pPr>
              <w:rPr>
                <w:rFonts w:hint="default" w:ascii="Times New Roman" w:hAnsi="Times New Roman" w:eastAsia="仿宋" w:cs="Times New Roman"/>
                <w:color w:val="auto"/>
              </w:rPr>
            </w:pPr>
          </w:p>
          <w:p w14:paraId="0C9471F4">
            <w:pPr>
              <w:rPr>
                <w:rFonts w:hint="default" w:ascii="Times New Roman" w:hAnsi="Times New Roman" w:eastAsia="仿宋" w:cs="Times New Roman"/>
                <w:color w:val="auto"/>
              </w:rPr>
            </w:pPr>
          </w:p>
          <w:p w14:paraId="70405D0C">
            <w:pPr>
              <w:rPr>
                <w:rFonts w:hint="default" w:ascii="Times New Roman" w:hAnsi="Times New Roman" w:eastAsia="仿宋" w:cs="Times New Roman"/>
                <w:color w:val="auto"/>
              </w:rPr>
            </w:pPr>
          </w:p>
          <w:p w14:paraId="0E413AC0">
            <w:pPr>
              <w:rPr>
                <w:rFonts w:hint="default" w:ascii="Times New Roman" w:hAnsi="Times New Roman" w:eastAsia="仿宋" w:cs="Times New Roman"/>
                <w:color w:val="auto"/>
              </w:rPr>
            </w:pPr>
          </w:p>
          <w:p w14:paraId="7D88E4A1">
            <w:pPr>
              <w:rPr>
                <w:rFonts w:hint="default" w:ascii="Times New Roman" w:hAnsi="Times New Roman" w:eastAsia="仿宋" w:cs="Times New Roman"/>
                <w:color w:val="auto"/>
              </w:rPr>
            </w:pPr>
          </w:p>
          <w:p w14:paraId="52200B87">
            <w:pPr>
              <w:rPr>
                <w:rFonts w:hint="default" w:ascii="Times New Roman" w:hAnsi="Times New Roman" w:eastAsia="仿宋" w:cs="Times New Roman"/>
                <w:color w:val="auto"/>
              </w:rPr>
            </w:pPr>
          </w:p>
          <w:p w14:paraId="2A34243E">
            <w:pPr>
              <w:rPr>
                <w:rFonts w:hint="default" w:ascii="Times New Roman" w:hAnsi="Times New Roman" w:eastAsia="仿宋" w:cs="Times New Roman"/>
                <w:color w:val="auto"/>
              </w:rPr>
            </w:pPr>
          </w:p>
          <w:p w14:paraId="1C821C90">
            <w:pPr>
              <w:rPr>
                <w:rFonts w:hint="default" w:ascii="Times New Roman" w:hAnsi="Times New Roman" w:eastAsia="仿宋" w:cs="Times New Roman"/>
                <w:color w:val="auto"/>
              </w:rPr>
            </w:pPr>
          </w:p>
          <w:p w14:paraId="7EAAAA49">
            <w:pPr>
              <w:rPr>
                <w:rFonts w:hint="default" w:ascii="Times New Roman" w:hAnsi="Times New Roman" w:eastAsia="仿宋" w:cs="Times New Roman"/>
                <w:color w:val="auto"/>
              </w:rPr>
            </w:pPr>
          </w:p>
          <w:p w14:paraId="3FF9B361">
            <w:pPr>
              <w:rPr>
                <w:rFonts w:hint="default" w:ascii="Times New Roman" w:hAnsi="Times New Roman" w:eastAsia="仿宋" w:cs="Times New Roman"/>
                <w:color w:val="auto"/>
              </w:rPr>
            </w:pPr>
          </w:p>
          <w:p w14:paraId="63B880C9">
            <w:pPr>
              <w:rPr>
                <w:rFonts w:hint="default" w:ascii="Times New Roman" w:hAnsi="Times New Roman" w:eastAsia="仿宋" w:cs="Times New Roman"/>
                <w:color w:val="auto"/>
              </w:rPr>
            </w:pPr>
          </w:p>
          <w:p w14:paraId="4CCFD2B6">
            <w:pPr>
              <w:rPr>
                <w:rFonts w:hint="default" w:ascii="Times New Roman" w:hAnsi="Times New Roman" w:eastAsia="仿宋" w:cs="Times New Roman"/>
                <w:color w:val="auto"/>
              </w:rPr>
            </w:pPr>
          </w:p>
          <w:p w14:paraId="6E11FC49">
            <w:pPr>
              <w:rPr>
                <w:rFonts w:hint="default" w:ascii="Times New Roman" w:hAnsi="Times New Roman" w:eastAsia="仿宋" w:cs="Times New Roman"/>
                <w:color w:val="auto"/>
              </w:rPr>
            </w:pPr>
          </w:p>
          <w:p w14:paraId="74A4B9C6">
            <w:pPr>
              <w:rPr>
                <w:rFonts w:hint="default" w:ascii="Times New Roman" w:hAnsi="Times New Roman" w:eastAsia="仿宋" w:cs="Times New Roman"/>
                <w:color w:val="auto"/>
              </w:rPr>
            </w:pPr>
          </w:p>
          <w:p w14:paraId="661D9302">
            <w:pPr>
              <w:rPr>
                <w:rFonts w:hint="default" w:ascii="Times New Roman" w:hAnsi="Times New Roman" w:eastAsia="仿宋" w:cs="Times New Roman"/>
                <w:color w:val="auto"/>
              </w:rPr>
            </w:pPr>
          </w:p>
          <w:p w14:paraId="0730D3C1">
            <w:pPr>
              <w:rPr>
                <w:rFonts w:hint="default" w:ascii="Times New Roman" w:hAnsi="Times New Roman" w:eastAsia="仿宋" w:cs="Times New Roman"/>
                <w:color w:val="auto"/>
              </w:rPr>
            </w:pPr>
          </w:p>
          <w:p w14:paraId="7FB52783">
            <w:pPr>
              <w:rPr>
                <w:rFonts w:hint="default" w:ascii="Times New Roman" w:hAnsi="Times New Roman" w:eastAsia="仿宋" w:cs="Times New Roman"/>
                <w:color w:val="auto"/>
              </w:rPr>
            </w:pPr>
          </w:p>
          <w:p w14:paraId="51F8D7EE">
            <w:pPr>
              <w:rPr>
                <w:rFonts w:hint="default" w:ascii="Times New Roman" w:hAnsi="Times New Roman" w:eastAsia="仿宋" w:cs="Times New Roman"/>
                <w:color w:val="auto"/>
              </w:rPr>
            </w:pPr>
          </w:p>
          <w:p w14:paraId="0FBD40B3">
            <w:pPr>
              <w:rPr>
                <w:rFonts w:hint="default" w:ascii="Times New Roman" w:hAnsi="Times New Roman" w:eastAsia="仿宋" w:cs="Times New Roman"/>
                <w:color w:val="auto"/>
              </w:rPr>
            </w:pPr>
          </w:p>
          <w:p w14:paraId="11481A54">
            <w:pPr>
              <w:rPr>
                <w:rFonts w:hint="default" w:ascii="Times New Roman" w:hAnsi="Times New Roman" w:eastAsia="仿宋" w:cs="Times New Roman"/>
                <w:color w:val="auto"/>
              </w:rPr>
            </w:pPr>
          </w:p>
          <w:p w14:paraId="424CEC03">
            <w:pPr>
              <w:rPr>
                <w:rFonts w:hint="default" w:ascii="Times New Roman" w:hAnsi="Times New Roman" w:eastAsia="仿宋" w:cs="Times New Roman"/>
                <w:color w:val="auto"/>
              </w:rPr>
            </w:pPr>
          </w:p>
          <w:p w14:paraId="042EAF54">
            <w:pPr>
              <w:rPr>
                <w:rFonts w:hint="default" w:ascii="Times New Roman" w:hAnsi="Times New Roman" w:eastAsia="仿宋" w:cs="Times New Roman"/>
                <w:color w:val="auto"/>
              </w:rPr>
            </w:pPr>
          </w:p>
        </w:tc>
      </w:tr>
    </w:tbl>
    <w:p w14:paraId="524EC589">
      <w:pPr>
        <w:adjustRightInd w:val="0"/>
        <w:snapToGrid w:val="0"/>
        <w:spacing w:line="360" w:lineRule="auto"/>
        <w:rPr>
          <w:rFonts w:hint="default" w:ascii="Times New Roman" w:hAnsi="Times New Roman" w:eastAsia="仿宋"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585"/>
      </w:tblGrid>
      <w:tr w14:paraId="3A85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3CA4454">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27C13995">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2D78F165">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4A96DD28">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64A7553B">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保护措</w:t>
            </w:r>
          </w:p>
          <w:p w14:paraId="6124E56A">
            <w:pPr>
              <w:adjustRightInd w:val="0"/>
              <w:snapToGrid w:val="0"/>
              <w:spacing w:line="360" w:lineRule="auto"/>
              <w:jc w:val="center"/>
              <w:rPr>
                <w:rFonts w:hint="default" w:ascii="Times New Roman" w:hAnsi="Times New Roman" w:eastAsia="仿宋" w:cs="Times New Roman"/>
                <w:b/>
                <w:color w:val="auto"/>
                <w:kern w:val="0"/>
                <w:sz w:val="28"/>
                <w:szCs w:val="28"/>
              </w:rPr>
            </w:pPr>
            <w:r>
              <w:rPr>
                <w:rFonts w:hint="default" w:ascii="Times New Roman" w:hAnsi="Times New Roman" w:eastAsia="仿宋" w:cs="Times New Roman"/>
                <w:bCs/>
                <w:color w:val="auto"/>
                <w:sz w:val="24"/>
              </w:rPr>
              <w:t>施</w:t>
            </w:r>
          </w:p>
        </w:tc>
        <w:tc>
          <w:tcPr>
            <w:tcW w:w="12585" w:type="dxa"/>
          </w:tcPr>
          <w:p w14:paraId="64758B0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（1）有组织废气</w:t>
            </w:r>
          </w:p>
          <w:p w14:paraId="14CAFC2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本项目有组织废气排放情况见表4-</w:t>
            </w:r>
            <w:r>
              <w:rPr>
                <w:rFonts w:hint="eastAsia" w:eastAsia="仿宋" w:cs="Times New Roman"/>
                <w:bCs/>
                <w:color w:val="auto"/>
                <w:sz w:val="24"/>
                <w:lang w:val="en-US" w:eastAsia="zh-CN"/>
              </w:rPr>
              <w:t>7</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全厂有组织废气排放情况见表4-</w:t>
            </w:r>
            <w:r>
              <w:rPr>
                <w:rFonts w:hint="eastAsia" w:eastAsia="仿宋" w:cs="Times New Roman"/>
                <w:bCs/>
                <w:color w:val="auto"/>
                <w:sz w:val="24"/>
                <w:lang w:val="en-US" w:eastAsia="zh-CN"/>
              </w:rPr>
              <w:t>8</w:t>
            </w:r>
            <w:r>
              <w:rPr>
                <w:rFonts w:hint="default" w:ascii="Times New Roman" w:hAnsi="Times New Roman" w:eastAsia="仿宋" w:cs="Times New Roman"/>
                <w:bCs/>
                <w:color w:val="auto"/>
                <w:sz w:val="24"/>
              </w:rPr>
              <w:t>；</w:t>
            </w:r>
          </w:p>
          <w:p w14:paraId="0C4B1E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7</w:t>
            </w:r>
            <w:r>
              <w:rPr>
                <w:rFonts w:hint="default" w:ascii="Times New Roman" w:hAnsi="Times New Roman" w:eastAsia="仿宋" w:cs="Times New Roman"/>
                <w:b/>
                <w:bCs/>
                <w:color w:val="auto"/>
                <w:sz w:val="24"/>
              </w:rPr>
              <w:t xml:space="preserve">  本项目有组织废气产生及排放源强表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9"/>
              <w:gridCol w:w="550"/>
              <w:gridCol w:w="1335"/>
              <w:gridCol w:w="846"/>
              <w:gridCol w:w="739"/>
              <w:gridCol w:w="888"/>
              <w:gridCol w:w="774"/>
              <w:gridCol w:w="888"/>
              <w:gridCol w:w="625"/>
              <w:gridCol w:w="750"/>
              <w:gridCol w:w="725"/>
              <w:gridCol w:w="675"/>
              <w:gridCol w:w="691"/>
              <w:gridCol w:w="546"/>
              <w:gridCol w:w="583"/>
              <w:gridCol w:w="648"/>
            </w:tblGrid>
            <w:tr w14:paraId="7FEDA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027D1AB5">
                  <w:pPr>
                    <w:jc w:val="center"/>
                    <w:rPr>
                      <w:rFonts w:hint="default" w:ascii="Times New Roman" w:hAnsi="Times New Roman" w:eastAsia="仿宋" w:cs="Times New Roman"/>
                      <w:b/>
                      <w:bCs/>
                      <w:color w:val="auto"/>
                      <w:sz w:val="21"/>
                      <w:szCs w:val="21"/>
                    </w:rPr>
                  </w:pPr>
                  <w:bookmarkStart w:id="24" w:name="OLE_LINK34"/>
                  <w:r>
                    <w:rPr>
                      <w:rFonts w:hint="default" w:ascii="Times New Roman" w:hAnsi="Times New Roman" w:eastAsia="仿宋" w:cs="Times New Roman"/>
                      <w:b/>
                      <w:bCs/>
                      <w:color w:val="auto"/>
                      <w:sz w:val="21"/>
                      <w:szCs w:val="21"/>
                    </w:rPr>
                    <w:t>产生环节</w:t>
                  </w:r>
                </w:p>
              </w:tc>
              <w:tc>
                <w:tcPr>
                  <w:tcW w:w="222" w:type="pct"/>
                  <w:vMerge w:val="restart"/>
                  <w:vAlign w:val="center"/>
                </w:tcPr>
                <w:p w14:paraId="0EB70D2A">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废气量m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/h</w:t>
                  </w:r>
                </w:p>
              </w:tc>
              <w:tc>
                <w:tcPr>
                  <w:tcW w:w="539" w:type="pct"/>
                  <w:vMerge w:val="restart"/>
                  <w:vAlign w:val="center"/>
                </w:tcPr>
                <w:p w14:paraId="35FE725B">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10165AD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1000" w:type="pct"/>
                  <w:gridSpan w:val="3"/>
                  <w:vAlign w:val="center"/>
                </w:tcPr>
                <w:p w14:paraId="3ECC88C2">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产生情况</w:t>
                  </w:r>
                </w:p>
              </w:tc>
              <w:tc>
                <w:tcPr>
                  <w:tcW w:w="313" w:type="pct"/>
                  <w:vMerge w:val="restart"/>
                  <w:vAlign w:val="center"/>
                </w:tcPr>
                <w:p w14:paraId="76F5297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治理</w:t>
                  </w:r>
                </w:p>
                <w:p w14:paraId="4024AAAE">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措施</w:t>
                  </w:r>
                </w:p>
              </w:tc>
              <w:tc>
                <w:tcPr>
                  <w:tcW w:w="359" w:type="pct"/>
                  <w:vMerge w:val="restart"/>
                  <w:vAlign w:val="center"/>
                </w:tcPr>
                <w:p w14:paraId="37B1B73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2A69065B">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252" w:type="pct"/>
                  <w:vMerge w:val="restart"/>
                  <w:vAlign w:val="center"/>
                </w:tcPr>
                <w:p w14:paraId="4704B58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去除率％</w:t>
                  </w:r>
                </w:p>
              </w:tc>
              <w:tc>
                <w:tcPr>
                  <w:tcW w:w="869" w:type="pct"/>
                  <w:gridSpan w:val="3"/>
                  <w:vAlign w:val="center"/>
                </w:tcPr>
                <w:p w14:paraId="4824441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排放情况</w:t>
                  </w:r>
                </w:p>
              </w:tc>
              <w:tc>
                <w:tcPr>
                  <w:tcW w:w="500" w:type="pct"/>
                  <w:gridSpan w:val="2"/>
                  <w:vAlign w:val="center"/>
                </w:tcPr>
                <w:p w14:paraId="187EC47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执行标准</w:t>
                  </w:r>
                </w:p>
              </w:tc>
              <w:tc>
                <w:tcPr>
                  <w:tcW w:w="235" w:type="pct"/>
                  <w:vMerge w:val="restart"/>
                  <w:vAlign w:val="center"/>
                </w:tcPr>
                <w:p w14:paraId="7F4DA20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排气筒名称及编号</w:t>
                  </w:r>
                </w:p>
              </w:tc>
              <w:tc>
                <w:tcPr>
                  <w:tcW w:w="262" w:type="pct"/>
                  <w:vMerge w:val="restart"/>
                  <w:vAlign w:val="center"/>
                </w:tcPr>
                <w:p w14:paraId="3CCE3BA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排放方式</w:t>
                  </w:r>
                </w:p>
              </w:tc>
            </w:tr>
            <w:tr w14:paraId="3A642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2EE9CED1">
                  <w:pPr>
                    <w:jc w:val="center"/>
                    <w:rPr>
                      <w:rFonts w:hint="default" w:ascii="Times New Roman" w:hAnsi="Times New Roman" w:eastAsia="仿宋" w:cs="Times New Roman"/>
                      <w:b/>
                      <w:bCs/>
                      <w:color w:val="auto"/>
                      <w:sz w:val="21"/>
                      <w:szCs w:val="21"/>
                    </w:rPr>
                  </w:pPr>
                </w:p>
              </w:tc>
              <w:tc>
                <w:tcPr>
                  <w:tcW w:w="222" w:type="pct"/>
                  <w:vMerge w:val="continue"/>
                  <w:vAlign w:val="center"/>
                </w:tcPr>
                <w:p w14:paraId="137839B2">
                  <w:pPr>
                    <w:jc w:val="center"/>
                    <w:rPr>
                      <w:rFonts w:hint="default" w:ascii="Times New Roman" w:hAnsi="Times New Roman" w:eastAsia="仿宋" w:cs="Times New Roman"/>
                      <w:b/>
                      <w:bCs/>
                      <w:color w:val="auto"/>
                      <w:sz w:val="21"/>
                      <w:szCs w:val="21"/>
                    </w:rPr>
                  </w:pPr>
                </w:p>
              </w:tc>
              <w:tc>
                <w:tcPr>
                  <w:tcW w:w="539" w:type="pct"/>
                  <w:vMerge w:val="continue"/>
                  <w:vAlign w:val="center"/>
                </w:tcPr>
                <w:p w14:paraId="453F4A06">
                  <w:pPr>
                    <w:jc w:val="center"/>
                    <w:rPr>
                      <w:rFonts w:hint="default" w:ascii="Times New Roman" w:hAnsi="Times New Roman" w:eastAsia="仿宋" w:cs="Times New Roman"/>
                      <w:b/>
                      <w:bCs/>
                      <w:color w:val="auto"/>
                      <w:sz w:val="21"/>
                      <w:szCs w:val="21"/>
                    </w:rPr>
                  </w:pPr>
                </w:p>
              </w:tc>
              <w:tc>
                <w:tcPr>
                  <w:tcW w:w="342" w:type="pct"/>
                  <w:tcMar>
                    <w:top w:w="0" w:type="dxa"/>
                    <w:left w:w="28" w:type="dxa"/>
                    <w:bottom w:w="0" w:type="dxa"/>
                    <w:right w:w="28" w:type="dxa"/>
                  </w:tcMar>
                  <w:vAlign w:val="center"/>
                </w:tcPr>
                <w:p w14:paraId="06230004">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产生量</w:t>
                  </w:r>
                  <w:r>
                    <w:rPr>
                      <w:rFonts w:hint="default" w:ascii="Times New Roman" w:hAnsi="Times New Roman" w:eastAsia="仿宋" w:cs="Times New Roman"/>
                      <w:b/>
                      <w:bCs/>
                      <w:color w:val="auto"/>
                      <w:sz w:val="21"/>
                      <w:szCs w:val="21"/>
                      <w:lang w:val="en-US" w:eastAsia="zh-CN"/>
                    </w:rPr>
                    <w:t>kg</w:t>
                  </w:r>
                  <w:r>
                    <w:rPr>
                      <w:rFonts w:hint="default" w:ascii="Times New Roman" w:hAnsi="Times New Roman" w:eastAsia="仿宋" w:cs="Times New Roman"/>
                      <w:b/>
                      <w:bCs/>
                      <w:color w:val="auto"/>
                      <w:sz w:val="21"/>
                      <w:szCs w:val="21"/>
                    </w:rPr>
                    <w:t>/a</w:t>
                  </w:r>
                </w:p>
              </w:tc>
              <w:tc>
                <w:tcPr>
                  <w:tcW w:w="298" w:type="pct"/>
                  <w:tcMar>
                    <w:top w:w="0" w:type="dxa"/>
                    <w:left w:w="28" w:type="dxa"/>
                    <w:bottom w:w="0" w:type="dxa"/>
                    <w:right w:w="28" w:type="dxa"/>
                  </w:tcMar>
                  <w:vAlign w:val="center"/>
                </w:tcPr>
                <w:p w14:paraId="1C12053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359" w:type="pct"/>
                  <w:vAlign w:val="center"/>
                </w:tcPr>
                <w:p w14:paraId="3EFE597F">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313" w:type="pct"/>
                  <w:vMerge w:val="continue"/>
                  <w:vAlign w:val="center"/>
                </w:tcPr>
                <w:p w14:paraId="671C8AFE">
                  <w:pPr>
                    <w:jc w:val="center"/>
                    <w:rPr>
                      <w:rFonts w:hint="default" w:ascii="Times New Roman" w:hAnsi="Times New Roman" w:eastAsia="仿宋" w:cs="Times New Roman"/>
                      <w:b/>
                      <w:bCs/>
                      <w:color w:val="auto"/>
                      <w:sz w:val="21"/>
                      <w:szCs w:val="21"/>
                    </w:rPr>
                  </w:pPr>
                </w:p>
              </w:tc>
              <w:tc>
                <w:tcPr>
                  <w:tcW w:w="359" w:type="pct"/>
                  <w:vMerge w:val="continue"/>
                  <w:vAlign w:val="center"/>
                </w:tcPr>
                <w:p w14:paraId="2CF7956F">
                  <w:pPr>
                    <w:jc w:val="center"/>
                    <w:rPr>
                      <w:rFonts w:hint="default" w:ascii="Times New Roman" w:hAnsi="Times New Roman" w:eastAsia="仿宋" w:cs="Times New Roman"/>
                      <w:b/>
                      <w:bCs/>
                      <w:color w:val="auto"/>
                      <w:sz w:val="21"/>
                      <w:szCs w:val="21"/>
                    </w:rPr>
                  </w:pPr>
                </w:p>
              </w:tc>
              <w:tc>
                <w:tcPr>
                  <w:tcW w:w="252" w:type="pct"/>
                  <w:vMerge w:val="continue"/>
                  <w:vAlign w:val="center"/>
                </w:tcPr>
                <w:p w14:paraId="389C63C1">
                  <w:pPr>
                    <w:jc w:val="center"/>
                    <w:rPr>
                      <w:rFonts w:hint="default" w:ascii="Times New Roman" w:hAnsi="Times New Roman" w:eastAsia="仿宋" w:cs="Times New Roman"/>
                      <w:b/>
                      <w:bCs/>
                      <w:color w:val="auto"/>
                      <w:sz w:val="21"/>
                      <w:szCs w:val="21"/>
                    </w:rPr>
                  </w:pPr>
                </w:p>
              </w:tc>
              <w:tc>
                <w:tcPr>
                  <w:tcW w:w="303" w:type="pct"/>
                  <w:vAlign w:val="center"/>
                </w:tcPr>
                <w:p w14:paraId="2453083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排放量</w:t>
                  </w:r>
                  <w:r>
                    <w:rPr>
                      <w:rFonts w:hint="default" w:ascii="Times New Roman" w:hAnsi="Times New Roman" w:eastAsia="仿宋" w:cs="Times New Roman"/>
                      <w:b/>
                      <w:bCs/>
                      <w:color w:val="auto"/>
                      <w:sz w:val="21"/>
                      <w:szCs w:val="21"/>
                      <w:lang w:val="en-US" w:eastAsia="zh-CN"/>
                    </w:rPr>
                    <w:t>kg</w:t>
                  </w:r>
                  <w:r>
                    <w:rPr>
                      <w:rFonts w:hint="default" w:ascii="Times New Roman" w:hAnsi="Times New Roman" w:eastAsia="仿宋" w:cs="Times New Roman"/>
                      <w:b/>
                      <w:bCs/>
                      <w:color w:val="auto"/>
                      <w:sz w:val="21"/>
                      <w:szCs w:val="21"/>
                    </w:rPr>
                    <w:t>/a</w:t>
                  </w:r>
                </w:p>
              </w:tc>
              <w:tc>
                <w:tcPr>
                  <w:tcW w:w="293" w:type="pct"/>
                  <w:vAlign w:val="center"/>
                </w:tcPr>
                <w:p w14:paraId="46B084E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273" w:type="pct"/>
                  <w:vAlign w:val="center"/>
                </w:tcPr>
                <w:p w14:paraId="0F8228E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279" w:type="pct"/>
                  <w:vAlign w:val="center"/>
                </w:tcPr>
                <w:p w14:paraId="1789AE4C">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220" w:type="pct"/>
                  <w:vAlign w:val="center"/>
                </w:tcPr>
                <w:p w14:paraId="071340A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235" w:type="pct"/>
                  <w:vMerge w:val="continue"/>
                  <w:vAlign w:val="center"/>
                </w:tcPr>
                <w:p w14:paraId="7347DF32">
                  <w:pPr>
                    <w:jc w:val="center"/>
                    <w:rPr>
                      <w:rFonts w:hint="default" w:ascii="Times New Roman" w:hAnsi="Times New Roman" w:eastAsia="仿宋" w:cs="Times New Roman"/>
                      <w:b/>
                      <w:bCs/>
                      <w:color w:val="auto"/>
                      <w:sz w:val="21"/>
                      <w:szCs w:val="21"/>
                    </w:rPr>
                  </w:pPr>
                </w:p>
              </w:tc>
              <w:tc>
                <w:tcPr>
                  <w:tcW w:w="262" w:type="pct"/>
                  <w:vMerge w:val="continue"/>
                  <w:vAlign w:val="center"/>
                </w:tcPr>
                <w:p w14:paraId="6C99202D">
                  <w:pPr>
                    <w:jc w:val="center"/>
                    <w:rPr>
                      <w:rFonts w:hint="default" w:ascii="Times New Roman" w:hAnsi="Times New Roman" w:eastAsia="仿宋" w:cs="Times New Roman"/>
                      <w:b/>
                      <w:bCs/>
                      <w:color w:val="auto"/>
                      <w:sz w:val="21"/>
                      <w:szCs w:val="21"/>
                    </w:rPr>
                  </w:pPr>
                </w:p>
              </w:tc>
            </w:tr>
            <w:tr w14:paraId="2855A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Align w:val="center"/>
                </w:tcPr>
                <w:p w14:paraId="66A8889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滴定实验</w:t>
                  </w:r>
                </w:p>
              </w:tc>
              <w:tc>
                <w:tcPr>
                  <w:tcW w:w="222" w:type="pct"/>
                  <w:vMerge w:val="restart"/>
                  <w:vAlign w:val="center"/>
                </w:tcPr>
                <w:p w14:paraId="2B78D22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highlight w:val="none"/>
                    </w:rPr>
                    <w:t>6000</w:t>
                  </w:r>
                </w:p>
              </w:tc>
              <w:tc>
                <w:tcPr>
                  <w:tcW w:w="539" w:type="pct"/>
                  <w:vAlign w:val="center"/>
                </w:tcPr>
                <w:p w14:paraId="269ED07D">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氯化氢</w:t>
                  </w:r>
                </w:p>
              </w:tc>
              <w:tc>
                <w:tcPr>
                  <w:tcW w:w="342" w:type="pct"/>
                  <w:tcMar>
                    <w:top w:w="0" w:type="dxa"/>
                    <w:left w:w="28" w:type="dxa"/>
                    <w:bottom w:w="0" w:type="dxa"/>
                    <w:right w:w="28" w:type="dxa"/>
                  </w:tcMar>
                  <w:vAlign w:val="center"/>
                </w:tcPr>
                <w:p w14:paraId="0E787C6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lang w:val="en-US" w:eastAsia="zh-CN"/>
                    </w:rPr>
                    <w:t>0.135</w:t>
                  </w:r>
                </w:p>
              </w:tc>
              <w:tc>
                <w:tcPr>
                  <w:tcW w:w="298" w:type="pct"/>
                  <w:tcMar>
                    <w:top w:w="0" w:type="dxa"/>
                    <w:left w:w="28" w:type="dxa"/>
                    <w:bottom w:w="0" w:type="dxa"/>
                    <w:right w:w="28" w:type="dxa"/>
                  </w:tcMar>
                  <w:vAlign w:val="center"/>
                </w:tcPr>
                <w:p w14:paraId="3FF8740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0.15</w:t>
                  </w:r>
                </w:p>
              </w:tc>
              <w:tc>
                <w:tcPr>
                  <w:tcW w:w="359" w:type="pct"/>
                  <w:vAlign w:val="center"/>
                </w:tcPr>
                <w:p w14:paraId="32C29F2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lang w:val="en-US" w:eastAsia="zh-CN"/>
                    </w:rPr>
                    <w:t>0.0009</w:t>
                  </w:r>
                </w:p>
              </w:tc>
              <w:tc>
                <w:tcPr>
                  <w:tcW w:w="313" w:type="pct"/>
                  <w:vMerge w:val="restart"/>
                  <w:vAlign w:val="center"/>
                </w:tcPr>
                <w:p w14:paraId="307607AE">
                  <w:pPr>
                    <w:jc w:val="center"/>
                    <w:rPr>
                      <w:rFonts w:hint="default" w:ascii="Times New Roman" w:hAnsi="Times New Roman" w:eastAsia="仿宋" w:cs="Times New Roman"/>
                      <w:color w:val="auto"/>
                      <w:sz w:val="21"/>
                      <w:szCs w:val="21"/>
                      <w:highlight w:val="yellow"/>
                      <w:lang w:eastAsia="zh-CN"/>
                    </w:rPr>
                  </w:pPr>
                  <w:r>
                    <w:rPr>
                      <w:rFonts w:hint="default" w:ascii="Times New Roman" w:hAnsi="Times New Roman" w:eastAsia="仿宋" w:cs="Times New Roman"/>
                      <w:color w:val="auto"/>
                      <w:sz w:val="21"/>
                      <w:szCs w:val="21"/>
                      <w:highlight w:val="none"/>
                    </w:rPr>
                    <w:t>碱液喷淋塔</w:t>
                  </w:r>
                  <w:r>
                    <w:rPr>
                      <w:rFonts w:hint="eastAsia" w:eastAsia="仿宋" w:cs="Times New Roman"/>
                      <w:color w:val="FF0000"/>
                      <w:szCs w:val="21"/>
                      <w:lang w:eastAsia="zh-CN"/>
                    </w:rPr>
                    <w:t>（</w:t>
                  </w:r>
                  <w:r>
                    <w:rPr>
                      <w:rFonts w:hint="eastAsia" w:eastAsia="仿宋" w:cs="Times New Roman"/>
                      <w:color w:val="FF0000"/>
                      <w:szCs w:val="21"/>
                      <w:lang w:val="en-US" w:eastAsia="zh-CN"/>
                    </w:rPr>
                    <w:t>含吸水填料</w:t>
                  </w:r>
                  <w:r>
                    <w:rPr>
                      <w:rFonts w:hint="eastAsia" w:eastAsia="仿宋" w:cs="Times New Roman"/>
                      <w:color w:val="FF0000"/>
                      <w:szCs w:val="21"/>
                      <w:lang w:eastAsia="zh-CN"/>
                    </w:rPr>
                    <w:t>）</w:t>
                  </w:r>
                  <w:r>
                    <w:rPr>
                      <w:rFonts w:hint="default" w:ascii="Times New Roman" w:hAnsi="Times New Roman" w:eastAsia="仿宋" w:cs="Times New Roman"/>
                      <w:color w:val="auto"/>
                      <w:sz w:val="21"/>
                      <w:szCs w:val="21"/>
                      <w:highlight w:val="none"/>
                    </w:rPr>
                    <w:t>+3#</w:t>
                  </w:r>
                  <w:r>
                    <w:rPr>
                      <w:rFonts w:hint="default" w:ascii="Times New Roman" w:hAnsi="Times New Roman" w:eastAsia="仿宋" w:cs="Times New Roman"/>
                      <w:color w:val="auto"/>
                      <w:sz w:val="21"/>
                      <w:szCs w:val="21"/>
                      <w:highlight w:val="none"/>
                      <w:lang w:eastAsia="zh-CN"/>
                    </w:rPr>
                    <w:t>两级活性炭吸附装置</w:t>
                  </w:r>
                </w:p>
              </w:tc>
              <w:tc>
                <w:tcPr>
                  <w:tcW w:w="359" w:type="pct"/>
                  <w:vAlign w:val="center"/>
                </w:tcPr>
                <w:p w14:paraId="166086D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氯化氢</w:t>
                  </w:r>
                </w:p>
              </w:tc>
              <w:tc>
                <w:tcPr>
                  <w:tcW w:w="252" w:type="pct"/>
                  <w:vAlign w:val="center"/>
                </w:tcPr>
                <w:p w14:paraId="759F114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75</w:t>
                  </w:r>
                </w:p>
              </w:tc>
              <w:tc>
                <w:tcPr>
                  <w:tcW w:w="303" w:type="pct"/>
                  <w:vAlign w:val="center"/>
                </w:tcPr>
                <w:p w14:paraId="5D330C1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0.091</w:t>
                  </w:r>
                </w:p>
              </w:tc>
              <w:tc>
                <w:tcPr>
                  <w:tcW w:w="293" w:type="pct"/>
                  <w:vAlign w:val="center"/>
                </w:tcPr>
                <w:p w14:paraId="1A4AAFE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w:t>
                  </w:r>
                  <w:r>
                    <w:rPr>
                      <w:rFonts w:hint="eastAsia" w:eastAsia="仿宋" w:cs="Times New Roman"/>
                      <w:color w:val="auto"/>
                      <w:sz w:val="21"/>
                      <w:szCs w:val="21"/>
                      <w:lang w:val="en-US" w:eastAsia="zh-CN"/>
                    </w:rPr>
                    <w:t>25</w:t>
                  </w:r>
                </w:p>
              </w:tc>
              <w:tc>
                <w:tcPr>
                  <w:tcW w:w="273" w:type="pct"/>
                  <w:vAlign w:val="center"/>
                </w:tcPr>
                <w:p w14:paraId="3C436ACB">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w:t>
                  </w:r>
                  <w:r>
                    <w:rPr>
                      <w:rFonts w:hint="eastAsia" w:eastAsia="仿宋" w:cs="Times New Roman"/>
                      <w:color w:val="auto"/>
                      <w:sz w:val="21"/>
                      <w:szCs w:val="21"/>
                      <w:lang w:val="en-US" w:eastAsia="zh-CN"/>
                    </w:rPr>
                    <w:t>15</w:t>
                  </w:r>
                </w:p>
              </w:tc>
              <w:tc>
                <w:tcPr>
                  <w:tcW w:w="279" w:type="pct"/>
                  <w:vAlign w:val="center"/>
                </w:tcPr>
                <w:p w14:paraId="12984D1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w:t>
                  </w:r>
                </w:p>
              </w:tc>
              <w:tc>
                <w:tcPr>
                  <w:tcW w:w="220" w:type="pct"/>
                  <w:vAlign w:val="center"/>
                </w:tcPr>
                <w:p w14:paraId="6F0330C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0.18</w:t>
                  </w:r>
                </w:p>
              </w:tc>
              <w:tc>
                <w:tcPr>
                  <w:tcW w:w="235" w:type="pct"/>
                  <w:vMerge w:val="restart"/>
                  <w:vAlign w:val="center"/>
                </w:tcPr>
                <w:p w14:paraId="6B06956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3#排气筒</w:t>
                  </w:r>
                </w:p>
              </w:tc>
              <w:tc>
                <w:tcPr>
                  <w:tcW w:w="262" w:type="pct"/>
                  <w:vMerge w:val="restart"/>
                  <w:vAlign w:val="center"/>
                </w:tcPr>
                <w:p w14:paraId="1A7E42B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600h，间断</w:t>
                  </w:r>
                </w:p>
                <w:p w14:paraId="57C2E42D">
                  <w:pPr>
                    <w:jc w:val="center"/>
                    <w:rPr>
                      <w:rFonts w:hint="default" w:ascii="Times New Roman" w:hAnsi="Times New Roman" w:eastAsia="仿宋" w:cs="Times New Roman"/>
                      <w:color w:val="auto"/>
                      <w:sz w:val="21"/>
                      <w:szCs w:val="21"/>
                    </w:rPr>
                  </w:pPr>
                </w:p>
              </w:tc>
            </w:tr>
            <w:tr w14:paraId="7F019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4783A292">
                  <w:pPr>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Cs/>
                      <w:color w:val="auto"/>
                      <w:sz w:val="21"/>
                      <w:szCs w:val="21"/>
                      <w:lang w:val="en-US" w:eastAsia="zh-CN"/>
                    </w:rPr>
                    <w:t>制样测试</w:t>
                  </w:r>
                </w:p>
              </w:tc>
              <w:tc>
                <w:tcPr>
                  <w:tcW w:w="222" w:type="pct"/>
                  <w:vMerge w:val="continue"/>
                  <w:vAlign w:val="center"/>
                </w:tcPr>
                <w:p w14:paraId="7253468B">
                  <w:pPr>
                    <w:jc w:val="center"/>
                    <w:rPr>
                      <w:rFonts w:hint="default" w:ascii="Times New Roman" w:hAnsi="Times New Roman" w:eastAsia="仿宋" w:cs="Times New Roman"/>
                      <w:color w:val="auto"/>
                      <w:sz w:val="21"/>
                      <w:szCs w:val="21"/>
                    </w:rPr>
                  </w:pPr>
                </w:p>
              </w:tc>
              <w:tc>
                <w:tcPr>
                  <w:tcW w:w="539" w:type="pct"/>
                  <w:vAlign w:val="center"/>
                </w:tcPr>
                <w:p w14:paraId="24E3888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非甲烷总烃</w:t>
                  </w:r>
                </w:p>
              </w:tc>
              <w:tc>
                <w:tcPr>
                  <w:tcW w:w="342" w:type="pct"/>
                  <w:tcMar>
                    <w:top w:w="0" w:type="dxa"/>
                    <w:left w:w="28" w:type="dxa"/>
                    <w:bottom w:w="0" w:type="dxa"/>
                    <w:right w:w="28" w:type="dxa"/>
                  </w:tcMar>
                  <w:vAlign w:val="center"/>
                </w:tcPr>
                <w:p w14:paraId="4BA828F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lang w:val="en-US" w:eastAsia="zh-CN"/>
                    </w:rPr>
                    <w:t>8.1</w:t>
                  </w:r>
                </w:p>
              </w:tc>
              <w:tc>
                <w:tcPr>
                  <w:tcW w:w="298" w:type="pct"/>
                  <w:tcMar>
                    <w:top w:w="0" w:type="dxa"/>
                    <w:left w:w="28" w:type="dxa"/>
                    <w:bottom w:w="0" w:type="dxa"/>
                    <w:right w:w="28" w:type="dxa"/>
                  </w:tcMar>
                  <w:vAlign w:val="center"/>
                </w:tcPr>
                <w:p w14:paraId="671E02A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2.25</w:t>
                  </w:r>
                </w:p>
              </w:tc>
              <w:tc>
                <w:tcPr>
                  <w:tcW w:w="359" w:type="pct"/>
                  <w:vAlign w:val="center"/>
                </w:tcPr>
                <w:p w14:paraId="2E6E24B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lang w:val="en-US" w:eastAsia="zh-CN"/>
                    </w:rPr>
                    <w:t>0.014</w:t>
                  </w:r>
                </w:p>
              </w:tc>
              <w:tc>
                <w:tcPr>
                  <w:tcW w:w="313" w:type="pct"/>
                  <w:vMerge w:val="continue"/>
                  <w:vAlign w:val="center"/>
                </w:tcPr>
                <w:p w14:paraId="55665447">
                  <w:pPr>
                    <w:jc w:val="center"/>
                    <w:rPr>
                      <w:rFonts w:hint="default" w:ascii="Times New Roman" w:hAnsi="Times New Roman" w:eastAsia="仿宋" w:cs="Times New Roman"/>
                      <w:color w:val="auto"/>
                      <w:sz w:val="21"/>
                      <w:szCs w:val="21"/>
                    </w:rPr>
                  </w:pPr>
                </w:p>
              </w:tc>
              <w:tc>
                <w:tcPr>
                  <w:tcW w:w="359" w:type="pct"/>
                  <w:vMerge w:val="restart"/>
                  <w:vAlign w:val="center"/>
                </w:tcPr>
                <w:p w14:paraId="154F0C3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非甲烷总烃</w:t>
                  </w:r>
                </w:p>
              </w:tc>
              <w:tc>
                <w:tcPr>
                  <w:tcW w:w="252" w:type="pct"/>
                  <w:vMerge w:val="restart"/>
                  <w:vAlign w:val="center"/>
                </w:tcPr>
                <w:p w14:paraId="18563BA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w:t>
                  </w:r>
                </w:p>
              </w:tc>
              <w:tc>
                <w:tcPr>
                  <w:tcW w:w="303" w:type="pct"/>
                  <w:vMerge w:val="restart"/>
                  <w:vAlign w:val="center"/>
                </w:tcPr>
                <w:p w14:paraId="04F82B6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0.918</w:t>
                  </w:r>
                </w:p>
              </w:tc>
              <w:tc>
                <w:tcPr>
                  <w:tcW w:w="293" w:type="pct"/>
                  <w:vMerge w:val="restart"/>
                  <w:vAlign w:val="center"/>
                </w:tcPr>
                <w:p w14:paraId="4D6F43C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0.26</w:t>
                  </w:r>
                </w:p>
              </w:tc>
              <w:tc>
                <w:tcPr>
                  <w:tcW w:w="273" w:type="pct"/>
                  <w:vMerge w:val="restart"/>
                  <w:vAlign w:val="center"/>
                </w:tcPr>
                <w:p w14:paraId="14132A54">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0.002</w:t>
                  </w:r>
                </w:p>
              </w:tc>
              <w:tc>
                <w:tcPr>
                  <w:tcW w:w="279" w:type="pct"/>
                  <w:vMerge w:val="restart"/>
                  <w:vAlign w:val="center"/>
                </w:tcPr>
                <w:p w14:paraId="62DE40E3">
                  <w:pPr>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lang w:val="en-US" w:eastAsia="zh-CN"/>
                    </w:rPr>
                    <w:t>60</w:t>
                  </w:r>
                </w:p>
              </w:tc>
              <w:tc>
                <w:tcPr>
                  <w:tcW w:w="220" w:type="pct"/>
                  <w:vMerge w:val="restart"/>
                  <w:vAlign w:val="center"/>
                </w:tcPr>
                <w:p w14:paraId="60E03A19">
                  <w:pPr>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lang w:val="en-US" w:eastAsia="zh-CN"/>
                    </w:rPr>
                    <w:t>3</w:t>
                  </w:r>
                </w:p>
              </w:tc>
              <w:tc>
                <w:tcPr>
                  <w:tcW w:w="235" w:type="pct"/>
                  <w:vMerge w:val="continue"/>
                  <w:vAlign w:val="center"/>
                </w:tcPr>
                <w:p w14:paraId="15070D07">
                  <w:pPr>
                    <w:jc w:val="center"/>
                    <w:rPr>
                      <w:rFonts w:hint="default" w:ascii="Times New Roman" w:hAnsi="Times New Roman" w:eastAsia="仿宋" w:cs="Times New Roman"/>
                      <w:color w:val="auto"/>
                      <w:sz w:val="21"/>
                      <w:szCs w:val="21"/>
                    </w:rPr>
                  </w:pPr>
                </w:p>
              </w:tc>
              <w:tc>
                <w:tcPr>
                  <w:tcW w:w="262" w:type="pct"/>
                  <w:vMerge w:val="continue"/>
                  <w:vAlign w:val="center"/>
                </w:tcPr>
                <w:p w14:paraId="19FC663B">
                  <w:pPr>
                    <w:jc w:val="center"/>
                    <w:rPr>
                      <w:rFonts w:hint="default" w:ascii="Times New Roman" w:hAnsi="Times New Roman" w:eastAsia="仿宋" w:cs="Times New Roman"/>
                      <w:color w:val="auto"/>
                      <w:sz w:val="21"/>
                      <w:szCs w:val="21"/>
                    </w:rPr>
                  </w:pPr>
                </w:p>
              </w:tc>
            </w:tr>
            <w:tr w14:paraId="67C1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2B9ADF0F">
                  <w:pPr>
                    <w:jc w:val="center"/>
                    <w:rPr>
                      <w:rFonts w:hint="default" w:ascii="Times New Roman" w:hAnsi="Times New Roman" w:eastAsia="仿宋" w:cs="Times New Roman"/>
                      <w:color w:val="auto"/>
                      <w:sz w:val="21"/>
                      <w:szCs w:val="21"/>
                    </w:rPr>
                  </w:pPr>
                </w:p>
              </w:tc>
              <w:tc>
                <w:tcPr>
                  <w:tcW w:w="222" w:type="pct"/>
                  <w:vMerge w:val="continue"/>
                  <w:vAlign w:val="center"/>
                </w:tcPr>
                <w:p w14:paraId="5A97E12B">
                  <w:pPr>
                    <w:jc w:val="center"/>
                    <w:rPr>
                      <w:rFonts w:hint="default" w:ascii="Times New Roman" w:hAnsi="Times New Roman" w:eastAsia="仿宋" w:cs="Times New Roman"/>
                      <w:color w:val="auto"/>
                      <w:sz w:val="21"/>
                      <w:szCs w:val="21"/>
                    </w:rPr>
                  </w:pPr>
                </w:p>
              </w:tc>
              <w:tc>
                <w:tcPr>
                  <w:tcW w:w="539" w:type="pct"/>
                  <w:vAlign w:val="center"/>
                </w:tcPr>
                <w:p w14:paraId="009CB66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氯化氢</w:t>
                  </w:r>
                </w:p>
              </w:tc>
              <w:tc>
                <w:tcPr>
                  <w:tcW w:w="342" w:type="pct"/>
                  <w:tcMar>
                    <w:top w:w="0" w:type="dxa"/>
                    <w:left w:w="28" w:type="dxa"/>
                    <w:bottom w:w="0" w:type="dxa"/>
                    <w:right w:w="28" w:type="dxa"/>
                  </w:tcMar>
                  <w:vAlign w:val="center"/>
                </w:tcPr>
                <w:p w14:paraId="4DA76151">
                  <w:pPr>
                    <w:jc w:val="center"/>
                    <w:rPr>
                      <w:rFonts w:hint="default" w:ascii="Times New Roman" w:hAnsi="Times New Roman" w:eastAsia="仿宋" w:cs="Times New Roman"/>
                      <w:color w:val="auto"/>
                      <w:sz w:val="21"/>
                      <w:szCs w:val="21"/>
                      <w:lang w:val="en-US"/>
                    </w:rPr>
                  </w:pPr>
                  <w:r>
                    <w:rPr>
                      <w:rFonts w:hint="eastAsia" w:eastAsia="仿宋" w:cs="Times New Roman"/>
                      <w:bCs/>
                      <w:color w:val="auto"/>
                      <w:szCs w:val="21"/>
                      <w:lang w:val="en-US" w:eastAsia="zh-CN"/>
                    </w:rPr>
                    <w:t>0.23</w:t>
                  </w:r>
                </w:p>
              </w:tc>
              <w:tc>
                <w:tcPr>
                  <w:tcW w:w="298" w:type="pct"/>
                  <w:tcMar>
                    <w:top w:w="0" w:type="dxa"/>
                    <w:left w:w="28" w:type="dxa"/>
                    <w:bottom w:w="0" w:type="dxa"/>
                    <w:right w:w="28" w:type="dxa"/>
                  </w:tcMar>
                  <w:vAlign w:val="center"/>
                </w:tcPr>
                <w:p w14:paraId="0A9F7BD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0.06</w:t>
                  </w:r>
                </w:p>
              </w:tc>
              <w:tc>
                <w:tcPr>
                  <w:tcW w:w="359" w:type="pct"/>
                  <w:vAlign w:val="center"/>
                </w:tcPr>
                <w:p w14:paraId="38D1F398">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0.0004</w:t>
                  </w:r>
                </w:p>
              </w:tc>
              <w:tc>
                <w:tcPr>
                  <w:tcW w:w="313" w:type="pct"/>
                  <w:vMerge w:val="continue"/>
                  <w:vAlign w:val="center"/>
                </w:tcPr>
                <w:p w14:paraId="26EB4280">
                  <w:pPr>
                    <w:jc w:val="center"/>
                    <w:rPr>
                      <w:rFonts w:hint="default" w:ascii="Times New Roman" w:hAnsi="Times New Roman" w:eastAsia="仿宋" w:cs="Times New Roman"/>
                      <w:color w:val="auto"/>
                      <w:sz w:val="21"/>
                      <w:szCs w:val="21"/>
                    </w:rPr>
                  </w:pPr>
                </w:p>
              </w:tc>
              <w:tc>
                <w:tcPr>
                  <w:tcW w:w="359" w:type="pct"/>
                  <w:vMerge w:val="continue"/>
                  <w:vAlign w:val="center"/>
                </w:tcPr>
                <w:p w14:paraId="0799684C">
                  <w:pPr>
                    <w:jc w:val="center"/>
                    <w:rPr>
                      <w:rFonts w:hint="default" w:ascii="Times New Roman" w:hAnsi="Times New Roman" w:eastAsia="仿宋" w:cs="Times New Roman"/>
                      <w:color w:val="auto"/>
                      <w:sz w:val="21"/>
                      <w:szCs w:val="21"/>
                      <w:lang w:val="en-US" w:eastAsia="zh-CN"/>
                    </w:rPr>
                  </w:pPr>
                </w:p>
              </w:tc>
              <w:tc>
                <w:tcPr>
                  <w:tcW w:w="252" w:type="pct"/>
                  <w:vMerge w:val="continue"/>
                  <w:vAlign w:val="center"/>
                </w:tcPr>
                <w:p w14:paraId="282E8530">
                  <w:pPr>
                    <w:jc w:val="center"/>
                    <w:rPr>
                      <w:rFonts w:hint="default" w:ascii="Times New Roman" w:hAnsi="Times New Roman" w:eastAsia="仿宋" w:cs="Times New Roman"/>
                      <w:color w:val="auto"/>
                      <w:sz w:val="21"/>
                      <w:szCs w:val="21"/>
                      <w:lang w:val="en-US" w:eastAsia="zh-CN"/>
                    </w:rPr>
                  </w:pPr>
                </w:p>
              </w:tc>
              <w:tc>
                <w:tcPr>
                  <w:tcW w:w="303" w:type="pct"/>
                  <w:vMerge w:val="continue"/>
                  <w:vAlign w:val="center"/>
                </w:tcPr>
                <w:p w14:paraId="02B30E85">
                  <w:pPr>
                    <w:jc w:val="center"/>
                    <w:rPr>
                      <w:rFonts w:hint="default" w:ascii="Times New Roman" w:hAnsi="Times New Roman" w:eastAsia="仿宋" w:cs="Times New Roman"/>
                      <w:color w:val="auto"/>
                      <w:sz w:val="21"/>
                      <w:szCs w:val="21"/>
                      <w:lang w:val="en-US" w:eastAsia="zh-CN"/>
                    </w:rPr>
                  </w:pPr>
                </w:p>
              </w:tc>
              <w:tc>
                <w:tcPr>
                  <w:tcW w:w="293" w:type="pct"/>
                  <w:vMerge w:val="continue"/>
                  <w:vAlign w:val="center"/>
                </w:tcPr>
                <w:p w14:paraId="3FA6C78C">
                  <w:pPr>
                    <w:jc w:val="center"/>
                    <w:rPr>
                      <w:rFonts w:hint="default" w:ascii="Times New Roman" w:hAnsi="Times New Roman" w:eastAsia="仿宋" w:cs="Times New Roman"/>
                      <w:color w:val="auto"/>
                      <w:sz w:val="21"/>
                      <w:szCs w:val="21"/>
                      <w:lang w:val="en-US" w:eastAsia="zh-CN"/>
                    </w:rPr>
                  </w:pPr>
                </w:p>
              </w:tc>
              <w:tc>
                <w:tcPr>
                  <w:tcW w:w="273" w:type="pct"/>
                  <w:vMerge w:val="continue"/>
                  <w:vAlign w:val="center"/>
                </w:tcPr>
                <w:p w14:paraId="460E535C">
                  <w:pPr>
                    <w:jc w:val="center"/>
                    <w:rPr>
                      <w:rFonts w:hint="default" w:ascii="Times New Roman" w:hAnsi="Times New Roman" w:eastAsia="仿宋" w:cs="Times New Roman"/>
                      <w:color w:val="auto"/>
                      <w:sz w:val="21"/>
                      <w:szCs w:val="21"/>
                      <w:lang w:val="en-US" w:eastAsia="zh-CN"/>
                    </w:rPr>
                  </w:pPr>
                </w:p>
              </w:tc>
              <w:tc>
                <w:tcPr>
                  <w:tcW w:w="279" w:type="pct"/>
                  <w:vMerge w:val="continue"/>
                  <w:vAlign w:val="center"/>
                </w:tcPr>
                <w:p w14:paraId="7968B7DD">
                  <w:pPr>
                    <w:jc w:val="center"/>
                    <w:rPr>
                      <w:rFonts w:hint="default" w:ascii="Times New Roman" w:hAnsi="Times New Roman" w:eastAsia="仿宋" w:cs="Times New Roman"/>
                      <w:color w:val="auto"/>
                      <w:kern w:val="0"/>
                      <w:sz w:val="21"/>
                      <w:szCs w:val="21"/>
                      <w:lang w:bidi="ar"/>
                    </w:rPr>
                  </w:pPr>
                </w:p>
              </w:tc>
              <w:tc>
                <w:tcPr>
                  <w:tcW w:w="220" w:type="pct"/>
                  <w:vMerge w:val="continue"/>
                  <w:vAlign w:val="center"/>
                </w:tcPr>
                <w:p w14:paraId="6867D310">
                  <w:pPr>
                    <w:jc w:val="center"/>
                    <w:rPr>
                      <w:rFonts w:hint="default" w:ascii="Times New Roman" w:hAnsi="Times New Roman" w:eastAsia="仿宋" w:cs="Times New Roman"/>
                      <w:color w:val="auto"/>
                      <w:kern w:val="0"/>
                      <w:sz w:val="21"/>
                      <w:szCs w:val="21"/>
                      <w:lang w:bidi="ar"/>
                    </w:rPr>
                  </w:pPr>
                </w:p>
              </w:tc>
              <w:tc>
                <w:tcPr>
                  <w:tcW w:w="235" w:type="pct"/>
                  <w:vMerge w:val="continue"/>
                  <w:vAlign w:val="center"/>
                </w:tcPr>
                <w:p w14:paraId="112A5E04">
                  <w:pPr>
                    <w:jc w:val="center"/>
                    <w:rPr>
                      <w:rFonts w:hint="default" w:ascii="Times New Roman" w:hAnsi="Times New Roman" w:eastAsia="仿宋" w:cs="Times New Roman"/>
                      <w:color w:val="auto"/>
                      <w:sz w:val="21"/>
                      <w:szCs w:val="21"/>
                    </w:rPr>
                  </w:pPr>
                </w:p>
              </w:tc>
              <w:tc>
                <w:tcPr>
                  <w:tcW w:w="262" w:type="pct"/>
                  <w:vMerge w:val="continue"/>
                  <w:vAlign w:val="center"/>
                </w:tcPr>
                <w:p w14:paraId="6B75AD95">
                  <w:pPr>
                    <w:jc w:val="center"/>
                    <w:rPr>
                      <w:rFonts w:hint="default" w:ascii="Times New Roman" w:hAnsi="Times New Roman" w:eastAsia="仿宋" w:cs="Times New Roman"/>
                      <w:color w:val="auto"/>
                      <w:sz w:val="21"/>
                      <w:szCs w:val="21"/>
                    </w:rPr>
                  </w:pPr>
                </w:p>
              </w:tc>
            </w:tr>
            <w:tr w14:paraId="6E607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1A0B6557">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焊接测试</w:t>
                  </w:r>
                </w:p>
              </w:tc>
              <w:tc>
                <w:tcPr>
                  <w:tcW w:w="222" w:type="pct"/>
                  <w:vMerge w:val="continue"/>
                  <w:vAlign w:val="center"/>
                </w:tcPr>
                <w:p w14:paraId="28B29438">
                  <w:pPr>
                    <w:jc w:val="center"/>
                    <w:rPr>
                      <w:rFonts w:hint="default" w:ascii="Times New Roman" w:hAnsi="Times New Roman" w:eastAsia="仿宋" w:cs="Times New Roman"/>
                      <w:color w:val="auto"/>
                      <w:sz w:val="21"/>
                      <w:szCs w:val="21"/>
                    </w:rPr>
                  </w:pPr>
                </w:p>
              </w:tc>
              <w:tc>
                <w:tcPr>
                  <w:tcW w:w="539" w:type="pct"/>
                  <w:vAlign w:val="center"/>
                </w:tcPr>
                <w:p w14:paraId="0941186A">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highlight w:val="none"/>
                      <w:lang w:val="en-US" w:eastAsia="zh-CN"/>
                    </w:rPr>
                    <w:t>非甲烷总烃</w:t>
                  </w:r>
                </w:p>
              </w:tc>
              <w:tc>
                <w:tcPr>
                  <w:tcW w:w="342" w:type="pct"/>
                  <w:tcMar>
                    <w:top w:w="0" w:type="dxa"/>
                    <w:left w:w="28" w:type="dxa"/>
                    <w:bottom w:w="0" w:type="dxa"/>
                    <w:right w:w="28" w:type="dxa"/>
                  </w:tcMar>
                  <w:vAlign w:val="center"/>
                </w:tcPr>
                <w:p w14:paraId="13B5D9B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Cs w:val="21"/>
                      <w:lang w:val="en-US" w:eastAsia="zh-CN"/>
                    </w:rPr>
                    <w:t>1.08</w:t>
                  </w:r>
                </w:p>
              </w:tc>
              <w:tc>
                <w:tcPr>
                  <w:tcW w:w="298" w:type="pct"/>
                  <w:tcMar>
                    <w:top w:w="0" w:type="dxa"/>
                    <w:left w:w="28" w:type="dxa"/>
                    <w:bottom w:w="0" w:type="dxa"/>
                    <w:right w:w="28" w:type="dxa"/>
                  </w:tcMar>
                  <w:vAlign w:val="center"/>
                </w:tcPr>
                <w:p w14:paraId="4BE0824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0.6</w:t>
                  </w:r>
                </w:p>
              </w:tc>
              <w:tc>
                <w:tcPr>
                  <w:tcW w:w="359" w:type="pct"/>
                  <w:vAlign w:val="center"/>
                </w:tcPr>
                <w:p w14:paraId="67EE5E2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0.004</w:t>
                  </w:r>
                </w:p>
              </w:tc>
              <w:tc>
                <w:tcPr>
                  <w:tcW w:w="313" w:type="pct"/>
                  <w:vMerge w:val="continue"/>
                  <w:vAlign w:val="center"/>
                </w:tcPr>
                <w:p w14:paraId="468A0CFA">
                  <w:pPr>
                    <w:jc w:val="center"/>
                    <w:rPr>
                      <w:rFonts w:hint="default" w:ascii="Times New Roman" w:hAnsi="Times New Roman" w:eastAsia="仿宋" w:cs="Times New Roman"/>
                      <w:color w:val="auto"/>
                      <w:sz w:val="21"/>
                      <w:szCs w:val="21"/>
                    </w:rPr>
                  </w:pPr>
                </w:p>
              </w:tc>
              <w:tc>
                <w:tcPr>
                  <w:tcW w:w="359" w:type="pct"/>
                  <w:vMerge w:val="restart"/>
                  <w:vAlign w:val="center"/>
                </w:tcPr>
                <w:p w14:paraId="647ECF8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highlight w:val="none"/>
                      <w:lang w:val="en-US" w:eastAsia="zh-CN"/>
                    </w:rPr>
                    <w:t>锡及其化合物</w:t>
                  </w:r>
                </w:p>
              </w:tc>
              <w:tc>
                <w:tcPr>
                  <w:tcW w:w="252" w:type="pct"/>
                  <w:vMerge w:val="restart"/>
                  <w:vAlign w:val="center"/>
                </w:tcPr>
                <w:p w14:paraId="78FDD79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c>
                <w:tcPr>
                  <w:tcW w:w="869" w:type="pct"/>
                  <w:gridSpan w:val="3"/>
                  <w:vMerge w:val="restart"/>
                  <w:vAlign w:val="center"/>
                </w:tcPr>
                <w:p w14:paraId="0886243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不定量计算</w:t>
                  </w:r>
                </w:p>
              </w:tc>
              <w:tc>
                <w:tcPr>
                  <w:tcW w:w="279" w:type="pct"/>
                  <w:vMerge w:val="restart"/>
                  <w:vAlign w:val="center"/>
                </w:tcPr>
                <w:p w14:paraId="4F19B154">
                  <w:pPr>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rPr>
                    <w:t>5</w:t>
                  </w:r>
                </w:p>
              </w:tc>
              <w:tc>
                <w:tcPr>
                  <w:tcW w:w="220" w:type="pct"/>
                  <w:vMerge w:val="restart"/>
                  <w:vAlign w:val="center"/>
                </w:tcPr>
                <w:p w14:paraId="69D528DE">
                  <w:pPr>
                    <w:jc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 w:val="21"/>
                      <w:szCs w:val="21"/>
                    </w:rPr>
                    <w:t>0.22</w:t>
                  </w:r>
                </w:p>
              </w:tc>
              <w:tc>
                <w:tcPr>
                  <w:tcW w:w="235" w:type="pct"/>
                  <w:vMerge w:val="continue"/>
                  <w:vAlign w:val="center"/>
                </w:tcPr>
                <w:p w14:paraId="415209DA">
                  <w:pPr>
                    <w:jc w:val="center"/>
                    <w:rPr>
                      <w:rFonts w:hint="default" w:ascii="Times New Roman" w:hAnsi="Times New Roman" w:eastAsia="仿宋" w:cs="Times New Roman"/>
                      <w:color w:val="auto"/>
                      <w:sz w:val="21"/>
                      <w:szCs w:val="21"/>
                    </w:rPr>
                  </w:pPr>
                </w:p>
              </w:tc>
              <w:tc>
                <w:tcPr>
                  <w:tcW w:w="262" w:type="pct"/>
                  <w:vMerge w:val="continue"/>
                  <w:vAlign w:val="center"/>
                </w:tcPr>
                <w:p w14:paraId="335AD227">
                  <w:pPr>
                    <w:jc w:val="center"/>
                    <w:rPr>
                      <w:rFonts w:hint="default" w:ascii="Times New Roman" w:hAnsi="Times New Roman" w:eastAsia="仿宋" w:cs="Times New Roman"/>
                      <w:color w:val="auto"/>
                      <w:sz w:val="21"/>
                      <w:szCs w:val="21"/>
                    </w:rPr>
                  </w:pPr>
                </w:p>
              </w:tc>
            </w:tr>
            <w:tr w14:paraId="2DC19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64C4E44B">
                  <w:pPr>
                    <w:jc w:val="center"/>
                    <w:rPr>
                      <w:rFonts w:hint="default" w:ascii="Times New Roman" w:hAnsi="Times New Roman" w:eastAsia="仿宋" w:cs="Times New Roman"/>
                      <w:bCs/>
                      <w:color w:val="auto"/>
                      <w:sz w:val="21"/>
                      <w:szCs w:val="21"/>
                      <w:lang w:val="en-US" w:eastAsia="zh-CN"/>
                    </w:rPr>
                  </w:pPr>
                </w:p>
              </w:tc>
              <w:tc>
                <w:tcPr>
                  <w:tcW w:w="222" w:type="pct"/>
                  <w:vMerge w:val="continue"/>
                  <w:vAlign w:val="center"/>
                </w:tcPr>
                <w:p w14:paraId="3E31D5BF">
                  <w:pPr>
                    <w:jc w:val="center"/>
                    <w:rPr>
                      <w:rFonts w:hint="default" w:ascii="Times New Roman" w:hAnsi="Times New Roman" w:eastAsia="仿宋" w:cs="Times New Roman"/>
                      <w:color w:val="auto"/>
                      <w:sz w:val="21"/>
                      <w:szCs w:val="21"/>
                    </w:rPr>
                  </w:pPr>
                </w:p>
              </w:tc>
              <w:tc>
                <w:tcPr>
                  <w:tcW w:w="539" w:type="pct"/>
                  <w:vAlign w:val="center"/>
                </w:tcPr>
                <w:p w14:paraId="0D23E961">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锡及其化合物</w:t>
                  </w:r>
                </w:p>
              </w:tc>
              <w:tc>
                <w:tcPr>
                  <w:tcW w:w="1000" w:type="pct"/>
                  <w:gridSpan w:val="3"/>
                  <w:tcMar>
                    <w:top w:w="0" w:type="dxa"/>
                    <w:left w:w="28" w:type="dxa"/>
                    <w:bottom w:w="0" w:type="dxa"/>
                    <w:right w:w="28" w:type="dxa"/>
                  </w:tcMar>
                  <w:vAlign w:val="center"/>
                </w:tcPr>
                <w:p w14:paraId="7EE0EFC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不定量计算</w:t>
                  </w:r>
                </w:p>
              </w:tc>
              <w:tc>
                <w:tcPr>
                  <w:tcW w:w="313" w:type="pct"/>
                  <w:vMerge w:val="continue"/>
                  <w:vAlign w:val="center"/>
                </w:tcPr>
                <w:p w14:paraId="08FAEE88">
                  <w:pPr>
                    <w:jc w:val="center"/>
                    <w:rPr>
                      <w:rFonts w:hint="default" w:ascii="Times New Roman" w:hAnsi="Times New Roman" w:eastAsia="仿宋" w:cs="Times New Roman"/>
                      <w:color w:val="auto"/>
                      <w:sz w:val="21"/>
                      <w:szCs w:val="21"/>
                    </w:rPr>
                  </w:pPr>
                </w:p>
              </w:tc>
              <w:tc>
                <w:tcPr>
                  <w:tcW w:w="359" w:type="pct"/>
                  <w:vMerge w:val="continue"/>
                  <w:vAlign w:val="center"/>
                </w:tcPr>
                <w:p w14:paraId="743D6339">
                  <w:pPr>
                    <w:jc w:val="center"/>
                    <w:rPr>
                      <w:rFonts w:hint="default" w:ascii="Times New Roman" w:hAnsi="Times New Roman" w:eastAsia="仿宋" w:cs="Times New Roman"/>
                      <w:color w:val="auto"/>
                      <w:sz w:val="21"/>
                      <w:szCs w:val="21"/>
                      <w:lang w:val="en-US" w:eastAsia="zh-CN"/>
                    </w:rPr>
                  </w:pPr>
                </w:p>
              </w:tc>
              <w:tc>
                <w:tcPr>
                  <w:tcW w:w="252" w:type="pct"/>
                  <w:vMerge w:val="continue"/>
                  <w:vAlign w:val="center"/>
                </w:tcPr>
                <w:p w14:paraId="2E301884">
                  <w:pPr>
                    <w:jc w:val="center"/>
                    <w:rPr>
                      <w:rFonts w:hint="default" w:ascii="Times New Roman" w:hAnsi="Times New Roman" w:eastAsia="仿宋" w:cs="Times New Roman"/>
                      <w:color w:val="auto"/>
                      <w:sz w:val="21"/>
                      <w:szCs w:val="21"/>
                    </w:rPr>
                  </w:pPr>
                </w:p>
              </w:tc>
              <w:tc>
                <w:tcPr>
                  <w:tcW w:w="869" w:type="pct"/>
                  <w:gridSpan w:val="3"/>
                  <w:vMerge w:val="continue"/>
                  <w:vAlign w:val="center"/>
                </w:tcPr>
                <w:p w14:paraId="79779331">
                  <w:pPr>
                    <w:jc w:val="center"/>
                    <w:rPr>
                      <w:rFonts w:hint="default" w:ascii="Times New Roman" w:hAnsi="Times New Roman" w:eastAsia="仿宋" w:cs="Times New Roman"/>
                      <w:color w:val="auto"/>
                      <w:sz w:val="21"/>
                      <w:szCs w:val="21"/>
                    </w:rPr>
                  </w:pPr>
                </w:p>
              </w:tc>
              <w:tc>
                <w:tcPr>
                  <w:tcW w:w="279" w:type="pct"/>
                  <w:vMerge w:val="continue"/>
                  <w:vAlign w:val="center"/>
                </w:tcPr>
                <w:p w14:paraId="7DC3E72C">
                  <w:pPr>
                    <w:widowControl/>
                    <w:jc w:val="center"/>
                    <w:textAlignment w:val="center"/>
                    <w:rPr>
                      <w:rFonts w:hint="default" w:ascii="Times New Roman" w:hAnsi="Times New Roman" w:eastAsia="仿宋" w:cs="Times New Roman"/>
                      <w:color w:val="auto"/>
                      <w:kern w:val="0"/>
                      <w:sz w:val="21"/>
                      <w:szCs w:val="21"/>
                      <w:lang w:bidi="ar"/>
                    </w:rPr>
                  </w:pPr>
                </w:p>
              </w:tc>
              <w:tc>
                <w:tcPr>
                  <w:tcW w:w="220" w:type="pct"/>
                  <w:vMerge w:val="continue"/>
                  <w:vAlign w:val="center"/>
                </w:tcPr>
                <w:p w14:paraId="790E2209">
                  <w:pPr>
                    <w:widowControl/>
                    <w:jc w:val="center"/>
                    <w:textAlignment w:val="center"/>
                    <w:rPr>
                      <w:rFonts w:hint="default" w:ascii="Times New Roman" w:hAnsi="Times New Roman" w:eastAsia="仿宋" w:cs="Times New Roman"/>
                      <w:color w:val="auto"/>
                      <w:kern w:val="0"/>
                      <w:sz w:val="21"/>
                      <w:szCs w:val="21"/>
                      <w:lang w:bidi="ar"/>
                    </w:rPr>
                  </w:pPr>
                </w:p>
              </w:tc>
              <w:tc>
                <w:tcPr>
                  <w:tcW w:w="235" w:type="pct"/>
                  <w:vMerge w:val="continue"/>
                  <w:vAlign w:val="center"/>
                </w:tcPr>
                <w:p w14:paraId="16D719BC">
                  <w:pPr>
                    <w:jc w:val="center"/>
                    <w:rPr>
                      <w:rFonts w:hint="default" w:ascii="Times New Roman" w:hAnsi="Times New Roman" w:eastAsia="仿宋" w:cs="Times New Roman"/>
                      <w:color w:val="auto"/>
                      <w:sz w:val="21"/>
                      <w:szCs w:val="21"/>
                    </w:rPr>
                  </w:pPr>
                </w:p>
              </w:tc>
              <w:tc>
                <w:tcPr>
                  <w:tcW w:w="262" w:type="pct"/>
                  <w:vMerge w:val="continue"/>
                  <w:vAlign w:val="center"/>
                </w:tcPr>
                <w:p w14:paraId="4E721FB6">
                  <w:pPr>
                    <w:jc w:val="center"/>
                    <w:rPr>
                      <w:rFonts w:hint="default" w:ascii="Times New Roman" w:hAnsi="Times New Roman" w:eastAsia="仿宋" w:cs="Times New Roman"/>
                      <w:color w:val="auto"/>
                      <w:sz w:val="21"/>
                      <w:szCs w:val="21"/>
                    </w:rPr>
                  </w:pPr>
                </w:p>
              </w:tc>
            </w:tr>
            <w:bookmarkEnd w:id="24"/>
          </w:tbl>
          <w:p w14:paraId="63DE9B5A">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8</w:t>
            </w:r>
            <w:r>
              <w:rPr>
                <w:rFonts w:hint="default" w:ascii="Times New Roman" w:hAnsi="Times New Roman" w:eastAsia="仿宋" w:cs="Times New Roman"/>
                <w:b/>
                <w:bCs/>
                <w:color w:val="auto"/>
                <w:sz w:val="24"/>
                <w:lang w:val="en-US" w:eastAsia="zh-CN"/>
              </w:rPr>
              <w:t xml:space="preserve"> </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全厂</w:t>
            </w:r>
            <w:r>
              <w:rPr>
                <w:rFonts w:hint="default" w:ascii="Times New Roman" w:hAnsi="Times New Roman" w:eastAsia="仿宋" w:cs="Times New Roman"/>
                <w:b/>
                <w:bCs/>
                <w:color w:val="auto"/>
                <w:sz w:val="24"/>
              </w:rPr>
              <w:t>有组织废气产生及排放源强表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9"/>
              <w:gridCol w:w="550"/>
              <w:gridCol w:w="1074"/>
              <w:gridCol w:w="938"/>
              <w:gridCol w:w="758"/>
              <w:gridCol w:w="704"/>
              <w:gridCol w:w="1209"/>
              <w:gridCol w:w="889"/>
              <w:gridCol w:w="692"/>
              <w:gridCol w:w="694"/>
              <w:gridCol w:w="610"/>
              <w:gridCol w:w="694"/>
              <w:gridCol w:w="674"/>
              <w:gridCol w:w="546"/>
              <w:gridCol w:w="583"/>
              <w:gridCol w:w="648"/>
            </w:tblGrid>
            <w:tr w14:paraId="0981A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35A96DCC">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w:t>
                  </w:r>
                </w:p>
                <w:p w14:paraId="5691ACD5">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环节</w:t>
                  </w:r>
                </w:p>
              </w:tc>
              <w:tc>
                <w:tcPr>
                  <w:tcW w:w="222" w:type="pct"/>
                  <w:vMerge w:val="restart"/>
                  <w:vAlign w:val="center"/>
                </w:tcPr>
                <w:p w14:paraId="56FBCE54">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废气量m</w:t>
                  </w:r>
                  <w:r>
                    <w:rPr>
                      <w:rFonts w:hint="default" w:ascii="Times New Roman" w:hAnsi="Times New Roman" w:eastAsia="仿宋" w:cs="Times New Roman"/>
                      <w:b/>
                      <w:bCs/>
                      <w:color w:val="auto"/>
                      <w:sz w:val="21"/>
                      <w:szCs w:val="21"/>
                      <w:vertAlign w:val="superscript"/>
                    </w:rPr>
                    <w:t>3</w:t>
                  </w:r>
                  <w:r>
                    <w:rPr>
                      <w:rFonts w:hint="default" w:ascii="Times New Roman" w:hAnsi="Times New Roman" w:eastAsia="仿宋" w:cs="Times New Roman"/>
                      <w:b/>
                      <w:bCs/>
                      <w:color w:val="auto"/>
                      <w:sz w:val="21"/>
                      <w:szCs w:val="21"/>
                    </w:rPr>
                    <w:t>/h</w:t>
                  </w:r>
                </w:p>
              </w:tc>
              <w:tc>
                <w:tcPr>
                  <w:tcW w:w="434" w:type="pct"/>
                  <w:vMerge w:val="restart"/>
                  <w:vAlign w:val="center"/>
                </w:tcPr>
                <w:p w14:paraId="005AE163">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0ECD0E1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970" w:type="pct"/>
                  <w:gridSpan w:val="3"/>
                  <w:vAlign w:val="center"/>
                </w:tcPr>
                <w:p w14:paraId="173DCF93">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产生情况</w:t>
                  </w:r>
                </w:p>
              </w:tc>
              <w:tc>
                <w:tcPr>
                  <w:tcW w:w="488" w:type="pct"/>
                  <w:vMerge w:val="restart"/>
                  <w:vAlign w:val="center"/>
                </w:tcPr>
                <w:p w14:paraId="2FBA0D36">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治理措施</w:t>
                  </w:r>
                </w:p>
              </w:tc>
              <w:tc>
                <w:tcPr>
                  <w:tcW w:w="359" w:type="pct"/>
                  <w:vMerge w:val="restart"/>
                  <w:vAlign w:val="center"/>
                </w:tcPr>
                <w:p w14:paraId="7D27C54F">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1E91D8E7">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279" w:type="pct"/>
                  <w:vMerge w:val="restart"/>
                  <w:vAlign w:val="center"/>
                </w:tcPr>
                <w:p w14:paraId="28F99CE6">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去除率％</w:t>
                  </w:r>
                </w:p>
              </w:tc>
              <w:tc>
                <w:tcPr>
                  <w:tcW w:w="808" w:type="pct"/>
                  <w:gridSpan w:val="3"/>
                  <w:vAlign w:val="center"/>
                </w:tcPr>
                <w:p w14:paraId="7FC22FD0">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排放情况</w:t>
                  </w:r>
                </w:p>
              </w:tc>
              <w:tc>
                <w:tcPr>
                  <w:tcW w:w="493" w:type="pct"/>
                  <w:gridSpan w:val="2"/>
                  <w:vAlign w:val="center"/>
                </w:tcPr>
                <w:p w14:paraId="5F83B6F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执行标准</w:t>
                  </w:r>
                </w:p>
              </w:tc>
              <w:tc>
                <w:tcPr>
                  <w:tcW w:w="235" w:type="pct"/>
                  <w:vMerge w:val="restart"/>
                  <w:vAlign w:val="center"/>
                </w:tcPr>
                <w:p w14:paraId="03DE914B">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排气筒名称及编号</w:t>
                  </w:r>
                </w:p>
              </w:tc>
              <w:tc>
                <w:tcPr>
                  <w:tcW w:w="262" w:type="pct"/>
                  <w:vMerge w:val="restart"/>
                  <w:vAlign w:val="center"/>
                </w:tcPr>
                <w:p w14:paraId="48DB1144">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排放方式</w:t>
                  </w:r>
                </w:p>
              </w:tc>
            </w:tr>
            <w:tr w14:paraId="4EBFE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6B201994">
                  <w:pPr>
                    <w:jc w:val="center"/>
                    <w:rPr>
                      <w:rFonts w:hint="default" w:ascii="Times New Roman" w:hAnsi="Times New Roman" w:eastAsia="仿宋" w:cs="Times New Roman"/>
                      <w:b/>
                      <w:bCs/>
                      <w:color w:val="auto"/>
                      <w:sz w:val="21"/>
                      <w:szCs w:val="21"/>
                    </w:rPr>
                  </w:pPr>
                </w:p>
              </w:tc>
              <w:tc>
                <w:tcPr>
                  <w:tcW w:w="222" w:type="pct"/>
                  <w:vMerge w:val="continue"/>
                  <w:vAlign w:val="center"/>
                </w:tcPr>
                <w:p w14:paraId="0449359E">
                  <w:pPr>
                    <w:jc w:val="center"/>
                    <w:rPr>
                      <w:rFonts w:hint="default" w:ascii="Times New Roman" w:hAnsi="Times New Roman" w:eastAsia="仿宋" w:cs="Times New Roman"/>
                      <w:b/>
                      <w:bCs/>
                      <w:color w:val="auto"/>
                      <w:sz w:val="21"/>
                      <w:szCs w:val="21"/>
                    </w:rPr>
                  </w:pPr>
                </w:p>
              </w:tc>
              <w:tc>
                <w:tcPr>
                  <w:tcW w:w="434" w:type="pct"/>
                  <w:vMerge w:val="continue"/>
                  <w:vAlign w:val="center"/>
                </w:tcPr>
                <w:p w14:paraId="6EBFCC4C">
                  <w:pPr>
                    <w:jc w:val="center"/>
                    <w:rPr>
                      <w:rFonts w:hint="default" w:ascii="Times New Roman" w:hAnsi="Times New Roman" w:eastAsia="仿宋" w:cs="Times New Roman"/>
                      <w:b/>
                      <w:bCs/>
                      <w:color w:val="auto"/>
                      <w:sz w:val="21"/>
                      <w:szCs w:val="21"/>
                    </w:rPr>
                  </w:pPr>
                </w:p>
              </w:tc>
              <w:tc>
                <w:tcPr>
                  <w:tcW w:w="379" w:type="pct"/>
                  <w:tcMar>
                    <w:top w:w="0" w:type="dxa"/>
                    <w:left w:w="28" w:type="dxa"/>
                    <w:bottom w:w="0" w:type="dxa"/>
                    <w:right w:w="28" w:type="dxa"/>
                  </w:tcMar>
                  <w:vAlign w:val="center"/>
                </w:tcPr>
                <w:p w14:paraId="76E8A47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产生量t/a</w:t>
                  </w:r>
                </w:p>
              </w:tc>
              <w:tc>
                <w:tcPr>
                  <w:tcW w:w="306" w:type="pct"/>
                  <w:tcMar>
                    <w:top w:w="0" w:type="dxa"/>
                    <w:left w:w="28" w:type="dxa"/>
                    <w:bottom w:w="0" w:type="dxa"/>
                    <w:right w:w="28" w:type="dxa"/>
                  </w:tcMar>
                  <w:vAlign w:val="center"/>
                </w:tcPr>
                <w:p w14:paraId="6E9E5FB1">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284" w:type="pct"/>
                  <w:vAlign w:val="center"/>
                </w:tcPr>
                <w:p w14:paraId="7969B352">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488" w:type="pct"/>
                  <w:vMerge w:val="continue"/>
                  <w:vAlign w:val="center"/>
                </w:tcPr>
                <w:p w14:paraId="00465718">
                  <w:pPr>
                    <w:jc w:val="center"/>
                    <w:rPr>
                      <w:rFonts w:hint="default" w:ascii="Times New Roman" w:hAnsi="Times New Roman" w:eastAsia="仿宋" w:cs="Times New Roman"/>
                      <w:b/>
                      <w:bCs/>
                      <w:color w:val="auto"/>
                      <w:sz w:val="21"/>
                      <w:szCs w:val="21"/>
                    </w:rPr>
                  </w:pPr>
                </w:p>
              </w:tc>
              <w:tc>
                <w:tcPr>
                  <w:tcW w:w="359" w:type="pct"/>
                  <w:vMerge w:val="continue"/>
                  <w:vAlign w:val="center"/>
                </w:tcPr>
                <w:p w14:paraId="67D53C29">
                  <w:pPr>
                    <w:jc w:val="center"/>
                    <w:rPr>
                      <w:rFonts w:hint="default" w:ascii="Times New Roman" w:hAnsi="Times New Roman" w:eastAsia="仿宋" w:cs="Times New Roman"/>
                      <w:b/>
                      <w:bCs/>
                      <w:color w:val="auto"/>
                      <w:sz w:val="21"/>
                      <w:szCs w:val="21"/>
                    </w:rPr>
                  </w:pPr>
                </w:p>
              </w:tc>
              <w:tc>
                <w:tcPr>
                  <w:tcW w:w="279" w:type="pct"/>
                  <w:vMerge w:val="continue"/>
                  <w:vAlign w:val="center"/>
                </w:tcPr>
                <w:p w14:paraId="282AD171">
                  <w:pPr>
                    <w:jc w:val="center"/>
                    <w:rPr>
                      <w:rFonts w:hint="default" w:ascii="Times New Roman" w:hAnsi="Times New Roman" w:eastAsia="仿宋" w:cs="Times New Roman"/>
                      <w:b/>
                      <w:bCs/>
                      <w:color w:val="auto"/>
                      <w:sz w:val="21"/>
                      <w:szCs w:val="21"/>
                    </w:rPr>
                  </w:pPr>
                </w:p>
              </w:tc>
              <w:tc>
                <w:tcPr>
                  <w:tcW w:w="280" w:type="pct"/>
                  <w:vAlign w:val="center"/>
                </w:tcPr>
                <w:p w14:paraId="6F9A72E1">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排放量t/a</w:t>
                  </w:r>
                </w:p>
              </w:tc>
              <w:tc>
                <w:tcPr>
                  <w:tcW w:w="246" w:type="pct"/>
                  <w:vAlign w:val="center"/>
                </w:tcPr>
                <w:p w14:paraId="43282F4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280" w:type="pct"/>
                  <w:vAlign w:val="center"/>
                </w:tcPr>
                <w:p w14:paraId="338177DA">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272" w:type="pct"/>
                  <w:vAlign w:val="center"/>
                </w:tcPr>
                <w:p w14:paraId="5162625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浓度mg/m</w:t>
                  </w:r>
                  <w:r>
                    <w:rPr>
                      <w:rFonts w:hint="default" w:ascii="Times New Roman" w:hAnsi="Times New Roman" w:eastAsia="仿宋" w:cs="Times New Roman"/>
                      <w:b/>
                      <w:bCs/>
                      <w:color w:val="auto"/>
                      <w:sz w:val="21"/>
                      <w:szCs w:val="21"/>
                      <w:vertAlign w:val="superscript"/>
                    </w:rPr>
                    <w:t>3</w:t>
                  </w:r>
                </w:p>
              </w:tc>
              <w:tc>
                <w:tcPr>
                  <w:tcW w:w="220" w:type="pct"/>
                  <w:vAlign w:val="center"/>
                </w:tcPr>
                <w:p w14:paraId="52E9CE29">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速率kg/h</w:t>
                  </w:r>
                </w:p>
              </w:tc>
              <w:tc>
                <w:tcPr>
                  <w:tcW w:w="235" w:type="pct"/>
                  <w:vMerge w:val="continue"/>
                  <w:vAlign w:val="center"/>
                </w:tcPr>
                <w:p w14:paraId="25D5393A">
                  <w:pPr>
                    <w:jc w:val="center"/>
                    <w:rPr>
                      <w:rFonts w:hint="default" w:ascii="Times New Roman" w:hAnsi="Times New Roman" w:eastAsia="仿宋" w:cs="Times New Roman"/>
                      <w:b/>
                      <w:bCs/>
                      <w:color w:val="auto"/>
                      <w:sz w:val="21"/>
                      <w:szCs w:val="21"/>
                    </w:rPr>
                  </w:pPr>
                </w:p>
              </w:tc>
              <w:tc>
                <w:tcPr>
                  <w:tcW w:w="262" w:type="pct"/>
                  <w:vMerge w:val="continue"/>
                  <w:vAlign w:val="center"/>
                </w:tcPr>
                <w:p w14:paraId="4D33BFAE">
                  <w:pPr>
                    <w:jc w:val="center"/>
                    <w:rPr>
                      <w:rFonts w:hint="default" w:ascii="Times New Roman" w:hAnsi="Times New Roman" w:eastAsia="仿宋" w:cs="Times New Roman"/>
                      <w:b/>
                      <w:bCs/>
                      <w:color w:val="auto"/>
                      <w:sz w:val="21"/>
                      <w:szCs w:val="21"/>
                    </w:rPr>
                  </w:pPr>
                </w:p>
              </w:tc>
            </w:tr>
            <w:tr w14:paraId="66F42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Align w:val="center"/>
                </w:tcPr>
                <w:p w14:paraId="0DCAB71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刷锡、回流焊</w:t>
                  </w:r>
                </w:p>
              </w:tc>
              <w:tc>
                <w:tcPr>
                  <w:tcW w:w="222" w:type="pct"/>
                  <w:vMerge w:val="restart"/>
                  <w:vAlign w:val="center"/>
                </w:tcPr>
                <w:p w14:paraId="1D2758C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25000</w:t>
                  </w:r>
                </w:p>
              </w:tc>
              <w:tc>
                <w:tcPr>
                  <w:tcW w:w="434" w:type="pct"/>
                  <w:vAlign w:val="center"/>
                </w:tcPr>
                <w:p w14:paraId="0FB2930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379" w:type="pct"/>
                  <w:tcMar>
                    <w:top w:w="0" w:type="dxa"/>
                    <w:left w:w="28" w:type="dxa"/>
                    <w:bottom w:w="0" w:type="dxa"/>
                    <w:right w:w="28" w:type="dxa"/>
                  </w:tcMar>
                  <w:vAlign w:val="center"/>
                </w:tcPr>
                <w:p w14:paraId="09C0756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0.0027</w:t>
                  </w:r>
                </w:p>
              </w:tc>
              <w:tc>
                <w:tcPr>
                  <w:tcW w:w="306" w:type="pct"/>
                  <w:tcMar>
                    <w:top w:w="0" w:type="dxa"/>
                    <w:left w:w="28" w:type="dxa"/>
                    <w:bottom w:w="0" w:type="dxa"/>
                    <w:right w:w="28" w:type="dxa"/>
                  </w:tcMar>
                  <w:vAlign w:val="center"/>
                </w:tcPr>
                <w:p w14:paraId="28D54B5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0.015</w:t>
                  </w:r>
                </w:p>
              </w:tc>
              <w:tc>
                <w:tcPr>
                  <w:tcW w:w="284" w:type="pct"/>
                  <w:vAlign w:val="center"/>
                </w:tcPr>
                <w:p w14:paraId="2FB1F87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0.0004</w:t>
                  </w:r>
                </w:p>
              </w:tc>
              <w:tc>
                <w:tcPr>
                  <w:tcW w:w="488" w:type="pct"/>
                  <w:vMerge w:val="restart"/>
                  <w:vAlign w:val="center"/>
                </w:tcPr>
                <w:p w14:paraId="72B1FA1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1#干式过滤+1#</w:t>
                  </w:r>
                  <w:r>
                    <w:rPr>
                      <w:rFonts w:hint="default" w:ascii="Times New Roman" w:hAnsi="Times New Roman" w:eastAsia="仿宋" w:cs="Times New Roman"/>
                      <w:color w:val="auto"/>
                      <w:sz w:val="21"/>
                      <w:szCs w:val="21"/>
                      <w:lang w:eastAsia="zh-CN"/>
                    </w:rPr>
                    <w:t>两级活性炭</w:t>
                  </w:r>
                  <w:r>
                    <w:rPr>
                      <w:rFonts w:hint="default" w:ascii="Times New Roman" w:hAnsi="Times New Roman" w:eastAsia="仿宋" w:cs="Times New Roman"/>
                      <w:color w:val="auto"/>
                      <w:sz w:val="21"/>
                      <w:szCs w:val="21"/>
                    </w:rPr>
                    <w:t>吸附+脱附+蓄热催化燃烧RCO</w:t>
                  </w:r>
                </w:p>
              </w:tc>
              <w:tc>
                <w:tcPr>
                  <w:tcW w:w="359" w:type="pct"/>
                  <w:vMerge w:val="restart"/>
                  <w:vAlign w:val="center"/>
                </w:tcPr>
                <w:p w14:paraId="6E1927C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279" w:type="pct"/>
                  <w:vMerge w:val="restart"/>
                  <w:vAlign w:val="center"/>
                </w:tcPr>
                <w:p w14:paraId="7064FBB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280" w:type="pct"/>
                  <w:vMerge w:val="restart"/>
                  <w:vAlign w:val="center"/>
                </w:tcPr>
                <w:p w14:paraId="10D9119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0.0003</w:t>
                  </w:r>
                </w:p>
              </w:tc>
              <w:tc>
                <w:tcPr>
                  <w:tcW w:w="246" w:type="pct"/>
                  <w:vMerge w:val="restart"/>
                  <w:vAlign w:val="center"/>
                </w:tcPr>
                <w:p w14:paraId="286DCD9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0.002</w:t>
                  </w:r>
                </w:p>
              </w:tc>
              <w:tc>
                <w:tcPr>
                  <w:tcW w:w="280" w:type="pct"/>
                  <w:vMerge w:val="restart"/>
                  <w:vAlign w:val="center"/>
                </w:tcPr>
                <w:p w14:paraId="4ABDF9C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0.00004</w:t>
                  </w:r>
                </w:p>
              </w:tc>
              <w:tc>
                <w:tcPr>
                  <w:tcW w:w="272" w:type="pct"/>
                  <w:vMerge w:val="restart"/>
                  <w:vAlign w:val="center"/>
                </w:tcPr>
                <w:p w14:paraId="3505B90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220" w:type="pct"/>
                  <w:vMerge w:val="restart"/>
                  <w:vAlign w:val="center"/>
                </w:tcPr>
                <w:p w14:paraId="3F37145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0.22</w:t>
                  </w:r>
                </w:p>
              </w:tc>
              <w:tc>
                <w:tcPr>
                  <w:tcW w:w="235" w:type="pct"/>
                  <w:vMerge w:val="restart"/>
                  <w:vAlign w:val="center"/>
                </w:tcPr>
                <w:p w14:paraId="2260CB4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1#排气筒</w:t>
                  </w:r>
                </w:p>
              </w:tc>
              <w:tc>
                <w:tcPr>
                  <w:tcW w:w="262" w:type="pct"/>
                  <w:vMerge w:val="restart"/>
                  <w:vAlign w:val="center"/>
                </w:tcPr>
                <w:p w14:paraId="1FC18E5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7200h，连续</w:t>
                  </w:r>
                </w:p>
              </w:tc>
            </w:tr>
            <w:tr w14:paraId="23006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27F14B8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点漆干燥</w:t>
                  </w:r>
                </w:p>
              </w:tc>
              <w:tc>
                <w:tcPr>
                  <w:tcW w:w="222" w:type="pct"/>
                  <w:vMerge w:val="continue"/>
                  <w:vAlign w:val="center"/>
                </w:tcPr>
                <w:p w14:paraId="791B7951">
                  <w:pPr>
                    <w:jc w:val="center"/>
                    <w:rPr>
                      <w:rFonts w:hint="default" w:ascii="Times New Roman" w:hAnsi="Times New Roman" w:eastAsia="仿宋" w:cs="Times New Roman"/>
                      <w:color w:val="auto"/>
                      <w:sz w:val="21"/>
                      <w:szCs w:val="21"/>
                    </w:rPr>
                  </w:pPr>
                </w:p>
              </w:tc>
              <w:tc>
                <w:tcPr>
                  <w:tcW w:w="434" w:type="pct"/>
                  <w:vAlign w:val="center"/>
                </w:tcPr>
                <w:p w14:paraId="42D7C0D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50685D7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6.12</w:t>
                  </w:r>
                </w:p>
              </w:tc>
              <w:tc>
                <w:tcPr>
                  <w:tcW w:w="306" w:type="pct"/>
                  <w:tcMar>
                    <w:top w:w="0" w:type="dxa"/>
                    <w:left w:w="28" w:type="dxa"/>
                    <w:bottom w:w="0" w:type="dxa"/>
                    <w:right w:w="28" w:type="dxa"/>
                  </w:tcMar>
                  <w:vAlign w:val="center"/>
                </w:tcPr>
                <w:p w14:paraId="25276A9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284" w:type="pct"/>
                  <w:vAlign w:val="center"/>
                </w:tcPr>
                <w:p w14:paraId="16B10FF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0.85</w:t>
                  </w:r>
                </w:p>
              </w:tc>
              <w:tc>
                <w:tcPr>
                  <w:tcW w:w="488" w:type="pct"/>
                  <w:vMerge w:val="continue"/>
                  <w:vAlign w:val="center"/>
                </w:tcPr>
                <w:p w14:paraId="4FDE0285">
                  <w:pPr>
                    <w:jc w:val="center"/>
                    <w:rPr>
                      <w:rFonts w:hint="default" w:ascii="Times New Roman" w:hAnsi="Times New Roman" w:eastAsia="仿宋" w:cs="Times New Roman"/>
                      <w:color w:val="auto"/>
                      <w:sz w:val="21"/>
                      <w:szCs w:val="21"/>
                    </w:rPr>
                  </w:pPr>
                </w:p>
              </w:tc>
              <w:tc>
                <w:tcPr>
                  <w:tcW w:w="359" w:type="pct"/>
                  <w:vMerge w:val="continue"/>
                  <w:vAlign w:val="center"/>
                </w:tcPr>
                <w:p w14:paraId="392622BE">
                  <w:pPr>
                    <w:jc w:val="center"/>
                    <w:rPr>
                      <w:rFonts w:hint="default" w:ascii="Times New Roman" w:hAnsi="Times New Roman" w:eastAsia="仿宋" w:cs="Times New Roman"/>
                      <w:color w:val="auto"/>
                      <w:sz w:val="21"/>
                      <w:szCs w:val="21"/>
                    </w:rPr>
                  </w:pPr>
                </w:p>
              </w:tc>
              <w:tc>
                <w:tcPr>
                  <w:tcW w:w="279" w:type="pct"/>
                  <w:vMerge w:val="continue"/>
                  <w:vAlign w:val="center"/>
                </w:tcPr>
                <w:p w14:paraId="4DF12DE0">
                  <w:pPr>
                    <w:jc w:val="center"/>
                    <w:rPr>
                      <w:rFonts w:hint="default" w:ascii="Times New Roman" w:hAnsi="Times New Roman" w:eastAsia="仿宋" w:cs="Times New Roman"/>
                      <w:color w:val="auto"/>
                      <w:sz w:val="21"/>
                      <w:szCs w:val="21"/>
                    </w:rPr>
                  </w:pPr>
                </w:p>
              </w:tc>
              <w:tc>
                <w:tcPr>
                  <w:tcW w:w="280" w:type="pct"/>
                  <w:vMerge w:val="continue"/>
                  <w:vAlign w:val="center"/>
                </w:tcPr>
                <w:p w14:paraId="26A23CCC">
                  <w:pPr>
                    <w:jc w:val="center"/>
                    <w:rPr>
                      <w:rFonts w:hint="default" w:ascii="Times New Roman" w:hAnsi="Times New Roman" w:eastAsia="仿宋" w:cs="Times New Roman"/>
                      <w:color w:val="auto"/>
                      <w:sz w:val="21"/>
                      <w:szCs w:val="21"/>
                    </w:rPr>
                  </w:pPr>
                </w:p>
              </w:tc>
              <w:tc>
                <w:tcPr>
                  <w:tcW w:w="246" w:type="pct"/>
                  <w:vMerge w:val="continue"/>
                  <w:vAlign w:val="center"/>
                </w:tcPr>
                <w:p w14:paraId="43A46E70">
                  <w:pPr>
                    <w:jc w:val="center"/>
                    <w:rPr>
                      <w:rFonts w:hint="default" w:ascii="Times New Roman" w:hAnsi="Times New Roman" w:eastAsia="仿宋" w:cs="Times New Roman"/>
                      <w:color w:val="auto"/>
                      <w:sz w:val="21"/>
                      <w:szCs w:val="21"/>
                    </w:rPr>
                  </w:pPr>
                </w:p>
              </w:tc>
              <w:tc>
                <w:tcPr>
                  <w:tcW w:w="280" w:type="pct"/>
                  <w:vMerge w:val="continue"/>
                  <w:vAlign w:val="center"/>
                </w:tcPr>
                <w:p w14:paraId="43D26FCD">
                  <w:pPr>
                    <w:jc w:val="center"/>
                    <w:rPr>
                      <w:rFonts w:hint="default" w:ascii="Times New Roman" w:hAnsi="Times New Roman" w:eastAsia="仿宋" w:cs="Times New Roman"/>
                      <w:color w:val="auto"/>
                      <w:sz w:val="21"/>
                      <w:szCs w:val="21"/>
                    </w:rPr>
                  </w:pPr>
                </w:p>
              </w:tc>
              <w:tc>
                <w:tcPr>
                  <w:tcW w:w="272" w:type="pct"/>
                  <w:vMerge w:val="continue"/>
                  <w:vAlign w:val="center"/>
                </w:tcPr>
                <w:p w14:paraId="75898AFB">
                  <w:pPr>
                    <w:jc w:val="center"/>
                    <w:rPr>
                      <w:rFonts w:hint="default" w:ascii="Times New Roman" w:hAnsi="Times New Roman" w:eastAsia="仿宋" w:cs="Times New Roman"/>
                      <w:color w:val="auto"/>
                      <w:sz w:val="21"/>
                      <w:szCs w:val="21"/>
                    </w:rPr>
                  </w:pPr>
                </w:p>
              </w:tc>
              <w:tc>
                <w:tcPr>
                  <w:tcW w:w="220" w:type="pct"/>
                  <w:vMerge w:val="continue"/>
                  <w:vAlign w:val="center"/>
                </w:tcPr>
                <w:p w14:paraId="3F7F5D5F">
                  <w:pPr>
                    <w:jc w:val="center"/>
                    <w:rPr>
                      <w:rFonts w:hint="default" w:ascii="Times New Roman" w:hAnsi="Times New Roman" w:eastAsia="仿宋" w:cs="Times New Roman"/>
                      <w:color w:val="auto"/>
                      <w:sz w:val="21"/>
                      <w:szCs w:val="21"/>
                    </w:rPr>
                  </w:pPr>
                </w:p>
              </w:tc>
              <w:tc>
                <w:tcPr>
                  <w:tcW w:w="235" w:type="pct"/>
                  <w:vMerge w:val="continue"/>
                  <w:vAlign w:val="center"/>
                </w:tcPr>
                <w:p w14:paraId="55E66E92">
                  <w:pPr>
                    <w:jc w:val="center"/>
                    <w:rPr>
                      <w:rFonts w:hint="default" w:ascii="Times New Roman" w:hAnsi="Times New Roman" w:eastAsia="仿宋" w:cs="Times New Roman"/>
                      <w:color w:val="auto"/>
                      <w:sz w:val="21"/>
                      <w:szCs w:val="21"/>
                    </w:rPr>
                  </w:pPr>
                </w:p>
              </w:tc>
              <w:tc>
                <w:tcPr>
                  <w:tcW w:w="262" w:type="pct"/>
                  <w:vMerge w:val="continue"/>
                  <w:vAlign w:val="center"/>
                </w:tcPr>
                <w:p w14:paraId="0D288063">
                  <w:pPr>
                    <w:jc w:val="center"/>
                    <w:rPr>
                      <w:rFonts w:hint="default" w:ascii="Times New Roman" w:hAnsi="Times New Roman" w:eastAsia="仿宋" w:cs="Times New Roman"/>
                      <w:color w:val="auto"/>
                      <w:sz w:val="21"/>
                      <w:szCs w:val="21"/>
                    </w:rPr>
                  </w:pPr>
                </w:p>
              </w:tc>
            </w:tr>
            <w:tr w14:paraId="4F6B4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07214D81">
                  <w:pPr>
                    <w:jc w:val="center"/>
                    <w:rPr>
                      <w:rFonts w:hint="default" w:ascii="Times New Roman" w:hAnsi="Times New Roman" w:eastAsia="仿宋" w:cs="Times New Roman"/>
                      <w:color w:val="auto"/>
                      <w:sz w:val="21"/>
                      <w:szCs w:val="21"/>
                    </w:rPr>
                  </w:pPr>
                </w:p>
              </w:tc>
              <w:tc>
                <w:tcPr>
                  <w:tcW w:w="222" w:type="pct"/>
                  <w:vMerge w:val="continue"/>
                  <w:vAlign w:val="center"/>
                </w:tcPr>
                <w:p w14:paraId="2B926DDE">
                  <w:pPr>
                    <w:jc w:val="center"/>
                    <w:rPr>
                      <w:rFonts w:hint="default" w:ascii="Times New Roman" w:hAnsi="Times New Roman" w:eastAsia="仿宋" w:cs="Times New Roman"/>
                      <w:color w:val="auto"/>
                      <w:sz w:val="21"/>
                      <w:szCs w:val="21"/>
                    </w:rPr>
                  </w:pPr>
                </w:p>
              </w:tc>
              <w:tc>
                <w:tcPr>
                  <w:tcW w:w="434" w:type="pct"/>
                  <w:vAlign w:val="center"/>
                </w:tcPr>
                <w:p w14:paraId="29DC88C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5828311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6.12</w:t>
                  </w:r>
                </w:p>
              </w:tc>
              <w:tc>
                <w:tcPr>
                  <w:tcW w:w="306" w:type="pct"/>
                  <w:tcMar>
                    <w:top w:w="0" w:type="dxa"/>
                    <w:left w:w="28" w:type="dxa"/>
                    <w:bottom w:w="0" w:type="dxa"/>
                    <w:right w:w="28" w:type="dxa"/>
                  </w:tcMar>
                  <w:vAlign w:val="center"/>
                </w:tcPr>
                <w:p w14:paraId="7F12677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284" w:type="pct"/>
                  <w:vAlign w:val="center"/>
                </w:tcPr>
                <w:p w14:paraId="36954B6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0.85</w:t>
                  </w:r>
                </w:p>
              </w:tc>
              <w:tc>
                <w:tcPr>
                  <w:tcW w:w="488" w:type="pct"/>
                  <w:vMerge w:val="continue"/>
                  <w:vAlign w:val="center"/>
                </w:tcPr>
                <w:p w14:paraId="08B8C10E">
                  <w:pPr>
                    <w:jc w:val="center"/>
                    <w:rPr>
                      <w:rFonts w:hint="default" w:ascii="Times New Roman" w:hAnsi="Times New Roman" w:eastAsia="仿宋" w:cs="Times New Roman"/>
                      <w:color w:val="auto"/>
                      <w:sz w:val="21"/>
                      <w:szCs w:val="21"/>
                    </w:rPr>
                  </w:pPr>
                </w:p>
              </w:tc>
              <w:tc>
                <w:tcPr>
                  <w:tcW w:w="359" w:type="pct"/>
                  <w:vMerge w:val="continue"/>
                  <w:vAlign w:val="center"/>
                </w:tcPr>
                <w:p w14:paraId="64EA8332">
                  <w:pPr>
                    <w:jc w:val="center"/>
                    <w:rPr>
                      <w:rFonts w:hint="default" w:ascii="Times New Roman" w:hAnsi="Times New Roman" w:eastAsia="仿宋" w:cs="Times New Roman"/>
                      <w:color w:val="auto"/>
                      <w:sz w:val="21"/>
                      <w:szCs w:val="21"/>
                    </w:rPr>
                  </w:pPr>
                </w:p>
              </w:tc>
              <w:tc>
                <w:tcPr>
                  <w:tcW w:w="279" w:type="pct"/>
                  <w:vMerge w:val="continue"/>
                  <w:vAlign w:val="center"/>
                </w:tcPr>
                <w:p w14:paraId="4051E594">
                  <w:pPr>
                    <w:jc w:val="center"/>
                    <w:rPr>
                      <w:rFonts w:hint="default" w:ascii="Times New Roman" w:hAnsi="Times New Roman" w:eastAsia="仿宋" w:cs="Times New Roman"/>
                      <w:color w:val="auto"/>
                      <w:sz w:val="21"/>
                      <w:szCs w:val="21"/>
                    </w:rPr>
                  </w:pPr>
                </w:p>
              </w:tc>
              <w:tc>
                <w:tcPr>
                  <w:tcW w:w="280" w:type="pct"/>
                  <w:vMerge w:val="continue"/>
                  <w:vAlign w:val="center"/>
                </w:tcPr>
                <w:p w14:paraId="1D33C614">
                  <w:pPr>
                    <w:jc w:val="center"/>
                    <w:rPr>
                      <w:rFonts w:hint="default" w:ascii="Times New Roman" w:hAnsi="Times New Roman" w:eastAsia="仿宋" w:cs="Times New Roman"/>
                      <w:color w:val="auto"/>
                      <w:sz w:val="21"/>
                      <w:szCs w:val="21"/>
                    </w:rPr>
                  </w:pPr>
                </w:p>
              </w:tc>
              <w:tc>
                <w:tcPr>
                  <w:tcW w:w="246" w:type="pct"/>
                  <w:vMerge w:val="continue"/>
                  <w:vAlign w:val="center"/>
                </w:tcPr>
                <w:p w14:paraId="5D2608A4">
                  <w:pPr>
                    <w:jc w:val="center"/>
                    <w:rPr>
                      <w:rFonts w:hint="default" w:ascii="Times New Roman" w:hAnsi="Times New Roman" w:eastAsia="仿宋" w:cs="Times New Roman"/>
                      <w:color w:val="auto"/>
                      <w:sz w:val="21"/>
                      <w:szCs w:val="21"/>
                    </w:rPr>
                  </w:pPr>
                </w:p>
              </w:tc>
              <w:tc>
                <w:tcPr>
                  <w:tcW w:w="280" w:type="pct"/>
                  <w:vMerge w:val="continue"/>
                  <w:vAlign w:val="center"/>
                </w:tcPr>
                <w:p w14:paraId="0050B4BC">
                  <w:pPr>
                    <w:jc w:val="center"/>
                    <w:rPr>
                      <w:rFonts w:hint="default" w:ascii="Times New Roman" w:hAnsi="Times New Roman" w:eastAsia="仿宋" w:cs="Times New Roman"/>
                      <w:color w:val="auto"/>
                      <w:sz w:val="21"/>
                      <w:szCs w:val="21"/>
                    </w:rPr>
                  </w:pPr>
                </w:p>
              </w:tc>
              <w:tc>
                <w:tcPr>
                  <w:tcW w:w="272" w:type="pct"/>
                  <w:vMerge w:val="continue"/>
                  <w:vAlign w:val="center"/>
                </w:tcPr>
                <w:p w14:paraId="2CDB5743">
                  <w:pPr>
                    <w:jc w:val="center"/>
                    <w:rPr>
                      <w:rFonts w:hint="default" w:ascii="Times New Roman" w:hAnsi="Times New Roman" w:eastAsia="仿宋" w:cs="Times New Roman"/>
                      <w:color w:val="auto"/>
                      <w:sz w:val="21"/>
                      <w:szCs w:val="21"/>
                    </w:rPr>
                  </w:pPr>
                </w:p>
              </w:tc>
              <w:tc>
                <w:tcPr>
                  <w:tcW w:w="220" w:type="pct"/>
                  <w:vMerge w:val="continue"/>
                  <w:vAlign w:val="center"/>
                </w:tcPr>
                <w:p w14:paraId="22606B96">
                  <w:pPr>
                    <w:jc w:val="center"/>
                    <w:rPr>
                      <w:rFonts w:hint="default" w:ascii="Times New Roman" w:hAnsi="Times New Roman" w:eastAsia="仿宋" w:cs="Times New Roman"/>
                      <w:color w:val="auto"/>
                      <w:sz w:val="21"/>
                      <w:szCs w:val="21"/>
                    </w:rPr>
                  </w:pPr>
                </w:p>
              </w:tc>
              <w:tc>
                <w:tcPr>
                  <w:tcW w:w="235" w:type="pct"/>
                  <w:vMerge w:val="continue"/>
                  <w:vAlign w:val="center"/>
                </w:tcPr>
                <w:p w14:paraId="398D0A03">
                  <w:pPr>
                    <w:jc w:val="center"/>
                    <w:rPr>
                      <w:rFonts w:hint="default" w:ascii="Times New Roman" w:hAnsi="Times New Roman" w:eastAsia="仿宋" w:cs="Times New Roman"/>
                      <w:color w:val="auto"/>
                      <w:sz w:val="21"/>
                      <w:szCs w:val="21"/>
                    </w:rPr>
                  </w:pPr>
                </w:p>
              </w:tc>
              <w:tc>
                <w:tcPr>
                  <w:tcW w:w="262" w:type="pct"/>
                  <w:vMerge w:val="continue"/>
                  <w:vAlign w:val="center"/>
                </w:tcPr>
                <w:p w14:paraId="744C9538">
                  <w:pPr>
                    <w:jc w:val="center"/>
                    <w:rPr>
                      <w:rFonts w:hint="default" w:ascii="Times New Roman" w:hAnsi="Times New Roman" w:eastAsia="仿宋" w:cs="Times New Roman"/>
                      <w:color w:val="auto"/>
                      <w:sz w:val="21"/>
                      <w:szCs w:val="21"/>
                    </w:rPr>
                  </w:pPr>
                </w:p>
              </w:tc>
            </w:tr>
            <w:tr w14:paraId="1D318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3B24F8B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点胶、UV固化</w:t>
                  </w:r>
                </w:p>
              </w:tc>
              <w:tc>
                <w:tcPr>
                  <w:tcW w:w="222" w:type="pct"/>
                  <w:vMerge w:val="continue"/>
                  <w:vAlign w:val="center"/>
                </w:tcPr>
                <w:p w14:paraId="753459B9">
                  <w:pPr>
                    <w:jc w:val="center"/>
                    <w:rPr>
                      <w:rFonts w:hint="default" w:ascii="Times New Roman" w:hAnsi="Times New Roman" w:eastAsia="仿宋" w:cs="Times New Roman"/>
                      <w:color w:val="auto"/>
                      <w:sz w:val="21"/>
                      <w:szCs w:val="21"/>
                    </w:rPr>
                  </w:pPr>
                </w:p>
              </w:tc>
              <w:tc>
                <w:tcPr>
                  <w:tcW w:w="434" w:type="pct"/>
                  <w:vAlign w:val="center"/>
                </w:tcPr>
                <w:p w14:paraId="6630948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40CFF57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0.0018</w:t>
                  </w:r>
                </w:p>
              </w:tc>
              <w:tc>
                <w:tcPr>
                  <w:tcW w:w="306" w:type="pct"/>
                  <w:tcMar>
                    <w:top w:w="0" w:type="dxa"/>
                    <w:left w:w="28" w:type="dxa"/>
                    <w:bottom w:w="0" w:type="dxa"/>
                    <w:right w:w="28" w:type="dxa"/>
                  </w:tcMar>
                  <w:vAlign w:val="center"/>
                </w:tcPr>
                <w:p w14:paraId="626A29B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284" w:type="pct"/>
                  <w:vAlign w:val="center"/>
                </w:tcPr>
                <w:p w14:paraId="668D183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0.0003</w:t>
                  </w:r>
                </w:p>
              </w:tc>
              <w:tc>
                <w:tcPr>
                  <w:tcW w:w="488" w:type="pct"/>
                  <w:vMerge w:val="continue"/>
                  <w:vAlign w:val="center"/>
                </w:tcPr>
                <w:p w14:paraId="1ECD9F3E">
                  <w:pPr>
                    <w:jc w:val="center"/>
                    <w:rPr>
                      <w:rFonts w:hint="default" w:ascii="Times New Roman" w:hAnsi="Times New Roman" w:eastAsia="仿宋" w:cs="Times New Roman"/>
                      <w:color w:val="auto"/>
                      <w:sz w:val="21"/>
                      <w:szCs w:val="21"/>
                    </w:rPr>
                  </w:pPr>
                </w:p>
              </w:tc>
              <w:tc>
                <w:tcPr>
                  <w:tcW w:w="359" w:type="pct"/>
                  <w:vMerge w:val="continue"/>
                  <w:vAlign w:val="center"/>
                </w:tcPr>
                <w:p w14:paraId="22EC94BB">
                  <w:pPr>
                    <w:jc w:val="center"/>
                    <w:rPr>
                      <w:rFonts w:hint="default" w:ascii="Times New Roman" w:hAnsi="Times New Roman" w:eastAsia="仿宋" w:cs="Times New Roman"/>
                      <w:color w:val="auto"/>
                      <w:sz w:val="21"/>
                      <w:szCs w:val="21"/>
                    </w:rPr>
                  </w:pPr>
                </w:p>
              </w:tc>
              <w:tc>
                <w:tcPr>
                  <w:tcW w:w="279" w:type="pct"/>
                  <w:vMerge w:val="continue"/>
                  <w:vAlign w:val="center"/>
                </w:tcPr>
                <w:p w14:paraId="566F4B1D">
                  <w:pPr>
                    <w:jc w:val="center"/>
                    <w:rPr>
                      <w:rFonts w:hint="default" w:ascii="Times New Roman" w:hAnsi="Times New Roman" w:eastAsia="仿宋" w:cs="Times New Roman"/>
                      <w:color w:val="auto"/>
                      <w:sz w:val="21"/>
                      <w:szCs w:val="21"/>
                    </w:rPr>
                  </w:pPr>
                </w:p>
              </w:tc>
              <w:tc>
                <w:tcPr>
                  <w:tcW w:w="280" w:type="pct"/>
                  <w:vMerge w:val="continue"/>
                  <w:vAlign w:val="center"/>
                </w:tcPr>
                <w:p w14:paraId="694C1648">
                  <w:pPr>
                    <w:jc w:val="center"/>
                    <w:rPr>
                      <w:rFonts w:hint="default" w:ascii="Times New Roman" w:hAnsi="Times New Roman" w:eastAsia="仿宋" w:cs="Times New Roman"/>
                      <w:color w:val="auto"/>
                      <w:sz w:val="21"/>
                      <w:szCs w:val="21"/>
                    </w:rPr>
                  </w:pPr>
                </w:p>
              </w:tc>
              <w:tc>
                <w:tcPr>
                  <w:tcW w:w="246" w:type="pct"/>
                  <w:vMerge w:val="continue"/>
                  <w:vAlign w:val="center"/>
                </w:tcPr>
                <w:p w14:paraId="1EDBF800">
                  <w:pPr>
                    <w:jc w:val="center"/>
                    <w:rPr>
                      <w:rFonts w:hint="default" w:ascii="Times New Roman" w:hAnsi="Times New Roman" w:eastAsia="仿宋" w:cs="Times New Roman"/>
                      <w:color w:val="auto"/>
                      <w:sz w:val="21"/>
                      <w:szCs w:val="21"/>
                    </w:rPr>
                  </w:pPr>
                </w:p>
              </w:tc>
              <w:tc>
                <w:tcPr>
                  <w:tcW w:w="280" w:type="pct"/>
                  <w:vMerge w:val="continue"/>
                  <w:vAlign w:val="center"/>
                </w:tcPr>
                <w:p w14:paraId="746E54B1">
                  <w:pPr>
                    <w:jc w:val="center"/>
                    <w:rPr>
                      <w:rFonts w:hint="default" w:ascii="Times New Roman" w:hAnsi="Times New Roman" w:eastAsia="仿宋" w:cs="Times New Roman"/>
                      <w:color w:val="auto"/>
                      <w:sz w:val="21"/>
                      <w:szCs w:val="21"/>
                    </w:rPr>
                  </w:pPr>
                </w:p>
              </w:tc>
              <w:tc>
                <w:tcPr>
                  <w:tcW w:w="272" w:type="pct"/>
                  <w:vMerge w:val="continue"/>
                  <w:vAlign w:val="center"/>
                </w:tcPr>
                <w:p w14:paraId="363B9308">
                  <w:pPr>
                    <w:jc w:val="center"/>
                    <w:rPr>
                      <w:rFonts w:hint="default" w:ascii="Times New Roman" w:hAnsi="Times New Roman" w:eastAsia="仿宋" w:cs="Times New Roman"/>
                      <w:color w:val="auto"/>
                      <w:sz w:val="21"/>
                      <w:szCs w:val="21"/>
                    </w:rPr>
                  </w:pPr>
                </w:p>
              </w:tc>
              <w:tc>
                <w:tcPr>
                  <w:tcW w:w="220" w:type="pct"/>
                  <w:vMerge w:val="continue"/>
                  <w:vAlign w:val="center"/>
                </w:tcPr>
                <w:p w14:paraId="39004FBA">
                  <w:pPr>
                    <w:jc w:val="center"/>
                    <w:rPr>
                      <w:rFonts w:hint="default" w:ascii="Times New Roman" w:hAnsi="Times New Roman" w:eastAsia="仿宋" w:cs="Times New Roman"/>
                      <w:color w:val="auto"/>
                      <w:sz w:val="21"/>
                      <w:szCs w:val="21"/>
                    </w:rPr>
                  </w:pPr>
                </w:p>
              </w:tc>
              <w:tc>
                <w:tcPr>
                  <w:tcW w:w="235" w:type="pct"/>
                  <w:vMerge w:val="continue"/>
                  <w:vAlign w:val="center"/>
                </w:tcPr>
                <w:p w14:paraId="1E8C2390">
                  <w:pPr>
                    <w:jc w:val="center"/>
                    <w:rPr>
                      <w:rFonts w:hint="default" w:ascii="Times New Roman" w:hAnsi="Times New Roman" w:eastAsia="仿宋" w:cs="Times New Roman"/>
                      <w:color w:val="auto"/>
                      <w:sz w:val="21"/>
                      <w:szCs w:val="21"/>
                    </w:rPr>
                  </w:pPr>
                </w:p>
              </w:tc>
              <w:tc>
                <w:tcPr>
                  <w:tcW w:w="262" w:type="pct"/>
                  <w:vMerge w:val="continue"/>
                  <w:vAlign w:val="center"/>
                </w:tcPr>
                <w:p w14:paraId="313313BD">
                  <w:pPr>
                    <w:jc w:val="center"/>
                    <w:rPr>
                      <w:rFonts w:hint="default" w:ascii="Times New Roman" w:hAnsi="Times New Roman" w:eastAsia="仿宋" w:cs="Times New Roman"/>
                      <w:color w:val="auto"/>
                      <w:sz w:val="21"/>
                      <w:szCs w:val="21"/>
                    </w:rPr>
                  </w:pPr>
                </w:p>
              </w:tc>
            </w:tr>
            <w:tr w14:paraId="3C990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44" w:type="pct"/>
                  <w:vMerge w:val="continue"/>
                  <w:vAlign w:val="center"/>
                </w:tcPr>
                <w:p w14:paraId="11095240">
                  <w:pPr>
                    <w:jc w:val="center"/>
                    <w:rPr>
                      <w:rFonts w:hint="default" w:ascii="Times New Roman" w:hAnsi="Times New Roman" w:eastAsia="仿宋" w:cs="Times New Roman"/>
                      <w:color w:val="auto"/>
                      <w:sz w:val="21"/>
                      <w:szCs w:val="21"/>
                    </w:rPr>
                  </w:pPr>
                </w:p>
              </w:tc>
              <w:tc>
                <w:tcPr>
                  <w:tcW w:w="222" w:type="pct"/>
                  <w:vMerge w:val="continue"/>
                  <w:vAlign w:val="center"/>
                </w:tcPr>
                <w:p w14:paraId="1E616FEC">
                  <w:pPr>
                    <w:jc w:val="center"/>
                    <w:rPr>
                      <w:rFonts w:hint="default" w:ascii="Times New Roman" w:hAnsi="Times New Roman" w:eastAsia="仿宋" w:cs="Times New Roman"/>
                      <w:color w:val="auto"/>
                      <w:sz w:val="21"/>
                      <w:szCs w:val="21"/>
                    </w:rPr>
                  </w:pPr>
                </w:p>
              </w:tc>
              <w:tc>
                <w:tcPr>
                  <w:tcW w:w="434" w:type="pct"/>
                  <w:vAlign w:val="center"/>
                </w:tcPr>
                <w:p w14:paraId="771EB4E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17BD833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0.0018</w:t>
                  </w:r>
                </w:p>
              </w:tc>
              <w:tc>
                <w:tcPr>
                  <w:tcW w:w="306" w:type="pct"/>
                  <w:tcMar>
                    <w:top w:w="0" w:type="dxa"/>
                    <w:left w:w="28" w:type="dxa"/>
                    <w:bottom w:w="0" w:type="dxa"/>
                    <w:right w:w="28" w:type="dxa"/>
                  </w:tcMar>
                  <w:vAlign w:val="center"/>
                </w:tcPr>
                <w:p w14:paraId="4A55288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284" w:type="pct"/>
                  <w:vAlign w:val="center"/>
                </w:tcPr>
                <w:p w14:paraId="049913E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0.0003</w:t>
                  </w:r>
                </w:p>
              </w:tc>
              <w:tc>
                <w:tcPr>
                  <w:tcW w:w="488" w:type="pct"/>
                  <w:vMerge w:val="continue"/>
                  <w:vAlign w:val="center"/>
                </w:tcPr>
                <w:p w14:paraId="3DD3A924">
                  <w:pPr>
                    <w:jc w:val="center"/>
                    <w:rPr>
                      <w:rFonts w:hint="default" w:ascii="Times New Roman" w:hAnsi="Times New Roman" w:eastAsia="仿宋" w:cs="Times New Roman"/>
                      <w:color w:val="auto"/>
                      <w:sz w:val="21"/>
                      <w:szCs w:val="21"/>
                    </w:rPr>
                  </w:pPr>
                </w:p>
              </w:tc>
              <w:tc>
                <w:tcPr>
                  <w:tcW w:w="359" w:type="pct"/>
                  <w:vMerge w:val="continue"/>
                  <w:vAlign w:val="center"/>
                </w:tcPr>
                <w:p w14:paraId="65F148D8">
                  <w:pPr>
                    <w:jc w:val="center"/>
                    <w:rPr>
                      <w:rFonts w:hint="default" w:ascii="Times New Roman" w:hAnsi="Times New Roman" w:eastAsia="仿宋" w:cs="Times New Roman"/>
                      <w:color w:val="auto"/>
                      <w:sz w:val="21"/>
                      <w:szCs w:val="21"/>
                    </w:rPr>
                  </w:pPr>
                </w:p>
              </w:tc>
              <w:tc>
                <w:tcPr>
                  <w:tcW w:w="279" w:type="pct"/>
                  <w:vMerge w:val="continue"/>
                  <w:vAlign w:val="center"/>
                </w:tcPr>
                <w:p w14:paraId="44ACDABE">
                  <w:pPr>
                    <w:jc w:val="center"/>
                    <w:rPr>
                      <w:rFonts w:hint="default" w:ascii="Times New Roman" w:hAnsi="Times New Roman" w:eastAsia="仿宋" w:cs="Times New Roman"/>
                      <w:color w:val="auto"/>
                      <w:sz w:val="21"/>
                      <w:szCs w:val="21"/>
                    </w:rPr>
                  </w:pPr>
                </w:p>
              </w:tc>
              <w:tc>
                <w:tcPr>
                  <w:tcW w:w="280" w:type="pct"/>
                  <w:vMerge w:val="continue"/>
                  <w:vAlign w:val="center"/>
                </w:tcPr>
                <w:p w14:paraId="04F29763">
                  <w:pPr>
                    <w:jc w:val="center"/>
                    <w:rPr>
                      <w:rFonts w:hint="default" w:ascii="Times New Roman" w:hAnsi="Times New Roman" w:eastAsia="仿宋" w:cs="Times New Roman"/>
                      <w:color w:val="auto"/>
                      <w:sz w:val="21"/>
                      <w:szCs w:val="21"/>
                    </w:rPr>
                  </w:pPr>
                </w:p>
              </w:tc>
              <w:tc>
                <w:tcPr>
                  <w:tcW w:w="246" w:type="pct"/>
                  <w:vMerge w:val="continue"/>
                  <w:vAlign w:val="center"/>
                </w:tcPr>
                <w:p w14:paraId="16DF5D93">
                  <w:pPr>
                    <w:jc w:val="center"/>
                    <w:rPr>
                      <w:rFonts w:hint="default" w:ascii="Times New Roman" w:hAnsi="Times New Roman" w:eastAsia="仿宋" w:cs="Times New Roman"/>
                      <w:color w:val="auto"/>
                      <w:sz w:val="21"/>
                      <w:szCs w:val="21"/>
                    </w:rPr>
                  </w:pPr>
                </w:p>
              </w:tc>
              <w:tc>
                <w:tcPr>
                  <w:tcW w:w="280" w:type="pct"/>
                  <w:vMerge w:val="continue"/>
                  <w:vAlign w:val="center"/>
                </w:tcPr>
                <w:p w14:paraId="6BE40E58">
                  <w:pPr>
                    <w:jc w:val="center"/>
                    <w:rPr>
                      <w:rFonts w:hint="default" w:ascii="Times New Roman" w:hAnsi="Times New Roman" w:eastAsia="仿宋" w:cs="Times New Roman"/>
                      <w:color w:val="auto"/>
                      <w:sz w:val="21"/>
                      <w:szCs w:val="21"/>
                    </w:rPr>
                  </w:pPr>
                </w:p>
              </w:tc>
              <w:tc>
                <w:tcPr>
                  <w:tcW w:w="272" w:type="pct"/>
                  <w:vMerge w:val="continue"/>
                  <w:vAlign w:val="center"/>
                </w:tcPr>
                <w:p w14:paraId="609EC5EE">
                  <w:pPr>
                    <w:jc w:val="center"/>
                    <w:rPr>
                      <w:rFonts w:hint="default" w:ascii="Times New Roman" w:hAnsi="Times New Roman" w:eastAsia="仿宋" w:cs="Times New Roman"/>
                      <w:color w:val="auto"/>
                      <w:sz w:val="21"/>
                      <w:szCs w:val="21"/>
                    </w:rPr>
                  </w:pPr>
                </w:p>
              </w:tc>
              <w:tc>
                <w:tcPr>
                  <w:tcW w:w="220" w:type="pct"/>
                  <w:vMerge w:val="continue"/>
                  <w:vAlign w:val="center"/>
                </w:tcPr>
                <w:p w14:paraId="4ECB9D40">
                  <w:pPr>
                    <w:jc w:val="center"/>
                    <w:rPr>
                      <w:rFonts w:hint="default" w:ascii="Times New Roman" w:hAnsi="Times New Roman" w:eastAsia="仿宋" w:cs="Times New Roman"/>
                      <w:color w:val="auto"/>
                      <w:sz w:val="21"/>
                      <w:szCs w:val="21"/>
                    </w:rPr>
                  </w:pPr>
                </w:p>
              </w:tc>
              <w:tc>
                <w:tcPr>
                  <w:tcW w:w="235" w:type="pct"/>
                  <w:vMerge w:val="continue"/>
                  <w:vAlign w:val="center"/>
                </w:tcPr>
                <w:p w14:paraId="26F23880">
                  <w:pPr>
                    <w:jc w:val="center"/>
                    <w:rPr>
                      <w:rFonts w:hint="default" w:ascii="Times New Roman" w:hAnsi="Times New Roman" w:eastAsia="仿宋" w:cs="Times New Roman"/>
                      <w:color w:val="auto"/>
                      <w:sz w:val="21"/>
                      <w:szCs w:val="21"/>
                    </w:rPr>
                  </w:pPr>
                </w:p>
              </w:tc>
              <w:tc>
                <w:tcPr>
                  <w:tcW w:w="262" w:type="pct"/>
                  <w:vMerge w:val="continue"/>
                  <w:vAlign w:val="center"/>
                </w:tcPr>
                <w:p w14:paraId="40F5EBE3">
                  <w:pPr>
                    <w:jc w:val="center"/>
                    <w:rPr>
                      <w:rFonts w:hint="default" w:ascii="Times New Roman" w:hAnsi="Times New Roman" w:eastAsia="仿宋" w:cs="Times New Roman"/>
                      <w:color w:val="auto"/>
                      <w:sz w:val="21"/>
                      <w:szCs w:val="21"/>
                    </w:rPr>
                  </w:pPr>
                </w:p>
              </w:tc>
            </w:tr>
            <w:tr w14:paraId="327B9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63E4484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研磨</w:t>
                  </w:r>
                </w:p>
              </w:tc>
              <w:tc>
                <w:tcPr>
                  <w:tcW w:w="222" w:type="pct"/>
                  <w:vMerge w:val="continue"/>
                  <w:vAlign w:val="center"/>
                </w:tcPr>
                <w:p w14:paraId="4F5BD36E">
                  <w:pPr>
                    <w:jc w:val="center"/>
                    <w:rPr>
                      <w:rFonts w:hint="default" w:ascii="Times New Roman" w:hAnsi="Times New Roman" w:eastAsia="仿宋" w:cs="Times New Roman"/>
                      <w:color w:val="auto"/>
                      <w:sz w:val="21"/>
                      <w:szCs w:val="21"/>
                    </w:rPr>
                  </w:pPr>
                </w:p>
              </w:tc>
              <w:tc>
                <w:tcPr>
                  <w:tcW w:w="434" w:type="pct"/>
                  <w:vAlign w:val="center"/>
                </w:tcPr>
                <w:p w14:paraId="7217E8A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577C464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0.014</w:t>
                  </w:r>
                </w:p>
              </w:tc>
              <w:tc>
                <w:tcPr>
                  <w:tcW w:w="306" w:type="pct"/>
                  <w:tcMar>
                    <w:top w:w="0" w:type="dxa"/>
                    <w:left w:w="28" w:type="dxa"/>
                    <w:bottom w:w="0" w:type="dxa"/>
                    <w:right w:w="28" w:type="dxa"/>
                  </w:tcMar>
                  <w:vAlign w:val="center"/>
                </w:tcPr>
                <w:p w14:paraId="4C79FEA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0.117</w:t>
                  </w:r>
                </w:p>
              </w:tc>
              <w:tc>
                <w:tcPr>
                  <w:tcW w:w="284" w:type="pct"/>
                  <w:vAlign w:val="center"/>
                </w:tcPr>
                <w:p w14:paraId="3A4609C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0.003</w:t>
                  </w:r>
                </w:p>
              </w:tc>
              <w:tc>
                <w:tcPr>
                  <w:tcW w:w="488" w:type="pct"/>
                  <w:vMerge w:val="continue"/>
                  <w:vAlign w:val="center"/>
                </w:tcPr>
                <w:p w14:paraId="1652C58D">
                  <w:pPr>
                    <w:jc w:val="center"/>
                    <w:rPr>
                      <w:rFonts w:hint="default" w:ascii="Times New Roman" w:hAnsi="Times New Roman" w:eastAsia="仿宋" w:cs="Times New Roman"/>
                      <w:color w:val="auto"/>
                      <w:sz w:val="21"/>
                      <w:szCs w:val="21"/>
                    </w:rPr>
                  </w:pPr>
                </w:p>
              </w:tc>
              <w:tc>
                <w:tcPr>
                  <w:tcW w:w="359" w:type="pct"/>
                  <w:vMerge w:val="restart"/>
                  <w:vAlign w:val="center"/>
                </w:tcPr>
                <w:p w14:paraId="2EB9CC8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279" w:type="pct"/>
                  <w:vMerge w:val="restart"/>
                  <w:vAlign w:val="center"/>
                </w:tcPr>
                <w:p w14:paraId="4E8BF43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280" w:type="pct"/>
                  <w:vMerge w:val="restart"/>
                  <w:vAlign w:val="center"/>
                </w:tcPr>
                <w:p w14:paraId="43DFF32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0.657</w:t>
                  </w:r>
                </w:p>
              </w:tc>
              <w:tc>
                <w:tcPr>
                  <w:tcW w:w="246" w:type="pct"/>
                  <w:vMerge w:val="restart"/>
                  <w:vAlign w:val="center"/>
                </w:tcPr>
                <w:p w14:paraId="324E0FE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14.6</w:t>
                  </w:r>
                </w:p>
              </w:tc>
              <w:tc>
                <w:tcPr>
                  <w:tcW w:w="280" w:type="pct"/>
                  <w:vMerge w:val="restart"/>
                  <w:vAlign w:val="center"/>
                </w:tcPr>
                <w:p w14:paraId="567F0A7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0.366</w:t>
                  </w:r>
                </w:p>
              </w:tc>
              <w:tc>
                <w:tcPr>
                  <w:tcW w:w="272" w:type="pct"/>
                  <w:vMerge w:val="restart"/>
                  <w:vAlign w:val="center"/>
                </w:tcPr>
                <w:p w14:paraId="0BAF0AA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c>
                <w:tcPr>
                  <w:tcW w:w="220" w:type="pct"/>
                  <w:vMerge w:val="restart"/>
                  <w:vAlign w:val="center"/>
                </w:tcPr>
                <w:p w14:paraId="556417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235" w:type="pct"/>
                  <w:vMerge w:val="continue"/>
                  <w:vAlign w:val="center"/>
                </w:tcPr>
                <w:p w14:paraId="10DE5D9F">
                  <w:pPr>
                    <w:jc w:val="center"/>
                    <w:rPr>
                      <w:rFonts w:hint="default" w:ascii="Times New Roman" w:hAnsi="Times New Roman" w:eastAsia="仿宋" w:cs="Times New Roman"/>
                      <w:color w:val="auto"/>
                      <w:sz w:val="21"/>
                      <w:szCs w:val="21"/>
                    </w:rPr>
                  </w:pPr>
                </w:p>
              </w:tc>
              <w:tc>
                <w:tcPr>
                  <w:tcW w:w="262" w:type="pct"/>
                  <w:vMerge w:val="restart"/>
                  <w:vAlign w:val="center"/>
                </w:tcPr>
                <w:p w14:paraId="3230AF9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4800h，间断</w:t>
                  </w:r>
                </w:p>
              </w:tc>
            </w:tr>
            <w:tr w14:paraId="32099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10" w:hRule="atLeast"/>
                <w:jc w:val="center"/>
              </w:trPr>
              <w:tc>
                <w:tcPr>
                  <w:tcW w:w="444" w:type="pct"/>
                  <w:vMerge w:val="continue"/>
                  <w:vAlign w:val="center"/>
                </w:tcPr>
                <w:p w14:paraId="12C954AB">
                  <w:pPr>
                    <w:jc w:val="center"/>
                    <w:rPr>
                      <w:rFonts w:hint="default" w:ascii="Times New Roman" w:hAnsi="Times New Roman" w:eastAsia="仿宋" w:cs="Times New Roman"/>
                      <w:color w:val="auto"/>
                      <w:sz w:val="21"/>
                      <w:szCs w:val="21"/>
                    </w:rPr>
                  </w:pPr>
                </w:p>
              </w:tc>
              <w:tc>
                <w:tcPr>
                  <w:tcW w:w="222" w:type="pct"/>
                  <w:vMerge w:val="continue"/>
                  <w:vAlign w:val="center"/>
                </w:tcPr>
                <w:p w14:paraId="5941F496">
                  <w:pPr>
                    <w:jc w:val="center"/>
                    <w:rPr>
                      <w:rFonts w:hint="default" w:ascii="Times New Roman" w:hAnsi="Times New Roman" w:eastAsia="仿宋" w:cs="Times New Roman"/>
                      <w:color w:val="auto"/>
                      <w:sz w:val="21"/>
                      <w:szCs w:val="21"/>
                    </w:rPr>
                  </w:pPr>
                </w:p>
              </w:tc>
              <w:tc>
                <w:tcPr>
                  <w:tcW w:w="434" w:type="pct"/>
                  <w:vAlign w:val="center"/>
                </w:tcPr>
                <w:p w14:paraId="24C35A6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60A89E6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0.014</w:t>
                  </w:r>
                </w:p>
              </w:tc>
              <w:tc>
                <w:tcPr>
                  <w:tcW w:w="306" w:type="pct"/>
                  <w:tcMar>
                    <w:top w:w="0" w:type="dxa"/>
                    <w:left w:w="28" w:type="dxa"/>
                    <w:bottom w:w="0" w:type="dxa"/>
                    <w:right w:w="28" w:type="dxa"/>
                  </w:tcMar>
                  <w:vAlign w:val="center"/>
                </w:tcPr>
                <w:p w14:paraId="54725B5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0.117</w:t>
                  </w:r>
                </w:p>
              </w:tc>
              <w:tc>
                <w:tcPr>
                  <w:tcW w:w="284" w:type="pct"/>
                  <w:vAlign w:val="center"/>
                </w:tcPr>
                <w:p w14:paraId="62194FD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0.003</w:t>
                  </w:r>
                </w:p>
              </w:tc>
              <w:tc>
                <w:tcPr>
                  <w:tcW w:w="488" w:type="pct"/>
                  <w:vMerge w:val="continue"/>
                  <w:vAlign w:val="center"/>
                </w:tcPr>
                <w:p w14:paraId="078437E4">
                  <w:pPr>
                    <w:jc w:val="center"/>
                    <w:rPr>
                      <w:rFonts w:hint="default" w:ascii="Times New Roman" w:hAnsi="Times New Roman" w:eastAsia="仿宋" w:cs="Times New Roman"/>
                      <w:color w:val="auto"/>
                      <w:sz w:val="21"/>
                      <w:szCs w:val="21"/>
                    </w:rPr>
                  </w:pPr>
                </w:p>
              </w:tc>
              <w:tc>
                <w:tcPr>
                  <w:tcW w:w="359" w:type="pct"/>
                  <w:vMerge w:val="continue"/>
                  <w:vAlign w:val="center"/>
                </w:tcPr>
                <w:p w14:paraId="070D18CF">
                  <w:pPr>
                    <w:jc w:val="center"/>
                    <w:rPr>
                      <w:rFonts w:hint="default" w:ascii="Times New Roman" w:hAnsi="Times New Roman" w:eastAsia="仿宋" w:cs="Times New Roman"/>
                      <w:color w:val="auto"/>
                      <w:sz w:val="21"/>
                      <w:szCs w:val="21"/>
                    </w:rPr>
                  </w:pPr>
                </w:p>
              </w:tc>
              <w:tc>
                <w:tcPr>
                  <w:tcW w:w="279" w:type="pct"/>
                  <w:vMerge w:val="continue"/>
                  <w:vAlign w:val="center"/>
                </w:tcPr>
                <w:p w14:paraId="08F61AB8">
                  <w:pPr>
                    <w:jc w:val="center"/>
                    <w:rPr>
                      <w:rFonts w:hint="default" w:ascii="Times New Roman" w:hAnsi="Times New Roman" w:eastAsia="仿宋" w:cs="Times New Roman"/>
                      <w:color w:val="auto"/>
                      <w:sz w:val="21"/>
                      <w:szCs w:val="21"/>
                    </w:rPr>
                  </w:pPr>
                </w:p>
              </w:tc>
              <w:tc>
                <w:tcPr>
                  <w:tcW w:w="280" w:type="pct"/>
                  <w:vMerge w:val="continue"/>
                  <w:vAlign w:val="center"/>
                </w:tcPr>
                <w:p w14:paraId="64B9233E">
                  <w:pPr>
                    <w:jc w:val="center"/>
                    <w:rPr>
                      <w:rFonts w:hint="default" w:ascii="Times New Roman" w:hAnsi="Times New Roman" w:eastAsia="仿宋" w:cs="Times New Roman"/>
                      <w:color w:val="auto"/>
                      <w:sz w:val="21"/>
                      <w:szCs w:val="21"/>
                    </w:rPr>
                  </w:pPr>
                </w:p>
              </w:tc>
              <w:tc>
                <w:tcPr>
                  <w:tcW w:w="246" w:type="pct"/>
                  <w:vMerge w:val="continue"/>
                  <w:vAlign w:val="center"/>
                </w:tcPr>
                <w:p w14:paraId="69C48E6D">
                  <w:pPr>
                    <w:jc w:val="center"/>
                    <w:rPr>
                      <w:rFonts w:hint="default" w:ascii="Times New Roman" w:hAnsi="Times New Roman" w:eastAsia="仿宋" w:cs="Times New Roman"/>
                      <w:color w:val="auto"/>
                      <w:sz w:val="21"/>
                      <w:szCs w:val="21"/>
                    </w:rPr>
                  </w:pPr>
                </w:p>
              </w:tc>
              <w:tc>
                <w:tcPr>
                  <w:tcW w:w="280" w:type="pct"/>
                  <w:vMerge w:val="continue"/>
                  <w:vAlign w:val="center"/>
                </w:tcPr>
                <w:p w14:paraId="2F0C9F6B">
                  <w:pPr>
                    <w:jc w:val="center"/>
                    <w:rPr>
                      <w:rFonts w:hint="default" w:ascii="Times New Roman" w:hAnsi="Times New Roman" w:eastAsia="仿宋" w:cs="Times New Roman"/>
                      <w:color w:val="auto"/>
                      <w:sz w:val="21"/>
                      <w:szCs w:val="21"/>
                    </w:rPr>
                  </w:pPr>
                </w:p>
              </w:tc>
              <w:tc>
                <w:tcPr>
                  <w:tcW w:w="272" w:type="pct"/>
                  <w:vMerge w:val="continue"/>
                  <w:vAlign w:val="center"/>
                </w:tcPr>
                <w:p w14:paraId="7AAD6C11">
                  <w:pPr>
                    <w:jc w:val="center"/>
                    <w:rPr>
                      <w:rFonts w:hint="default" w:ascii="Times New Roman" w:hAnsi="Times New Roman" w:eastAsia="仿宋" w:cs="Times New Roman"/>
                      <w:color w:val="auto"/>
                      <w:sz w:val="21"/>
                      <w:szCs w:val="21"/>
                    </w:rPr>
                  </w:pPr>
                </w:p>
              </w:tc>
              <w:tc>
                <w:tcPr>
                  <w:tcW w:w="220" w:type="pct"/>
                  <w:vMerge w:val="continue"/>
                  <w:vAlign w:val="center"/>
                </w:tcPr>
                <w:p w14:paraId="0DD509A9">
                  <w:pPr>
                    <w:jc w:val="center"/>
                    <w:rPr>
                      <w:rFonts w:hint="default" w:ascii="Times New Roman" w:hAnsi="Times New Roman" w:eastAsia="仿宋" w:cs="Times New Roman"/>
                      <w:color w:val="auto"/>
                      <w:sz w:val="21"/>
                      <w:szCs w:val="21"/>
                    </w:rPr>
                  </w:pPr>
                </w:p>
              </w:tc>
              <w:tc>
                <w:tcPr>
                  <w:tcW w:w="235" w:type="pct"/>
                  <w:vMerge w:val="continue"/>
                  <w:vAlign w:val="center"/>
                </w:tcPr>
                <w:p w14:paraId="6C1BAAA7">
                  <w:pPr>
                    <w:jc w:val="center"/>
                    <w:rPr>
                      <w:rFonts w:hint="default" w:ascii="Times New Roman" w:hAnsi="Times New Roman" w:eastAsia="仿宋" w:cs="Times New Roman"/>
                      <w:color w:val="auto"/>
                      <w:sz w:val="21"/>
                      <w:szCs w:val="21"/>
                    </w:rPr>
                  </w:pPr>
                </w:p>
              </w:tc>
              <w:tc>
                <w:tcPr>
                  <w:tcW w:w="262" w:type="pct"/>
                  <w:vMerge w:val="continue"/>
                  <w:vAlign w:val="center"/>
                </w:tcPr>
                <w:p w14:paraId="091B4449">
                  <w:pPr>
                    <w:jc w:val="center"/>
                    <w:rPr>
                      <w:rFonts w:hint="default" w:ascii="Times New Roman" w:hAnsi="Times New Roman" w:eastAsia="仿宋" w:cs="Times New Roman"/>
                      <w:color w:val="auto"/>
                      <w:sz w:val="21"/>
                      <w:szCs w:val="21"/>
                    </w:rPr>
                  </w:pPr>
                </w:p>
              </w:tc>
            </w:tr>
            <w:tr w14:paraId="7B69D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4444C05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测试</w:t>
                  </w:r>
                </w:p>
              </w:tc>
              <w:tc>
                <w:tcPr>
                  <w:tcW w:w="222" w:type="pct"/>
                  <w:vMerge w:val="continue"/>
                  <w:vAlign w:val="center"/>
                </w:tcPr>
                <w:p w14:paraId="5D46043D">
                  <w:pPr>
                    <w:jc w:val="center"/>
                    <w:rPr>
                      <w:rFonts w:hint="default" w:ascii="Times New Roman" w:hAnsi="Times New Roman" w:eastAsia="仿宋" w:cs="Times New Roman"/>
                      <w:color w:val="auto"/>
                      <w:sz w:val="21"/>
                      <w:szCs w:val="21"/>
                    </w:rPr>
                  </w:pPr>
                </w:p>
              </w:tc>
              <w:tc>
                <w:tcPr>
                  <w:tcW w:w="434" w:type="pct"/>
                  <w:vAlign w:val="center"/>
                </w:tcPr>
                <w:p w14:paraId="4E10E61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58CA121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0.293</w:t>
                  </w:r>
                </w:p>
              </w:tc>
              <w:tc>
                <w:tcPr>
                  <w:tcW w:w="306" w:type="pct"/>
                  <w:tcMar>
                    <w:top w:w="0" w:type="dxa"/>
                    <w:left w:w="28" w:type="dxa"/>
                    <w:bottom w:w="0" w:type="dxa"/>
                    <w:right w:w="28" w:type="dxa"/>
                  </w:tcMar>
                  <w:vAlign w:val="center"/>
                </w:tcPr>
                <w:p w14:paraId="4A5E240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284" w:type="pct"/>
                  <w:vAlign w:val="center"/>
                </w:tcPr>
                <w:p w14:paraId="3248F14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0.326</w:t>
                  </w:r>
                </w:p>
              </w:tc>
              <w:tc>
                <w:tcPr>
                  <w:tcW w:w="488" w:type="pct"/>
                  <w:vMerge w:val="continue"/>
                  <w:vAlign w:val="center"/>
                </w:tcPr>
                <w:p w14:paraId="122F3FC5">
                  <w:pPr>
                    <w:jc w:val="center"/>
                    <w:rPr>
                      <w:rFonts w:hint="default" w:ascii="Times New Roman" w:hAnsi="Times New Roman" w:eastAsia="仿宋" w:cs="Times New Roman"/>
                      <w:color w:val="auto"/>
                      <w:sz w:val="21"/>
                      <w:szCs w:val="21"/>
                    </w:rPr>
                  </w:pPr>
                </w:p>
              </w:tc>
              <w:tc>
                <w:tcPr>
                  <w:tcW w:w="359" w:type="pct"/>
                  <w:vMerge w:val="continue"/>
                  <w:vAlign w:val="center"/>
                </w:tcPr>
                <w:p w14:paraId="6814F3A3">
                  <w:pPr>
                    <w:jc w:val="center"/>
                    <w:rPr>
                      <w:rFonts w:hint="default" w:ascii="Times New Roman" w:hAnsi="Times New Roman" w:eastAsia="仿宋" w:cs="Times New Roman"/>
                      <w:color w:val="auto"/>
                      <w:sz w:val="21"/>
                      <w:szCs w:val="21"/>
                    </w:rPr>
                  </w:pPr>
                </w:p>
              </w:tc>
              <w:tc>
                <w:tcPr>
                  <w:tcW w:w="279" w:type="pct"/>
                  <w:vMerge w:val="continue"/>
                  <w:vAlign w:val="center"/>
                </w:tcPr>
                <w:p w14:paraId="37491694">
                  <w:pPr>
                    <w:jc w:val="center"/>
                    <w:rPr>
                      <w:rFonts w:hint="default" w:ascii="Times New Roman" w:hAnsi="Times New Roman" w:eastAsia="仿宋" w:cs="Times New Roman"/>
                      <w:color w:val="auto"/>
                      <w:sz w:val="21"/>
                      <w:szCs w:val="21"/>
                    </w:rPr>
                  </w:pPr>
                </w:p>
              </w:tc>
              <w:tc>
                <w:tcPr>
                  <w:tcW w:w="280" w:type="pct"/>
                  <w:vMerge w:val="continue"/>
                  <w:vAlign w:val="center"/>
                </w:tcPr>
                <w:p w14:paraId="7E449B4A">
                  <w:pPr>
                    <w:jc w:val="center"/>
                    <w:rPr>
                      <w:rFonts w:hint="default" w:ascii="Times New Roman" w:hAnsi="Times New Roman" w:eastAsia="仿宋" w:cs="Times New Roman"/>
                      <w:color w:val="auto"/>
                      <w:sz w:val="21"/>
                      <w:szCs w:val="21"/>
                    </w:rPr>
                  </w:pPr>
                </w:p>
              </w:tc>
              <w:tc>
                <w:tcPr>
                  <w:tcW w:w="246" w:type="pct"/>
                  <w:vMerge w:val="continue"/>
                  <w:vAlign w:val="center"/>
                </w:tcPr>
                <w:p w14:paraId="060FB7D3">
                  <w:pPr>
                    <w:jc w:val="center"/>
                    <w:rPr>
                      <w:rFonts w:hint="default" w:ascii="Times New Roman" w:hAnsi="Times New Roman" w:eastAsia="仿宋" w:cs="Times New Roman"/>
                      <w:color w:val="auto"/>
                      <w:sz w:val="21"/>
                      <w:szCs w:val="21"/>
                    </w:rPr>
                  </w:pPr>
                </w:p>
              </w:tc>
              <w:tc>
                <w:tcPr>
                  <w:tcW w:w="280" w:type="pct"/>
                  <w:vMerge w:val="continue"/>
                  <w:vAlign w:val="center"/>
                </w:tcPr>
                <w:p w14:paraId="225349C2">
                  <w:pPr>
                    <w:jc w:val="center"/>
                    <w:rPr>
                      <w:rFonts w:hint="default" w:ascii="Times New Roman" w:hAnsi="Times New Roman" w:eastAsia="仿宋" w:cs="Times New Roman"/>
                      <w:color w:val="auto"/>
                      <w:sz w:val="21"/>
                      <w:szCs w:val="21"/>
                    </w:rPr>
                  </w:pPr>
                </w:p>
              </w:tc>
              <w:tc>
                <w:tcPr>
                  <w:tcW w:w="272" w:type="pct"/>
                  <w:vMerge w:val="continue"/>
                  <w:vAlign w:val="center"/>
                </w:tcPr>
                <w:p w14:paraId="5A663FE8">
                  <w:pPr>
                    <w:jc w:val="center"/>
                    <w:rPr>
                      <w:rFonts w:hint="default" w:ascii="Times New Roman" w:hAnsi="Times New Roman" w:eastAsia="仿宋" w:cs="Times New Roman"/>
                      <w:color w:val="auto"/>
                      <w:sz w:val="21"/>
                      <w:szCs w:val="21"/>
                    </w:rPr>
                  </w:pPr>
                </w:p>
              </w:tc>
              <w:tc>
                <w:tcPr>
                  <w:tcW w:w="220" w:type="pct"/>
                  <w:vMerge w:val="continue"/>
                  <w:vAlign w:val="center"/>
                </w:tcPr>
                <w:p w14:paraId="183ADC1D">
                  <w:pPr>
                    <w:jc w:val="center"/>
                    <w:rPr>
                      <w:rFonts w:hint="default" w:ascii="Times New Roman" w:hAnsi="Times New Roman" w:eastAsia="仿宋" w:cs="Times New Roman"/>
                      <w:color w:val="auto"/>
                      <w:sz w:val="21"/>
                      <w:szCs w:val="21"/>
                    </w:rPr>
                  </w:pPr>
                </w:p>
              </w:tc>
              <w:tc>
                <w:tcPr>
                  <w:tcW w:w="235" w:type="pct"/>
                  <w:vMerge w:val="continue"/>
                  <w:vAlign w:val="center"/>
                </w:tcPr>
                <w:p w14:paraId="723A1BAF">
                  <w:pPr>
                    <w:jc w:val="center"/>
                    <w:rPr>
                      <w:rFonts w:hint="default" w:ascii="Times New Roman" w:hAnsi="Times New Roman" w:eastAsia="仿宋" w:cs="Times New Roman"/>
                      <w:color w:val="auto"/>
                      <w:sz w:val="21"/>
                      <w:szCs w:val="21"/>
                    </w:rPr>
                  </w:pPr>
                </w:p>
              </w:tc>
              <w:tc>
                <w:tcPr>
                  <w:tcW w:w="262" w:type="pct"/>
                  <w:vMerge w:val="continue"/>
                  <w:vAlign w:val="center"/>
                </w:tcPr>
                <w:p w14:paraId="646ED625">
                  <w:pPr>
                    <w:jc w:val="center"/>
                    <w:rPr>
                      <w:rFonts w:hint="default" w:ascii="Times New Roman" w:hAnsi="Times New Roman" w:eastAsia="仿宋" w:cs="Times New Roman"/>
                      <w:color w:val="auto"/>
                      <w:sz w:val="21"/>
                      <w:szCs w:val="21"/>
                    </w:rPr>
                  </w:pPr>
                </w:p>
              </w:tc>
            </w:tr>
            <w:tr w14:paraId="4AD78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405C3A83">
                  <w:pPr>
                    <w:jc w:val="center"/>
                    <w:rPr>
                      <w:rFonts w:hint="default" w:ascii="Times New Roman" w:hAnsi="Times New Roman" w:eastAsia="仿宋" w:cs="Times New Roman"/>
                      <w:color w:val="auto"/>
                      <w:sz w:val="21"/>
                      <w:szCs w:val="21"/>
                    </w:rPr>
                  </w:pPr>
                </w:p>
              </w:tc>
              <w:tc>
                <w:tcPr>
                  <w:tcW w:w="222" w:type="pct"/>
                  <w:vMerge w:val="continue"/>
                  <w:vAlign w:val="center"/>
                </w:tcPr>
                <w:p w14:paraId="2F518922">
                  <w:pPr>
                    <w:jc w:val="center"/>
                    <w:rPr>
                      <w:rFonts w:hint="default" w:ascii="Times New Roman" w:hAnsi="Times New Roman" w:eastAsia="仿宋" w:cs="Times New Roman"/>
                      <w:color w:val="auto"/>
                      <w:sz w:val="21"/>
                      <w:szCs w:val="21"/>
                    </w:rPr>
                  </w:pPr>
                </w:p>
              </w:tc>
              <w:tc>
                <w:tcPr>
                  <w:tcW w:w="434" w:type="pct"/>
                  <w:vAlign w:val="center"/>
                </w:tcPr>
                <w:p w14:paraId="061FAC6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136AB9E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0.293</w:t>
                  </w:r>
                </w:p>
              </w:tc>
              <w:tc>
                <w:tcPr>
                  <w:tcW w:w="306" w:type="pct"/>
                  <w:tcMar>
                    <w:top w:w="0" w:type="dxa"/>
                    <w:left w:w="28" w:type="dxa"/>
                    <w:bottom w:w="0" w:type="dxa"/>
                    <w:right w:w="28" w:type="dxa"/>
                  </w:tcMar>
                  <w:vAlign w:val="center"/>
                </w:tcPr>
                <w:p w14:paraId="10C0540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284" w:type="pct"/>
                  <w:vAlign w:val="center"/>
                </w:tcPr>
                <w:p w14:paraId="364EC40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0.326</w:t>
                  </w:r>
                </w:p>
              </w:tc>
              <w:tc>
                <w:tcPr>
                  <w:tcW w:w="488" w:type="pct"/>
                  <w:vMerge w:val="continue"/>
                  <w:vAlign w:val="center"/>
                </w:tcPr>
                <w:p w14:paraId="74D60263">
                  <w:pPr>
                    <w:jc w:val="center"/>
                    <w:rPr>
                      <w:rFonts w:hint="default" w:ascii="Times New Roman" w:hAnsi="Times New Roman" w:eastAsia="仿宋" w:cs="Times New Roman"/>
                      <w:color w:val="auto"/>
                      <w:sz w:val="21"/>
                      <w:szCs w:val="21"/>
                    </w:rPr>
                  </w:pPr>
                </w:p>
              </w:tc>
              <w:tc>
                <w:tcPr>
                  <w:tcW w:w="359" w:type="pct"/>
                  <w:vMerge w:val="continue"/>
                  <w:vAlign w:val="center"/>
                </w:tcPr>
                <w:p w14:paraId="03A4B560">
                  <w:pPr>
                    <w:jc w:val="center"/>
                    <w:rPr>
                      <w:rFonts w:hint="default" w:ascii="Times New Roman" w:hAnsi="Times New Roman" w:eastAsia="仿宋" w:cs="Times New Roman"/>
                      <w:color w:val="auto"/>
                      <w:sz w:val="21"/>
                      <w:szCs w:val="21"/>
                    </w:rPr>
                  </w:pPr>
                </w:p>
              </w:tc>
              <w:tc>
                <w:tcPr>
                  <w:tcW w:w="279" w:type="pct"/>
                  <w:vMerge w:val="continue"/>
                  <w:vAlign w:val="center"/>
                </w:tcPr>
                <w:p w14:paraId="5BA5359A">
                  <w:pPr>
                    <w:jc w:val="center"/>
                    <w:rPr>
                      <w:rFonts w:hint="default" w:ascii="Times New Roman" w:hAnsi="Times New Roman" w:eastAsia="仿宋" w:cs="Times New Roman"/>
                      <w:color w:val="auto"/>
                      <w:sz w:val="21"/>
                      <w:szCs w:val="21"/>
                    </w:rPr>
                  </w:pPr>
                </w:p>
              </w:tc>
              <w:tc>
                <w:tcPr>
                  <w:tcW w:w="280" w:type="pct"/>
                  <w:vMerge w:val="continue"/>
                  <w:vAlign w:val="center"/>
                </w:tcPr>
                <w:p w14:paraId="13AACC72">
                  <w:pPr>
                    <w:jc w:val="center"/>
                    <w:rPr>
                      <w:rFonts w:hint="default" w:ascii="Times New Roman" w:hAnsi="Times New Roman" w:eastAsia="仿宋" w:cs="Times New Roman"/>
                      <w:color w:val="auto"/>
                      <w:sz w:val="21"/>
                      <w:szCs w:val="21"/>
                    </w:rPr>
                  </w:pPr>
                </w:p>
              </w:tc>
              <w:tc>
                <w:tcPr>
                  <w:tcW w:w="246" w:type="pct"/>
                  <w:vMerge w:val="continue"/>
                  <w:vAlign w:val="center"/>
                </w:tcPr>
                <w:p w14:paraId="7931D801">
                  <w:pPr>
                    <w:jc w:val="center"/>
                    <w:rPr>
                      <w:rFonts w:hint="default" w:ascii="Times New Roman" w:hAnsi="Times New Roman" w:eastAsia="仿宋" w:cs="Times New Roman"/>
                      <w:color w:val="auto"/>
                      <w:sz w:val="21"/>
                      <w:szCs w:val="21"/>
                    </w:rPr>
                  </w:pPr>
                </w:p>
              </w:tc>
              <w:tc>
                <w:tcPr>
                  <w:tcW w:w="280" w:type="pct"/>
                  <w:vMerge w:val="continue"/>
                  <w:vAlign w:val="center"/>
                </w:tcPr>
                <w:p w14:paraId="4C6EF8EB">
                  <w:pPr>
                    <w:jc w:val="center"/>
                    <w:rPr>
                      <w:rFonts w:hint="default" w:ascii="Times New Roman" w:hAnsi="Times New Roman" w:eastAsia="仿宋" w:cs="Times New Roman"/>
                      <w:color w:val="auto"/>
                      <w:sz w:val="21"/>
                      <w:szCs w:val="21"/>
                    </w:rPr>
                  </w:pPr>
                </w:p>
              </w:tc>
              <w:tc>
                <w:tcPr>
                  <w:tcW w:w="272" w:type="pct"/>
                  <w:vMerge w:val="continue"/>
                  <w:vAlign w:val="center"/>
                </w:tcPr>
                <w:p w14:paraId="6BD65EF4">
                  <w:pPr>
                    <w:jc w:val="center"/>
                    <w:rPr>
                      <w:rFonts w:hint="default" w:ascii="Times New Roman" w:hAnsi="Times New Roman" w:eastAsia="仿宋" w:cs="Times New Roman"/>
                      <w:color w:val="auto"/>
                      <w:sz w:val="21"/>
                      <w:szCs w:val="21"/>
                    </w:rPr>
                  </w:pPr>
                </w:p>
              </w:tc>
              <w:tc>
                <w:tcPr>
                  <w:tcW w:w="220" w:type="pct"/>
                  <w:vMerge w:val="continue"/>
                  <w:vAlign w:val="center"/>
                </w:tcPr>
                <w:p w14:paraId="1A6EF94E">
                  <w:pPr>
                    <w:jc w:val="center"/>
                    <w:rPr>
                      <w:rFonts w:hint="default" w:ascii="Times New Roman" w:hAnsi="Times New Roman" w:eastAsia="仿宋" w:cs="Times New Roman"/>
                      <w:color w:val="auto"/>
                      <w:sz w:val="21"/>
                      <w:szCs w:val="21"/>
                    </w:rPr>
                  </w:pPr>
                </w:p>
              </w:tc>
              <w:tc>
                <w:tcPr>
                  <w:tcW w:w="235" w:type="pct"/>
                  <w:vMerge w:val="continue"/>
                  <w:vAlign w:val="center"/>
                </w:tcPr>
                <w:p w14:paraId="33411C14">
                  <w:pPr>
                    <w:jc w:val="center"/>
                    <w:rPr>
                      <w:rFonts w:hint="default" w:ascii="Times New Roman" w:hAnsi="Times New Roman" w:eastAsia="仿宋" w:cs="Times New Roman"/>
                      <w:color w:val="auto"/>
                      <w:sz w:val="21"/>
                      <w:szCs w:val="21"/>
                    </w:rPr>
                  </w:pPr>
                </w:p>
              </w:tc>
              <w:tc>
                <w:tcPr>
                  <w:tcW w:w="262" w:type="pct"/>
                  <w:vMerge w:val="continue"/>
                  <w:vAlign w:val="center"/>
                </w:tcPr>
                <w:p w14:paraId="184980CA">
                  <w:pPr>
                    <w:jc w:val="center"/>
                    <w:rPr>
                      <w:rFonts w:hint="default" w:ascii="Times New Roman" w:hAnsi="Times New Roman" w:eastAsia="仿宋" w:cs="Times New Roman"/>
                      <w:color w:val="auto"/>
                      <w:sz w:val="21"/>
                      <w:szCs w:val="21"/>
                    </w:rPr>
                  </w:pPr>
                </w:p>
              </w:tc>
            </w:tr>
            <w:tr w14:paraId="70956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682B728A">
                  <w:pPr>
                    <w:jc w:val="center"/>
                    <w:rPr>
                      <w:rFonts w:hint="default" w:ascii="Times New Roman" w:hAnsi="Times New Roman" w:eastAsia="仿宋" w:cs="Times New Roman"/>
                      <w:color w:val="auto"/>
                      <w:sz w:val="21"/>
                      <w:szCs w:val="21"/>
                    </w:rPr>
                  </w:pPr>
                </w:p>
              </w:tc>
              <w:tc>
                <w:tcPr>
                  <w:tcW w:w="222" w:type="pct"/>
                  <w:vMerge w:val="continue"/>
                  <w:vAlign w:val="center"/>
                </w:tcPr>
                <w:p w14:paraId="4A6317F3">
                  <w:pPr>
                    <w:jc w:val="center"/>
                    <w:rPr>
                      <w:rFonts w:hint="default" w:ascii="Times New Roman" w:hAnsi="Times New Roman" w:eastAsia="仿宋" w:cs="Times New Roman"/>
                      <w:color w:val="auto"/>
                      <w:sz w:val="21"/>
                      <w:szCs w:val="21"/>
                    </w:rPr>
                  </w:pPr>
                </w:p>
              </w:tc>
              <w:tc>
                <w:tcPr>
                  <w:tcW w:w="434" w:type="pct"/>
                  <w:vAlign w:val="center"/>
                </w:tcPr>
                <w:p w14:paraId="48CC7AE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379" w:type="pct"/>
                  <w:tcMar>
                    <w:top w:w="0" w:type="dxa"/>
                    <w:left w:w="28" w:type="dxa"/>
                    <w:bottom w:w="0" w:type="dxa"/>
                    <w:right w:w="28" w:type="dxa"/>
                  </w:tcMar>
                  <w:vAlign w:val="center"/>
                </w:tcPr>
                <w:p w14:paraId="226CE11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0.000018</w:t>
                  </w:r>
                </w:p>
              </w:tc>
              <w:tc>
                <w:tcPr>
                  <w:tcW w:w="306" w:type="pct"/>
                  <w:tcMar>
                    <w:top w:w="0" w:type="dxa"/>
                    <w:left w:w="28" w:type="dxa"/>
                    <w:bottom w:w="0" w:type="dxa"/>
                    <w:right w:w="28" w:type="dxa"/>
                  </w:tcMar>
                  <w:vAlign w:val="center"/>
                </w:tcPr>
                <w:p w14:paraId="52E2F63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0.0008</w:t>
                  </w:r>
                </w:p>
              </w:tc>
              <w:tc>
                <w:tcPr>
                  <w:tcW w:w="284" w:type="pct"/>
                  <w:vAlign w:val="center"/>
                </w:tcPr>
                <w:p w14:paraId="6C167F6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0.00002</w:t>
                  </w:r>
                </w:p>
              </w:tc>
              <w:tc>
                <w:tcPr>
                  <w:tcW w:w="488" w:type="pct"/>
                  <w:vMerge w:val="continue"/>
                  <w:vAlign w:val="center"/>
                </w:tcPr>
                <w:p w14:paraId="7EFE3853">
                  <w:pPr>
                    <w:jc w:val="center"/>
                    <w:rPr>
                      <w:rFonts w:hint="default" w:ascii="Times New Roman" w:hAnsi="Times New Roman" w:eastAsia="仿宋" w:cs="Times New Roman"/>
                      <w:color w:val="auto"/>
                      <w:sz w:val="21"/>
                      <w:szCs w:val="21"/>
                    </w:rPr>
                  </w:pPr>
                </w:p>
              </w:tc>
              <w:tc>
                <w:tcPr>
                  <w:tcW w:w="359" w:type="pct"/>
                  <w:vMerge w:val="continue"/>
                  <w:vAlign w:val="center"/>
                </w:tcPr>
                <w:p w14:paraId="466AE53A">
                  <w:pPr>
                    <w:jc w:val="center"/>
                    <w:rPr>
                      <w:rFonts w:hint="default" w:ascii="Times New Roman" w:hAnsi="Times New Roman" w:eastAsia="仿宋" w:cs="Times New Roman"/>
                      <w:color w:val="auto"/>
                      <w:sz w:val="21"/>
                      <w:szCs w:val="21"/>
                    </w:rPr>
                  </w:pPr>
                </w:p>
              </w:tc>
              <w:tc>
                <w:tcPr>
                  <w:tcW w:w="279" w:type="pct"/>
                  <w:vMerge w:val="continue"/>
                  <w:vAlign w:val="center"/>
                </w:tcPr>
                <w:p w14:paraId="0391C8CC">
                  <w:pPr>
                    <w:jc w:val="center"/>
                    <w:rPr>
                      <w:rFonts w:hint="default" w:ascii="Times New Roman" w:hAnsi="Times New Roman" w:eastAsia="仿宋" w:cs="Times New Roman"/>
                      <w:color w:val="auto"/>
                      <w:sz w:val="21"/>
                      <w:szCs w:val="21"/>
                    </w:rPr>
                  </w:pPr>
                </w:p>
              </w:tc>
              <w:tc>
                <w:tcPr>
                  <w:tcW w:w="280" w:type="pct"/>
                  <w:vMerge w:val="continue"/>
                  <w:vAlign w:val="center"/>
                </w:tcPr>
                <w:p w14:paraId="236899E8">
                  <w:pPr>
                    <w:jc w:val="center"/>
                    <w:rPr>
                      <w:rFonts w:hint="default" w:ascii="Times New Roman" w:hAnsi="Times New Roman" w:eastAsia="仿宋" w:cs="Times New Roman"/>
                      <w:color w:val="auto"/>
                      <w:sz w:val="21"/>
                      <w:szCs w:val="21"/>
                    </w:rPr>
                  </w:pPr>
                </w:p>
              </w:tc>
              <w:tc>
                <w:tcPr>
                  <w:tcW w:w="246" w:type="pct"/>
                  <w:vMerge w:val="continue"/>
                  <w:vAlign w:val="center"/>
                </w:tcPr>
                <w:p w14:paraId="1D37568E">
                  <w:pPr>
                    <w:jc w:val="center"/>
                    <w:rPr>
                      <w:rFonts w:hint="default" w:ascii="Times New Roman" w:hAnsi="Times New Roman" w:eastAsia="仿宋" w:cs="Times New Roman"/>
                      <w:color w:val="auto"/>
                      <w:sz w:val="21"/>
                      <w:szCs w:val="21"/>
                    </w:rPr>
                  </w:pPr>
                </w:p>
              </w:tc>
              <w:tc>
                <w:tcPr>
                  <w:tcW w:w="280" w:type="pct"/>
                  <w:vMerge w:val="continue"/>
                  <w:vAlign w:val="center"/>
                </w:tcPr>
                <w:p w14:paraId="6E3D3C94">
                  <w:pPr>
                    <w:jc w:val="center"/>
                    <w:rPr>
                      <w:rFonts w:hint="default" w:ascii="Times New Roman" w:hAnsi="Times New Roman" w:eastAsia="仿宋" w:cs="Times New Roman"/>
                      <w:color w:val="auto"/>
                      <w:sz w:val="21"/>
                      <w:szCs w:val="21"/>
                    </w:rPr>
                  </w:pPr>
                </w:p>
              </w:tc>
              <w:tc>
                <w:tcPr>
                  <w:tcW w:w="272" w:type="pct"/>
                  <w:vMerge w:val="continue"/>
                  <w:vAlign w:val="center"/>
                </w:tcPr>
                <w:p w14:paraId="27880CED">
                  <w:pPr>
                    <w:jc w:val="center"/>
                    <w:rPr>
                      <w:rFonts w:hint="default" w:ascii="Times New Roman" w:hAnsi="Times New Roman" w:eastAsia="仿宋" w:cs="Times New Roman"/>
                      <w:color w:val="auto"/>
                      <w:sz w:val="21"/>
                      <w:szCs w:val="21"/>
                    </w:rPr>
                  </w:pPr>
                </w:p>
              </w:tc>
              <w:tc>
                <w:tcPr>
                  <w:tcW w:w="220" w:type="pct"/>
                  <w:vMerge w:val="continue"/>
                  <w:vAlign w:val="center"/>
                </w:tcPr>
                <w:p w14:paraId="3C658667">
                  <w:pPr>
                    <w:jc w:val="center"/>
                    <w:rPr>
                      <w:rFonts w:hint="default" w:ascii="Times New Roman" w:hAnsi="Times New Roman" w:eastAsia="仿宋" w:cs="Times New Roman"/>
                      <w:color w:val="auto"/>
                      <w:sz w:val="21"/>
                      <w:szCs w:val="21"/>
                    </w:rPr>
                  </w:pPr>
                </w:p>
              </w:tc>
              <w:tc>
                <w:tcPr>
                  <w:tcW w:w="235" w:type="pct"/>
                  <w:vMerge w:val="continue"/>
                  <w:vAlign w:val="center"/>
                </w:tcPr>
                <w:p w14:paraId="3E1BF20A">
                  <w:pPr>
                    <w:jc w:val="center"/>
                    <w:rPr>
                      <w:rFonts w:hint="default" w:ascii="Times New Roman" w:hAnsi="Times New Roman" w:eastAsia="仿宋" w:cs="Times New Roman"/>
                      <w:color w:val="auto"/>
                      <w:sz w:val="21"/>
                      <w:szCs w:val="21"/>
                    </w:rPr>
                  </w:pPr>
                </w:p>
              </w:tc>
              <w:tc>
                <w:tcPr>
                  <w:tcW w:w="262" w:type="pct"/>
                  <w:vMerge w:val="continue"/>
                  <w:vAlign w:val="center"/>
                </w:tcPr>
                <w:p w14:paraId="5BF303D9">
                  <w:pPr>
                    <w:jc w:val="center"/>
                    <w:rPr>
                      <w:rFonts w:hint="default" w:ascii="Times New Roman" w:hAnsi="Times New Roman" w:eastAsia="仿宋" w:cs="Times New Roman"/>
                      <w:color w:val="auto"/>
                      <w:sz w:val="21"/>
                      <w:szCs w:val="21"/>
                    </w:rPr>
                  </w:pPr>
                </w:p>
              </w:tc>
            </w:tr>
            <w:tr w14:paraId="53CD1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084F8F6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锡膏印刷线、印刷机以及钢网清洗废气</w:t>
                  </w:r>
                </w:p>
              </w:tc>
              <w:tc>
                <w:tcPr>
                  <w:tcW w:w="222" w:type="pct"/>
                  <w:vMerge w:val="continue"/>
                  <w:vAlign w:val="center"/>
                </w:tcPr>
                <w:p w14:paraId="46889B54">
                  <w:pPr>
                    <w:jc w:val="center"/>
                    <w:rPr>
                      <w:rFonts w:hint="default" w:ascii="Times New Roman" w:hAnsi="Times New Roman" w:eastAsia="仿宋" w:cs="Times New Roman"/>
                      <w:color w:val="auto"/>
                      <w:sz w:val="21"/>
                      <w:szCs w:val="21"/>
                    </w:rPr>
                  </w:pPr>
                </w:p>
              </w:tc>
              <w:tc>
                <w:tcPr>
                  <w:tcW w:w="434" w:type="pct"/>
                  <w:vAlign w:val="center"/>
                </w:tcPr>
                <w:p w14:paraId="70B347B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1C259CD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0.0027</w:t>
                  </w:r>
                </w:p>
              </w:tc>
              <w:tc>
                <w:tcPr>
                  <w:tcW w:w="306" w:type="pct"/>
                  <w:tcMar>
                    <w:top w:w="0" w:type="dxa"/>
                    <w:left w:w="28" w:type="dxa"/>
                    <w:bottom w:w="0" w:type="dxa"/>
                    <w:right w:w="28" w:type="dxa"/>
                  </w:tcMar>
                  <w:vAlign w:val="center"/>
                </w:tcPr>
                <w:p w14:paraId="061726F6">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0.72</w:t>
                  </w:r>
                </w:p>
              </w:tc>
              <w:tc>
                <w:tcPr>
                  <w:tcW w:w="284" w:type="pct"/>
                  <w:vAlign w:val="center"/>
                </w:tcPr>
                <w:p w14:paraId="4E95B9C6">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0.018</w:t>
                  </w:r>
                </w:p>
              </w:tc>
              <w:tc>
                <w:tcPr>
                  <w:tcW w:w="488" w:type="pct"/>
                  <w:vMerge w:val="continue"/>
                  <w:vAlign w:val="center"/>
                </w:tcPr>
                <w:p w14:paraId="5521CD0A">
                  <w:pPr>
                    <w:jc w:val="center"/>
                    <w:rPr>
                      <w:rFonts w:hint="default" w:ascii="Times New Roman" w:hAnsi="Times New Roman" w:eastAsia="仿宋" w:cs="Times New Roman"/>
                      <w:color w:val="auto"/>
                      <w:sz w:val="21"/>
                      <w:szCs w:val="21"/>
                    </w:rPr>
                  </w:pPr>
                </w:p>
              </w:tc>
              <w:tc>
                <w:tcPr>
                  <w:tcW w:w="359" w:type="pct"/>
                  <w:vMerge w:val="restart"/>
                  <w:vAlign w:val="center"/>
                </w:tcPr>
                <w:p w14:paraId="70FBC17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279" w:type="pct"/>
                  <w:vMerge w:val="restart"/>
                  <w:vAlign w:val="center"/>
                </w:tcPr>
                <w:p w14:paraId="00CB79E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280" w:type="pct"/>
                  <w:vMerge w:val="restart"/>
                  <w:vAlign w:val="center"/>
                </w:tcPr>
                <w:p w14:paraId="2C3425E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0.657</w:t>
                  </w:r>
                </w:p>
              </w:tc>
              <w:tc>
                <w:tcPr>
                  <w:tcW w:w="246" w:type="pct"/>
                  <w:vMerge w:val="restart"/>
                  <w:vAlign w:val="center"/>
                </w:tcPr>
                <w:p w14:paraId="0108A4B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14.6</w:t>
                  </w:r>
                </w:p>
              </w:tc>
              <w:tc>
                <w:tcPr>
                  <w:tcW w:w="280" w:type="pct"/>
                  <w:vMerge w:val="restart"/>
                  <w:vAlign w:val="center"/>
                </w:tcPr>
                <w:p w14:paraId="45E8E99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0.366</w:t>
                  </w:r>
                </w:p>
              </w:tc>
              <w:tc>
                <w:tcPr>
                  <w:tcW w:w="272" w:type="pct"/>
                  <w:vMerge w:val="restart"/>
                  <w:vAlign w:val="center"/>
                </w:tcPr>
                <w:p w14:paraId="204F41D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80</w:t>
                  </w:r>
                </w:p>
              </w:tc>
              <w:tc>
                <w:tcPr>
                  <w:tcW w:w="220" w:type="pct"/>
                  <w:vMerge w:val="restart"/>
                  <w:vAlign w:val="center"/>
                </w:tcPr>
                <w:p w14:paraId="29A69AA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235" w:type="pct"/>
                  <w:vMerge w:val="continue"/>
                  <w:vAlign w:val="center"/>
                </w:tcPr>
                <w:p w14:paraId="1702B536">
                  <w:pPr>
                    <w:jc w:val="center"/>
                    <w:rPr>
                      <w:rFonts w:hint="default" w:ascii="Times New Roman" w:hAnsi="Times New Roman" w:eastAsia="仿宋" w:cs="Times New Roman"/>
                      <w:color w:val="auto"/>
                      <w:sz w:val="21"/>
                      <w:szCs w:val="21"/>
                    </w:rPr>
                  </w:pPr>
                </w:p>
              </w:tc>
              <w:tc>
                <w:tcPr>
                  <w:tcW w:w="262" w:type="pct"/>
                  <w:vMerge w:val="continue"/>
                  <w:vAlign w:val="center"/>
                </w:tcPr>
                <w:p w14:paraId="148E1256">
                  <w:pPr>
                    <w:jc w:val="center"/>
                    <w:rPr>
                      <w:rFonts w:hint="default" w:ascii="Times New Roman" w:hAnsi="Times New Roman" w:eastAsia="仿宋" w:cs="Times New Roman"/>
                      <w:color w:val="auto"/>
                      <w:sz w:val="21"/>
                      <w:szCs w:val="21"/>
                    </w:rPr>
                  </w:pPr>
                </w:p>
              </w:tc>
            </w:tr>
            <w:tr w14:paraId="34C8E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7DA826DA">
                  <w:pPr>
                    <w:jc w:val="center"/>
                    <w:rPr>
                      <w:rFonts w:hint="default" w:ascii="Times New Roman" w:hAnsi="Times New Roman" w:eastAsia="仿宋" w:cs="Times New Roman"/>
                      <w:color w:val="auto"/>
                      <w:sz w:val="21"/>
                      <w:szCs w:val="21"/>
                    </w:rPr>
                  </w:pPr>
                </w:p>
              </w:tc>
              <w:tc>
                <w:tcPr>
                  <w:tcW w:w="222" w:type="pct"/>
                  <w:vMerge w:val="continue"/>
                  <w:vAlign w:val="center"/>
                </w:tcPr>
                <w:p w14:paraId="20B42AFD">
                  <w:pPr>
                    <w:jc w:val="center"/>
                    <w:rPr>
                      <w:rFonts w:hint="default" w:ascii="Times New Roman" w:hAnsi="Times New Roman" w:eastAsia="仿宋" w:cs="Times New Roman"/>
                      <w:color w:val="auto"/>
                      <w:sz w:val="21"/>
                      <w:szCs w:val="21"/>
                    </w:rPr>
                  </w:pPr>
                </w:p>
              </w:tc>
              <w:tc>
                <w:tcPr>
                  <w:tcW w:w="434" w:type="pct"/>
                  <w:vAlign w:val="center"/>
                </w:tcPr>
                <w:p w14:paraId="35D91EE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4F13980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0.0027</w:t>
                  </w:r>
                </w:p>
              </w:tc>
              <w:tc>
                <w:tcPr>
                  <w:tcW w:w="306" w:type="pct"/>
                  <w:tcMar>
                    <w:top w:w="0" w:type="dxa"/>
                    <w:left w:w="28" w:type="dxa"/>
                    <w:bottom w:w="0" w:type="dxa"/>
                    <w:right w:w="28" w:type="dxa"/>
                  </w:tcMar>
                  <w:vAlign w:val="center"/>
                </w:tcPr>
                <w:p w14:paraId="4E5FC2F3">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0.72</w:t>
                  </w:r>
                </w:p>
              </w:tc>
              <w:tc>
                <w:tcPr>
                  <w:tcW w:w="284" w:type="pct"/>
                  <w:vAlign w:val="center"/>
                </w:tcPr>
                <w:p w14:paraId="55983993">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0.018</w:t>
                  </w:r>
                </w:p>
              </w:tc>
              <w:tc>
                <w:tcPr>
                  <w:tcW w:w="488" w:type="pct"/>
                  <w:vMerge w:val="continue"/>
                  <w:vAlign w:val="center"/>
                </w:tcPr>
                <w:p w14:paraId="35207A80">
                  <w:pPr>
                    <w:jc w:val="center"/>
                    <w:rPr>
                      <w:rFonts w:hint="default" w:ascii="Times New Roman" w:hAnsi="Times New Roman" w:eastAsia="仿宋" w:cs="Times New Roman"/>
                      <w:color w:val="auto"/>
                      <w:sz w:val="21"/>
                      <w:szCs w:val="21"/>
                    </w:rPr>
                  </w:pPr>
                </w:p>
              </w:tc>
              <w:tc>
                <w:tcPr>
                  <w:tcW w:w="359" w:type="pct"/>
                  <w:vMerge w:val="continue"/>
                  <w:vAlign w:val="center"/>
                </w:tcPr>
                <w:p w14:paraId="36FCA78B">
                  <w:pPr>
                    <w:jc w:val="center"/>
                    <w:rPr>
                      <w:rFonts w:hint="default" w:ascii="Times New Roman" w:hAnsi="Times New Roman" w:eastAsia="仿宋" w:cs="Times New Roman"/>
                      <w:color w:val="auto"/>
                      <w:sz w:val="21"/>
                      <w:szCs w:val="21"/>
                    </w:rPr>
                  </w:pPr>
                </w:p>
              </w:tc>
              <w:tc>
                <w:tcPr>
                  <w:tcW w:w="279" w:type="pct"/>
                  <w:vMerge w:val="continue"/>
                  <w:vAlign w:val="center"/>
                </w:tcPr>
                <w:p w14:paraId="4F4F427C">
                  <w:pPr>
                    <w:jc w:val="center"/>
                    <w:rPr>
                      <w:rFonts w:hint="default" w:ascii="Times New Roman" w:hAnsi="Times New Roman" w:eastAsia="仿宋" w:cs="Times New Roman"/>
                      <w:color w:val="auto"/>
                      <w:sz w:val="21"/>
                      <w:szCs w:val="21"/>
                    </w:rPr>
                  </w:pPr>
                </w:p>
              </w:tc>
              <w:tc>
                <w:tcPr>
                  <w:tcW w:w="280" w:type="pct"/>
                  <w:vMerge w:val="continue"/>
                  <w:vAlign w:val="center"/>
                </w:tcPr>
                <w:p w14:paraId="14C2543E">
                  <w:pPr>
                    <w:jc w:val="center"/>
                    <w:rPr>
                      <w:rFonts w:hint="default" w:ascii="Times New Roman" w:hAnsi="Times New Roman" w:eastAsia="仿宋" w:cs="Times New Roman"/>
                      <w:color w:val="auto"/>
                      <w:sz w:val="21"/>
                      <w:szCs w:val="21"/>
                    </w:rPr>
                  </w:pPr>
                </w:p>
              </w:tc>
              <w:tc>
                <w:tcPr>
                  <w:tcW w:w="246" w:type="pct"/>
                  <w:vMerge w:val="continue"/>
                  <w:vAlign w:val="center"/>
                </w:tcPr>
                <w:p w14:paraId="49365564">
                  <w:pPr>
                    <w:jc w:val="center"/>
                    <w:rPr>
                      <w:rFonts w:hint="default" w:ascii="Times New Roman" w:hAnsi="Times New Roman" w:eastAsia="仿宋" w:cs="Times New Roman"/>
                      <w:color w:val="auto"/>
                      <w:sz w:val="21"/>
                      <w:szCs w:val="21"/>
                    </w:rPr>
                  </w:pPr>
                </w:p>
              </w:tc>
              <w:tc>
                <w:tcPr>
                  <w:tcW w:w="280" w:type="pct"/>
                  <w:vMerge w:val="continue"/>
                  <w:vAlign w:val="center"/>
                </w:tcPr>
                <w:p w14:paraId="18776E6C">
                  <w:pPr>
                    <w:jc w:val="center"/>
                    <w:rPr>
                      <w:rFonts w:hint="default" w:ascii="Times New Roman" w:hAnsi="Times New Roman" w:eastAsia="仿宋" w:cs="Times New Roman"/>
                      <w:color w:val="auto"/>
                      <w:sz w:val="21"/>
                      <w:szCs w:val="21"/>
                    </w:rPr>
                  </w:pPr>
                </w:p>
              </w:tc>
              <w:tc>
                <w:tcPr>
                  <w:tcW w:w="272" w:type="pct"/>
                  <w:vMerge w:val="continue"/>
                  <w:vAlign w:val="center"/>
                </w:tcPr>
                <w:p w14:paraId="4E73897D">
                  <w:pPr>
                    <w:jc w:val="center"/>
                    <w:rPr>
                      <w:rFonts w:hint="default" w:ascii="Times New Roman" w:hAnsi="Times New Roman" w:eastAsia="仿宋" w:cs="Times New Roman"/>
                      <w:color w:val="auto"/>
                      <w:sz w:val="21"/>
                      <w:szCs w:val="21"/>
                    </w:rPr>
                  </w:pPr>
                </w:p>
              </w:tc>
              <w:tc>
                <w:tcPr>
                  <w:tcW w:w="220" w:type="pct"/>
                  <w:vMerge w:val="continue"/>
                  <w:vAlign w:val="center"/>
                </w:tcPr>
                <w:p w14:paraId="07FC9DE4">
                  <w:pPr>
                    <w:jc w:val="center"/>
                    <w:rPr>
                      <w:rFonts w:hint="default" w:ascii="Times New Roman" w:hAnsi="Times New Roman" w:eastAsia="仿宋" w:cs="Times New Roman"/>
                      <w:color w:val="auto"/>
                      <w:sz w:val="21"/>
                      <w:szCs w:val="21"/>
                    </w:rPr>
                  </w:pPr>
                </w:p>
              </w:tc>
              <w:tc>
                <w:tcPr>
                  <w:tcW w:w="235" w:type="pct"/>
                  <w:vMerge w:val="continue"/>
                  <w:vAlign w:val="center"/>
                </w:tcPr>
                <w:p w14:paraId="4E749CD9">
                  <w:pPr>
                    <w:jc w:val="center"/>
                    <w:rPr>
                      <w:rFonts w:hint="default" w:ascii="Times New Roman" w:hAnsi="Times New Roman" w:eastAsia="仿宋" w:cs="Times New Roman"/>
                      <w:color w:val="auto"/>
                      <w:sz w:val="21"/>
                      <w:szCs w:val="21"/>
                    </w:rPr>
                  </w:pPr>
                </w:p>
              </w:tc>
              <w:tc>
                <w:tcPr>
                  <w:tcW w:w="262" w:type="pct"/>
                  <w:vMerge w:val="continue"/>
                  <w:vAlign w:val="center"/>
                </w:tcPr>
                <w:p w14:paraId="09BC4A38">
                  <w:pPr>
                    <w:jc w:val="center"/>
                    <w:rPr>
                      <w:rFonts w:hint="default" w:ascii="Times New Roman" w:hAnsi="Times New Roman" w:eastAsia="仿宋" w:cs="Times New Roman"/>
                      <w:color w:val="auto"/>
                      <w:sz w:val="21"/>
                      <w:szCs w:val="21"/>
                    </w:rPr>
                  </w:pPr>
                </w:p>
              </w:tc>
            </w:tr>
            <w:tr w14:paraId="0F561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6BE7564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自动化点漆装置清洗</w:t>
                  </w:r>
                </w:p>
              </w:tc>
              <w:tc>
                <w:tcPr>
                  <w:tcW w:w="222" w:type="pct"/>
                  <w:vMerge w:val="continue"/>
                  <w:vAlign w:val="center"/>
                </w:tcPr>
                <w:p w14:paraId="20F0AE77">
                  <w:pPr>
                    <w:jc w:val="center"/>
                    <w:rPr>
                      <w:rFonts w:hint="default" w:ascii="Times New Roman" w:hAnsi="Times New Roman" w:eastAsia="仿宋" w:cs="Times New Roman"/>
                      <w:color w:val="auto"/>
                      <w:sz w:val="21"/>
                      <w:szCs w:val="21"/>
                    </w:rPr>
                  </w:pPr>
                </w:p>
              </w:tc>
              <w:tc>
                <w:tcPr>
                  <w:tcW w:w="434" w:type="pct"/>
                  <w:vAlign w:val="center"/>
                </w:tcPr>
                <w:p w14:paraId="08ECFC5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7643BDA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0.018</w:t>
                  </w:r>
                </w:p>
              </w:tc>
              <w:tc>
                <w:tcPr>
                  <w:tcW w:w="306" w:type="pct"/>
                  <w:tcMar>
                    <w:top w:w="0" w:type="dxa"/>
                    <w:left w:w="28" w:type="dxa"/>
                    <w:bottom w:w="0" w:type="dxa"/>
                    <w:right w:w="28" w:type="dxa"/>
                  </w:tcMar>
                  <w:vAlign w:val="center"/>
                </w:tcPr>
                <w:p w14:paraId="02BCFB4B">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36</w:t>
                  </w:r>
                </w:p>
              </w:tc>
              <w:tc>
                <w:tcPr>
                  <w:tcW w:w="284" w:type="pct"/>
                  <w:vAlign w:val="center"/>
                </w:tcPr>
                <w:p w14:paraId="0ABB7CF9">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0.9</w:t>
                  </w:r>
                </w:p>
              </w:tc>
              <w:tc>
                <w:tcPr>
                  <w:tcW w:w="488" w:type="pct"/>
                  <w:vMerge w:val="continue"/>
                  <w:vAlign w:val="center"/>
                </w:tcPr>
                <w:p w14:paraId="37CC57DB">
                  <w:pPr>
                    <w:jc w:val="center"/>
                    <w:rPr>
                      <w:rFonts w:hint="default" w:ascii="Times New Roman" w:hAnsi="Times New Roman" w:eastAsia="仿宋" w:cs="Times New Roman"/>
                      <w:color w:val="auto"/>
                      <w:sz w:val="21"/>
                      <w:szCs w:val="21"/>
                    </w:rPr>
                  </w:pPr>
                </w:p>
              </w:tc>
              <w:tc>
                <w:tcPr>
                  <w:tcW w:w="359" w:type="pct"/>
                  <w:vMerge w:val="continue"/>
                  <w:vAlign w:val="center"/>
                </w:tcPr>
                <w:p w14:paraId="426479B2">
                  <w:pPr>
                    <w:jc w:val="center"/>
                    <w:rPr>
                      <w:rFonts w:hint="default" w:ascii="Times New Roman" w:hAnsi="Times New Roman" w:eastAsia="仿宋" w:cs="Times New Roman"/>
                      <w:color w:val="auto"/>
                      <w:sz w:val="21"/>
                      <w:szCs w:val="21"/>
                    </w:rPr>
                  </w:pPr>
                </w:p>
              </w:tc>
              <w:tc>
                <w:tcPr>
                  <w:tcW w:w="279" w:type="pct"/>
                  <w:vMerge w:val="continue"/>
                  <w:vAlign w:val="center"/>
                </w:tcPr>
                <w:p w14:paraId="444E0380">
                  <w:pPr>
                    <w:jc w:val="center"/>
                    <w:rPr>
                      <w:rFonts w:hint="default" w:ascii="Times New Roman" w:hAnsi="Times New Roman" w:eastAsia="仿宋" w:cs="Times New Roman"/>
                      <w:color w:val="auto"/>
                      <w:sz w:val="21"/>
                      <w:szCs w:val="21"/>
                    </w:rPr>
                  </w:pPr>
                </w:p>
              </w:tc>
              <w:tc>
                <w:tcPr>
                  <w:tcW w:w="280" w:type="pct"/>
                  <w:vMerge w:val="continue"/>
                  <w:vAlign w:val="center"/>
                </w:tcPr>
                <w:p w14:paraId="5F137BA5">
                  <w:pPr>
                    <w:jc w:val="center"/>
                    <w:rPr>
                      <w:rFonts w:hint="default" w:ascii="Times New Roman" w:hAnsi="Times New Roman" w:eastAsia="仿宋" w:cs="Times New Roman"/>
                      <w:color w:val="auto"/>
                      <w:sz w:val="21"/>
                      <w:szCs w:val="21"/>
                    </w:rPr>
                  </w:pPr>
                </w:p>
              </w:tc>
              <w:tc>
                <w:tcPr>
                  <w:tcW w:w="246" w:type="pct"/>
                  <w:vMerge w:val="continue"/>
                  <w:vAlign w:val="center"/>
                </w:tcPr>
                <w:p w14:paraId="20419E4E">
                  <w:pPr>
                    <w:jc w:val="center"/>
                    <w:rPr>
                      <w:rFonts w:hint="default" w:ascii="Times New Roman" w:hAnsi="Times New Roman" w:eastAsia="仿宋" w:cs="Times New Roman"/>
                      <w:color w:val="auto"/>
                      <w:sz w:val="21"/>
                      <w:szCs w:val="21"/>
                    </w:rPr>
                  </w:pPr>
                </w:p>
              </w:tc>
              <w:tc>
                <w:tcPr>
                  <w:tcW w:w="280" w:type="pct"/>
                  <w:vMerge w:val="continue"/>
                  <w:vAlign w:val="center"/>
                </w:tcPr>
                <w:p w14:paraId="33833E87">
                  <w:pPr>
                    <w:jc w:val="center"/>
                    <w:rPr>
                      <w:rFonts w:hint="default" w:ascii="Times New Roman" w:hAnsi="Times New Roman" w:eastAsia="仿宋" w:cs="Times New Roman"/>
                      <w:color w:val="auto"/>
                      <w:sz w:val="21"/>
                      <w:szCs w:val="21"/>
                    </w:rPr>
                  </w:pPr>
                </w:p>
              </w:tc>
              <w:tc>
                <w:tcPr>
                  <w:tcW w:w="272" w:type="pct"/>
                  <w:vMerge w:val="continue"/>
                  <w:vAlign w:val="center"/>
                </w:tcPr>
                <w:p w14:paraId="24DA5738">
                  <w:pPr>
                    <w:jc w:val="center"/>
                    <w:rPr>
                      <w:rFonts w:hint="default" w:ascii="Times New Roman" w:hAnsi="Times New Roman" w:eastAsia="仿宋" w:cs="Times New Roman"/>
                      <w:color w:val="auto"/>
                      <w:sz w:val="21"/>
                      <w:szCs w:val="21"/>
                    </w:rPr>
                  </w:pPr>
                </w:p>
              </w:tc>
              <w:tc>
                <w:tcPr>
                  <w:tcW w:w="220" w:type="pct"/>
                  <w:vMerge w:val="continue"/>
                  <w:vAlign w:val="center"/>
                </w:tcPr>
                <w:p w14:paraId="5C0FC4D5">
                  <w:pPr>
                    <w:jc w:val="center"/>
                    <w:rPr>
                      <w:rFonts w:hint="default" w:ascii="Times New Roman" w:hAnsi="Times New Roman" w:eastAsia="仿宋" w:cs="Times New Roman"/>
                      <w:color w:val="auto"/>
                      <w:sz w:val="21"/>
                      <w:szCs w:val="21"/>
                    </w:rPr>
                  </w:pPr>
                </w:p>
              </w:tc>
              <w:tc>
                <w:tcPr>
                  <w:tcW w:w="235" w:type="pct"/>
                  <w:vMerge w:val="continue"/>
                  <w:vAlign w:val="center"/>
                </w:tcPr>
                <w:p w14:paraId="22F71067">
                  <w:pPr>
                    <w:jc w:val="center"/>
                    <w:rPr>
                      <w:rFonts w:hint="default" w:ascii="Times New Roman" w:hAnsi="Times New Roman" w:eastAsia="仿宋" w:cs="Times New Roman"/>
                      <w:color w:val="auto"/>
                      <w:sz w:val="21"/>
                      <w:szCs w:val="21"/>
                    </w:rPr>
                  </w:pPr>
                </w:p>
              </w:tc>
              <w:tc>
                <w:tcPr>
                  <w:tcW w:w="262" w:type="pct"/>
                  <w:vMerge w:val="continue"/>
                  <w:vAlign w:val="center"/>
                </w:tcPr>
                <w:p w14:paraId="3134ECB2">
                  <w:pPr>
                    <w:jc w:val="center"/>
                    <w:rPr>
                      <w:rFonts w:hint="default" w:ascii="Times New Roman" w:hAnsi="Times New Roman" w:eastAsia="仿宋" w:cs="Times New Roman"/>
                      <w:color w:val="auto"/>
                      <w:sz w:val="21"/>
                      <w:szCs w:val="21"/>
                    </w:rPr>
                  </w:pPr>
                </w:p>
              </w:tc>
            </w:tr>
            <w:tr w14:paraId="771AE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61451E87">
                  <w:pPr>
                    <w:jc w:val="center"/>
                    <w:rPr>
                      <w:rFonts w:hint="default" w:ascii="Times New Roman" w:hAnsi="Times New Roman" w:eastAsia="仿宋" w:cs="Times New Roman"/>
                      <w:color w:val="auto"/>
                      <w:sz w:val="21"/>
                      <w:szCs w:val="21"/>
                    </w:rPr>
                  </w:pPr>
                </w:p>
              </w:tc>
              <w:tc>
                <w:tcPr>
                  <w:tcW w:w="222" w:type="pct"/>
                  <w:vMerge w:val="continue"/>
                  <w:vAlign w:val="center"/>
                </w:tcPr>
                <w:p w14:paraId="17B5BDD9">
                  <w:pPr>
                    <w:jc w:val="center"/>
                    <w:rPr>
                      <w:rFonts w:hint="default" w:ascii="Times New Roman" w:hAnsi="Times New Roman" w:eastAsia="仿宋" w:cs="Times New Roman"/>
                      <w:color w:val="auto"/>
                      <w:sz w:val="21"/>
                      <w:szCs w:val="21"/>
                    </w:rPr>
                  </w:pPr>
                </w:p>
              </w:tc>
              <w:tc>
                <w:tcPr>
                  <w:tcW w:w="434" w:type="pct"/>
                  <w:vAlign w:val="center"/>
                </w:tcPr>
                <w:p w14:paraId="532C360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20AD8BD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0.018</w:t>
                  </w:r>
                </w:p>
              </w:tc>
              <w:tc>
                <w:tcPr>
                  <w:tcW w:w="306" w:type="pct"/>
                  <w:tcMar>
                    <w:top w:w="0" w:type="dxa"/>
                    <w:left w:w="28" w:type="dxa"/>
                    <w:bottom w:w="0" w:type="dxa"/>
                    <w:right w:w="28" w:type="dxa"/>
                  </w:tcMar>
                  <w:vAlign w:val="center"/>
                </w:tcPr>
                <w:p w14:paraId="2CB3500C">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36</w:t>
                  </w:r>
                </w:p>
              </w:tc>
              <w:tc>
                <w:tcPr>
                  <w:tcW w:w="284" w:type="pct"/>
                  <w:vAlign w:val="center"/>
                </w:tcPr>
                <w:p w14:paraId="67ABAB90">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0.9</w:t>
                  </w:r>
                </w:p>
              </w:tc>
              <w:tc>
                <w:tcPr>
                  <w:tcW w:w="488" w:type="pct"/>
                  <w:vMerge w:val="continue"/>
                  <w:vAlign w:val="center"/>
                </w:tcPr>
                <w:p w14:paraId="036542EE">
                  <w:pPr>
                    <w:jc w:val="center"/>
                    <w:rPr>
                      <w:rFonts w:hint="default" w:ascii="Times New Roman" w:hAnsi="Times New Roman" w:eastAsia="仿宋" w:cs="Times New Roman"/>
                      <w:color w:val="auto"/>
                      <w:sz w:val="21"/>
                      <w:szCs w:val="21"/>
                    </w:rPr>
                  </w:pPr>
                </w:p>
              </w:tc>
              <w:tc>
                <w:tcPr>
                  <w:tcW w:w="359" w:type="pct"/>
                  <w:vMerge w:val="continue"/>
                  <w:vAlign w:val="center"/>
                </w:tcPr>
                <w:p w14:paraId="1C5B5DEB">
                  <w:pPr>
                    <w:jc w:val="center"/>
                    <w:rPr>
                      <w:rFonts w:hint="default" w:ascii="Times New Roman" w:hAnsi="Times New Roman" w:eastAsia="仿宋" w:cs="Times New Roman"/>
                      <w:color w:val="auto"/>
                      <w:sz w:val="21"/>
                      <w:szCs w:val="21"/>
                    </w:rPr>
                  </w:pPr>
                </w:p>
              </w:tc>
              <w:tc>
                <w:tcPr>
                  <w:tcW w:w="279" w:type="pct"/>
                  <w:vMerge w:val="continue"/>
                  <w:vAlign w:val="center"/>
                </w:tcPr>
                <w:p w14:paraId="1F8C0A47">
                  <w:pPr>
                    <w:jc w:val="center"/>
                    <w:rPr>
                      <w:rFonts w:hint="default" w:ascii="Times New Roman" w:hAnsi="Times New Roman" w:eastAsia="仿宋" w:cs="Times New Roman"/>
                      <w:color w:val="auto"/>
                      <w:sz w:val="21"/>
                      <w:szCs w:val="21"/>
                    </w:rPr>
                  </w:pPr>
                </w:p>
              </w:tc>
              <w:tc>
                <w:tcPr>
                  <w:tcW w:w="280" w:type="pct"/>
                  <w:vMerge w:val="continue"/>
                  <w:vAlign w:val="center"/>
                </w:tcPr>
                <w:p w14:paraId="772AB4CF">
                  <w:pPr>
                    <w:jc w:val="center"/>
                    <w:rPr>
                      <w:rFonts w:hint="default" w:ascii="Times New Roman" w:hAnsi="Times New Roman" w:eastAsia="仿宋" w:cs="Times New Roman"/>
                      <w:color w:val="auto"/>
                      <w:sz w:val="21"/>
                      <w:szCs w:val="21"/>
                    </w:rPr>
                  </w:pPr>
                </w:p>
              </w:tc>
              <w:tc>
                <w:tcPr>
                  <w:tcW w:w="246" w:type="pct"/>
                  <w:vMerge w:val="continue"/>
                  <w:vAlign w:val="center"/>
                </w:tcPr>
                <w:p w14:paraId="6A95BB5E">
                  <w:pPr>
                    <w:jc w:val="center"/>
                    <w:rPr>
                      <w:rFonts w:hint="default" w:ascii="Times New Roman" w:hAnsi="Times New Roman" w:eastAsia="仿宋" w:cs="Times New Roman"/>
                      <w:color w:val="auto"/>
                      <w:sz w:val="21"/>
                      <w:szCs w:val="21"/>
                    </w:rPr>
                  </w:pPr>
                </w:p>
              </w:tc>
              <w:tc>
                <w:tcPr>
                  <w:tcW w:w="280" w:type="pct"/>
                  <w:vMerge w:val="continue"/>
                  <w:vAlign w:val="center"/>
                </w:tcPr>
                <w:p w14:paraId="591D5651">
                  <w:pPr>
                    <w:jc w:val="center"/>
                    <w:rPr>
                      <w:rFonts w:hint="default" w:ascii="Times New Roman" w:hAnsi="Times New Roman" w:eastAsia="仿宋" w:cs="Times New Roman"/>
                      <w:color w:val="auto"/>
                      <w:sz w:val="21"/>
                      <w:szCs w:val="21"/>
                    </w:rPr>
                  </w:pPr>
                </w:p>
              </w:tc>
              <w:tc>
                <w:tcPr>
                  <w:tcW w:w="272" w:type="pct"/>
                  <w:vMerge w:val="continue"/>
                  <w:vAlign w:val="center"/>
                </w:tcPr>
                <w:p w14:paraId="27B277AB">
                  <w:pPr>
                    <w:jc w:val="center"/>
                    <w:rPr>
                      <w:rFonts w:hint="default" w:ascii="Times New Roman" w:hAnsi="Times New Roman" w:eastAsia="仿宋" w:cs="Times New Roman"/>
                      <w:color w:val="auto"/>
                      <w:sz w:val="21"/>
                      <w:szCs w:val="21"/>
                    </w:rPr>
                  </w:pPr>
                </w:p>
              </w:tc>
              <w:tc>
                <w:tcPr>
                  <w:tcW w:w="220" w:type="pct"/>
                  <w:vMerge w:val="continue"/>
                  <w:vAlign w:val="center"/>
                </w:tcPr>
                <w:p w14:paraId="18C681F8">
                  <w:pPr>
                    <w:jc w:val="center"/>
                    <w:rPr>
                      <w:rFonts w:hint="default" w:ascii="Times New Roman" w:hAnsi="Times New Roman" w:eastAsia="仿宋" w:cs="Times New Roman"/>
                      <w:color w:val="auto"/>
                      <w:sz w:val="21"/>
                      <w:szCs w:val="21"/>
                    </w:rPr>
                  </w:pPr>
                </w:p>
              </w:tc>
              <w:tc>
                <w:tcPr>
                  <w:tcW w:w="235" w:type="pct"/>
                  <w:vMerge w:val="continue"/>
                  <w:vAlign w:val="center"/>
                </w:tcPr>
                <w:p w14:paraId="3B03A9C2">
                  <w:pPr>
                    <w:jc w:val="center"/>
                    <w:rPr>
                      <w:rFonts w:hint="default" w:ascii="Times New Roman" w:hAnsi="Times New Roman" w:eastAsia="仿宋" w:cs="Times New Roman"/>
                      <w:color w:val="auto"/>
                      <w:sz w:val="21"/>
                      <w:szCs w:val="21"/>
                    </w:rPr>
                  </w:pPr>
                </w:p>
              </w:tc>
              <w:tc>
                <w:tcPr>
                  <w:tcW w:w="262" w:type="pct"/>
                  <w:vMerge w:val="continue"/>
                  <w:vAlign w:val="center"/>
                </w:tcPr>
                <w:p w14:paraId="1F4D04DF">
                  <w:pPr>
                    <w:jc w:val="center"/>
                    <w:rPr>
                      <w:rFonts w:hint="default" w:ascii="Times New Roman" w:hAnsi="Times New Roman" w:eastAsia="仿宋" w:cs="Times New Roman"/>
                      <w:color w:val="auto"/>
                      <w:sz w:val="21"/>
                      <w:szCs w:val="21"/>
                    </w:rPr>
                  </w:pPr>
                </w:p>
              </w:tc>
            </w:tr>
            <w:tr w14:paraId="623C3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75C91DA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UV点胶装置清洗</w:t>
                  </w:r>
                </w:p>
              </w:tc>
              <w:tc>
                <w:tcPr>
                  <w:tcW w:w="222" w:type="pct"/>
                  <w:vMerge w:val="continue"/>
                  <w:vAlign w:val="center"/>
                </w:tcPr>
                <w:p w14:paraId="4CAAA775">
                  <w:pPr>
                    <w:jc w:val="center"/>
                    <w:rPr>
                      <w:rFonts w:hint="default" w:ascii="Times New Roman" w:hAnsi="Times New Roman" w:eastAsia="仿宋" w:cs="Times New Roman"/>
                      <w:color w:val="auto"/>
                      <w:sz w:val="21"/>
                      <w:szCs w:val="21"/>
                    </w:rPr>
                  </w:pPr>
                </w:p>
              </w:tc>
              <w:tc>
                <w:tcPr>
                  <w:tcW w:w="434" w:type="pct"/>
                  <w:vAlign w:val="center"/>
                </w:tcPr>
                <w:p w14:paraId="4B6D058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4AAD9B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0.117</w:t>
                  </w:r>
                </w:p>
              </w:tc>
              <w:tc>
                <w:tcPr>
                  <w:tcW w:w="306" w:type="pct"/>
                  <w:tcMar>
                    <w:top w:w="0" w:type="dxa"/>
                    <w:left w:w="28" w:type="dxa"/>
                    <w:bottom w:w="0" w:type="dxa"/>
                    <w:right w:w="28" w:type="dxa"/>
                  </w:tcMar>
                  <w:vAlign w:val="center"/>
                </w:tcPr>
                <w:p w14:paraId="6B028488">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62.4</w:t>
                  </w:r>
                </w:p>
              </w:tc>
              <w:tc>
                <w:tcPr>
                  <w:tcW w:w="284" w:type="pct"/>
                  <w:vAlign w:val="center"/>
                </w:tcPr>
                <w:p w14:paraId="41263C98">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1.56</w:t>
                  </w:r>
                </w:p>
              </w:tc>
              <w:tc>
                <w:tcPr>
                  <w:tcW w:w="488" w:type="pct"/>
                  <w:vMerge w:val="continue"/>
                  <w:vAlign w:val="center"/>
                </w:tcPr>
                <w:p w14:paraId="60A72270">
                  <w:pPr>
                    <w:jc w:val="center"/>
                    <w:rPr>
                      <w:rFonts w:hint="default" w:ascii="Times New Roman" w:hAnsi="Times New Roman" w:eastAsia="仿宋" w:cs="Times New Roman"/>
                      <w:color w:val="auto"/>
                      <w:sz w:val="21"/>
                      <w:szCs w:val="21"/>
                    </w:rPr>
                  </w:pPr>
                </w:p>
              </w:tc>
              <w:tc>
                <w:tcPr>
                  <w:tcW w:w="359" w:type="pct"/>
                  <w:vMerge w:val="continue"/>
                  <w:vAlign w:val="center"/>
                </w:tcPr>
                <w:p w14:paraId="23BA6653">
                  <w:pPr>
                    <w:jc w:val="center"/>
                    <w:rPr>
                      <w:rFonts w:hint="default" w:ascii="Times New Roman" w:hAnsi="Times New Roman" w:eastAsia="仿宋" w:cs="Times New Roman"/>
                      <w:color w:val="auto"/>
                      <w:sz w:val="21"/>
                      <w:szCs w:val="21"/>
                    </w:rPr>
                  </w:pPr>
                </w:p>
              </w:tc>
              <w:tc>
                <w:tcPr>
                  <w:tcW w:w="279" w:type="pct"/>
                  <w:vMerge w:val="continue"/>
                  <w:vAlign w:val="center"/>
                </w:tcPr>
                <w:p w14:paraId="1846E58C">
                  <w:pPr>
                    <w:jc w:val="center"/>
                    <w:rPr>
                      <w:rFonts w:hint="default" w:ascii="Times New Roman" w:hAnsi="Times New Roman" w:eastAsia="仿宋" w:cs="Times New Roman"/>
                      <w:color w:val="auto"/>
                      <w:sz w:val="21"/>
                      <w:szCs w:val="21"/>
                    </w:rPr>
                  </w:pPr>
                </w:p>
              </w:tc>
              <w:tc>
                <w:tcPr>
                  <w:tcW w:w="280" w:type="pct"/>
                  <w:vMerge w:val="continue"/>
                  <w:vAlign w:val="center"/>
                </w:tcPr>
                <w:p w14:paraId="7AD9776F">
                  <w:pPr>
                    <w:jc w:val="center"/>
                    <w:rPr>
                      <w:rFonts w:hint="default" w:ascii="Times New Roman" w:hAnsi="Times New Roman" w:eastAsia="仿宋" w:cs="Times New Roman"/>
                      <w:color w:val="auto"/>
                      <w:sz w:val="21"/>
                      <w:szCs w:val="21"/>
                    </w:rPr>
                  </w:pPr>
                </w:p>
              </w:tc>
              <w:tc>
                <w:tcPr>
                  <w:tcW w:w="246" w:type="pct"/>
                  <w:vMerge w:val="continue"/>
                  <w:vAlign w:val="center"/>
                </w:tcPr>
                <w:p w14:paraId="16AE769F">
                  <w:pPr>
                    <w:jc w:val="center"/>
                    <w:rPr>
                      <w:rFonts w:hint="default" w:ascii="Times New Roman" w:hAnsi="Times New Roman" w:eastAsia="仿宋" w:cs="Times New Roman"/>
                      <w:color w:val="auto"/>
                      <w:sz w:val="21"/>
                      <w:szCs w:val="21"/>
                    </w:rPr>
                  </w:pPr>
                </w:p>
              </w:tc>
              <w:tc>
                <w:tcPr>
                  <w:tcW w:w="280" w:type="pct"/>
                  <w:vMerge w:val="continue"/>
                  <w:vAlign w:val="center"/>
                </w:tcPr>
                <w:p w14:paraId="0E0E555A">
                  <w:pPr>
                    <w:jc w:val="center"/>
                    <w:rPr>
                      <w:rFonts w:hint="default" w:ascii="Times New Roman" w:hAnsi="Times New Roman" w:eastAsia="仿宋" w:cs="Times New Roman"/>
                      <w:color w:val="auto"/>
                      <w:sz w:val="21"/>
                      <w:szCs w:val="21"/>
                    </w:rPr>
                  </w:pPr>
                </w:p>
              </w:tc>
              <w:tc>
                <w:tcPr>
                  <w:tcW w:w="272" w:type="pct"/>
                  <w:vMerge w:val="continue"/>
                  <w:vAlign w:val="center"/>
                </w:tcPr>
                <w:p w14:paraId="2F050381">
                  <w:pPr>
                    <w:jc w:val="center"/>
                    <w:rPr>
                      <w:rFonts w:hint="default" w:ascii="Times New Roman" w:hAnsi="Times New Roman" w:eastAsia="仿宋" w:cs="Times New Roman"/>
                      <w:color w:val="auto"/>
                      <w:sz w:val="21"/>
                      <w:szCs w:val="21"/>
                    </w:rPr>
                  </w:pPr>
                </w:p>
              </w:tc>
              <w:tc>
                <w:tcPr>
                  <w:tcW w:w="220" w:type="pct"/>
                  <w:vMerge w:val="continue"/>
                  <w:vAlign w:val="center"/>
                </w:tcPr>
                <w:p w14:paraId="5C692AE5">
                  <w:pPr>
                    <w:jc w:val="center"/>
                    <w:rPr>
                      <w:rFonts w:hint="default" w:ascii="Times New Roman" w:hAnsi="Times New Roman" w:eastAsia="仿宋" w:cs="Times New Roman"/>
                      <w:color w:val="auto"/>
                      <w:sz w:val="21"/>
                      <w:szCs w:val="21"/>
                    </w:rPr>
                  </w:pPr>
                </w:p>
              </w:tc>
              <w:tc>
                <w:tcPr>
                  <w:tcW w:w="235" w:type="pct"/>
                  <w:vMerge w:val="continue"/>
                  <w:vAlign w:val="center"/>
                </w:tcPr>
                <w:p w14:paraId="61E85435">
                  <w:pPr>
                    <w:jc w:val="center"/>
                    <w:rPr>
                      <w:rFonts w:hint="default" w:ascii="Times New Roman" w:hAnsi="Times New Roman" w:eastAsia="仿宋" w:cs="Times New Roman"/>
                      <w:color w:val="auto"/>
                      <w:sz w:val="21"/>
                      <w:szCs w:val="21"/>
                    </w:rPr>
                  </w:pPr>
                </w:p>
              </w:tc>
              <w:tc>
                <w:tcPr>
                  <w:tcW w:w="262" w:type="pct"/>
                  <w:vMerge w:val="continue"/>
                  <w:vAlign w:val="center"/>
                </w:tcPr>
                <w:p w14:paraId="06994F9D">
                  <w:pPr>
                    <w:jc w:val="center"/>
                    <w:rPr>
                      <w:rFonts w:hint="default" w:ascii="Times New Roman" w:hAnsi="Times New Roman" w:eastAsia="仿宋" w:cs="Times New Roman"/>
                      <w:color w:val="auto"/>
                      <w:sz w:val="21"/>
                      <w:szCs w:val="21"/>
                    </w:rPr>
                  </w:pPr>
                </w:p>
              </w:tc>
            </w:tr>
            <w:tr w14:paraId="3718C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233FB7C5">
                  <w:pPr>
                    <w:jc w:val="center"/>
                    <w:rPr>
                      <w:rFonts w:hint="default" w:ascii="Times New Roman" w:hAnsi="Times New Roman" w:eastAsia="仿宋" w:cs="Times New Roman"/>
                      <w:color w:val="auto"/>
                      <w:sz w:val="21"/>
                      <w:szCs w:val="21"/>
                    </w:rPr>
                  </w:pPr>
                </w:p>
              </w:tc>
              <w:tc>
                <w:tcPr>
                  <w:tcW w:w="222" w:type="pct"/>
                  <w:vMerge w:val="continue"/>
                  <w:vAlign w:val="center"/>
                </w:tcPr>
                <w:p w14:paraId="155A679A">
                  <w:pPr>
                    <w:jc w:val="center"/>
                    <w:rPr>
                      <w:rFonts w:hint="default" w:ascii="Times New Roman" w:hAnsi="Times New Roman" w:eastAsia="仿宋" w:cs="Times New Roman"/>
                      <w:color w:val="auto"/>
                      <w:sz w:val="21"/>
                      <w:szCs w:val="21"/>
                    </w:rPr>
                  </w:pPr>
                </w:p>
              </w:tc>
              <w:tc>
                <w:tcPr>
                  <w:tcW w:w="434" w:type="pct"/>
                  <w:vAlign w:val="center"/>
                </w:tcPr>
                <w:p w14:paraId="2AF26EB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TVOC</w:t>
                  </w:r>
                </w:p>
              </w:tc>
              <w:tc>
                <w:tcPr>
                  <w:tcW w:w="379" w:type="pct"/>
                  <w:tcMar>
                    <w:top w:w="0" w:type="dxa"/>
                    <w:left w:w="28" w:type="dxa"/>
                    <w:bottom w:w="0" w:type="dxa"/>
                    <w:right w:w="28" w:type="dxa"/>
                  </w:tcMar>
                  <w:vAlign w:val="center"/>
                </w:tcPr>
                <w:p w14:paraId="14A6DC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0.117</w:t>
                  </w:r>
                </w:p>
              </w:tc>
              <w:tc>
                <w:tcPr>
                  <w:tcW w:w="306" w:type="pct"/>
                  <w:tcMar>
                    <w:top w:w="0" w:type="dxa"/>
                    <w:left w:w="28" w:type="dxa"/>
                    <w:bottom w:w="0" w:type="dxa"/>
                    <w:right w:w="28" w:type="dxa"/>
                  </w:tcMar>
                  <w:vAlign w:val="center"/>
                </w:tcPr>
                <w:p w14:paraId="76681B45">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62.4</w:t>
                  </w:r>
                </w:p>
              </w:tc>
              <w:tc>
                <w:tcPr>
                  <w:tcW w:w="284" w:type="pct"/>
                  <w:vAlign w:val="center"/>
                </w:tcPr>
                <w:p w14:paraId="11CF6737">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1.56</w:t>
                  </w:r>
                </w:p>
              </w:tc>
              <w:tc>
                <w:tcPr>
                  <w:tcW w:w="488" w:type="pct"/>
                  <w:vMerge w:val="continue"/>
                  <w:vAlign w:val="center"/>
                </w:tcPr>
                <w:p w14:paraId="276FFD95">
                  <w:pPr>
                    <w:jc w:val="center"/>
                    <w:rPr>
                      <w:rFonts w:hint="default" w:ascii="Times New Roman" w:hAnsi="Times New Roman" w:eastAsia="仿宋" w:cs="Times New Roman"/>
                      <w:color w:val="auto"/>
                      <w:sz w:val="21"/>
                      <w:szCs w:val="21"/>
                    </w:rPr>
                  </w:pPr>
                </w:p>
              </w:tc>
              <w:tc>
                <w:tcPr>
                  <w:tcW w:w="359" w:type="pct"/>
                  <w:vMerge w:val="continue"/>
                  <w:vAlign w:val="center"/>
                </w:tcPr>
                <w:p w14:paraId="0E035A69">
                  <w:pPr>
                    <w:jc w:val="center"/>
                    <w:rPr>
                      <w:rFonts w:hint="default" w:ascii="Times New Roman" w:hAnsi="Times New Roman" w:eastAsia="仿宋" w:cs="Times New Roman"/>
                      <w:color w:val="auto"/>
                      <w:sz w:val="21"/>
                      <w:szCs w:val="21"/>
                    </w:rPr>
                  </w:pPr>
                </w:p>
              </w:tc>
              <w:tc>
                <w:tcPr>
                  <w:tcW w:w="279" w:type="pct"/>
                  <w:vMerge w:val="continue"/>
                  <w:vAlign w:val="center"/>
                </w:tcPr>
                <w:p w14:paraId="51D7E186">
                  <w:pPr>
                    <w:jc w:val="center"/>
                    <w:rPr>
                      <w:rFonts w:hint="default" w:ascii="Times New Roman" w:hAnsi="Times New Roman" w:eastAsia="仿宋" w:cs="Times New Roman"/>
                      <w:color w:val="auto"/>
                      <w:sz w:val="21"/>
                      <w:szCs w:val="21"/>
                    </w:rPr>
                  </w:pPr>
                </w:p>
              </w:tc>
              <w:tc>
                <w:tcPr>
                  <w:tcW w:w="280" w:type="pct"/>
                  <w:vMerge w:val="continue"/>
                  <w:vAlign w:val="center"/>
                </w:tcPr>
                <w:p w14:paraId="72D6108D">
                  <w:pPr>
                    <w:jc w:val="center"/>
                    <w:rPr>
                      <w:rFonts w:hint="default" w:ascii="Times New Roman" w:hAnsi="Times New Roman" w:eastAsia="仿宋" w:cs="Times New Roman"/>
                      <w:color w:val="auto"/>
                      <w:sz w:val="21"/>
                      <w:szCs w:val="21"/>
                    </w:rPr>
                  </w:pPr>
                </w:p>
              </w:tc>
              <w:tc>
                <w:tcPr>
                  <w:tcW w:w="246" w:type="pct"/>
                  <w:vMerge w:val="continue"/>
                  <w:vAlign w:val="center"/>
                </w:tcPr>
                <w:p w14:paraId="25D19C5B">
                  <w:pPr>
                    <w:jc w:val="center"/>
                    <w:rPr>
                      <w:rFonts w:hint="default" w:ascii="Times New Roman" w:hAnsi="Times New Roman" w:eastAsia="仿宋" w:cs="Times New Roman"/>
                      <w:color w:val="auto"/>
                      <w:sz w:val="21"/>
                      <w:szCs w:val="21"/>
                    </w:rPr>
                  </w:pPr>
                </w:p>
              </w:tc>
              <w:tc>
                <w:tcPr>
                  <w:tcW w:w="280" w:type="pct"/>
                  <w:vMerge w:val="continue"/>
                  <w:vAlign w:val="center"/>
                </w:tcPr>
                <w:p w14:paraId="0ACA0DAD">
                  <w:pPr>
                    <w:jc w:val="center"/>
                    <w:rPr>
                      <w:rFonts w:hint="default" w:ascii="Times New Roman" w:hAnsi="Times New Roman" w:eastAsia="仿宋" w:cs="Times New Roman"/>
                      <w:color w:val="auto"/>
                      <w:sz w:val="21"/>
                      <w:szCs w:val="21"/>
                    </w:rPr>
                  </w:pPr>
                </w:p>
              </w:tc>
              <w:tc>
                <w:tcPr>
                  <w:tcW w:w="272" w:type="pct"/>
                  <w:vMerge w:val="continue"/>
                  <w:vAlign w:val="center"/>
                </w:tcPr>
                <w:p w14:paraId="42515BF7">
                  <w:pPr>
                    <w:jc w:val="center"/>
                    <w:rPr>
                      <w:rFonts w:hint="default" w:ascii="Times New Roman" w:hAnsi="Times New Roman" w:eastAsia="仿宋" w:cs="Times New Roman"/>
                      <w:color w:val="auto"/>
                      <w:sz w:val="21"/>
                      <w:szCs w:val="21"/>
                    </w:rPr>
                  </w:pPr>
                </w:p>
              </w:tc>
              <w:tc>
                <w:tcPr>
                  <w:tcW w:w="220" w:type="pct"/>
                  <w:vMerge w:val="continue"/>
                  <w:vAlign w:val="center"/>
                </w:tcPr>
                <w:p w14:paraId="147BA68E">
                  <w:pPr>
                    <w:jc w:val="center"/>
                    <w:rPr>
                      <w:rFonts w:hint="default" w:ascii="Times New Roman" w:hAnsi="Times New Roman" w:eastAsia="仿宋" w:cs="Times New Roman"/>
                      <w:color w:val="auto"/>
                      <w:sz w:val="21"/>
                      <w:szCs w:val="21"/>
                    </w:rPr>
                  </w:pPr>
                </w:p>
              </w:tc>
              <w:tc>
                <w:tcPr>
                  <w:tcW w:w="235" w:type="pct"/>
                  <w:vMerge w:val="continue"/>
                  <w:vAlign w:val="center"/>
                </w:tcPr>
                <w:p w14:paraId="53BB1B16">
                  <w:pPr>
                    <w:jc w:val="center"/>
                    <w:rPr>
                      <w:rFonts w:hint="default" w:ascii="Times New Roman" w:hAnsi="Times New Roman" w:eastAsia="仿宋" w:cs="Times New Roman"/>
                      <w:color w:val="auto"/>
                      <w:sz w:val="21"/>
                      <w:szCs w:val="21"/>
                    </w:rPr>
                  </w:pPr>
                </w:p>
              </w:tc>
              <w:tc>
                <w:tcPr>
                  <w:tcW w:w="262" w:type="pct"/>
                  <w:vMerge w:val="continue"/>
                  <w:vAlign w:val="center"/>
                </w:tcPr>
                <w:p w14:paraId="794315E9">
                  <w:pPr>
                    <w:jc w:val="center"/>
                    <w:rPr>
                      <w:rFonts w:hint="default" w:ascii="Times New Roman" w:hAnsi="Times New Roman" w:eastAsia="仿宋" w:cs="Times New Roman"/>
                      <w:color w:val="auto"/>
                      <w:sz w:val="21"/>
                      <w:szCs w:val="21"/>
                    </w:rPr>
                  </w:pPr>
                </w:p>
              </w:tc>
            </w:tr>
            <w:tr w14:paraId="637AF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Align w:val="center"/>
                </w:tcPr>
                <w:p w14:paraId="40FDC31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稳定</w:t>
                  </w:r>
                </w:p>
              </w:tc>
              <w:tc>
                <w:tcPr>
                  <w:tcW w:w="222" w:type="pct"/>
                  <w:vAlign w:val="center"/>
                </w:tcPr>
                <w:p w14:paraId="6BA986A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1500</w:t>
                  </w:r>
                </w:p>
              </w:tc>
              <w:tc>
                <w:tcPr>
                  <w:tcW w:w="434" w:type="pct"/>
                  <w:vAlign w:val="center"/>
                </w:tcPr>
                <w:p w14:paraId="2361CFA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379" w:type="pct"/>
                  <w:tcMar>
                    <w:top w:w="0" w:type="dxa"/>
                    <w:left w:w="28" w:type="dxa"/>
                    <w:bottom w:w="0" w:type="dxa"/>
                    <w:right w:w="28" w:type="dxa"/>
                  </w:tcMar>
                  <w:vAlign w:val="center"/>
                </w:tcPr>
                <w:p w14:paraId="6FE0D38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0.162</w:t>
                  </w:r>
                </w:p>
              </w:tc>
              <w:tc>
                <w:tcPr>
                  <w:tcW w:w="306" w:type="pct"/>
                  <w:tcMar>
                    <w:top w:w="0" w:type="dxa"/>
                    <w:left w:w="28" w:type="dxa"/>
                    <w:bottom w:w="0" w:type="dxa"/>
                    <w:right w:w="28" w:type="dxa"/>
                  </w:tcMar>
                  <w:vAlign w:val="center"/>
                </w:tcPr>
                <w:p w14:paraId="28F9BA2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22.5</w:t>
                  </w:r>
                </w:p>
              </w:tc>
              <w:tc>
                <w:tcPr>
                  <w:tcW w:w="284" w:type="pct"/>
                  <w:vAlign w:val="center"/>
                </w:tcPr>
                <w:p w14:paraId="53AF1A5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0.034</w:t>
                  </w:r>
                </w:p>
              </w:tc>
              <w:tc>
                <w:tcPr>
                  <w:tcW w:w="488" w:type="pct"/>
                  <w:vAlign w:val="center"/>
                </w:tcPr>
                <w:p w14:paraId="744248F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2#干式过滤+油雾过滤+2#</w:t>
                  </w:r>
                  <w:r>
                    <w:rPr>
                      <w:rFonts w:hint="default" w:ascii="Times New Roman" w:hAnsi="Times New Roman" w:eastAsia="仿宋" w:cs="Times New Roman"/>
                      <w:color w:val="auto"/>
                      <w:sz w:val="21"/>
                      <w:szCs w:val="21"/>
                      <w:lang w:eastAsia="zh-CN"/>
                    </w:rPr>
                    <w:t>两级活性炭</w:t>
                  </w:r>
                  <w:r>
                    <w:rPr>
                      <w:rFonts w:hint="default" w:ascii="Times New Roman" w:hAnsi="Times New Roman" w:eastAsia="仿宋" w:cs="Times New Roman"/>
                      <w:color w:val="auto"/>
                      <w:sz w:val="21"/>
                      <w:szCs w:val="21"/>
                    </w:rPr>
                    <w:t>吸附装置</w:t>
                  </w:r>
                </w:p>
              </w:tc>
              <w:tc>
                <w:tcPr>
                  <w:tcW w:w="359" w:type="pct"/>
                  <w:vAlign w:val="center"/>
                </w:tcPr>
                <w:p w14:paraId="79817F1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279" w:type="pct"/>
                  <w:vAlign w:val="center"/>
                </w:tcPr>
                <w:p w14:paraId="660868F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280" w:type="pct"/>
                  <w:vAlign w:val="center"/>
                </w:tcPr>
                <w:p w14:paraId="2636936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0.016</w:t>
                  </w:r>
                </w:p>
              </w:tc>
              <w:tc>
                <w:tcPr>
                  <w:tcW w:w="246" w:type="pct"/>
                  <w:vAlign w:val="center"/>
                </w:tcPr>
                <w:p w14:paraId="68150B8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2.25</w:t>
                  </w:r>
                </w:p>
              </w:tc>
              <w:tc>
                <w:tcPr>
                  <w:tcW w:w="280" w:type="pct"/>
                  <w:vAlign w:val="center"/>
                </w:tcPr>
                <w:p w14:paraId="10A7D42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0.003</w:t>
                  </w:r>
                </w:p>
              </w:tc>
              <w:tc>
                <w:tcPr>
                  <w:tcW w:w="272" w:type="pct"/>
                  <w:vAlign w:val="center"/>
                </w:tcPr>
                <w:p w14:paraId="5FECED0C">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60</w:t>
                  </w:r>
                </w:p>
              </w:tc>
              <w:tc>
                <w:tcPr>
                  <w:tcW w:w="220" w:type="pct"/>
                  <w:vAlign w:val="center"/>
                </w:tcPr>
                <w:p w14:paraId="70D13DD0">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235" w:type="pct"/>
                  <w:vAlign w:val="center"/>
                </w:tcPr>
                <w:p w14:paraId="2076BB7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2#排气筒</w:t>
                  </w:r>
                </w:p>
              </w:tc>
              <w:tc>
                <w:tcPr>
                  <w:tcW w:w="262" w:type="pct"/>
                  <w:vAlign w:val="center"/>
                </w:tcPr>
                <w:p w14:paraId="175B35C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4800h，间断</w:t>
                  </w:r>
                </w:p>
              </w:tc>
            </w:tr>
            <w:tr w14:paraId="3EB94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6C7A1C3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酸洗、防氧化、危废仓库</w:t>
                  </w:r>
                </w:p>
              </w:tc>
              <w:tc>
                <w:tcPr>
                  <w:tcW w:w="222" w:type="pct"/>
                  <w:vMerge w:val="restart"/>
                  <w:vAlign w:val="center"/>
                </w:tcPr>
                <w:p w14:paraId="62D486D8">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6000</w:t>
                  </w:r>
                </w:p>
              </w:tc>
              <w:tc>
                <w:tcPr>
                  <w:tcW w:w="434" w:type="pct"/>
                  <w:vAlign w:val="center"/>
                </w:tcPr>
                <w:p w14:paraId="693AA741">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非甲烷总烃</w:t>
                  </w:r>
                </w:p>
              </w:tc>
              <w:tc>
                <w:tcPr>
                  <w:tcW w:w="379" w:type="pct"/>
                  <w:tcMar>
                    <w:top w:w="0" w:type="dxa"/>
                    <w:left w:w="28" w:type="dxa"/>
                    <w:bottom w:w="0" w:type="dxa"/>
                    <w:right w:w="28" w:type="dxa"/>
                  </w:tcMar>
                  <w:vAlign w:val="center"/>
                </w:tcPr>
                <w:p w14:paraId="624BDC09">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0.705</w:t>
                  </w:r>
                </w:p>
              </w:tc>
              <w:tc>
                <w:tcPr>
                  <w:tcW w:w="306" w:type="pct"/>
                  <w:tcMar>
                    <w:top w:w="0" w:type="dxa"/>
                    <w:left w:w="28" w:type="dxa"/>
                    <w:bottom w:w="0" w:type="dxa"/>
                    <w:right w:w="28" w:type="dxa"/>
                  </w:tcMar>
                  <w:vAlign w:val="center"/>
                </w:tcPr>
                <w:p w14:paraId="2DFA902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24.5</w:t>
                  </w:r>
                </w:p>
              </w:tc>
              <w:tc>
                <w:tcPr>
                  <w:tcW w:w="284" w:type="pct"/>
                  <w:vAlign w:val="center"/>
                </w:tcPr>
                <w:p w14:paraId="4E7B463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0.147</w:t>
                  </w:r>
                </w:p>
              </w:tc>
              <w:tc>
                <w:tcPr>
                  <w:tcW w:w="488" w:type="pct"/>
                  <w:vMerge w:val="restart"/>
                  <w:vAlign w:val="center"/>
                </w:tcPr>
                <w:p w14:paraId="3FADB1A1">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碱液喷淋塔</w:t>
                  </w:r>
                  <w:r>
                    <w:rPr>
                      <w:rFonts w:hint="default" w:ascii="Times New Roman" w:hAnsi="Times New Roman" w:eastAsia="仿宋" w:cs="Times New Roman"/>
                      <w:color w:val="FF0000"/>
                      <w:sz w:val="21"/>
                      <w:szCs w:val="21"/>
                      <w:highlight w:val="none"/>
                      <w:lang w:eastAsia="zh-CN"/>
                    </w:rPr>
                    <w:t>（</w:t>
                  </w:r>
                  <w:r>
                    <w:rPr>
                      <w:rFonts w:hint="default" w:ascii="Times New Roman" w:hAnsi="Times New Roman" w:eastAsia="仿宋" w:cs="Times New Roman"/>
                      <w:color w:val="FF0000"/>
                      <w:sz w:val="21"/>
                      <w:szCs w:val="21"/>
                      <w:highlight w:val="none"/>
                      <w:lang w:val="en-US" w:eastAsia="zh-CN"/>
                    </w:rPr>
                    <w:t>含吸水填料</w:t>
                  </w:r>
                  <w:r>
                    <w:rPr>
                      <w:rFonts w:hint="default" w:ascii="Times New Roman" w:hAnsi="Times New Roman" w:eastAsia="仿宋" w:cs="Times New Roman"/>
                      <w:color w:val="FF0000"/>
                      <w:sz w:val="21"/>
                      <w:szCs w:val="21"/>
                      <w:highlight w:val="none"/>
                      <w:lang w:eastAsia="zh-CN"/>
                    </w:rPr>
                    <w:t>）</w:t>
                  </w:r>
                  <w:r>
                    <w:rPr>
                      <w:rFonts w:hint="default" w:ascii="Times New Roman" w:hAnsi="Times New Roman" w:eastAsia="仿宋" w:cs="Times New Roman"/>
                      <w:color w:val="auto"/>
                      <w:sz w:val="21"/>
                      <w:szCs w:val="21"/>
                      <w:highlight w:val="none"/>
                    </w:rPr>
                    <w:t>+3#</w:t>
                  </w:r>
                  <w:r>
                    <w:rPr>
                      <w:rFonts w:hint="default" w:ascii="Times New Roman" w:hAnsi="Times New Roman" w:eastAsia="仿宋" w:cs="Times New Roman"/>
                      <w:color w:val="auto"/>
                      <w:sz w:val="21"/>
                      <w:szCs w:val="21"/>
                      <w:highlight w:val="none"/>
                      <w:lang w:eastAsia="zh-CN"/>
                    </w:rPr>
                    <w:t>两级活性炭</w:t>
                  </w:r>
                  <w:r>
                    <w:rPr>
                      <w:rFonts w:hint="default" w:ascii="Times New Roman" w:hAnsi="Times New Roman" w:eastAsia="仿宋" w:cs="Times New Roman"/>
                      <w:color w:val="auto"/>
                      <w:sz w:val="21"/>
                      <w:szCs w:val="21"/>
                      <w:highlight w:val="none"/>
                    </w:rPr>
                    <w:t>吸附装置</w:t>
                  </w:r>
                </w:p>
              </w:tc>
              <w:tc>
                <w:tcPr>
                  <w:tcW w:w="359" w:type="pct"/>
                  <w:vMerge w:val="restart"/>
                  <w:vAlign w:val="center"/>
                </w:tcPr>
                <w:p w14:paraId="51F6F59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硫酸雾</w:t>
                  </w:r>
                </w:p>
              </w:tc>
              <w:tc>
                <w:tcPr>
                  <w:tcW w:w="279" w:type="pct"/>
                  <w:vMerge w:val="restart"/>
                  <w:vAlign w:val="center"/>
                </w:tcPr>
                <w:p w14:paraId="6A12036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75</w:t>
                  </w:r>
                </w:p>
              </w:tc>
              <w:tc>
                <w:tcPr>
                  <w:tcW w:w="280" w:type="pct"/>
                  <w:vMerge w:val="restart"/>
                  <w:vAlign w:val="center"/>
                </w:tcPr>
                <w:p w14:paraId="7B9AA3A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0.054</w:t>
                  </w:r>
                </w:p>
              </w:tc>
              <w:tc>
                <w:tcPr>
                  <w:tcW w:w="246" w:type="pct"/>
                  <w:vMerge w:val="restart"/>
                  <w:vAlign w:val="center"/>
                </w:tcPr>
                <w:p w14:paraId="43FD7D1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1.89</w:t>
                  </w:r>
                </w:p>
              </w:tc>
              <w:tc>
                <w:tcPr>
                  <w:tcW w:w="280" w:type="pct"/>
                  <w:vMerge w:val="restart"/>
                  <w:vAlign w:val="center"/>
                </w:tcPr>
                <w:p w14:paraId="731419D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0.011</w:t>
                  </w:r>
                </w:p>
              </w:tc>
              <w:tc>
                <w:tcPr>
                  <w:tcW w:w="272" w:type="pct"/>
                  <w:vMerge w:val="restart"/>
                  <w:vAlign w:val="center"/>
                </w:tcPr>
                <w:p w14:paraId="7706C6B4">
                  <w:pPr>
                    <w:widowControl/>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5</w:t>
                  </w:r>
                </w:p>
              </w:tc>
              <w:tc>
                <w:tcPr>
                  <w:tcW w:w="220" w:type="pct"/>
                  <w:vMerge w:val="restart"/>
                  <w:vAlign w:val="center"/>
                </w:tcPr>
                <w:p w14:paraId="560C8BEE">
                  <w:pPr>
                    <w:widowControl/>
                    <w:jc w:val="center"/>
                    <w:textAlignment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kern w:val="0"/>
                      <w:sz w:val="21"/>
                      <w:szCs w:val="21"/>
                      <w:highlight w:val="none"/>
                      <w:lang w:bidi="ar"/>
                    </w:rPr>
                    <w:t>1.1</w:t>
                  </w:r>
                </w:p>
              </w:tc>
              <w:tc>
                <w:tcPr>
                  <w:tcW w:w="235" w:type="pct"/>
                  <w:vMerge w:val="restart"/>
                  <w:vAlign w:val="center"/>
                </w:tcPr>
                <w:p w14:paraId="202F19D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3#排气筒</w:t>
                  </w:r>
                </w:p>
              </w:tc>
              <w:tc>
                <w:tcPr>
                  <w:tcW w:w="262" w:type="pct"/>
                  <w:vMerge w:val="restart"/>
                  <w:vAlign w:val="center"/>
                </w:tcPr>
                <w:p w14:paraId="7816153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4800h，间断</w:t>
                  </w:r>
                </w:p>
              </w:tc>
            </w:tr>
            <w:tr w14:paraId="66409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681BBFBB">
                  <w:pPr>
                    <w:jc w:val="center"/>
                    <w:rPr>
                      <w:rFonts w:hint="default" w:ascii="Times New Roman" w:hAnsi="Times New Roman" w:eastAsia="仿宋" w:cs="Times New Roman"/>
                      <w:color w:val="auto"/>
                      <w:sz w:val="21"/>
                      <w:szCs w:val="21"/>
                      <w:highlight w:val="none"/>
                    </w:rPr>
                  </w:pPr>
                </w:p>
              </w:tc>
              <w:tc>
                <w:tcPr>
                  <w:tcW w:w="222" w:type="pct"/>
                  <w:vMerge w:val="continue"/>
                  <w:vAlign w:val="center"/>
                </w:tcPr>
                <w:p w14:paraId="4A0B0F08">
                  <w:pPr>
                    <w:jc w:val="center"/>
                    <w:rPr>
                      <w:rFonts w:hint="default" w:ascii="Times New Roman" w:hAnsi="Times New Roman" w:eastAsia="仿宋" w:cs="Times New Roman"/>
                      <w:color w:val="auto"/>
                      <w:sz w:val="21"/>
                      <w:szCs w:val="21"/>
                      <w:highlight w:val="none"/>
                    </w:rPr>
                  </w:pPr>
                </w:p>
              </w:tc>
              <w:tc>
                <w:tcPr>
                  <w:tcW w:w="434" w:type="pct"/>
                  <w:vAlign w:val="center"/>
                </w:tcPr>
                <w:p w14:paraId="62F7CA3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硫酸雾</w:t>
                  </w:r>
                </w:p>
              </w:tc>
              <w:tc>
                <w:tcPr>
                  <w:tcW w:w="379" w:type="pct"/>
                  <w:tcMar>
                    <w:top w:w="0" w:type="dxa"/>
                    <w:left w:w="28" w:type="dxa"/>
                    <w:bottom w:w="0" w:type="dxa"/>
                    <w:right w:w="28" w:type="dxa"/>
                  </w:tcMar>
                  <w:vAlign w:val="center"/>
                </w:tcPr>
                <w:p w14:paraId="775598DA">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0.218</w:t>
                  </w:r>
                </w:p>
              </w:tc>
              <w:tc>
                <w:tcPr>
                  <w:tcW w:w="306" w:type="pct"/>
                  <w:tcMar>
                    <w:top w:w="0" w:type="dxa"/>
                    <w:left w:w="28" w:type="dxa"/>
                    <w:bottom w:w="0" w:type="dxa"/>
                    <w:right w:w="28" w:type="dxa"/>
                  </w:tcMar>
                  <w:vAlign w:val="center"/>
                </w:tcPr>
                <w:p w14:paraId="60836464">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7.57</w:t>
                  </w:r>
                </w:p>
              </w:tc>
              <w:tc>
                <w:tcPr>
                  <w:tcW w:w="284" w:type="pct"/>
                  <w:vAlign w:val="center"/>
                </w:tcPr>
                <w:p w14:paraId="76BF09D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0.045</w:t>
                  </w:r>
                </w:p>
              </w:tc>
              <w:tc>
                <w:tcPr>
                  <w:tcW w:w="488" w:type="pct"/>
                  <w:vMerge w:val="continue"/>
                  <w:vAlign w:val="center"/>
                </w:tcPr>
                <w:p w14:paraId="66B5AE66">
                  <w:pPr>
                    <w:jc w:val="center"/>
                    <w:rPr>
                      <w:rFonts w:hint="default" w:ascii="Times New Roman" w:hAnsi="Times New Roman" w:eastAsia="仿宋" w:cs="Times New Roman"/>
                      <w:color w:val="auto"/>
                      <w:sz w:val="21"/>
                      <w:szCs w:val="21"/>
                      <w:highlight w:val="none"/>
                    </w:rPr>
                  </w:pPr>
                </w:p>
              </w:tc>
              <w:tc>
                <w:tcPr>
                  <w:tcW w:w="359" w:type="pct"/>
                  <w:vMerge w:val="continue"/>
                  <w:vAlign w:val="center"/>
                </w:tcPr>
                <w:p w14:paraId="1AB21FEF">
                  <w:pPr>
                    <w:jc w:val="center"/>
                    <w:rPr>
                      <w:rFonts w:hint="default" w:ascii="Times New Roman" w:hAnsi="Times New Roman" w:eastAsia="仿宋" w:cs="Times New Roman"/>
                      <w:color w:val="auto"/>
                      <w:sz w:val="21"/>
                      <w:szCs w:val="21"/>
                      <w:highlight w:val="none"/>
                    </w:rPr>
                  </w:pPr>
                </w:p>
              </w:tc>
              <w:tc>
                <w:tcPr>
                  <w:tcW w:w="279" w:type="pct"/>
                  <w:vMerge w:val="continue"/>
                  <w:vAlign w:val="center"/>
                </w:tcPr>
                <w:p w14:paraId="38C6E9C0">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002913F3">
                  <w:pPr>
                    <w:jc w:val="center"/>
                    <w:rPr>
                      <w:rFonts w:hint="default" w:ascii="Times New Roman" w:hAnsi="Times New Roman" w:eastAsia="仿宋" w:cs="Times New Roman"/>
                      <w:color w:val="auto"/>
                      <w:sz w:val="21"/>
                      <w:szCs w:val="21"/>
                      <w:highlight w:val="none"/>
                    </w:rPr>
                  </w:pPr>
                </w:p>
              </w:tc>
              <w:tc>
                <w:tcPr>
                  <w:tcW w:w="246" w:type="pct"/>
                  <w:vMerge w:val="continue"/>
                  <w:vAlign w:val="center"/>
                </w:tcPr>
                <w:p w14:paraId="52C64B07">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538318FB">
                  <w:pPr>
                    <w:jc w:val="center"/>
                    <w:rPr>
                      <w:rFonts w:hint="default" w:ascii="Times New Roman" w:hAnsi="Times New Roman" w:eastAsia="仿宋" w:cs="Times New Roman"/>
                      <w:color w:val="auto"/>
                      <w:sz w:val="21"/>
                      <w:szCs w:val="21"/>
                      <w:highlight w:val="none"/>
                    </w:rPr>
                  </w:pPr>
                </w:p>
              </w:tc>
              <w:tc>
                <w:tcPr>
                  <w:tcW w:w="272" w:type="pct"/>
                  <w:vMerge w:val="continue"/>
                  <w:vAlign w:val="center"/>
                </w:tcPr>
                <w:p w14:paraId="0F1C2625">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20" w:type="pct"/>
                  <w:vMerge w:val="continue"/>
                  <w:vAlign w:val="center"/>
                </w:tcPr>
                <w:p w14:paraId="2A446D41">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35" w:type="pct"/>
                  <w:vMerge w:val="continue"/>
                  <w:vAlign w:val="center"/>
                </w:tcPr>
                <w:p w14:paraId="335083CE">
                  <w:pPr>
                    <w:jc w:val="center"/>
                    <w:rPr>
                      <w:rFonts w:hint="default" w:ascii="Times New Roman" w:hAnsi="Times New Roman" w:eastAsia="仿宋" w:cs="Times New Roman"/>
                      <w:color w:val="auto"/>
                      <w:sz w:val="21"/>
                      <w:szCs w:val="21"/>
                      <w:highlight w:val="none"/>
                    </w:rPr>
                  </w:pPr>
                </w:p>
              </w:tc>
              <w:tc>
                <w:tcPr>
                  <w:tcW w:w="262" w:type="pct"/>
                  <w:vMerge w:val="continue"/>
                  <w:vAlign w:val="center"/>
                </w:tcPr>
                <w:p w14:paraId="681A6E44">
                  <w:pPr>
                    <w:jc w:val="center"/>
                    <w:rPr>
                      <w:rFonts w:hint="default" w:ascii="Times New Roman" w:hAnsi="Times New Roman" w:eastAsia="仿宋" w:cs="Times New Roman"/>
                      <w:color w:val="auto"/>
                      <w:sz w:val="21"/>
                      <w:szCs w:val="21"/>
                      <w:highlight w:val="none"/>
                    </w:rPr>
                  </w:pPr>
                </w:p>
              </w:tc>
            </w:tr>
            <w:tr w14:paraId="7D7EC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36AF4718">
                  <w:pPr>
                    <w:jc w:val="center"/>
                    <w:rPr>
                      <w:rFonts w:hint="default" w:ascii="Times New Roman" w:hAnsi="Times New Roman" w:eastAsia="仿宋" w:cs="Times New Roman"/>
                      <w:color w:val="auto"/>
                      <w:sz w:val="21"/>
                      <w:szCs w:val="21"/>
                      <w:highlight w:val="none"/>
                    </w:rPr>
                  </w:pPr>
                </w:p>
              </w:tc>
              <w:tc>
                <w:tcPr>
                  <w:tcW w:w="222" w:type="pct"/>
                  <w:vMerge w:val="continue"/>
                  <w:vAlign w:val="center"/>
                </w:tcPr>
                <w:p w14:paraId="14C3D91C">
                  <w:pPr>
                    <w:jc w:val="center"/>
                    <w:rPr>
                      <w:rFonts w:hint="default" w:ascii="Times New Roman" w:hAnsi="Times New Roman" w:eastAsia="仿宋" w:cs="Times New Roman"/>
                      <w:color w:val="auto"/>
                      <w:sz w:val="21"/>
                      <w:szCs w:val="21"/>
                      <w:highlight w:val="none"/>
                    </w:rPr>
                  </w:pPr>
                </w:p>
              </w:tc>
              <w:tc>
                <w:tcPr>
                  <w:tcW w:w="434" w:type="pct"/>
                  <w:vAlign w:val="center"/>
                </w:tcPr>
                <w:p w14:paraId="20975559">
                  <w:pPr>
                    <w:jc w:val="center"/>
                    <w:rPr>
                      <w:rFonts w:hint="eastAsia"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氯化氢</w:t>
                  </w:r>
                </w:p>
              </w:tc>
              <w:tc>
                <w:tcPr>
                  <w:tcW w:w="970" w:type="pct"/>
                  <w:gridSpan w:val="3"/>
                  <w:tcMar>
                    <w:top w:w="0" w:type="dxa"/>
                    <w:left w:w="28" w:type="dxa"/>
                    <w:bottom w:w="0" w:type="dxa"/>
                    <w:right w:w="28" w:type="dxa"/>
                  </w:tcMar>
                  <w:vAlign w:val="center"/>
                </w:tcPr>
                <w:p w14:paraId="664D90A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不定量计算</w:t>
                  </w:r>
                </w:p>
              </w:tc>
              <w:tc>
                <w:tcPr>
                  <w:tcW w:w="488" w:type="pct"/>
                  <w:vMerge w:val="continue"/>
                  <w:vAlign w:val="center"/>
                </w:tcPr>
                <w:p w14:paraId="443DB1C7">
                  <w:pPr>
                    <w:jc w:val="center"/>
                    <w:rPr>
                      <w:rFonts w:hint="default" w:ascii="Times New Roman" w:hAnsi="Times New Roman" w:eastAsia="仿宋" w:cs="Times New Roman"/>
                      <w:color w:val="auto"/>
                      <w:sz w:val="21"/>
                      <w:szCs w:val="21"/>
                      <w:highlight w:val="none"/>
                    </w:rPr>
                  </w:pPr>
                </w:p>
              </w:tc>
              <w:tc>
                <w:tcPr>
                  <w:tcW w:w="359" w:type="pct"/>
                  <w:vMerge w:val="continue"/>
                  <w:vAlign w:val="center"/>
                </w:tcPr>
                <w:p w14:paraId="168D14C7">
                  <w:pPr>
                    <w:jc w:val="center"/>
                    <w:rPr>
                      <w:rFonts w:hint="default" w:ascii="Times New Roman" w:hAnsi="Times New Roman" w:eastAsia="仿宋" w:cs="Times New Roman"/>
                      <w:color w:val="auto"/>
                      <w:sz w:val="21"/>
                      <w:szCs w:val="21"/>
                      <w:highlight w:val="none"/>
                    </w:rPr>
                  </w:pPr>
                </w:p>
              </w:tc>
              <w:tc>
                <w:tcPr>
                  <w:tcW w:w="279" w:type="pct"/>
                  <w:vMerge w:val="continue"/>
                  <w:vAlign w:val="center"/>
                </w:tcPr>
                <w:p w14:paraId="17366FB5">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343F2841">
                  <w:pPr>
                    <w:jc w:val="center"/>
                    <w:rPr>
                      <w:rFonts w:hint="default" w:ascii="Times New Roman" w:hAnsi="Times New Roman" w:eastAsia="仿宋" w:cs="Times New Roman"/>
                      <w:color w:val="auto"/>
                      <w:sz w:val="21"/>
                      <w:szCs w:val="21"/>
                      <w:highlight w:val="none"/>
                    </w:rPr>
                  </w:pPr>
                </w:p>
              </w:tc>
              <w:tc>
                <w:tcPr>
                  <w:tcW w:w="246" w:type="pct"/>
                  <w:vMerge w:val="continue"/>
                  <w:vAlign w:val="center"/>
                </w:tcPr>
                <w:p w14:paraId="6E42F2E9">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2748A9A4">
                  <w:pPr>
                    <w:jc w:val="center"/>
                    <w:rPr>
                      <w:rFonts w:hint="default" w:ascii="Times New Roman" w:hAnsi="Times New Roman" w:eastAsia="仿宋" w:cs="Times New Roman"/>
                      <w:color w:val="auto"/>
                      <w:sz w:val="21"/>
                      <w:szCs w:val="21"/>
                      <w:highlight w:val="none"/>
                    </w:rPr>
                  </w:pPr>
                </w:p>
              </w:tc>
              <w:tc>
                <w:tcPr>
                  <w:tcW w:w="272" w:type="pct"/>
                  <w:vMerge w:val="continue"/>
                  <w:vAlign w:val="center"/>
                </w:tcPr>
                <w:p w14:paraId="0BAE5B57">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20" w:type="pct"/>
                  <w:vMerge w:val="continue"/>
                  <w:vAlign w:val="center"/>
                </w:tcPr>
                <w:p w14:paraId="5AC37ACF">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35" w:type="pct"/>
                  <w:vMerge w:val="continue"/>
                  <w:vAlign w:val="center"/>
                </w:tcPr>
                <w:p w14:paraId="52535CDB">
                  <w:pPr>
                    <w:jc w:val="center"/>
                    <w:rPr>
                      <w:rFonts w:hint="default" w:ascii="Times New Roman" w:hAnsi="Times New Roman" w:eastAsia="仿宋" w:cs="Times New Roman"/>
                      <w:color w:val="auto"/>
                      <w:sz w:val="21"/>
                      <w:szCs w:val="21"/>
                      <w:highlight w:val="none"/>
                    </w:rPr>
                  </w:pPr>
                </w:p>
              </w:tc>
              <w:tc>
                <w:tcPr>
                  <w:tcW w:w="262" w:type="pct"/>
                  <w:vMerge w:val="continue"/>
                  <w:vAlign w:val="center"/>
                </w:tcPr>
                <w:p w14:paraId="44CC8125">
                  <w:pPr>
                    <w:jc w:val="center"/>
                    <w:rPr>
                      <w:rFonts w:hint="default" w:ascii="Times New Roman" w:hAnsi="Times New Roman" w:eastAsia="仿宋" w:cs="Times New Roman"/>
                      <w:color w:val="auto"/>
                      <w:sz w:val="21"/>
                      <w:szCs w:val="21"/>
                      <w:highlight w:val="none"/>
                    </w:rPr>
                  </w:pPr>
                </w:p>
              </w:tc>
            </w:tr>
            <w:tr w14:paraId="7ECEE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Align w:val="center"/>
                </w:tcPr>
                <w:p w14:paraId="31604D13">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滴定实验</w:t>
                  </w:r>
                </w:p>
              </w:tc>
              <w:tc>
                <w:tcPr>
                  <w:tcW w:w="222" w:type="pct"/>
                  <w:vMerge w:val="continue"/>
                  <w:vAlign w:val="center"/>
                </w:tcPr>
                <w:p w14:paraId="42975311">
                  <w:pPr>
                    <w:jc w:val="center"/>
                    <w:rPr>
                      <w:rFonts w:hint="default" w:ascii="Times New Roman" w:hAnsi="Times New Roman" w:eastAsia="仿宋" w:cs="Times New Roman"/>
                      <w:color w:val="auto"/>
                      <w:sz w:val="21"/>
                      <w:szCs w:val="21"/>
                      <w:highlight w:val="none"/>
                    </w:rPr>
                  </w:pPr>
                </w:p>
              </w:tc>
              <w:tc>
                <w:tcPr>
                  <w:tcW w:w="434" w:type="pct"/>
                  <w:vAlign w:val="center"/>
                </w:tcPr>
                <w:p w14:paraId="297B0C4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氯化氢</w:t>
                  </w:r>
                </w:p>
              </w:tc>
              <w:tc>
                <w:tcPr>
                  <w:tcW w:w="379" w:type="pct"/>
                  <w:tcMar>
                    <w:top w:w="0" w:type="dxa"/>
                    <w:left w:w="28" w:type="dxa"/>
                    <w:bottom w:w="0" w:type="dxa"/>
                    <w:right w:w="28" w:type="dxa"/>
                  </w:tcMar>
                  <w:vAlign w:val="center"/>
                </w:tcPr>
                <w:p w14:paraId="407EB0BC">
                  <w:pPr>
                    <w:jc w:val="center"/>
                    <w:rPr>
                      <w:rFonts w:hint="default" w:ascii="Times New Roman" w:hAnsi="Times New Roman" w:eastAsia="仿宋" w:cs="Times New Roman"/>
                      <w:color w:val="auto"/>
                      <w:sz w:val="21"/>
                      <w:szCs w:val="21"/>
                      <w:highlight w:val="none"/>
                      <w:lang w:val="en-US"/>
                    </w:rPr>
                  </w:pPr>
                  <w:r>
                    <w:rPr>
                      <w:rFonts w:hint="eastAsia" w:eastAsia="仿宋" w:cs="Times New Roman"/>
                      <w:bCs/>
                      <w:color w:val="auto"/>
                      <w:szCs w:val="21"/>
                      <w:highlight w:val="none"/>
                      <w:lang w:val="en-US" w:eastAsia="zh-CN"/>
                    </w:rPr>
                    <w:t>0.000135</w:t>
                  </w:r>
                </w:p>
              </w:tc>
              <w:tc>
                <w:tcPr>
                  <w:tcW w:w="306" w:type="pct"/>
                  <w:tcMar>
                    <w:top w:w="0" w:type="dxa"/>
                    <w:left w:w="28" w:type="dxa"/>
                    <w:bottom w:w="0" w:type="dxa"/>
                    <w:right w:w="28" w:type="dxa"/>
                  </w:tcMar>
                  <w:vAlign w:val="center"/>
                </w:tcPr>
                <w:p w14:paraId="3AAD073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0.15</w:t>
                  </w:r>
                </w:p>
              </w:tc>
              <w:tc>
                <w:tcPr>
                  <w:tcW w:w="284" w:type="pct"/>
                  <w:vAlign w:val="center"/>
                </w:tcPr>
                <w:p w14:paraId="5E56EA6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Cs w:val="21"/>
                      <w:lang w:val="en-US" w:eastAsia="zh-CN"/>
                    </w:rPr>
                    <w:t>0.0009</w:t>
                  </w:r>
                </w:p>
              </w:tc>
              <w:tc>
                <w:tcPr>
                  <w:tcW w:w="488" w:type="pct"/>
                  <w:vMerge w:val="continue"/>
                  <w:vAlign w:val="center"/>
                </w:tcPr>
                <w:p w14:paraId="216D649B">
                  <w:pPr>
                    <w:jc w:val="center"/>
                    <w:rPr>
                      <w:rFonts w:hint="default" w:ascii="Times New Roman" w:hAnsi="Times New Roman" w:eastAsia="仿宋" w:cs="Times New Roman"/>
                      <w:color w:val="auto"/>
                      <w:sz w:val="21"/>
                      <w:szCs w:val="21"/>
                      <w:highlight w:val="none"/>
                    </w:rPr>
                  </w:pPr>
                </w:p>
              </w:tc>
              <w:tc>
                <w:tcPr>
                  <w:tcW w:w="359" w:type="pct"/>
                  <w:shd w:val="clear" w:color="auto" w:fill="auto"/>
                  <w:vAlign w:val="center"/>
                </w:tcPr>
                <w:p w14:paraId="49740B5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非甲烷总烃</w:t>
                  </w:r>
                </w:p>
              </w:tc>
              <w:tc>
                <w:tcPr>
                  <w:tcW w:w="279" w:type="pct"/>
                  <w:shd w:val="clear" w:color="auto" w:fill="auto"/>
                  <w:vAlign w:val="center"/>
                </w:tcPr>
                <w:p w14:paraId="7BD8B24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90</w:t>
                  </w:r>
                </w:p>
              </w:tc>
              <w:tc>
                <w:tcPr>
                  <w:tcW w:w="280" w:type="pct"/>
                  <w:shd w:val="clear" w:color="auto" w:fill="auto"/>
                  <w:vAlign w:val="center"/>
                </w:tcPr>
                <w:p w14:paraId="54255E3B">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0.07</w:t>
                  </w:r>
                  <w:r>
                    <w:rPr>
                      <w:rFonts w:hint="default" w:ascii="Times New Roman" w:hAnsi="Times New Roman" w:eastAsia="仿宋" w:cs="Times New Roman"/>
                      <w:color w:val="auto"/>
                      <w:sz w:val="21"/>
                      <w:szCs w:val="21"/>
                      <w:highlight w:val="none"/>
                      <w:lang w:val="en-US" w:eastAsia="zh-CN"/>
                    </w:rPr>
                    <w:t>1</w:t>
                  </w:r>
                </w:p>
              </w:tc>
              <w:tc>
                <w:tcPr>
                  <w:tcW w:w="246" w:type="pct"/>
                  <w:shd w:val="clear" w:color="auto" w:fill="auto"/>
                  <w:vAlign w:val="center"/>
                </w:tcPr>
                <w:p w14:paraId="7F71BE8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2.4</w:t>
                  </w:r>
                  <w:r>
                    <w:rPr>
                      <w:rFonts w:hint="default" w:ascii="Times New Roman" w:hAnsi="Times New Roman" w:eastAsia="仿宋" w:cs="Times New Roman"/>
                      <w:color w:val="auto"/>
                      <w:sz w:val="21"/>
                      <w:szCs w:val="21"/>
                      <w:highlight w:val="none"/>
                      <w:lang w:val="en-US" w:eastAsia="zh-CN"/>
                    </w:rPr>
                    <w:t>7</w:t>
                  </w:r>
                </w:p>
              </w:tc>
              <w:tc>
                <w:tcPr>
                  <w:tcW w:w="280" w:type="pct"/>
                  <w:shd w:val="clear" w:color="auto" w:fill="auto"/>
                  <w:vAlign w:val="center"/>
                </w:tcPr>
                <w:p w14:paraId="1F9D45F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0.015</w:t>
                  </w:r>
                </w:p>
              </w:tc>
              <w:tc>
                <w:tcPr>
                  <w:tcW w:w="272" w:type="pct"/>
                  <w:shd w:val="clear" w:color="auto" w:fill="auto"/>
                  <w:vAlign w:val="center"/>
                </w:tcPr>
                <w:p w14:paraId="58A0F947">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60</w:t>
                  </w:r>
                </w:p>
              </w:tc>
              <w:tc>
                <w:tcPr>
                  <w:tcW w:w="220" w:type="pct"/>
                  <w:shd w:val="clear" w:color="auto" w:fill="auto"/>
                  <w:vAlign w:val="center"/>
                </w:tcPr>
                <w:p w14:paraId="294FE3CE">
                  <w:pPr>
                    <w:widowControl/>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3</w:t>
                  </w:r>
                </w:p>
              </w:tc>
              <w:tc>
                <w:tcPr>
                  <w:tcW w:w="235" w:type="pct"/>
                  <w:vMerge w:val="continue"/>
                  <w:vAlign w:val="center"/>
                </w:tcPr>
                <w:p w14:paraId="4D16C49D">
                  <w:pPr>
                    <w:jc w:val="center"/>
                    <w:rPr>
                      <w:rFonts w:hint="default" w:ascii="Times New Roman" w:hAnsi="Times New Roman" w:eastAsia="仿宋" w:cs="Times New Roman"/>
                      <w:color w:val="auto"/>
                      <w:sz w:val="21"/>
                      <w:szCs w:val="21"/>
                      <w:highlight w:val="none"/>
                    </w:rPr>
                  </w:pPr>
                </w:p>
              </w:tc>
              <w:tc>
                <w:tcPr>
                  <w:tcW w:w="262" w:type="pct"/>
                  <w:vAlign w:val="center"/>
                </w:tcPr>
                <w:p w14:paraId="619F42CC">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4800h，间断</w:t>
                  </w:r>
                </w:p>
              </w:tc>
            </w:tr>
            <w:tr w14:paraId="66BBF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39870B2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制样测试</w:t>
                  </w:r>
                </w:p>
              </w:tc>
              <w:tc>
                <w:tcPr>
                  <w:tcW w:w="222" w:type="pct"/>
                  <w:vMerge w:val="continue"/>
                  <w:vAlign w:val="center"/>
                </w:tcPr>
                <w:p w14:paraId="5C16575C">
                  <w:pPr>
                    <w:jc w:val="center"/>
                    <w:rPr>
                      <w:rFonts w:hint="default" w:ascii="Times New Roman" w:hAnsi="Times New Roman" w:eastAsia="仿宋" w:cs="Times New Roman"/>
                      <w:color w:val="auto"/>
                      <w:sz w:val="21"/>
                      <w:szCs w:val="21"/>
                      <w:highlight w:val="none"/>
                    </w:rPr>
                  </w:pPr>
                </w:p>
              </w:tc>
              <w:tc>
                <w:tcPr>
                  <w:tcW w:w="434" w:type="pct"/>
                  <w:vAlign w:val="center"/>
                </w:tcPr>
                <w:p w14:paraId="0A254C27">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非甲烷总烃</w:t>
                  </w:r>
                </w:p>
              </w:tc>
              <w:tc>
                <w:tcPr>
                  <w:tcW w:w="379" w:type="pct"/>
                  <w:tcMar>
                    <w:top w:w="0" w:type="dxa"/>
                    <w:left w:w="28" w:type="dxa"/>
                    <w:bottom w:w="0" w:type="dxa"/>
                    <w:right w:w="28" w:type="dxa"/>
                  </w:tcMar>
                  <w:vAlign w:val="center"/>
                </w:tcPr>
                <w:p w14:paraId="554F975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Cs w:val="21"/>
                      <w:highlight w:val="none"/>
                      <w:lang w:val="en-US" w:eastAsia="zh-CN"/>
                    </w:rPr>
                    <w:t>0.0081</w:t>
                  </w:r>
                </w:p>
              </w:tc>
              <w:tc>
                <w:tcPr>
                  <w:tcW w:w="306" w:type="pct"/>
                  <w:tcMar>
                    <w:top w:w="0" w:type="dxa"/>
                    <w:left w:w="28" w:type="dxa"/>
                    <w:bottom w:w="0" w:type="dxa"/>
                    <w:right w:w="28" w:type="dxa"/>
                  </w:tcMar>
                  <w:vAlign w:val="center"/>
                </w:tcPr>
                <w:p w14:paraId="417FA97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2.25</w:t>
                  </w:r>
                </w:p>
              </w:tc>
              <w:tc>
                <w:tcPr>
                  <w:tcW w:w="284" w:type="pct"/>
                  <w:vAlign w:val="center"/>
                </w:tcPr>
                <w:p w14:paraId="6219E36E">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Cs w:val="21"/>
                      <w:lang w:val="en-US" w:eastAsia="zh-CN"/>
                    </w:rPr>
                    <w:t>0.014</w:t>
                  </w:r>
                </w:p>
              </w:tc>
              <w:tc>
                <w:tcPr>
                  <w:tcW w:w="488" w:type="pct"/>
                  <w:vMerge w:val="continue"/>
                  <w:vAlign w:val="center"/>
                </w:tcPr>
                <w:p w14:paraId="201F1103">
                  <w:pPr>
                    <w:jc w:val="center"/>
                    <w:rPr>
                      <w:rFonts w:hint="default" w:ascii="Times New Roman" w:hAnsi="Times New Roman" w:eastAsia="仿宋" w:cs="Times New Roman"/>
                      <w:color w:val="auto"/>
                      <w:sz w:val="21"/>
                      <w:szCs w:val="21"/>
                      <w:highlight w:val="none"/>
                    </w:rPr>
                  </w:pPr>
                </w:p>
              </w:tc>
              <w:tc>
                <w:tcPr>
                  <w:tcW w:w="359" w:type="pct"/>
                  <w:vMerge w:val="restart"/>
                  <w:vAlign w:val="center"/>
                </w:tcPr>
                <w:p w14:paraId="3DB7AA2A">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氯化氢</w:t>
                  </w:r>
                </w:p>
              </w:tc>
              <w:tc>
                <w:tcPr>
                  <w:tcW w:w="279" w:type="pct"/>
                  <w:vMerge w:val="restart"/>
                  <w:vAlign w:val="center"/>
                </w:tcPr>
                <w:p w14:paraId="24EB9986">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75</w:t>
                  </w:r>
                </w:p>
              </w:tc>
              <w:tc>
                <w:tcPr>
                  <w:tcW w:w="280" w:type="pct"/>
                  <w:vMerge w:val="restart"/>
                  <w:vAlign w:val="center"/>
                </w:tcPr>
                <w:p w14:paraId="3DD7215D">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0.000091</w:t>
                  </w:r>
                </w:p>
              </w:tc>
              <w:tc>
                <w:tcPr>
                  <w:tcW w:w="246" w:type="pct"/>
                  <w:vMerge w:val="restart"/>
                  <w:vAlign w:val="center"/>
                </w:tcPr>
                <w:p w14:paraId="2749C52F">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0.025</w:t>
                  </w:r>
                </w:p>
              </w:tc>
              <w:tc>
                <w:tcPr>
                  <w:tcW w:w="280" w:type="pct"/>
                  <w:vMerge w:val="restart"/>
                  <w:vAlign w:val="center"/>
                </w:tcPr>
                <w:p w14:paraId="3D50C605">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0.00015</w:t>
                  </w:r>
                </w:p>
              </w:tc>
              <w:tc>
                <w:tcPr>
                  <w:tcW w:w="272" w:type="pct"/>
                  <w:vMerge w:val="restart"/>
                  <w:vAlign w:val="center"/>
                </w:tcPr>
                <w:p w14:paraId="7DB20AC1">
                  <w:pPr>
                    <w:widowControl/>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10</w:t>
                  </w:r>
                </w:p>
              </w:tc>
              <w:tc>
                <w:tcPr>
                  <w:tcW w:w="220" w:type="pct"/>
                  <w:vMerge w:val="restart"/>
                  <w:vAlign w:val="center"/>
                </w:tcPr>
                <w:p w14:paraId="287E0D99">
                  <w:pPr>
                    <w:widowControl/>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0.18</w:t>
                  </w:r>
                </w:p>
              </w:tc>
              <w:tc>
                <w:tcPr>
                  <w:tcW w:w="235" w:type="pct"/>
                  <w:vMerge w:val="continue"/>
                  <w:vAlign w:val="center"/>
                </w:tcPr>
                <w:p w14:paraId="61148A1D">
                  <w:pPr>
                    <w:jc w:val="center"/>
                    <w:rPr>
                      <w:rFonts w:hint="default" w:ascii="Times New Roman" w:hAnsi="Times New Roman" w:eastAsia="仿宋" w:cs="Times New Roman"/>
                      <w:color w:val="auto"/>
                      <w:sz w:val="21"/>
                      <w:szCs w:val="21"/>
                      <w:highlight w:val="none"/>
                    </w:rPr>
                  </w:pPr>
                </w:p>
              </w:tc>
              <w:tc>
                <w:tcPr>
                  <w:tcW w:w="262" w:type="pct"/>
                  <w:vMerge w:val="restart"/>
                  <w:vAlign w:val="center"/>
                </w:tcPr>
                <w:p w14:paraId="42A901BB">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600h，间断</w:t>
                  </w:r>
                </w:p>
              </w:tc>
            </w:tr>
            <w:tr w14:paraId="6964C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continue"/>
                  <w:vAlign w:val="center"/>
                </w:tcPr>
                <w:p w14:paraId="0F8EEB1B">
                  <w:pPr>
                    <w:jc w:val="center"/>
                    <w:rPr>
                      <w:rFonts w:hint="default" w:ascii="Times New Roman" w:hAnsi="Times New Roman" w:eastAsia="仿宋" w:cs="Times New Roman"/>
                      <w:color w:val="auto"/>
                      <w:sz w:val="21"/>
                      <w:szCs w:val="21"/>
                      <w:highlight w:val="none"/>
                    </w:rPr>
                  </w:pPr>
                </w:p>
              </w:tc>
              <w:tc>
                <w:tcPr>
                  <w:tcW w:w="222" w:type="pct"/>
                  <w:vMerge w:val="continue"/>
                  <w:vAlign w:val="center"/>
                </w:tcPr>
                <w:p w14:paraId="45B54887">
                  <w:pPr>
                    <w:jc w:val="center"/>
                    <w:rPr>
                      <w:rFonts w:hint="default" w:ascii="Times New Roman" w:hAnsi="Times New Roman" w:eastAsia="仿宋" w:cs="Times New Roman"/>
                      <w:color w:val="auto"/>
                      <w:sz w:val="21"/>
                      <w:szCs w:val="21"/>
                      <w:highlight w:val="none"/>
                    </w:rPr>
                  </w:pPr>
                </w:p>
              </w:tc>
              <w:tc>
                <w:tcPr>
                  <w:tcW w:w="434" w:type="pct"/>
                  <w:vAlign w:val="center"/>
                </w:tcPr>
                <w:p w14:paraId="1761614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氯化氢</w:t>
                  </w:r>
                </w:p>
              </w:tc>
              <w:tc>
                <w:tcPr>
                  <w:tcW w:w="379" w:type="pct"/>
                  <w:tcMar>
                    <w:top w:w="0" w:type="dxa"/>
                    <w:left w:w="28" w:type="dxa"/>
                    <w:bottom w:w="0" w:type="dxa"/>
                    <w:right w:w="28" w:type="dxa"/>
                  </w:tcMar>
                  <w:vAlign w:val="center"/>
                </w:tcPr>
                <w:p w14:paraId="74EED2FB">
                  <w:pPr>
                    <w:jc w:val="center"/>
                    <w:rPr>
                      <w:rFonts w:hint="default" w:ascii="Times New Roman" w:hAnsi="Times New Roman" w:eastAsia="仿宋" w:cs="Times New Roman"/>
                      <w:color w:val="auto"/>
                      <w:sz w:val="21"/>
                      <w:szCs w:val="21"/>
                      <w:highlight w:val="none"/>
                    </w:rPr>
                  </w:pPr>
                  <w:r>
                    <w:rPr>
                      <w:rFonts w:hint="eastAsia" w:eastAsia="仿宋" w:cs="Times New Roman"/>
                      <w:bCs/>
                      <w:color w:val="auto"/>
                      <w:szCs w:val="21"/>
                      <w:lang w:val="en-US" w:eastAsia="zh-CN"/>
                    </w:rPr>
                    <w:t>0.00023</w:t>
                  </w:r>
                </w:p>
              </w:tc>
              <w:tc>
                <w:tcPr>
                  <w:tcW w:w="306" w:type="pct"/>
                  <w:tcMar>
                    <w:top w:w="0" w:type="dxa"/>
                    <w:left w:w="28" w:type="dxa"/>
                    <w:bottom w:w="0" w:type="dxa"/>
                    <w:right w:w="28" w:type="dxa"/>
                  </w:tcMar>
                  <w:vAlign w:val="center"/>
                </w:tcPr>
                <w:p w14:paraId="14157C60">
                  <w:pPr>
                    <w:jc w:val="center"/>
                    <w:rPr>
                      <w:rFonts w:hint="default" w:ascii="Times New Roman" w:hAnsi="Times New Roman" w:eastAsia="仿宋" w:cs="Times New Roman"/>
                      <w:color w:val="auto"/>
                      <w:sz w:val="21"/>
                      <w:szCs w:val="21"/>
                      <w:highlight w:val="none"/>
                    </w:rPr>
                  </w:pPr>
                  <w:r>
                    <w:rPr>
                      <w:rFonts w:hint="eastAsia" w:eastAsia="仿宋" w:cs="Times New Roman"/>
                      <w:color w:val="auto"/>
                      <w:sz w:val="21"/>
                      <w:szCs w:val="21"/>
                      <w:lang w:val="en-US" w:eastAsia="zh-CN"/>
                    </w:rPr>
                    <w:t>0.06</w:t>
                  </w:r>
                </w:p>
              </w:tc>
              <w:tc>
                <w:tcPr>
                  <w:tcW w:w="284" w:type="pct"/>
                  <w:vAlign w:val="center"/>
                </w:tcPr>
                <w:p w14:paraId="5141D80D">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0.0004</w:t>
                  </w:r>
                </w:p>
              </w:tc>
              <w:tc>
                <w:tcPr>
                  <w:tcW w:w="488" w:type="pct"/>
                  <w:vMerge w:val="continue"/>
                  <w:vAlign w:val="center"/>
                </w:tcPr>
                <w:p w14:paraId="5DF7DEC7">
                  <w:pPr>
                    <w:jc w:val="center"/>
                    <w:rPr>
                      <w:rFonts w:hint="default" w:ascii="Times New Roman" w:hAnsi="Times New Roman" w:eastAsia="仿宋" w:cs="Times New Roman"/>
                      <w:color w:val="auto"/>
                      <w:sz w:val="21"/>
                      <w:szCs w:val="21"/>
                      <w:highlight w:val="none"/>
                    </w:rPr>
                  </w:pPr>
                </w:p>
              </w:tc>
              <w:tc>
                <w:tcPr>
                  <w:tcW w:w="359" w:type="pct"/>
                  <w:vMerge w:val="continue"/>
                  <w:vAlign w:val="center"/>
                </w:tcPr>
                <w:p w14:paraId="599E04F9">
                  <w:pPr>
                    <w:jc w:val="center"/>
                    <w:rPr>
                      <w:rFonts w:hint="default" w:ascii="Times New Roman" w:hAnsi="Times New Roman" w:eastAsia="仿宋" w:cs="Times New Roman"/>
                      <w:color w:val="auto"/>
                      <w:sz w:val="21"/>
                      <w:szCs w:val="21"/>
                      <w:highlight w:val="none"/>
                    </w:rPr>
                  </w:pPr>
                </w:p>
              </w:tc>
              <w:tc>
                <w:tcPr>
                  <w:tcW w:w="279" w:type="pct"/>
                  <w:vMerge w:val="continue"/>
                  <w:vAlign w:val="center"/>
                </w:tcPr>
                <w:p w14:paraId="54271F1F">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74F3810C">
                  <w:pPr>
                    <w:jc w:val="center"/>
                    <w:rPr>
                      <w:rFonts w:hint="default" w:ascii="Times New Roman" w:hAnsi="Times New Roman" w:eastAsia="仿宋" w:cs="Times New Roman"/>
                      <w:color w:val="auto"/>
                      <w:sz w:val="21"/>
                      <w:szCs w:val="21"/>
                      <w:highlight w:val="none"/>
                    </w:rPr>
                  </w:pPr>
                </w:p>
              </w:tc>
              <w:tc>
                <w:tcPr>
                  <w:tcW w:w="246" w:type="pct"/>
                  <w:vMerge w:val="continue"/>
                  <w:vAlign w:val="center"/>
                </w:tcPr>
                <w:p w14:paraId="4720943E">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2F5B90D5">
                  <w:pPr>
                    <w:jc w:val="center"/>
                    <w:rPr>
                      <w:rFonts w:hint="default" w:ascii="Times New Roman" w:hAnsi="Times New Roman" w:eastAsia="仿宋" w:cs="Times New Roman"/>
                      <w:color w:val="auto"/>
                      <w:sz w:val="21"/>
                      <w:szCs w:val="21"/>
                      <w:highlight w:val="none"/>
                    </w:rPr>
                  </w:pPr>
                </w:p>
              </w:tc>
              <w:tc>
                <w:tcPr>
                  <w:tcW w:w="272" w:type="pct"/>
                  <w:vMerge w:val="continue"/>
                  <w:vAlign w:val="center"/>
                </w:tcPr>
                <w:p w14:paraId="2109619B">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20" w:type="pct"/>
                  <w:vMerge w:val="continue"/>
                  <w:vAlign w:val="center"/>
                </w:tcPr>
                <w:p w14:paraId="66A91E88">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35" w:type="pct"/>
                  <w:vMerge w:val="continue"/>
                  <w:vAlign w:val="center"/>
                </w:tcPr>
                <w:p w14:paraId="49FE0B4A">
                  <w:pPr>
                    <w:jc w:val="center"/>
                    <w:rPr>
                      <w:rFonts w:hint="default" w:ascii="Times New Roman" w:hAnsi="Times New Roman" w:eastAsia="仿宋" w:cs="Times New Roman"/>
                      <w:color w:val="auto"/>
                      <w:sz w:val="21"/>
                      <w:szCs w:val="21"/>
                      <w:highlight w:val="none"/>
                    </w:rPr>
                  </w:pPr>
                </w:p>
              </w:tc>
              <w:tc>
                <w:tcPr>
                  <w:tcW w:w="262" w:type="pct"/>
                  <w:vMerge w:val="continue"/>
                  <w:vAlign w:val="center"/>
                </w:tcPr>
                <w:p w14:paraId="38106A80">
                  <w:pPr>
                    <w:jc w:val="center"/>
                    <w:rPr>
                      <w:rFonts w:hint="default" w:ascii="Times New Roman" w:hAnsi="Times New Roman" w:eastAsia="仿宋" w:cs="Times New Roman"/>
                      <w:color w:val="auto"/>
                      <w:sz w:val="21"/>
                      <w:szCs w:val="21"/>
                      <w:highlight w:val="none"/>
                    </w:rPr>
                  </w:pPr>
                </w:p>
              </w:tc>
            </w:tr>
            <w:tr w14:paraId="5C651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44" w:type="pct"/>
                  <w:vMerge w:val="restart"/>
                  <w:vAlign w:val="center"/>
                </w:tcPr>
                <w:p w14:paraId="72C2763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焊接测试</w:t>
                  </w:r>
                </w:p>
              </w:tc>
              <w:tc>
                <w:tcPr>
                  <w:tcW w:w="222" w:type="pct"/>
                  <w:vMerge w:val="continue"/>
                  <w:vAlign w:val="center"/>
                </w:tcPr>
                <w:p w14:paraId="1D6DC546">
                  <w:pPr>
                    <w:jc w:val="center"/>
                    <w:rPr>
                      <w:rFonts w:hint="default" w:ascii="Times New Roman" w:hAnsi="Times New Roman" w:eastAsia="仿宋" w:cs="Times New Roman"/>
                      <w:color w:val="auto"/>
                      <w:sz w:val="21"/>
                      <w:szCs w:val="21"/>
                      <w:highlight w:val="none"/>
                    </w:rPr>
                  </w:pPr>
                </w:p>
              </w:tc>
              <w:tc>
                <w:tcPr>
                  <w:tcW w:w="434" w:type="pct"/>
                  <w:vAlign w:val="center"/>
                </w:tcPr>
                <w:p w14:paraId="4901AB0F">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非甲烷总烃</w:t>
                  </w:r>
                </w:p>
              </w:tc>
              <w:tc>
                <w:tcPr>
                  <w:tcW w:w="379" w:type="pct"/>
                  <w:tcMar>
                    <w:top w:w="0" w:type="dxa"/>
                    <w:left w:w="28" w:type="dxa"/>
                    <w:bottom w:w="0" w:type="dxa"/>
                    <w:right w:w="28" w:type="dxa"/>
                  </w:tcMar>
                  <w:vAlign w:val="center"/>
                </w:tcPr>
                <w:p w14:paraId="3FC74D8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Cs w:val="21"/>
                      <w:highlight w:val="none"/>
                      <w:lang w:val="en-US" w:eastAsia="zh-CN"/>
                    </w:rPr>
                    <w:t>0.00108</w:t>
                  </w:r>
                </w:p>
              </w:tc>
              <w:tc>
                <w:tcPr>
                  <w:tcW w:w="306" w:type="pct"/>
                  <w:tcMar>
                    <w:top w:w="0" w:type="dxa"/>
                    <w:left w:w="28" w:type="dxa"/>
                    <w:bottom w:w="0" w:type="dxa"/>
                    <w:right w:w="28" w:type="dxa"/>
                  </w:tcMar>
                  <w:vAlign w:val="center"/>
                </w:tcPr>
                <w:p w14:paraId="444637D2">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0.6</w:t>
                  </w:r>
                </w:p>
              </w:tc>
              <w:tc>
                <w:tcPr>
                  <w:tcW w:w="284" w:type="pct"/>
                  <w:vAlign w:val="center"/>
                </w:tcPr>
                <w:p w14:paraId="7031D9B3">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0.004</w:t>
                  </w:r>
                </w:p>
              </w:tc>
              <w:tc>
                <w:tcPr>
                  <w:tcW w:w="488" w:type="pct"/>
                  <w:vMerge w:val="continue"/>
                  <w:vAlign w:val="center"/>
                </w:tcPr>
                <w:p w14:paraId="7F76E727">
                  <w:pPr>
                    <w:jc w:val="center"/>
                    <w:rPr>
                      <w:rFonts w:hint="default" w:ascii="Times New Roman" w:hAnsi="Times New Roman" w:eastAsia="仿宋" w:cs="Times New Roman"/>
                      <w:color w:val="auto"/>
                      <w:sz w:val="21"/>
                      <w:szCs w:val="21"/>
                      <w:highlight w:val="none"/>
                    </w:rPr>
                  </w:pPr>
                </w:p>
              </w:tc>
              <w:tc>
                <w:tcPr>
                  <w:tcW w:w="359" w:type="pct"/>
                  <w:vMerge w:val="continue"/>
                  <w:vAlign w:val="center"/>
                </w:tcPr>
                <w:p w14:paraId="6160E063">
                  <w:pPr>
                    <w:jc w:val="center"/>
                    <w:rPr>
                      <w:rFonts w:hint="default" w:ascii="Times New Roman" w:hAnsi="Times New Roman" w:eastAsia="仿宋" w:cs="Times New Roman"/>
                      <w:color w:val="auto"/>
                      <w:sz w:val="21"/>
                      <w:szCs w:val="21"/>
                      <w:highlight w:val="none"/>
                    </w:rPr>
                  </w:pPr>
                </w:p>
              </w:tc>
              <w:tc>
                <w:tcPr>
                  <w:tcW w:w="279" w:type="pct"/>
                  <w:vMerge w:val="continue"/>
                  <w:vAlign w:val="center"/>
                </w:tcPr>
                <w:p w14:paraId="633330B5">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27C13AD4">
                  <w:pPr>
                    <w:jc w:val="center"/>
                    <w:rPr>
                      <w:rFonts w:hint="default" w:ascii="Times New Roman" w:hAnsi="Times New Roman" w:eastAsia="仿宋" w:cs="Times New Roman"/>
                      <w:color w:val="auto"/>
                      <w:sz w:val="21"/>
                      <w:szCs w:val="21"/>
                      <w:highlight w:val="none"/>
                    </w:rPr>
                  </w:pPr>
                </w:p>
              </w:tc>
              <w:tc>
                <w:tcPr>
                  <w:tcW w:w="246" w:type="pct"/>
                  <w:vMerge w:val="continue"/>
                  <w:vAlign w:val="center"/>
                </w:tcPr>
                <w:p w14:paraId="3CD3A20B">
                  <w:pPr>
                    <w:jc w:val="center"/>
                    <w:rPr>
                      <w:rFonts w:hint="default" w:ascii="Times New Roman" w:hAnsi="Times New Roman" w:eastAsia="仿宋" w:cs="Times New Roman"/>
                      <w:color w:val="auto"/>
                      <w:sz w:val="21"/>
                      <w:szCs w:val="21"/>
                      <w:highlight w:val="none"/>
                    </w:rPr>
                  </w:pPr>
                </w:p>
              </w:tc>
              <w:tc>
                <w:tcPr>
                  <w:tcW w:w="280" w:type="pct"/>
                  <w:vMerge w:val="continue"/>
                  <w:vAlign w:val="center"/>
                </w:tcPr>
                <w:p w14:paraId="4B134733">
                  <w:pPr>
                    <w:jc w:val="center"/>
                    <w:rPr>
                      <w:rFonts w:hint="default" w:ascii="Times New Roman" w:hAnsi="Times New Roman" w:eastAsia="仿宋" w:cs="Times New Roman"/>
                      <w:color w:val="auto"/>
                      <w:sz w:val="21"/>
                      <w:szCs w:val="21"/>
                      <w:highlight w:val="none"/>
                    </w:rPr>
                  </w:pPr>
                </w:p>
              </w:tc>
              <w:tc>
                <w:tcPr>
                  <w:tcW w:w="272" w:type="pct"/>
                  <w:vMerge w:val="continue"/>
                  <w:vAlign w:val="center"/>
                </w:tcPr>
                <w:p w14:paraId="5026AEA8">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20" w:type="pct"/>
                  <w:vMerge w:val="continue"/>
                  <w:vAlign w:val="center"/>
                </w:tcPr>
                <w:p w14:paraId="0D049614">
                  <w:pPr>
                    <w:widowControl/>
                    <w:jc w:val="center"/>
                    <w:textAlignment w:val="center"/>
                    <w:rPr>
                      <w:rFonts w:hint="default" w:ascii="Times New Roman" w:hAnsi="Times New Roman" w:eastAsia="仿宋" w:cs="Times New Roman"/>
                      <w:color w:val="auto"/>
                      <w:kern w:val="0"/>
                      <w:sz w:val="21"/>
                      <w:szCs w:val="21"/>
                      <w:highlight w:val="none"/>
                      <w:lang w:bidi="ar"/>
                    </w:rPr>
                  </w:pPr>
                </w:p>
              </w:tc>
              <w:tc>
                <w:tcPr>
                  <w:tcW w:w="235" w:type="pct"/>
                  <w:vMerge w:val="continue"/>
                  <w:vAlign w:val="center"/>
                </w:tcPr>
                <w:p w14:paraId="2681FFED">
                  <w:pPr>
                    <w:jc w:val="center"/>
                    <w:rPr>
                      <w:rFonts w:hint="default" w:ascii="Times New Roman" w:hAnsi="Times New Roman" w:eastAsia="仿宋" w:cs="Times New Roman"/>
                      <w:color w:val="auto"/>
                      <w:sz w:val="21"/>
                      <w:szCs w:val="21"/>
                      <w:highlight w:val="none"/>
                    </w:rPr>
                  </w:pPr>
                </w:p>
              </w:tc>
              <w:tc>
                <w:tcPr>
                  <w:tcW w:w="262" w:type="pct"/>
                  <w:vMerge w:val="continue"/>
                  <w:vAlign w:val="center"/>
                </w:tcPr>
                <w:p w14:paraId="0E1B8B5E">
                  <w:pPr>
                    <w:jc w:val="center"/>
                    <w:rPr>
                      <w:rFonts w:hint="default" w:ascii="Times New Roman" w:hAnsi="Times New Roman" w:eastAsia="仿宋" w:cs="Times New Roman"/>
                      <w:color w:val="auto"/>
                      <w:sz w:val="21"/>
                      <w:szCs w:val="21"/>
                      <w:highlight w:val="none"/>
                    </w:rPr>
                  </w:pPr>
                </w:p>
              </w:tc>
            </w:tr>
            <w:tr w14:paraId="6EADC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0" w:hRule="atLeast"/>
                <w:jc w:val="center"/>
              </w:trPr>
              <w:tc>
                <w:tcPr>
                  <w:tcW w:w="444" w:type="pct"/>
                  <w:vMerge w:val="continue"/>
                  <w:vAlign w:val="center"/>
                </w:tcPr>
                <w:p w14:paraId="12186CF2">
                  <w:pPr>
                    <w:jc w:val="center"/>
                    <w:rPr>
                      <w:rFonts w:hint="default" w:ascii="Times New Roman" w:hAnsi="Times New Roman" w:eastAsia="仿宋" w:cs="Times New Roman"/>
                      <w:color w:val="auto"/>
                      <w:sz w:val="21"/>
                      <w:szCs w:val="21"/>
                      <w:highlight w:val="none"/>
                    </w:rPr>
                  </w:pPr>
                </w:p>
              </w:tc>
              <w:tc>
                <w:tcPr>
                  <w:tcW w:w="222" w:type="pct"/>
                  <w:vMerge w:val="continue"/>
                  <w:vAlign w:val="center"/>
                </w:tcPr>
                <w:p w14:paraId="0BA67EA9">
                  <w:pPr>
                    <w:jc w:val="center"/>
                    <w:rPr>
                      <w:rFonts w:hint="default" w:ascii="Times New Roman" w:hAnsi="Times New Roman" w:eastAsia="仿宋" w:cs="Times New Roman"/>
                      <w:color w:val="auto"/>
                      <w:sz w:val="21"/>
                      <w:szCs w:val="21"/>
                      <w:highlight w:val="none"/>
                    </w:rPr>
                  </w:pPr>
                </w:p>
              </w:tc>
              <w:tc>
                <w:tcPr>
                  <w:tcW w:w="434" w:type="pct"/>
                  <w:shd w:val="clear" w:color="auto" w:fill="auto"/>
                  <w:vAlign w:val="center"/>
                </w:tcPr>
                <w:p w14:paraId="5B440CCE">
                  <w:pPr>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锡及其化合物</w:t>
                  </w:r>
                </w:p>
              </w:tc>
              <w:tc>
                <w:tcPr>
                  <w:tcW w:w="970" w:type="pct"/>
                  <w:gridSpan w:val="3"/>
                  <w:tcMar>
                    <w:top w:w="0" w:type="dxa"/>
                    <w:left w:w="28" w:type="dxa"/>
                    <w:bottom w:w="0" w:type="dxa"/>
                    <w:right w:w="28" w:type="dxa"/>
                  </w:tcMar>
                  <w:vAlign w:val="center"/>
                </w:tcPr>
                <w:p w14:paraId="0E156000">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不定量计算</w:t>
                  </w:r>
                </w:p>
              </w:tc>
              <w:tc>
                <w:tcPr>
                  <w:tcW w:w="488" w:type="pct"/>
                  <w:vMerge w:val="continue"/>
                  <w:vAlign w:val="center"/>
                </w:tcPr>
                <w:p w14:paraId="14B045F8">
                  <w:pPr>
                    <w:jc w:val="center"/>
                    <w:rPr>
                      <w:rFonts w:hint="default" w:ascii="Times New Roman" w:hAnsi="Times New Roman" w:eastAsia="仿宋" w:cs="Times New Roman"/>
                      <w:color w:val="auto"/>
                      <w:sz w:val="21"/>
                      <w:szCs w:val="21"/>
                      <w:highlight w:val="none"/>
                    </w:rPr>
                  </w:pPr>
                </w:p>
              </w:tc>
              <w:tc>
                <w:tcPr>
                  <w:tcW w:w="359" w:type="pct"/>
                  <w:vAlign w:val="center"/>
                </w:tcPr>
                <w:p w14:paraId="21A7D9A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锡及其化合物</w:t>
                  </w:r>
                </w:p>
              </w:tc>
              <w:tc>
                <w:tcPr>
                  <w:tcW w:w="279" w:type="pct"/>
                  <w:vAlign w:val="center"/>
                </w:tcPr>
                <w:p w14:paraId="4DF1376C">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w:t>
                  </w:r>
                </w:p>
              </w:tc>
              <w:tc>
                <w:tcPr>
                  <w:tcW w:w="808" w:type="pct"/>
                  <w:gridSpan w:val="3"/>
                  <w:vAlign w:val="center"/>
                </w:tcPr>
                <w:p w14:paraId="3F946D7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不定量计算</w:t>
                  </w:r>
                </w:p>
              </w:tc>
              <w:tc>
                <w:tcPr>
                  <w:tcW w:w="272" w:type="pct"/>
                  <w:vAlign w:val="center"/>
                </w:tcPr>
                <w:p w14:paraId="1642E12D">
                  <w:pPr>
                    <w:jc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sz w:val="21"/>
                      <w:szCs w:val="21"/>
                      <w:highlight w:val="none"/>
                    </w:rPr>
                    <w:t>5</w:t>
                  </w:r>
                </w:p>
              </w:tc>
              <w:tc>
                <w:tcPr>
                  <w:tcW w:w="220" w:type="pct"/>
                  <w:vAlign w:val="center"/>
                </w:tcPr>
                <w:p w14:paraId="3E93AC54">
                  <w:pPr>
                    <w:jc w:val="center"/>
                    <w:rPr>
                      <w:rFonts w:hint="default" w:ascii="Times New Roman" w:hAnsi="Times New Roman" w:eastAsia="仿宋" w:cs="Times New Roman"/>
                      <w:color w:val="auto"/>
                      <w:kern w:val="0"/>
                      <w:sz w:val="21"/>
                      <w:szCs w:val="21"/>
                      <w:highlight w:val="none"/>
                      <w:lang w:bidi="ar"/>
                    </w:rPr>
                  </w:pPr>
                  <w:r>
                    <w:rPr>
                      <w:rFonts w:hint="default" w:ascii="Times New Roman" w:hAnsi="Times New Roman" w:eastAsia="仿宋" w:cs="Times New Roman"/>
                      <w:color w:val="auto"/>
                      <w:sz w:val="21"/>
                      <w:szCs w:val="21"/>
                      <w:highlight w:val="none"/>
                    </w:rPr>
                    <w:t>0.22</w:t>
                  </w:r>
                </w:p>
              </w:tc>
              <w:tc>
                <w:tcPr>
                  <w:tcW w:w="235" w:type="pct"/>
                  <w:vMerge w:val="continue"/>
                  <w:vAlign w:val="center"/>
                </w:tcPr>
                <w:p w14:paraId="5E14AEBF">
                  <w:pPr>
                    <w:jc w:val="center"/>
                    <w:rPr>
                      <w:rFonts w:hint="default" w:ascii="Times New Roman" w:hAnsi="Times New Roman" w:eastAsia="仿宋" w:cs="Times New Roman"/>
                      <w:color w:val="auto"/>
                      <w:sz w:val="21"/>
                      <w:szCs w:val="21"/>
                      <w:highlight w:val="none"/>
                    </w:rPr>
                  </w:pPr>
                </w:p>
              </w:tc>
              <w:tc>
                <w:tcPr>
                  <w:tcW w:w="262" w:type="pct"/>
                  <w:vAlign w:val="center"/>
                </w:tcPr>
                <w:p w14:paraId="34CBC01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600h，间断</w:t>
                  </w:r>
                </w:p>
              </w:tc>
            </w:tr>
          </w:tbl>
          <w:p w14:paraId="0889B371">
            <w:pPr>
              <w:adjustRightInd w:val="0"/>
              <w:snapToGrid w:val="0"/>
              <w:ind w:firstLine="200" w:firstLineChars="200"/>
              <w:rPr>
                <w:rFonts w:hint="default" w:ascii="Times New Roman" w:hAnsi="Times New Roman" w:eastAsia="仿宋" w:cs="Times New Roman"/>
                <w:bCs/>
                <w:color w:val="auto"/>
                <w:sz w:val="10"/>
                <w:szCs w:val="10"/>
              </w:rPr>
            </w:pPr>
          </w:p>
          <w:p w14:paraId="4012A104">
            <w:pPr>
              <w:adjustRightInd w:val="0"/>
              <w:snapToGrid w:val="0"/>
              <w:spacing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由上表可知，本项目</w:t>
            </w:r>
            <w:r>
              <w:rPr>
                <w:rFonts w:hint="default" w:ascii="Times New Roman" w:hAnsi="Times New Roman" w:eastAsia="仿宋" w:cs="Times New Roman"/>
                <w:bCs/>
                <w:color w:val="auto"/>
                <w:sz w:val="24"/>
                <w:lang w:val="en-US" w:eastAsia="zh-CN"/>
              </w:rPr>
              <w:t>建成后</w:t>
            </w:r>
            <w:r>
              <w:rPr>
                <w:rFonts w:hint="default" w:ascii="Times New Roman" w:hAnsi="Times New Roman" w:eastAsia="仿宋" w:cs="Times New Roman"/>
                <w:bCs/>
                <w:color w:val="auto"/>
                <w:sz w:val="24"/>
              </w:rPr>
              <w:t>各类废气经处理后，可达标排放。</w:t>
            </w:r>
            <w:r>
              <w:rPr>
                <w:rFonts w:hint="default" w:ascii="Times New Roman" w:hAnsi="Times New Roman" w:eastAsia="仿宋" w:cs="Times New Roman"/>
                <w:bCs/>
                <w:color w:val="auto"/>
                <w:sz w:val="24"/>
                <w:lang w:val="en-US" w:eastAsia="zh-CN"/>
              </w:rPr>
              <w:t>本项目涉及排放的3#排气筒相关参数见下表。</w:t>
            </w:r>
          </w:p>
          <w:p w14:paraId="664A0F1D">
            <w:pPr>
              <w:adjustRightInd w:val="0"/>
              <w:snapToGrid w:val="0"/>
              <w:ind w:firstLine="482" w:firstLineChars="20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9</w:t>
            </w:r>
            <w:r>
              <w:rPr>
                <w:rFonts w:hint="default" w:ascii="Times New Roman" w:hAnsi="Times New Roman" w:eastAsia="仿宋" w:cs="Times New Roman"/>
                <w:b/>
                <w:bCs/>
                <w:color w:val="auto"/>
                <w:sz w:val="24"/>
                <w:highlight w:val="none"/>
                <w:lang w:val="en-US" w:eastAsia="zh-CN"/>
              </w:rPr>
              <w:t xml:space="preserve"> </w:t>
            </w:r>
            <w:r>
              <w:rPr>
                <w:rFonts w:hint="default" w:ascii="Times New Roman" w:hAnsi="Times New Roman" w:eastAsia="仿宋" w:cs="Times New Roman"/>
                <w:b/>
                <w:bCs/>
                <w:color w:val="auto"/>
                <w:sz w:val="24"/>
                <w:highlight w:val="none"/>
              </w:rPr>
              <w:t xml:space="preserve"> 排气筒参数</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35"/>
              <w:gridCol w:w="1413"/>
              <w:gridCol w:w="2026"/>
              <w:gridCol w:w="1175"/>
              <w:gridCol w:w="1570"/>
              <w:gridCol w:w="1404"/>
              <w:gridCol w:w="1936"/>
            </w:tblGrid>
            <w:tr w14:paraId="4FEA4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restart"/>
                  <w:vAlign w:val="center"/>
                </w:tcPr>
                <w:p w14:paraId="3174B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排气筒名称</w:t>
                  </w:r>
                </w:p>
              </w:tc>
              <w:tc>
                <w:tcPr>
                  <w:tcW w:w="1151" w:type="pct"/>
                  <w:gridSpan w:val="2"/>
                  <w:vAlign w:val="center"/>
                </w:tcPr>
                <w:p w14:paraId="0093DE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排气筒底部坐标</w:t>
                  </w:r>
                </w:p>
              </w:tc>
              <w:tc>
                <w:tcPr>
                  <w:tcW w:w="819" w:type="pct"/>
                  <w:vMerge w:val="restart"/>
                  <w:vAlign w:val="center"/>
                </w:tcPr>
                <w:p w14:paraId="444263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排气筒底部海拔高度（m）</w:t>
                  </w:r>
                </w:p>
              </w:tc>
              <w:tc>
                <w:tcPr>
                  <w:tcW w:w="2461" w:type="pct"/>
                  <w:gridSpan w:val="4"/>
                  <w:vAlign w:val="center"/>
                </w:tcPr>
                <w:p w14:paraId="78FC2A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排气筒参数</w:t>
                  </w:r>
                </w:p>
              </w:tc>
            </w:tr>
            <w:tr w14:paraId="058A2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vAlign w:val="center"/>
                </w:tcPr>
                <w:p w14:paraId="3D7BC6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p>
              </w:tc>
              <w:tc>
                <w:tcPr>
                  <w:tcW w:w="580" w:type="pct"/>
                  <w:vAlign w:val="center"/>
                </w:tcPr>
                <w:p w14:paraId="7EFE5B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经度（°）</w:t>
                  </w:r>
                </w:p>
              </w:tc>
              <w:tc>
                <w:tcPr>
                  <w:tcW w:w="571" w:type="pct"/>
                  <w:vAlign w:val="center"/>
                </w:tcPr>
                <w:p w14:paraId="65413A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纬度（°）</w:t>
                  </w:r>
                </w:p>
              </w:tc>
              <w:tc>
                <w:tcPr>
                  <w:tcW w:w="819" w:type="pct"/>
                  <w:vMerge w:val="continue"/>
                  <w:vAlign w:val="center"/>
                </w:tcPr>
                <w:p w14:paraId="2AAE00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p>
              </w:tc>
              <w:tc>
                <w:tcPr>
                  <w:tcW w:w="475" w:type="pct"/>
                  <w:vAlign w:val="center"/>
                </w:tcPr>
                <w:p w14:paraId="095080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高度（m）</w:t>
                  </w:r>
                </w:p>
              </w:tc>
              <w:tc>
                <w:tcPr>
                  <w:tcW w:w="635" w:type="pct"/>
                  <w:vAlign w:val="center"/>
                </w:tcPr>
                <w:p w14:paraId="1BE48F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出口内径（m）</w:t>
                  </w:r>
                </w:p>
              </w:tc>
              <w:tc>
                <w:tcPr>
                  <w:tcW w:w="567" w:type="pct"/>
                  <w:vAlign w:val="center"/>
                </w:tcPr>
                <w:p w14:paraId="4BC069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温度（℃）</w:t>
                  </w:r>
                </w:p>
              </w:tc>
              <w:tc>
                <w:tcPr>
                  <w:tcW w:w="783" w:type="pct"/>
                  <w:vAlign w:val="center"/>
                </w:tcPr>
                <w:p w14:paraId="7D85BA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烟气流速（m/s）</w:t>
                  </w:r>
                </w:p>
              </w:tc>
            </w:tr>
            <w:tr w14:paraId="7570E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14:paraId="34C986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3#排气筒</w:t>
                  </w:r>
                </w:p>
              </w:tc>
              <w:tc>
                <w:tcPr>
                  <w:tcW w:w="580" w:type="pct"/>
                  <w:vAlign w:val="center"/>
                </w:tcPr>
                <w:p w14:paraId="6C0F95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119.65296</w:t>
                  </w:r>
                </w:p>
              </w:tc>
              <w:tc>
                <w:tcPr>
                  <w:tcW w:w="571" w:type="pct"/>
                  <w:vAlign w:val="center"/>
                </w:tcPr>
                <w:p w14:paraId="67EEBC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31.7338</w:t>
                  </w:r>
                </w:p>
              </w:tc>
              <w:tc>
                <w:tcPr>
                  <w:tcW w:w="819" w:type="pct"/>
                  <w:vAlign w:val="center"/>
                </w:tcPr>
                <w:p w14:paraId="4FA314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7.8</w:t>
                  </w:r>
                </w:p>
              </w:tc>
              <w:tc>
                <w:tcPr>
                  <w:tcW w:w="475" w:type="pct"/>
                  <w:vAlign w:val="center"/>
                </w:tcPr>
                <w:p w14:paraId="56BBF5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635" w:type="pct"/>
                  <w:vAlign w:val="center"/>
                </w:tcPr>
                <w:p w14:paraId="7E976F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0.4</w:t>
                  </w:r>
                </w:p>
              </w:tc>
              <w:tc>
                <w:tcPr>
                  <w:tcW w:w="567" w:type="pct"/>
                  <w:vAlign w:val="center"/>
                </w:tcPr>
                <w:p w14:paraId="15ECC9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783" w:type="pct"/>
                  <w:vAlign w:val="center"/>
                </w:tcPr>
                <w:p w14:paraId="19FDBB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13.3</w:t>
                  </w:r>
                </w:p>
              </w:tc>
            </w:tr>
          </w:tbl>
          <w:p w14:paraId="32B88307">
            <w:pPr>
              <w:adjustRightInd w:val="0"/>
              <w:snapToGrid w:val="0"/>
              <w:spacing w:line="300" w:lineRule="auto"/>
              <w:rPr>
                <w:rFonts w:hint="default" w:ascii="Times New Roman" w:hAnsi="Times New Roman" w:eastAsia="仿宋" w:cs="Times New Roman"/>
                <w:b/>
                <w:color w:val="auto"/>
                <w:kern w:val="0"/>
                <w:sz w:val="10"/>
                <w:szCs w:val="10"/>
              </w:rPr>
            </w:pPr>
          </w:p>
          <w:p w14:paraId="19F173BF">
            <w:pPr>
              <w:adjustRightInd w:val="0"/>
              <w:snapToGrid w:val="0"/>
              <w:spacing w:line="300" w:lineRule="auto"/>
              <w:rPr>
                <w:rFonts w:hint="default" w:ascii="Times New Roman" w:hAnsi="Times New Roman" w:eastAsia="仿宋" w:cs="Times New Roman"/>
                <w:b/>
                <w:color w:val="auto"/>
                <w:kern w:val="0"/>
                <w:sz w:val="10"/>
                <w:szCs w:val="10"/>
              </w:rPr>
            </w:pPr>
          </w:p>
        </w:tc>
      </w:tr>
    </w:tbl>
    <w:p w14:paraId="1EB629AE">
      <w:pPr>
        <w:adjustRightInd w:val="0"/>
        <w:snapToGrid w:val="0"/>
        <w:spacing w:line="360" w:lineRule="auto"/>
        <w:rPr>
          <w:rFonts w:hint="default" w:ascii="Times New Roman" w:hAnsi="Times New Roman" w:eastAsia="仿宋" w:cs="Times New Roman"/>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41"/>
      </w:tblGrid>
      <w:tr w14:paraId="0965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dxa"/>
            <w:vAlign w:val="center"/>
          </w:tcPr>
          <w:p w14:paraId="64EEC5AC">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59687E12">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2D85D12C">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2F8CA003">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36B6292A">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保护措</w:t>
            </w:r>
          </w:p>
          <w:p w14:paraId="234A510B">
            <w:pPr>
              <w:adjustRightInd w:val="0"/>
              <w:snapToGrid w:val="0"/>
              <w:spacing w:line="360" w:lineRule="auto"/>
              <w:jc w:val="center"/>
              <w:rPr>
                <w:rFonts w:hint="default" w:ascii="Times New Roman" w:hAnsi="Times New Roman" w:eastAsia="仿宋" w:cs="Times New Roman"/>
                <w:b/>
                <w:color w:val="auto"/>
                <w:kern w:val="0"/>
                <w:sz w:val="24"/>
              </w:rPr>
            </w:pPr>
            <w:r>
              <w:rPr>
                <w:rFonts w:hint="default" w:ascii="Times New Roman" w:hAnsi="Times New Roman" w:eastAsia="仿宋" w:cs="Times New Roman"/>
                <w:bCs/>
                <w:color w:val="auto"/>
                <w:sz w:val="24"/>
              </w:rPr>
              <w:t>施</w:t>
            </w:r>
          </w:p>
        </w:tc>
        <w:tc>
          <w:tcPr>
            <w:tcW w:w="8441" w:type="dxa"/>
          </w:tcPr>
          <w:p w14:paraId="46705165">
            <w:pPr>
              <w:adjustRightInd w:val="0"/>
              <w:snapToGrid w:val="0"/>
              <w:spacing w:before="120" w:beforeLines="50" w:line="30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（2）无组织废气</w:t>
            </w:r>
          </w:p>
          <w:p w14:paraId="7F44FED2">
            <w:pPr>
              <w:adjustRightInd w:val="0"/>
              <w:snapToGrid w:val="0"/>
              <w:spacing w:line="360" w:lineRule="auto"/>
              <w:ind w:firstLine="480" w:firstLineChars="200"/>
              <w:jc w:val="left"/>
              <w:rPr>
                <w:rFonts w:hint="default" w:ascii="Times New Roman" w:hAnsi="Times New Roman" w:eastAsia="仿宋" w:cs="Times New Roman"/>
                <w:b/>
                <w:bCs/>
                <w:color w:val="auto"/>
                <w:sz w:val="24"/>
                <w:highlight w:val="none"/>
                <w:lang w:val="en-US" w:eastAsia="zh-CN"/>
              </w:rPr>
            </w:pPr>
            <w:r>
              <w:rPr>
                <w:rFonts w:hint="default" w:ascii="Times New Roman" w:hAnsi="Times New Roman" w:eastAsia="仿宋" w:cs="Times New Roman"/>
                <w:bCs/>
                <w:color w:val="auto"/>
                <w:sz w:val="24"/>
                <w:highlight w:val="none"/>
              </w:rPr>
              <w:t>本项目无组织废气排放情况见表4-</w:t>
            </w:r>
            <w:r>
              <w:rPr>
                <w:rFonts w:hint="eastAsia" w:eastAsia="仿宋" w:cs="Times New Roman"/>
                <w:bCs/>
                <w:color w:val="auto"/>
                <w:sz w:val="24"/>
                <w:highlight w:val="none"/>
                <w:lang w:val="en-US" w:eastAsia="zh-CN"/>
              </w:rPr>
              <w:t>10</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项目建成后全厂无组织废气排放情况见表4-</w:t>
            </w:r>
            <w:r>
              <w:rPr>
                <w:rFonts w:hint="eastAsia" w:eastAsia="仿宋" w:cs="Times New Roman"/>
                <w:bCs/>
                <w:color w:val="auto"/>
                <w:sz w:val="24"/>
                <w:highlight w:val="none"/>
                <w:lang w:val="en-US" w:eastAsia="zh-CN"/>
              </w:rPr>
              <w:t>11</w:t>
            </w:r>
            <w:r>
              <w:rPr>
                <w:rFonts w:hint="default" w:ascii="Times New Roman" w:hAnsi="Times New Roman" w:eastAsia="仿宋" w:cs="Times New Roman"/>
                <w:bCs/>
                <w:color w:val="auto"/>
                <w:sz w:val="24"/>
                <w:highlight w:val="none"/>
                <w:lang w:val="en-US" w:eastAsia="zh-CN"/>
              </w:rPr>
              <w:t>。</w:t>
            </w:r>
          </w:p>
          <w:p w14:paraId="4651AB5A">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10</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本项目</w:t>
            </w:r>
            <w:r>
              <w:rPr>
                <w:rFonts w:hint="default" w:ascii="Times New Roman" w:hAnsi="Times New Roman" w:eastAsia="仿宋" w:cs="Times New Roman"/>
                <w:b/>
                <w:bCs/>
                <w:color w:val="auto"/>
                <w:sz w:val="24"/>
              </w:rPr>
              <w:t>无组织废气产生及排放情况表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43"/>
              <w:gridCol w:w="795"/>
              <w:gridCol w:w="1427"/>
              <w:gridCol w:w="713"/>
              <w:gridCol w:w="874"/>
              <w:gridCol w:w="641"/>
              <w:gridCol w:w="792"/>
              <w:gridCol w:w="831"/>
              <w:gridCol w:w="779"/>
              <w:gridCol w:w="627"/>
            </w:tblGrid>
            <w:tr w14:paraId="4045C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54" w:type="pct"/>
                  <w:vAlign w:val="center"/>
                </w:tcPr>
                <w:p w14:paraId="209B5BD7">
                  <w:pPr>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面源名称</w:t>
                  </w:r>
                </w:p>
              </w:tc>
              <w:tc>
                <w:tcPr>
                  <w:tcW w:w="485" w:type="pct"/>
                  <w:vAlign w:val="center"/>
                </w:tcPr>
                <w:p w14:paraId="30C0E84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污染物产生环节</w:t>
                  </w:r>
                </w:p>
              </w:tc>
              <w:tc>
                <w:tcPr>
                  <w:tcW w:w="869" w:type="pct"/>
                  <w:vAlign w:val="center"/>
                </w:tcPr>
                <w:p w14:paraId="5345C94F">
                  <w:pPr>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污染物名称</w:t>
                  </w:r>
                </w:p>
              </w:tc>
              <w:tc>
                <w:tcPr>
                  <w:tcW w:w="435" w:type="pct"/>
                  <w:vAlign w:val="center"/>
                </w:tcPr>
                <w:p w14:paraId="083C25DD">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产生量</w:t>
                  </w:r>
                  <w:r>
                    <w:rPr>
                      <w:rFonts w:hint="default" w:ascii="Times New Roman" w:hAnsi="Times New Roman" w:eastAsia="仿宋" w:cs="Times New Roman"/>
                      <w:b/>
                      <w:bCs/>
                      <w:color w:val="auto"/>
                      <w:sz w:val="21"/>
                      <w:szCs w:val="21"/>
                      <w:lang w:val="en-US" w:eastAsia="zh-CN"/>
                    </w:rPr>
                    <w:t>kg</w:t>
                  </w:r>
                  <w:r>
                    <w:rPr>
                      <w:rFonts w:hint="default" w:ascii="Times New Roman" w:hAnsi="Times New Roman" w:eastAsia="仿宋" w:cs="Times New Roman"/>
                      <w:b/>
                      <w:bCs/>
                      <w:color w:val="auto"/>
                      <w:sz w:val="21"/>
                      <w:szCs w:val="21"/>
                    </w:rPr>
                    <w:t>/a</w:t>
                  </w:r>
                </w:p>
              </w:tc>
              <w:tc>
                <w:tcPr>
                  <w:tcW w:w="533" w:type="pct"/>
                  <w:vAlign w:val="center"/>
                </w:tcPr>
                <w:p w14:paraId="451E2F19">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产生速率kg/h</w:t>
                  </w:r>
                </w:p>
              </w:tc>
              <w:tc>
                <w:tcPr>
                  <w:tcW w:w="391" w:type="pct"/>
                  <w:vAlign w:val="center"/>
                </w:tcPr>
                <w:p w14:paraId="4BCA3219">
                  <w:pPr>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治理措施</w:t>
                  </w:r>
                </w:p>
              </w:tc>
              <w:tc>
                <w:tcPr>
                  <w:tcW w:w="483" w:type="pct"/>
                  <w:vAlign w:val="center"/>
                </w:tcPr>
                <w:p w14:paraId="229376C8">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排放量</w:t>
                  </w:r>
                  <w:r>
                    <w:rPr>
                      <w:rFonts w:hint="default" w:ascii="Times New Roman" w:hAnsi="Times New Roman" w:eastAsia="仿宋" w:cs="Times New Roman"/>
                      <w:b/>
                      <w:bCs/>
                      <w:color w:val="auto"/>
                      <w:sz w:val="21"/>
                      <w:szCs w:val="21"/>
                      <w:lang w:val="en-US" w:eastAsia="zh-CN"/>
                    </w:rPr>
                    <w:t>kg</w:t>
                  </w:r>
                  <w:r>
                    <w:rPr>
                      <w:rFonts w:hint="default" w:ascii="Times New Roman" w:hAnsi="Times New Roman" w:eastAsia="仿宋" w:cs="Times New Roman"/>
                      <w:b/>
                      <w:bCs/>
                      <w:color w:val="auto"/>
                      <w:sz w:val="21"/>
                      <w:szCs w:val="21"/>
                    </w:rPr>
                    <w:t>/a</w:t>
                  </w:r>
                </w:p>
              </w:tc>
              <w:tc>
                <w:tcPr>
                  <w:tcW w:w="507" w:type="pct"/>
                  <w:vAlign w:val="center"/>
                </w:tcPr>
                <w:p w14:paraId="06754C72">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排放速率kg/h</w:t>
                  </w:r>
                </w:p>
              </w:tc>
              <w:tc>
                <w:tcPr>
                  <w:tcW w:w="456" w:type="pct"/>
                  <w:vAlign w:val="center"/>
                </w:tcPr>
                <w:p w14:paraId="5C787F2F">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highlight w:val="none"/>
                    </w:rPr>
                    <w:t>面源面积（m</w:t>
                  </w:r>
                  <w:r>
                    <w:rPr>
                      <w:rFonts w:hint="default" w:ascii="Times New Roman" w:hAnsi="Times New Roman" w:eastAsia="仿宋" w:cs="Times New Roman"/>
                      <w:b/>
                      <w:bCs/>
                      <w:color w:val="auto"/>
                      <w:sz w:val="21"/>
                      <w:szCs w:val="21"/>
                      <w:highlight w:val="none"/>
                      <w:vertAlign w:val="superscript"/>
                    </w:rPr>
                    <w:t>2</w:t>
                  </w:r>
                  <w:r>
                    <w:rPr>
                      <w:rFonts w:hint="default" w:ascii="Times New Roman" w:hAnsi="Times New Roman" w:eastAsia="仿宋" w:cs="Times New Roman"/>
                      <w:b/>
                      <w:bCs/>
                      <w:color w:val="auto"/>
                      <w:sz w:val="21"/>
                      <w:szCs w:val="21"/>
                      <w:highlight w:val="none"/>
                    </w:rPr>
                    <w:t>）</w:t>
                  </w:r>
                </w:p>
              </w:tc>
              <w:tc>
                <w:tcPr>
                  <w:tcW w:w="383" w:type="pct"/>
                  <w:vAlign w:val="center"/>
                </w:tcPr>
                <w:p w14:paraId="60EDDA3A">
                  <w:pPr>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color w:val="auto"/>
                      <w:sz w:val="21"/>
                      <w:szCs w:val="21"/>
                    </w:rPr>
                    <w:t>面源高度m</w:t>
                  </w:r>
                </w:p>
              </w:tc>
            </w:tr>
            <w:tr w14:paraId="4ECC0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454" w:type="pct"/>
                  <w:vMerge w:val="restart"/>
                  <w:vAlign w:val="center"/>
                </w:tcPr>
                <w:p w14:paraId="129390F5">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实验室</w:t>
                  </w:r>
                </w:p>
              </w:tc>
              <w:tc>
                <w:tcPr>
                  <w:tcW w:w="485" w:type="pct"/>
                  <w:vMerge w:val="restart"/>
                  <w:vAlign w:val="center"/>
                </w:tcPr>
                <w:p w14:paraId="149B259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未捕集的废气</w:t>
                  </w:r>
                </w:p>
              </w:tc>
              <w:tc>
                <w:tcPr>
                  <w:tcW w:w="869" w:type="pct"/>
                  <w:vAlign w:val="center"/>
                </w:tcPr>
                <w:p w14:paraId="1E17B1C7">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氯化氢</w:t>
                  </w:r>
                </w:p>
              </w:tc>
              <w:tc>
                <w:tcPr>
                  <w:tcW w:w="713" w:type="dxa"/>
                  <w:vAlign w:val="center"/>
                </w:tcPr>
                <w:p w14:paraId="09AAFA17">
                  <w:pPr>
                    <w:widowControl/>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Cs w:val="21"/>
                      <w:lang w:val="en-US" w:eastAsia="zh-CN"/>
                    </w:rPr>
                    <w:t>0.</w:t>
                  </w:r>
                  <w:r>
                    <w:rPr>
                      <w:rFonts w:hint="eastAsia" w:eastAsia="仿宋" w:cs="Times New Roman"/>
                      <w:color w:val="auto"/>
                      <w:szCs w:val="21"/>
                      <w:lang w:val="en-US" w:eastAsia="zh-CN"/>
                    </w:rPr>
                    <w:t>04</w:t>
                  </w:r>
                </w:p>
              </w:tc>
              <w:tc>
                <w:tcPr>
                  <w:tcW w:w="874" w:type="dxa"/>
                  <w:vAlign w:val="center"/>
                </w:tcPr>
                <w:p w14:paraId="165414F5">
                  <w:pPr>
                    <w:widowControl/>
                    <w:jc w:val="center"/>
                    <w:rPr>
                      <w:rFonts w:hint="default" w:ascii="Times New Roman" w:hAnsi="Times New Roman" w:eastAsia="仿宋" w:cs="Times New Roman"/>
                      <w:color w:val="auto"/>
                      <w:sz w:val="21"/>
                      <w:szCs w:val="21"/>
                    </w:rPr>
                  </w:pPr>
                  <w:r>
                    <w:rPr>
                      <w:rFonts w:hint="eastAsia" w:eastAsia="仿宋" w:cs="Times New Roman"/>
                      <w:color w:val="auto"/>
                      <w:szCs w:val="21"/>
                      <w:lang w:val="en-US" w:eastAsia="zh-CN"/>
                    </w:rPr>
                    <w:t>0.00007</w:t>
                  </w:r>
                </w:p>
              </w:tc>
              <w:tc>
                <w:tcPr>
                  <w:tcW w:w="391" w:type="pct"/>
                  <w:vMerge w:val="restart"/>
                  <w:vAlign w:val="center"/>
                </w:tcPr>
                <w:p w14:paraId="586691C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车间通风</w:t>
                  </w:r>
                </w:p>
              </w:tc>
              <w:tc>
                <w:tcPr>
                  <w:tcW w:w="792" w:type="dxa"/>
                  <w:vAlign w:val="center"/>
                </w:tcPr>
                <w:p w14:paraId="15CAACD9">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0.</w:t>
                  </w:r>
                  <w:r>
                    <w:rPr>
                      <w:rFonts w:hint="eastAsia" w:eastAsia="仿宋" w:cs="Times New Roman"/>
                      <w:color w:val="auto"/>
                      <w:szCs w:val="21"/>
                      <w:lang w:val="en-US" w:eastAsia="zh-CN"/>
                    </w:rPr>
                    <w:t>04</w:t>
                  </w:r>
                </w:p>
              </w:tc>
              <w:tc>
                <w:tcPr>
                  <w:tcW w:w="831" w:type="dxa"/>
                  <w:vAlign w:val="center"/>
                </w:tcPr>
                <w:p w14:paraId="075E825B">
                  <w:pPr>
                    <w:widowControl/>
                    <w:jc w:val="center"/>
                    <w:rPr>
                      <w:rFonts w:hint="default" w:ascii="Times New Roman" w:hAnsi="Times New Roman" w:eastAsia="仿宋" w:cs="Times New Roman"/>
                      <w:color w:val="auto"/>
                      <w:sz w:val="21"/>
                      <w:szCs w:val="21"/>
                    </w:rPr>
                  </w:pPr>
                  <w:r>
                    <w:rPr>
                      <w:rFonts w:hint="eastAsia" w:eastAsia="仿宋" w:cs="Times New Roman"/>
                      <w:color w:val="auto"/>
                      <w:szCs w:val="21"/>
                      <w:lang w:val="en-US" w:eastAsia="zh-CN"/>
                    </w:rPr>
                    <w:t>0.00007</w:t>
                  </w:r>
                </w:p>
              </w:tc>
              <w:tc>
                <w:tcPr>
                  <w:tcW w:w="456" w:type="pct"/>
                  <w:vMerge w:val="restart"/>
                  <w:vAlign w:val="center"/>
                </w:tcPr>
                <w:p w14:paraId="5A749347">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25</w:t>
                  </w:r>
                </w:p>
              </w:tc>
              <w:tc>
                <w:tcPr>
                  <w:tcW w:w="383" w:type="pct"/>
                  <w:vMerge w:val="restart"/>
                  <w:vAlign w:val="center"/>
                </w:tcPr>
                <w:p w14:paraId="27360CC9">
                  <w:pPr>
                    <w:widowControl/>
                    <w:jc w:val="center"/>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15</w:t>
                  </w:r>
                </w:p>
              </w:tc>
            </w:tr>
            <w:tr w14:paraId="62D72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40" w:hRule="atLeast"/>
              </w:trPr>
              <w:tc>
                <w:tcPr>
                  <w:tcW w:w="454" w:type="pct"/>
                  <w:vMerge w:val="continue"/>
                  <w:vAlign w:val="center"/>
                </w:tcPr>
                <w:p w14:paraId="5F42DCF5">
                  <w:pPr>
                    <w:jc w:val="center"/>
                    <w:rPr>
                      <w:rFonts w:hint="default" w:ascii="Times New Roman" w:hAnsi="Times New Roman" w:eastAsia="仿宋" w:cs="Times New Roman"/>
                      <w:color w:val="auto"/>
                      <w:sz w:val="21"/>
                      <w:szCs w:val="21"/>
                    </w:rPr>
                  </w:pPr>
                </w:p>
              </w:tc>
              <w:tc>
                <w:tcPr>
                  <w:tcW w:w="485" w:type="pct"/>
                  <w:vMerge w:val="continue"/>
                  <w:vAlign w:val="center"/>
                </w:tcPr>
                <w:p w14:paraId="6A9B6E62">
                  <w:pPr>
                    <w:adjustRightInd w:val="0"/>
                    <w:snapToGrid w:val="0"/>
                    <w:jc w:val="center"/>
                    <w:rPr>
                      <w:rFonts w:hint="default" w:ascii="Times New Roman" w:hAnsi="Times New Roman" w:eastAsia="仿宋" w:cs="Times New Roman"/>
                      <w:color w:val="auto"/>
                      <w:sz w:val="21"/>
                      <w:szCs w:val="21"/>
                    </w:rPr>
                  </w:pPr>
                </w:p>
              </w:tc>
              <w:tc>
                <w:tcPr>
                  <w:tcW w:w="869" w:type="pct"/>
                  <w:vAlign w:val="center"/>
                </w:tcPr>
                <w:p w14:paraId="2C29C345">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非甲烷总烃</w:t>
                  </w:r>
                </w:p>
              </w:tc>
              <w:tc>
                <w:tcPr>
                  <w:tcW w:w="435" w:type="pct"/>
                  <w:vAlign w:val="center"/>
                </w:tcPr>
                <w:p w14:paraId="2E704DD9">
                  <w:pPr>
                    <w:widowControl/>
                    <w:jc w:val="center"/>
                    <w:rPr>
                      <w:rFonts w:hint="default" w:ascii="Times New Roman" w:hAnsi="Times New Roman" w:eastAsia="仿宋" w:cs="Times New Roman"/>
                      <w:color w:val="auto"/>
                      <w:sz w:val="21"/>
                      <w:szCs w:val="21"/>
                      <w:highlight w:val="green"/>
                      <w:lang w:val="en-US" w:eastAsia="zh-CN"/>
                    </w:rPr>
                  </w:pPr>
                  <w:r>
                    <w:rPr>
                      <w:rFonts w:hint="default" w:ascii="Times New Roman" w:hAnsi="Times New Roman" w:eastAsia="仿宋" w:cs="Times New Roman"/>
                      <w:color w:val="auto"/>
                      <w:sz w:val="21"/>
                      <w:szCs w:val="21"/>
                      <w:lang w:val="en-US" w:eastAsia="zh-CN"/>
                    </w:rPr>
                    <w:t>1.02</w:t>
                  </w:r>
                </w:p>
              </w:tc>
              <w:tc>
                <w:tcPr>
                  <w:tcW w:w="533" w:type="pct"/>
                  <w:vAlign w:val="center"/>
                </w:tcPr>
                <w:p w14:paraId="10464860">
                  <w:pPr>
                    <w:widowControl/>
                    <w:jc w:val="center"/>
                    <w:rPr>
                      <w:rFonts w:hint="default" w:ascii="Times New Roman" w:hAnsi="Times New Roman" w:eastAsia="仿宋" w:cs="Times New Roman"/>
                      <w:color w:val="auto"/>
                      <w:sz w:val="21"/>
                      <w:szCs w:val="21"/>
                      <w:highlight w:val="green"/>
                      <w:lang w:val="en-US" w:eastAsia="zh-CN"/>
                    </w:rPr>
                  </w:pPr>
                  <w:r>
                    <w:rPr>
                      <w:rFonts w:hint="default" w:ascii="Times New Roman" w:hAnsi="Times New Roman" w:eastAsia="仿宋" w:cs="Times New Roman"/>
                      <w:color w:val="auto"/>
                      <w:sz w:val="21"/>
                      <w:szCs w:val="21"/>
                      <w:lang w:val="en-US" w:eastAsia="zh-CN"/>
                    </w:rPr>
                    <w:t>0.002</w:t>
                  </w:r>
                </w:p>
              </w:tc>
              <w:tc>
                <w:tcPr>
                  <w:tcW w:w="391" w:type="pct"/>
                  <w:vMerge w:val="continue"/>
                  <w:vAlign w:val="center"/>
                </w:tcPr>
                <w:p w14:paraId="053AFCA4">
                  <w:pPr>
                    <w:jc w:val="center"/>
                    <w:rPr>
                      <w:rFonts w:hint="default" w:ascii="Times New Roman" w:hAnsi="Times New Roman" w:eastAsia="仿宋" w:cs="Times New Roman"/>
                      <w:color w:val="auto"/>
                      <w:sz w:val="21"/>
                      <w:szCs w:val="21"/>
                    </w:rPr>
                  </w:pPr>
                </w:p>
              </w:tc>
              <w:tc>
                <w:tcPr>
                  <w:tcW w:w="483" w:type="pct"/>
                  <w:vAlign w:val="center"/>
                </w:tcPr>
                <w:p w14:paraId="3EB07EFA">
                  <w:pPr>
                    <w:widowControl/>
                    <w:jc w:val="center"/>
                    <w:rPr>
                      <w:rFonts w:hint="default" w:ascii="Times New Roman" w:hAnsi="Times New Roman" w:eastAsia="仿宋" w:cs="Times New Roman"/>
                      <w:color w:val="auto"/>
                      <w:sz w:val="21"/>
                      <w:szCs w:val="21"/>
                      <w:highlight w:val="green"/>
                    </w:rPr>
                  </w:pPr>
                  <w:r>
                    <w:rPr>
                      <w:rFonts w:hint="default" w:ascii="Times New Roman" w:hAnsi="Times New Roman" w:eastAsia="仿宋" w:cs="Times New Roman"/>
                      <w:color w:val="auto"/>
                      <w:sz w:val="21"/>
                      <w:szCs w:val="21"/>
                      <w:lang w:val="en-US" w:eastAsia="zh-CN"/>
                    </w:rPr>
                    <w:t>1.02</w:t>
                  </w:r>
                </w:p>
              </w:tc>
              <w:tc>
                <w:tcPr>
                  <w:tcW w:w="507" w:type="pct"/>
                  <w:vAlign w:val="center"/>
                </w:tcPr>
                <w:p w14:paraId="7CCE5157">
                  <w:pPr>
                    <w:widowControl/>
                    <w:jc w:val="center"/>
                    <w:rPr>
                      <w:rFonts w:hint="default" w:ascii="Times New Roman" w:hAnsi="Times New Roman" w:eastAsia="仿宋" w:cs="Times New Roman"/>
                      <w:color w:val="auto"/>
                      <w:sz w:val="21"/>
                      <w:szCs w:val="21"/>
                      <w:highlight w:val="green"/>
                    </w:rPr>
                  </w:pPr>
                  <w:r>
                    <w:rPr>
                      <w:rFonts w:hint="default" w:ascii="Times New Roman" w:hAnsi="Times New Roman" w:eastAsia="仿宋" w:cs="Times New Roman"/>
                      <w:color w:val="auto"/>
                      <w:sz w:val="21"/>
                      <w:szCs w:val="21"/>
                      <w:lang w:val="en-US" w:eastAsia="zh-CN"/>
                    </w:rPr>
                    <w:t>0.002</w:t>
                  </w:r>
                </w:p>
              </w:tc>
              <w:tc>
                <w:tcPr>
                  <w:tcW w:w="456" w:type="pct"/>
                  <w:vMerge w:val="continue"/>
                  <w:vAlign w:val="center"/>
                </w:tcPr>
                <w:p w14:paraId="1E317B57">
                  <w:pPr>
                    <w:jc w:val="center"/>
                    <w:rPr>
                      <w:rFonts w:hint="default" w:ascii="Times New Roman" w:hAnsi="Times New Roman" w:eastAsia="仿宋" w:cs="Times New Roman"/>
                      <w:color w:val="auto"/>
                      <w:szCs w:val="21"/>
                    </w:rPr>
                  </w:pPr>
                </w:p>
              </w:tc>
              <w:tc>
                <w:tcPr>
                  <w:tcW w:w="383" w:type="pct"/>
                  <w:vMerge w:val="continue"/>
                  <w:vAlign w:val="center"/>
                </w:tcPr>
                <w:p w14:paraId="689B1C44">
                  <w:pPr>
                    <w:jc w:val="center"/>
                    <w:rPr>
                      <w:rFonts w:hint="default" w:ascii="Times New Roman" w:hAnsi="Times New Roman" w:eastAsia="仿宋" w:cs="Times New Roman"/>
                      <w:color w:val="auto"/>
                      <w:szCs w:val="21"/>
                    </w:rPr>
                  </w:pPr>
                </w:p>
              </w:tc>
            </w:tr>
            <w:tr w14:paraId="2F05F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40" w:hRule="atLeast"/>
              </w:trPr>
              <w:tc>
                <w:tcPr>
                  <w:tcW w:w="454" w:type="pct"/>
                  <w:vMerge w:val="continue"/>
                  <w:vAlign w:val="center"/>
                </w:tcPr>
                <w:p w14:paraId="635C98D5">
                  <w:pPr>
                    <w:jc w:val="center"/>
                    <w:rPr>
                      <w:rFonts w:hint="default" w:ascii="Times New Roman" w:hAnsi="Times New Roman" w:eastAsia="仿宋" w:cs="Times New Roman"/>
                      <w:color w:val="auto"/>
                      <w:sz w:val="21"/>
                      <w:szCs w:val="21"/>
                    </w:rPr>
                  </w:pPr>
                </w:p>
              </w:tc>
              <w:tc>
                <w:tcPr>
                  <w:tcW w:w="485" w:type="pct"/>
                  <w:vMerge w:val="continue"/>
                  <w:vAlign w:val="center"/>
                </w:tcPr>
                <w:p w14:paraId="2310D47F">
                  <w:pPr>
                    <w:adjustRightInd w:val="0"/>
                    <w:snapToGrid w:val="0"/>
                    <w:jc w:val="center"/>
                    <w:rPr>
                      <w:rFonts w:hint="default" w:ascii="Times New Roman" w:hAnsi="Times New Roman" w:eastAsia="仿宋" w:cs="Times New Roman"/>
                      <w:color w:val="auto"/>
                      <w:sz w:val="21"/>
                      <w:szCs w:val="21"/>
                    </w:rPr>
                  </w:pPr>
                </w:p>
              </w:tc>
              <w:tc>
                <w:tcPr>
                  <w:tcW w:w="869" w:type="pct"/>
                  <w:vAlign w:val="center"/>
                </w:tcPr>
                <w:p w14:paraId="5DF1A195">
                  <w:pPr>
                    <w:widowControl/>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锡及其化合物</w:t>
                  </w:r>
                </w:p>
              </w:tc>
              <w:tc>
                <w:tcPr>
                  <w:tcW w:w="968" w:type="pct"/>
                  <w:gridSpan w:val="2"/>
                  <w:vAlign w:val="center"/>
                </w:tcPr>
                <w:p w14:paraId="6EDC13E7">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不定量分析</w:t>
                  </w:r>
                </w:p>
              </w:tc>
              <w:tc>
                <w:tcPr>
                  <w:tcW w:w="391" w:type="pct"/>
                  <w:vMerge w:val="continue"/>
                  <w:vAlign w:val="center"/>
                </w:tcPr>
                <w:p w14:paraId="09BA6B44">
                  <w:pPr>
                    <w:jc w:val="center"/>
                    <w:rPr>
                      <w:rFonts w:hint="default" w:ascii="Times New Roman" w:hAnsi="Times New Roman" w:eastAsia="仿宋" w:cs="Times New Roman"/>
                      <w:color w:val="auto"/>
                      <w:sz w:val="21"/>
                      <w:szCs w:val="21"/>
                    </w:rPr>
                  </w:pPr>
                </w:p>
              </w:tc>
              <w:tc>
                <w:tcPr>
                  <w:tcW w:w="990" w:type="pct"/>
                  <w:gridSpan w:val="2"/>
                  <w:vAlign w:val="center"/>
                </w:tcPr>
                <w:p w14:paraId="11825AD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不定量分析</w:t>
                  </w:r>
                </w:p>
              </w:tc>
              <w:tc>
                <w:tcPr>
                  <w:tcW w:w="456" w:type="pct"/>
                  <w:vMerge w:val="continue"/>
                  <w:vAlign w:val="center"/>
                </w:tcPr>
                <w:p w14:paraId="21E83831">
                  <w:pPr>
                    <w:jc w:val="center"/>
                    <w:rPr>
                      <w:rFonts w:hint="default" w:ascii="Times New Roman" w:hAnsi="Times New Roman" w:eastAsia="仿宋" w:cs="Times New Roman"/>
                      <w:color w:val="auto"/>
                      <w:szCs w:val="21"/>
                    </w:rPr>
                  </w:pPr>
                </w:p>
              </w:tc>
              <w:tc>
                <w:tcPr>
                  <w:tcW w:w="383" w:type="pct"/>
                  <w:vMerge w:val="continue"/>
                  <w:vAlign w:val="center"/>
                </w:tcPr>
                <w:p w14:paraId="19897DA7">
                  <w:pPr>
                    <w:jc w:val="center"/>
                    <w:rPr>
                      <w:rFonts w:hint="default" w:ascii="Times New Roman" w:hAnsi="Times New Roman" w:eastAsia="仿宋" w:cs="Times New Roman"/>
                      <w:color w:val="auto"/>
                      <w:szCs w:val="21"/>
                    </w:rPr>
                  </w:pPr>
                </w:p>
              </w:tc>
            </w:tr>
          </w:tbl>
          <w:p w14:paraId="330E1720">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11</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全厂</w:t>
            </w:r>
            <w:r>
              <w:rPr>
                <w:rFonts w:hint="default" w:ascii="Times New Roman" w:hAnsi="Times New Roman" w:eastAsia="仿宋" w:cs="Times New Roman"/>
                <w:b/>
                <w:bCs/>
                <w:color w:val="auto"/>
                <w:sz w:val="24"/>
                <w:highlight w:val="none"/>
              </w:rPr>
              <w:t>无组织废气产生及排放情况表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74"/>
              <w:gridCol w:w="916"/>
              <w:gridCol w:w="854"/>
              <w:gridCol w:w="976"/>
              <w:gridCol w:w="949"/>
              <w:gridCol w:w="716"/>
              <w:gridCol w:w="844"/>
              <w:gridCol w:w="949"/>
              <w:gridCol w:w="664"/>
              <w:gridCol w:w="583"/>
            </w:tblGrid>
            <w:tr w14:paraId="76276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479" w:type="pct"/>
                  <w:vAlign w:val="center"/>
                </w:tcPr>
                <w:p w14:paraId="3335E9B1">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面源名称</w:t>
                  </w:r>
                </w:p>
              </w:tc>
              <w:tc>
                <w:tcPr>
                  <w:tcW w:w="565" w:type="pct"/>
                  <w:vAlign w:val="center"/>
                </w:tcPr>
                <w:p w14:paraId="79BDE1FC">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sz w:val="21"/>
                      <w:szCs w:val="21"/>
                    </w:rPr>
                    <w:t>污染物产生环节</w:t>
                  </w:r>
                </w:p>
              </w:tc>
              <w:tc>
                <w:tcPr>
                  <w:tcW w:w="527" w:type="pct"/>
                  <w:vAlign w:val="center"/>
                </w:tcPr>
                <w:p w14:paraId="7C254F4D">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污染物名称</w:t>
                  </w:r>
                </w:p>
              </w:tc>
              <w:tc>
                <w:tcPr>
                  <w:tcW w:w="601" w:type="pct"/>
                  <w:vAlign w:val="center"/>
                </w:tcPr>
                <w:p w14:paraId="435ED9B5">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污染物产生量</w:t>
                  </w:r>
                  <w:r>
                    <w:rPr>
                      <w:rFonts w:hint="eastAsia" w:eastAsia="仿宋" w:cs="Times New Roman"/>
                      <w:b/>
                      <w:bCs/>
                      <w:color w:val="auto"/>
                      <w:sz w:val="21"/>
                      <w:szCs w:val="21"/>
                      <w:lang w:val="en-US" w:eastAsia="zh-CN"/>
                    </w:rPr>
                    <w:t>t</w:t>
                  </w:r>
                  <w:r>
                    <w:rPr>
                      <w:rFonts w:hint="default" w:ascii="Times New Roman" w:hAnsi="Times New Roman" w:eastAsia="仿宋" w:cs="Times New Roman"/>
                      <w:b/>
                      <w:bCs/>
                      <w:color w:val="auto"/>
                      <w:sz w:val="21"/>
                      <w:szCs w:val="21"/>
                    </w:rPr>
                    <w:t>/a</w:t>
                  </w:r>
                </w:p>
              </w:tc>
              <w:tc>
                <w:tcPr>
                  <w:tcW w:w="572" w:type="pct"/>
                  <w:vAlign w:val="center"/>
                </w:tcPr>
                <w:p w14:paraId="47CCB623">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bCs/>
                      <w:color w:val="auto"/>
                      <w:sz w:val="21"/>
                      <w:szCs w:val="21"/>
                    </w:rPr>
                    <w:t>污染物产生速率kg/h</w:t>
                  </w:r>
                </w:p>
              </w:tc>
              <w:tc>
                <w:tcPr>
                  <w:tcW w:w="443" w:type="pct"/>
                  <w:vAlign w:val="center"/>
                </w:tcPr>
                <w:p w14:paraId="2E360B52">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治理</w:t>
                  </w:r>
                </w:p>
                <w:p w14:paraId="5E2E78ED">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措施</w:t>
                  </w:r>
                </w:p>
              </w:tc>
              <w:tc>
                <w:tcPr>
                  <w:tcW w:w="510" w:type="pct"/>
                  <w:vAlign w:val="center"/>
                </w:tcPr>
                <w:p w14:paraId="171D5128">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污染物排放量</w:t>
                  </w:r>
                  <w:r>
                    <w:rPr>
                      <w:rFonts w:hint="eastAsia" w:eastAsia="仿宋" w:cs="Times New Roman"/>
                      <w:b/>
                      <w:bCs/>
                      <w:color w:val="auto"/>
                      <w:sz w:val="21"/>
                      <w:szCs w:val="21"/>
                      <w:lang w:val="en-US" w:eastAsia="zh-CN"/>
                    </w:rPr>
                    <w:t>t</w:t>
                  </w:r>
                  <w:r>
                    <w:rPr>
                      <w:rFonts w:hint="default" w:ascii="Times New Roman" w:hAnsi="Times New Roman" w:eastAsia="仿宋" w:cs="Times New Roman"/>
                      <w:b/>
                      <w:bCs/>
                      <w:color w:val="auto"/>
                      <w:sz w:val="21"/>
                      <w:szCs w:val="21"/>
                    </w:rPr>
                    <w:t>/a</w:t>
                  </w:r>
                </w:p>
              </w:tc>
              <w:tc>
                <w:tcPr>
                  <w:tcW w:w="527" w:type="pct"/>
                  <w:vAlign w:val="center"/>
                </w:tcPr>
                <w:p w14:paraId="3CA66DCD">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排放速率</w:t>
                  </w:r>
                  <w:r>
                    <w:rPr>
                      <w:rFonts w:hint="default" w:ascii="Times New Roman" w:hAnsi="Times New Roman" w:eastAsia="仿宋" w:cs="Times New Roman"/>
                      <w:b/>
                      <w:bCs/>
                      <w:color w:val="auto"/>
                      <w:sz w:val="21"/>
                      <w:szCs w:val="21"/>
                    </w:rPr>
                    <w:t>kg/h</w:t>
                  </w:r>
                </w:p>
              </w:tc>
              <w:tc>
                <w:tcPr>
                  <w:tcW w:w="411" w:type="pct"/>
                  <w:vAlign w:val="center"/>
                </w:tcPr>
                <w:p w14:paraId="105FDA0D">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面源面积m</w:t>
                  </w:r>
                  <w:r>
                    <w:rPr>
                      <w:rFonts w:hint="default" w:ascii="Times New Roman" w:hAnsi="Times New Roman" w:eastAsia="仿宋" w:cs="Times New Roman"/>
                      <w:b/>
                      <w:color w:val="auto"/>
                      <w:sz w:val="21"/>
                      <w:szCs w:val="21"/>
                      <w:vertAlign w:val="superscript"/>
                    </w:rPr>
                    <w:t>2</w:t>
                  </w:r>
                </w:p>
              </w:tc>
              <w:tc>
                <w:tcPr>
                  <w:tcW w:w="362" w:type="pct"/>
                  <w:vAlign w:val="center"/>
                </w:tcPr>
                <w:p w14:paraId="260D6C29">
                  <w:pPr>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面源高度m</w:t>
                  </w:r>
                </w:p>
              </w:tc>
            </w:tr>
            <w:tr w14:paraId="17529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restart"/>
                  <w:vAlign w:val="center"/>
                </w:tcPr>
                <w:p w14:paraId="0C76020D">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实验室</w:t>
                  </w:r>
                </w:p>
              </w:tc>
              <w:tc>
                <w:tcPr>
                  <w:tcW w:w="565" w:type="pct"/>
                  <w:vMerge w:val="restart"/>
                  <w:vAlign w:val="center"/>
                </w:tcPr>
                <w:p w14:paraId="3C8584A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未捕集的废气</w:t>
                  </w:r>
                </w:p>
              </w:tc>
              <w:tc>
                <w:tcPr>
                  <w:tcW w:w="527" w:type="pct"/>
                  <w:vAlign w:val="center"/>
                </w:tcPr>
                <w:p w14:paraId="7B2A13E5">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氯化氢</w:t>
                  </w:r>
                </w:p>
              </w:tc>
              <w:tc>
                <w:tcPr>
                  <w:tcW w:w="976" w:type="dxa"/>
                  <w:vAlign w:val="center"/>
                </w:tcPr>
                <w:p w14:paraId="0C79C5F6">
                  <w:pPr>
                    <w:widowControl/>
                    <w:jc w:val="center"/>
                    <w:rPr>
                      <w:rFonts w:hint="default" w:ascii="Times New Roman" w:hAnsi="Times New Roman" w:eastAsia="仿宋" w:cs="Times New Roman"/>
                      <w:color w:val="auto"/>
                      <w:sz w:val="21"/>
                      <w:szCs w:val="21"/>
                      <w:lang w:val="en-US"/>
                    </w:rPr>
                  </w:pPr>
                  <w:r>
                    <w:rPr>
                      <w:rFonts w:hint="eastAsia" w:eastAsia="仿宋" w:cs="Times New Roman"/>
                      <w:color w:val="auto"/>
                      <w:szCs w:val="21"/>
                      <w:lang w:val="en-US" w:eastAsia="zh-CN"/>
                    </w:rPr>
                    <w:t>0.00004</w:t>
                  </w:r>
                </w:p>
              </w:tc>
              <w:tc>
                <w:tcPr>
                  <w:tcW w:w="949" w:type="dxa"/>
                  <w:vAlign w:val="center"/>
                </w:tcPr>
                <w:p w14:paraId="59BA5BD2">
                  <w:pPr>
                    <w:widowControl/>
                    <w:jc w:val="center"/>
                    <w:rPr>
                      <w:rFonts w:hint="default" w:ascii="Times New Roman" w:hAnsi="Times New Roman" w:eastAsia="仿宋" w:cs="Times New Roman"/>
                      <w:color w:val="auto"/>
                      <w:sz w:val="21"/>
                      <w:szCs w:val="21"/>
                    </w:rPr>
                  </w:pPr>
                  <w:r>
                    <w:rPr>
                      <w:rFonts w:hint="eastAsia" w:eastAsia="仿宋" w:cs="Times New Roman"/>
                      <w:color w:val="auto"/>
                      <w:szCs w:val="21"/>
                      <w:lang w:val="en-US" w:eastAsia="zh-CN"/>
                    </w:rPr>
                    <w:t>0.00007</w:t>
                  </w:r>
                </w:p>
              </w:tc>
              <w:tc>
                <w:tcPr>
                  <w:tcW w:w="443" w:type="pct"/>
                  <w:vMerge w:val="restart"/>
                  <w:vAlign w:val="center"/>
                </w:tcPr>
                <w:p w14:paraId="66CE3910">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车间通风</w:t>
                  </w:r>
                </w:p>
              </w:tc>
              <w:tc>
                <w:tcPr>
                  <w:tcW w:w="844" w:type="dxa"/>
                  <w:vAlign w:val="center"/>
                </w:tcPr>
                <w:p w14:paraId="620348D5">
                  <w:pPr>
                    <w:widowControl/>
                    <w:jc w:val="center"/>
                    <w:rPr>
                      <w:rFonts w:hint="default" w:ascii="Times New Roman" w:hAnsi="Times New Roman" w:eastAsia="仿宋" w:cs="Times New Roman"/>
                      <w:color w:val="auto"/>
                      <w:sz w:val="21"/>
                      <w:szCs w:val="21"/>
                    </w:rPr>
                  </w:pPr>
                  <w:r>
                    <w:rPr>
                      <w:rFonts w:hint="eastAsia" w:eastAsia="仿宋" w:cs="Times New Roman"/>
                      <w:color w:val="auto"/>
                      <w:szCs w:val="21"/>
                      <w:lang w:val="en-US" w:eastAsia="zh-CN"/>
                    </w:rPr>
                    <w:t>0.00004</w:t>
                  </w:r>
                </w:p>
              </w:tc>
              <w:tc>
                <w:tcPr>
                  <w:tcW w:w="949" w:type="dxa"/>
                  <w:vAlign w:val="center"/>
                </w:tcPr>
                <w:p w14:paraId="5D401D94">
                  <w:pPr>
                    <w:widowControl/>
                    <w:jc w:val="center"/>
                    <w:rPr>
                      <w:rFonts w:hint="default" w:ascii="Times New Roman" w:hAnsi="Times New Roman" w:eastAsia="仿宋" w:cs="Times New Roman"/>
                      <w:color w:val="auto"/>
                      <w:sz w:val="21"/>
                      <w:szCs w:val="21"/>
                    </w:rPr>
                  </w:pPr>
                  <w:r>
                    <w:rPr>
                      <w:rFonts w:hint="eastAsia" w:eastAsia="仿宋" w:cs="Times New Roman"/>
                      <w:color w:val="auto"/>
                      <w:szCs w:val="21"/>
                      <w:lang w:val="en-US" w:eastAsia="zh-CN"/>
                    </w:rPr>
                    <w:t>0.00007</w:t>
                  </w:r>
                </w:p>
              </w:tc>
              <w:tc>
                <w:tcPr>
                  <w:tcW w:w="677" w:type="dxa"/>
                  <w:vMerge w:val="restart"/>
                  <w:vAlign w:val="center"/>
                </w:tcPr>
                <w:p w14:paraId="7E09CD60">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25</w:t>
                  </w:r>
                </w:p>
              </w:tc>
              <w:tc>
                <w:tcPr>
                  <w:tcW w:w="597" w:type="dxa"/>
                  <w:vMerge w:val="restart"/>
                  <w:vAlign w:val="center"/>
                </w:tcPr>
                <w:p w14:paraId="7F118D32">
                  <w:pPr>
                    <w:widowControl/>
                    <w:jc w:val="center"/>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15</w:t>
                  </w:r>
                </w:p>
              </w:tc>
            </w:tr>
            <w:tr w14:paraId="3FD5E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continue"/>
                  <w:vAlign w:val="center"/>
                </w:tcPr>
                <w:p w14:paraId="7274D50F">
                  <w:pPr>
                    <w:widowControl/>
                    <w:jc w:val="center"/>
                    <w:rPr>
                      <w:rFonts w:hint="default" w:ascii="Times New Roman" w:hAnsi="Times New Roman" w:eastAsia="仿宋" w:cs="Times New Roman"/>
                      <w:color w:val="auto"/>
                      <w:sz w:val="21"/>
                      <w:szCs w:val="21"/>
                    </w:rPr>
                  </w:pPr>
                </w:p>
              </w:tc>
              <w:tc>
                <w:tcPr>
                  <w:tcW w:w="565" w:type="pct"/>
                  <w:vMerge w:val="continue"/>
                  <w:vAlign w:val="center"/>
                </w:tcPr>
                <w:p w14:paraId="039BF4A6">
                  <w:pPr>
                    <w:widowControl/>
                    <w:jc w:val="center"/>
                    <w:rPr>
                      <w:rFonts w:hint="default" w:ascii="Times New Roman" w:hAnsi="Times New Roman" w:eastAsia="仿宋" w:cs="Times New Roman"/>
                      <w:color w:val="auto"/>
                      <w:sz w:val="21"/>
                      <w:szCs w:val="21"/>
                    </w:rPr>
                  </w:pPr>
                </w:p>
              </w:tc>
              <w:tc>
                <w:tcPr>
                  <w:tcW w:w="527" w:type="pct"/>
                  <w:vAlign w:val="center"/>
                </w:tcPr>
                <w:p w14:paraId="1CE88074">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非甲烷总烃</w:t>
                  </w:r>
                </w:p>
              </w:tc>
              <w:tc>
                <w:tcPr>
                  <w:tcW w:w="601" w:type="pct"/>
                  <w:vAlign w:val="center"/>
                </w:tcPr>
                <w:p w14:paraId="00549B93">
                  <w:pPr>
                    <w:widowControl/>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0.00</w:t>
                  </w:r>
                  <w:r>
                    <w:rPr>
                      <w:rFonts w:hint="default" w:ascii="Times New Roman" w:hAnsi="Times New Roman" w:eastAsia="仿宋" w:cs="Times New Roman"/>
                      <w:color w:val="auto"/>
                      <w:sz w:val="21"/>
                      <w:szCs w:val="21"/>
                      <w:lang w:val="en-US" w:eastAsia="zh-CN"/>
                    </w:rPr>
                    <w:t>102</w:t>
                  </w:r>
                </w:p>
              </w:tc>
              <w:tc>
                <w:tcPr>
                  <w:tcW w:w="572" w:type="pct"/>
                  <w:vAlign w:val="center"/>
                </w:tcPr>
                <w:p w14:paraId="20310EA6">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0.002</w:t>
                  </w:r>
                </w:p>
              </w:tc>
              <w:tc>
                <w:tcPr>
                  <w:tcW w:w="443" w:type="pct"/>
                  <w:vMerge w:val="continue"/>
                  <w:vAlign w:val="center"/>
                </w:tcPr>
                <w:p w14:paraId="6C8F762F">
                  <w:pPr>
                    <w:widowControl/>
                    <w:jc w:val="center"/>
                    <w:rPr>
                      <w:rFonts w:hint="default" w:ascii="Times New Roman" w:hAnsi="Times New Roman" w:eastAsia="仿宋" w:cs="Times New Roman"/>
                      <w:color w:val="auto"/>
                      <w:sz w:val="21"/>
                      <w:szCs w:val="21"/>
                    </w:rPr>
                  </w:pPr>
                </w:p>
              </w:tc>
              <w:tc>
                <w:tcPr>
                  <w:tcW w:w="844" w:type="dxa"/>
                  <w:vAlign w:val="center"/>
                </w:tcPr>
                <w:p w14:paraId="3192B55A">
                  <w:pPr>
                    <w:widowControl/>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0.00</w:t>
                  </w:r>
                  <w:r>
                    <w:rPr>
                      <w:rFonts w:hint="default" w:ascii="Times New Roman" w:hAnsi="Times New Roman" w:eastAsia="仿宋" w:cs="Times New Roman"/>
                      <w:color w:val="auto"/>
                      <w:sz w:val="21"/>
                      <w:szCs w:val="21"/>
                      <w:lang w:val="en-US" w:eastAsia="zh-CN"/>
                    </w:rPr>
                    <w:t>102</w:t>
                  </w:r>
                </w:p>
              </w:tc>
              <w:tc>
                <w:tcPr>
                  <w:tcW w:w="527" w:type="pct"/>
                  <w:vAlign w:val="center"/>
                </w:tcPr>
                <w:p w14:paraId="677A6E71">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0.002</w:t>
                  </w:r>
                </w:p>
              </w:tc>
              <w:tc>
                <w:tcPr>
                  <w:tcW w:w="411" w:type="pct"/>
                  <w:vMerge w:val="continue"/>
                  <w:vAlign w:val="center"/>
                </w:tcPr>
                <w:p w14:paraId="3E0F3D68">
                  <w:pPr>
                    <w:widowControl/>
                    <w:jc w:val="center"/>
                    <w:rPr>
                      <w:rFonts w:hint="default" w:ascii="Times New Roman" w:hAnsi="Times New Roman" w:eastAsia="仿宋" w:cs="Times New Roman"/>
                      <w:color w:val="auto"/>
                      <w:sz w:val="21"/>
                      <w:szCs w:val="21"/>
                    </w:rPr>
                  </w:pPr>
                </w:p>
              </w:tc>
              <w:tc>
                <w:tcPr>
                  <w:tcW w:w="362" w:type="pct"/>
                  <w:vMerge w:val="continue"/>
                  <w:vAlign w:val="center"/>
                </w:tcPr>
                <w:p w14:paraId="4A7AA4B2">
                  <w:pPr>
                    <w:widowControl/>
                    <w:jc w:val="center"/>
                    <w:rPr>
                      <w:rFonts w:hint="default" w:ascii="Times New Roman" w:hAnsi="Times New Roman" w:eastAsia="仿宋" w:cs="Times New Roman"/>
                      <w:color w:val="auto"/>
                      <w:sz w:val="21"/>
                      <w:szCs w:val="21"/>
                    </w:rPr>
                  </w:pPr>
                </w:p>
              </w:tc>
            </w:tr>
            <w:tr w14:paraId="07095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continue"/>
                  <w:vAlign w:val="center"/>
                </w:tcPr>
                <w:p w14:paraId="547A30B0">
                  <w:pPr>
                    <w:widowControl/>
                    <w:jc w:val="center"/>
                    <w:rPr>
                      <w:rFonts w:hint="default" w:ascii="Times New Roman" w:hAnsi="Times New Roman" w:eastAsia="仿宋" w:cs="Times New Roman"/>
                      <w:color w:val="auto"/>
                      <w:sz w:val="21"/>
                      <w:szCs w:val="21"/>
                    </w:rPr>
                  </w:pPr>
                </w:p>
              </w:tc>
              <w:tc>
                <w:tcPr>
                  <w:tcW w:w="565" w:type="pct"/>
                  <w:vMerge w:val="continue"/>
                  <w:vAlign w:val="center"/>
                </w:tcPr>
                <w:p w14:paraId="54A77461">
                  <w:pPr>
                    <w:widowControl/>
                    <w:jc w:val="center"/>
                    <w:rPr>
                      <w:rFonts w:hint="default" w:ascii="Times New Roman" w:hAnsi="Times New Roman" w:eastAsia="仿宋" w:cs="Times New Roman"/>
                      <w:color w:val="auto"/>
                      <w:sz w:val="21"/>
                      <w:szCs w:val="21"/>
                    </w:rPr>
                  </w:pPr>
                </w:p>
              </w:tc>
              <w:tc>
                <w:tcPr>
                  <w:tcW w:w="527" w:type="pct"/>
                  <w:vAlign w:val="center"/>
                </w:tcPr>
                <w:p w14:paraId="6DC54F92">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锡及其化合物</w:t>
                  </w:r>
                </w:p>
              </w:tc>
              <w:tc>
                <w:tcPr>
                  <w:tcW w:w="1173" w:type="pct"/>
                  <w:gridSpan w:val="2"/>
                  <w:vAlign w:val="center"/>
                </w:tcPr>
                <w:p w14:paraId="02759116">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不定量分析</w:t>
                  </w:r>
                </w:p>
              </w:tc>
              <w:tc>
                <w:tcPr>
                  <w:tcW w:w="443" w:type="pct"/>
                  <w:vMerge w:val="continue"/>
                  <w:vAlign w:val="center"/>
                </w:tcPr>
                <w:p w14:paraId="46D7C024">
                  <w:pPr>
                    <w:widowControl/>
                    <w:jc w:val="center"/>
                    <w:rPr>
                      <w:rFonts w:hint="default" w:ascii="Times New Roman" w:hAnsi="Times New Roman" w:eastAsia="仿宋" w:cs="Times New Roman"/>
                      <w:color w:val="auto"/>
                      <w:sz w:val="21"/>
                      <w:szCs w:val="21"/>
                    </w:rPr>
                  </w:pPr>
                </w:p>
              </w:tc>
              <w:tc>
                <w:tcPr>
                  <w:tcW w:w="1037" w:type="pct"/>
                  <w:gridSpan w:val="2"/>
                  <w:vAlign w:val="center"/>
                </w:tcPr>
                <w:p w14:paraId="344C0F58">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不定量分析</w:t>
                  </w:r>
                </w:p>
              </w:tc>
              <w:tc>
                <w:tcPr>
                  <w:tcW w:w="411" w:type="pct"/>
                  <w:vMerge w:val="continue"/>
                  <w:vAlign w:val="center"/>
                </w:tcPr>
                <w:p w14:paraId="22E8C56F">
                  <w:pPr>
                    <w:widowControl/>
                    <w:jc w:val="center"/>
                    <w:rPr>
                      <w:rFonts w:hint="default" w:ascii="Times New Roman" w:hAnsi="Times New Roman" w:eastAsia="仿宋" w:cs="Times New Roman"/>
                      <w:color w:val="auto"/>
                      <w:sz w:val="21"/>
                      <w:szCs w:val="21"/>
                    </w:rPr>
                  </w:pPr>
                </w:p>
              </w:tc>
              <w:tc>
                <w:tcPr>
                  <w:tcW w:w="362" w:type="pct"/>
                  <w:vMerge w:val="continue"/>
                  <w:vAlign w:val="center"/>
                </w:tcPr>
                <w:p w14:paraId="008A74A5">
                  <w:pPr>
                    <w:widowControl/>
                    <w:jc w:val="center"/>
                    <w:rPr>
                      <w:rFonts w:hint="default" w:ascii="Times New Roman" w:hAnsi="Times New Roman" w:eastAsia="仿宋" w:cs="Times New Roman"/>
                      <w:color w:val="auto"/>
                      <w:sz w:val="21"/>
                      <w:szCs w:val="21"/>
                    </w:rPr>
                  </w:pPr>
                </w:p>
              </w:tc>
            </w:tr>
            <w:tr w14:paraId="1E628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restart"/>
                  <w:vAlign w:val="center"/>
                </w:tcPr>
                <w:p w14:paraId="58AFCA9D">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生产车间2F</w:t>
                  </w:r>
                </w:p>
              </w:tc>
              <w:tc>
                <w:tcPr>
                  <w:tcW w:w="565" w:type="pct"/>
                  <w:vMerge w:val="restart"/>
                  <w:vAlign w:val="center"/>
                </w:tcPr>
                <w:p w14:paraId="0E741649">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未捕集的废气</w:t>
                  </w:r>
                </w:p>
              </w:tc>
              <w:tc>
                <w:tcPr>
                  <w:tcW w:w="527" w:type="pct"/>
                  <w:vAlign w:val="center"/>
                </w:tcPr>
                <w:p w14:paraId="21BF04B8">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601" w:type="pct"/>
                  <w:vAlign w:val="center"/>
                </w:tcPr>
                <w:p w14:paraId="07A8F35D">
                  <w:pPr>
                    <w:widowControl/>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0.13</w:t>
                  </w:r>
                </w:p>
              </w:tc>
              <w:tc>
                <w:tcPr>
                  <w:tcW w:w="572" w:type="pct"/>
                  <w:vAlign w:val="center"/>
                </w:tcPr>
                <w:p w14:paraId="16C1E830">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0.018</w:t>
                  </w:r>
                </w:p>
              </w:tc>
              <w:tc>
                <w:tcPr>
                  <w:tcW w:w="443" w:type="pct"/>
                  <w:vMerge w:val="restart"/>
                  <w:vAlign w:val="center"/>
                </w:tcPr>
                <w:p w14:paraId="0B899A7C">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车间通风</w:t>
                  </w:r>
                </w:p>
              </w:tc>
              <w:tc>
                <w:tcPr>
                  <w:tcW w:w="510" w:type="pct"/>
                  <w:vAlign w:val="center"/>
                </w:tcPr>
                <w:p w14:paraId="5DE84ADC">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0.13</w:t>
                  </w:r>
                </w:p>
              </w:tc>
              <w:tc>
                <w:tcPr>
                  <w:tcW w:w="527" w:type="pct"/>
                  <w:vAlign w:val="center"/>
                </w:tcPr>
                <w:p w14:paraId="562647B8">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0.018</w:t>
                  </w:r>
                </w:p>
              </w:tc>
              <w:tc>
                <w:tcPr>
                  <w:tcW w:w="411" w:type="pct"/>
                  <w:vMerge w:val="restart"/>
                  <w:vAlign w:val="center"/>
                </w:tcPr>
                <w:p w14:paraId="58A65FC2">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1836</w:t>
                  </w:r>
                </w:p>
              </w:tc>
              <w:tc>
                <w:tcPr>
                  <w:tcW w:w="362" w:type="pct"/>
                  <w:vMerge w:val="restart"/>
                  <w:vAlign w:val="center"/>
                </w:tcPr>
                <w:p w14:paraId="4C22E14A">
                  <w:pPr>
                    <w:widowControl/>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w:t>
                  </w:r>
                </w:p>
              </w:tc>
            </w:tr>
            <w:tr w14:paraId="30FFF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continue"/>
                  <w:vAlign w:val="center"/>
                </w:tcPr>
                <w:p w14:paraId="4B49073C">
                  <w:pPr>
                    <w:widowControl/>
                    <w:jc w:val="center"/>
                    <w:rPr>
                      <w:rFonts w:hint="default" w:ascii="Times New Roman" w:hAnsi="Times New Roman" w:eastAsia="仿宋" w:cs="Times New Roman"/>
                      <w:color w:val="auto"/>
                      <w:sz w:val="21"/>
                      <w:szCs w:val="21"/>
                    </w:rPr>
                  </w:pPr>
                </w:p>
              </w:tc>
              <w:tc>
                <w:tcPr>
                  <w:tcW w:w="565" w:type="pct"/>
                  <w:vMerge w:val="continue"/>
                  <w:vAlign w:val="center"/>
                </w:tcPr>
                <w:p w14:paraId="365A6309">
                  <w:pPr>
                    <w:widowControl/>
                    <w:jc w:val="center"/>
                    <w:rPr>
                      <w:rFonts w:hint="default" w:ascii="Times New Roman" w:hAnsi="Times New Roman" w:eastAsia="仿宋" w:cs="Times New Roman"/>
                      <w:color w:val="auto"/>
                      <w:sz w:val="21"/>
                      <w:szCs w:val="21"/>
                    </w:rPr>
                  </w:pPr>
                </w:p>
              </w:tc>
              <w:tc>
                <w:tcPr>
                  <w:tcW w:w="527" w:type="pct"/>
                  <w:vAlign w:val="center"/>
                </w:tcPr>
                <w:p w14:paraId="4004A998">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硫酸雾</w:t>
                  </w:r>
                </w:p>
              </w:tc>
              <w:tc>
                <w:tcPr>
                  <w:tcW w:w="601" w:type="pct"/>
                  <w:vAlign w:val="center"/>
                </w:tcPr>
                <w:p w14:paraId="755FE90F">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0.024</w:t>
                  </w:r>
                </w:p>
              </w:tc>
              <w:tc>
                <w:tcPr>
                  <w:tcW w:w="572" w:type="pct"/>
                  <w:vAlign w:val="center"/>
                </w:tcPr>
                <w:p w14:paraId="45C5608E">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0.003</w:t>
                  </w:r>
                </w:p>
              </w:tc>
              <w:tc>
                <w:tcPr>
                  <w:tcW w:w="443" w:type="pct"/>
                  <w:vMerge w:val="continue"/>
                  <w:vAlign w:val="center"/>
                </w:tcPr>
                <w:p w14:paraId="50400587">
                  <w:pPr>
                    <w:widowControl/>
                    <w:jc w:val="center"/>
                    <w:rPr>
                      <w:rFonts w:hint="default" w:ascii="Times New Roman" w:hAnsi="Times New Roman" w:eastAsia="仿宋" w:cs="Times New Roman"/>
                      <w:color w:val="auto"/>
                      <w:sz w:val="21"/>
                      <w:szCs w:val="21"/>
                    </w:rPr>
                  </w:pPr>
                </w:p>
              </w:tc>
              <w:tc>
                <w:tcPr>
                  <w:tcW w:w="510" w:type="pct"/>
                  <w:vAlign w:val="center"/>
                </w:tcPr>
                <w:p w14:paraId="30417FB5">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0.024</w:t>
                  </w:r>
                </w:p>
              </w:tc>
              <w:tc>
                <w:tcPr>
                  <w:tcW w:w="527" w:type="pct"/>
                  <w:vAlign w:val="center"/>
                </w:tcPr>
                <w:p w14:paraId="301DB38B">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0.003</w:t>
                  </w:r>
                </w:p>
              </w:tc>
              <w:tc>
                <w:tcPr>
                  <w:tcW w:w="411" w:type="pct"/>
                  <w:vMerge w:val="continue"/>
                  <w:vAlign w:val="center"/>
                </w:tcPr>
                <w:p w14:paraId="450A2537">
                  <w:pPr>
                    <w:widowControl/>
                    <w:jc w:val="center"/>
                    <w:rPr>
                      <w:rFonts w:hint="default" w:ascii="Times New Roman" w:hAnsi="Times New Roman" w:eastAsia="仿宋" w:cs="Times New Roman"/>
                      <w:color w:val="auto"/>
                      <w:sz w:val="21"/>
                      <w:szCs w:val="21"/>
                    </w:rPr>
                  </w:pPr>
                </w:p>
              </w:tc>
              <w:tc>
                <w:tcPr>
                  <w:tcW w:w="362" w:type="pct"/>
                  <w:vMerge w:val="continue"/>
                  <w:vAlign w:val="center"/>
                </w:tcPr>
                <w:p w14:paraId="4C32FD39">
                  <w:pPr>
                    <w:widowControl/>
                    <w:jc w:val="center"/>
                    <w:rPr>
                      <w:rFonts w:hint="default" w:ascii="Times New Roman" w:hAnsi="Times New Roman" w:eastAsia="仿宋" w:cs="Times New Roman"/>
                      <w:color w:val="auto"/>
                      <w:sz w:val="21"/>
                      <w:szCs w:val="21"/>
                    </w:rPr>
                  </w:pPr>
                </w:p>
              </w:tc>
            </w:tr>
            <w:tr w14:paraId="6989B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continue"/>
                  <w:vAlign w:val="center"/>
                </w:tcPr>
                <w:p w14:paraId="4F7D9804">
                  <w:pPr>
                    <w:widowControl/>
                    <w:jc w:val="center"/>
                    <w:rPr>
                      <w:rFonts w:hint="default" w:ascii="Times New Roman" w:hAnsi="Times New Roman" w:eastAsia="仿宋" w:cs="Times New Roman"/>
                      <w:color w:val="auto"/>
                      <w:sz w:val="21"/>
                      <w:szCs w:val="21"/>
                    </w:rPr>
                  </w:pPr>
                </w:p>
              </w:tc>
              <w:tc>
                <w:tcPr>
                  <w:tcW w:w="565" w:type="pct"/>
                  <w:vMerge w:val="continue"/>
                  <w:vAlign w:val="center"/>
                </w:tcPr>
                <w:p w14:paraId="39FBA62E">
                  <w:pPr>
                    <w:widowControl/>
                    <w:jc w:val="center"/>
                    <w:rPr>
                      <w:rFonts w:hint="default" w:ascii="Times New Roman" w:hAnsi="Times New Roman" w:eastAsia="仿宋" w:cs="Times New Roman"/>
                      <w:color w:val="auto"/>
                      <w:sz w:val="21"/>
                      <w:szCs w:val="21"/>
                    </w:rPr>
                  </w:pPr>
                </w:p>
              </w:tc>
              <w:tc>
                <w:tcPr>
                  <w:tcW w:w="527" w:type="pct"/>
                  <w:vAlign w:val="center"/>
                </w:tcPr>
                <w:p w14:paraId="7B2C87B9">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601" w:type="pct"/>
                  <w:vAlign w:val="center"/>
                </w:tcPr>
                <w:p w14:paraId="58A9CB97">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0.000002</w:t>
                  </w:r>
                </w:p>
              </w:tc>
              <w:tc>
                <w:tcPr>
                  <w:tcW w:w="572" w:type="pct"/>
                  <w:vAlign w:val="center"/>
                </w:tcPr>
                <w:p w14:paraId="76C8C581">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0.0000003</w:t>
                  </w:r>
                </w:p>
              </w:tc>
              <w:tc>
                <w:tcPr>
                  <w:tcW w:w="443" w:type="pct"/>
                  <w:vMerge w:val="continue"/>
                  <w:vAlign w:val="center"/>
                </w:tcPr>
                <w:p w14:paraId="45425638">
                  <w:pPr>
                    <w:widowControl/>
                    <w:jc w:val="center"/>
                    <w:rPr>
                      <w:rFonts w:hint="default" w:ascii="Times New Roman" w:hAnsi="Times New Roman" w:eastAsia="仿宋" w:cs="Times New Roman"/>
                      <w:color w:val="auto"/>
                      <w:sz w:val="21"/>
                      <w:szCs w:val="21"/>
                    </w:rPr>
                  </w:pPr>
                </w:p>
              </w:tc>
              <w:tc>
                <w:tcPr>
                  <w:tcW w:w="510" w:type="pct"/>
                  <w:vAlign w:val="center"/>
                </w:tcPr>
                <w:p w14:paraId="6B3CDB90">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0.000002</w:t>
                  </w:r>
                </w:p>
              </w:tc>
              <w:tc>
                <w:tcPr>
                  <w:tcW w:w="527" w:type="pct"/>
                  <w:vAlign w:val="center"/>
                </w:tcPr>
                <w:p w14:paraId="5FB579B8">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0.0000003</w:t>
                  </w:r>
                </w:p>
              </w:tc>
              <w:tc>
                <w:tcPr>
                  <w:tcW w:w="411" w:type="pct"/>
                  <w:vMerge w:val="continue"/>
                  <w:vAlign w:val="center"/>
                </w:tcPr>
                <w:p w14:paraId="54253895">
                  <w:pPr>
                    <w:widowControl/>
                    <w:jc w:val="center"/>
                    <w:rPr>
                      <w:rFonts w:hint="default" w:ascii="Times New Roman" w:hAnsi="Times New Roman" w:eastAsia="仿宋" w:cs="Times New Roman"/>
                      <w:color w:val="auto"/>
                      <w:sz w:val="21"/>
                      <w:szCs w:val="21"/>
                    </w:rPr>
                  </w:pPr>
                </w:p>
              </w:tc>
              <w:tc>
                <w:tcPr>
                  <w:tcW w:w="362" w:type="pct"/>
                  <w:vMerge w:val="continue"/>
                  <w:vAlign w:val="center"/>
                </w:tcPr>
                <w:p w14:paraId="2B74C6A0">
                  <w:pPr>
                    <w:widowControl/>
                    <w:jc w:val="center"/>
                    <w:rPr>
                      <w:rFonts w:hint="default" w:ascii="Times New Roman" w:hAnsi="Times New Roman" w:eastAsia="仿宋" w:cs="Times New Roman"/>
                      <w:color w:val="auto"/>
                      <w:sz w:val="21"/>
                      <w:szCs w:val="21"/>
                    </w:rPr>
                  </w:pPr>
                </w:p>
              </w:tc>
            </w:tr>
            <w:tr w14:paraId="13071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restart"/>
                  <w:vAlign w:val="center"/>
                </w:tcPr>
                <w:p w14:paraId="42597AC9">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生产车间3F</w:t>
                  </w:r>
                </w:p>
              </w:tc>
              <w:tc>
                <w:tcPr>
                  <w:tcW w:w="565" w:type="pct"/>
                  <w:vMerge w:val="restart"/>
                  <w:vAlign w:val="center"/>
                </w:tcPr>
                <w:p w14:paraId="3B5DD9A3">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未捕集的废气</w:t>
                  </w:r>
                </w:p>
              </w:tc>
              <w:tc>
                <w:tcPr>
                  <w:tcW w:w="527" w:type="pct"/>
                  <w:vAlign w:val="center"/>
                </w:tcPr>
                <w:p w14:paraId="2DFE6AAE">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601" w:type="pct"/>
                  <w:vAlign w:val="center"/>
                </w:tcPr>
                <w:p w14:paraId="0E6084BB">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0.696</w:t>
                  </w:r>
                </w:p>
              </w:tc>
              <w:tc>
                <w:tcPr>
                  <w:tcW w:w="572" w:type="pct"/>
                  <w:vAlign w:val="center"/>
                </w:tcPr>
                <w:p w14:paraId="6FBDB749">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0.097</w:t>
                  </w:r>
                </w:p>
              </w:tc>
              <w:tc>
                <w:tcPr>
                  <w:tcW w:w="443" w:type="pct"/>
                  <w:vMerge w:val="continue"/>
                  <w:vAlign w:val="center"/>
                </w:tcPr>
                <w:p w14:paraId="62909078">
                  <w:pPr>
                    <w:widowControl/>
                    <w:jc w:val="center"/>
                    <w:rPr>
                      <w:rFonts w:hint="default" w:ascii="Times New Roman" w:hAnsi="Times New Roman" w:eastAsia="仿宋" w:cs="Times New Roman"/>
                      <w:color w:val="auto"/>
                      <w:sz w:val="21"/>
                      <w:szCs w:val="21"/>
                    </w:rPr>
                  </w:pPr>
                </w:p>
              </w:tc>
              <w:tc>
                <w:tcPr>
                  <w:tcW w:w="510" w:type="pct"/>
                  <w:vAlign w:val="center"/>
                </w:tcPr>
                <w:p w14:paraId="7C1DFD68">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0.696</w:t>
                  </w:r>
                </w:p>
              </w:tc>
              <w:tc>
                <w:tcPr>
                  <w:tcW w:w="527" w:type="pct"/>
                  <w:vAlign w:val="center"/>
                </w:tcPr>
                <w:p w14:paraId="0E84B3D7">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0.097</w:t>
                  </w:r>
                </w:p>
              </w:tc>
              <w:tc>
                <w:tcPr>
                  <w:tcW w:w="411" w:type="pct"/>
                  <w:vMerge w:val="restart"/>
                  <w:vAlign w:val="center"/>
                </w:tcPr>
                <w:p w14:paraId="0A6C873E">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1836</w:t>
                  </w:r>
                </w:p>
              </w:tc>
              <w:tc>
                <w:tcPr>
                  <w:tcW w:w="362" w:type="pct"/>
                  <w:vMerge w:val="restart"/>
                  <w:vAlign w:val="center"/>
                </w:tcPr>
                <w:p w14:paraId="12F86CC3">
                  <w:pPr>
                    <w:widowControl/>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21.5</w:t>
                  </w:r>
                </w:p>
              </w:tc>
            </w:tr>
            <w:tr w14:paraId="416B2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79" w:type="pct"/>
                  <w:vMerge w:val="continue"/>
                  <w:vAlign w:val="center"/>
                </w:tcPr>
                <w:p w14:paraId="1DC8B327">
                  <w:pPr>
                    <w:widowControl/>
                    <w:jc w:val="center"/>
                    <w:rPr>
                      <w:rFonts w:hint="default" w:ascii="Times New Roman" w:hAnsi="Times New Roman" w:eastAsia="仿宋" w:cs="Times New Roman"/>
                      <w:color w:val="auto"/>
                      <w:sz w:val="21"/>
                      <w:szCs w:val="21"/>
                    </w:rPr>
                  </w:pPr>
                </w:p>
              </w:tc>
              <w:tc>
                <w:tcPr>
                  <w:tcW w:w="565" w:type="pct"/>
                  <w:vMerge w:val="continue"/>
                  <w:vAlign w:val="center"/>
                </w:tcPr>
                <w:p w14:paraId="3106C23C">
                  <w:pPr>
                    <w:widowControl/>
                    <w:jc w:val="center"/>
                    <w:rPr>
                      <w:rFonts w:hint="default" w:ascii="Times New Roman" w:hAnsi="Times New Roman" w:eastAsia="仿宋" w:cs="Times New Roman"/>
                      <w:color w:val="auto"/>
                      <w:sz w:val="21"/>
                      <w:szCs w:val="21"/>
                    </w:rPr>
                  </w:pPr>
                </w:p>
              </w:tc>
              <w:tc>
                <w:tcPr>
                  <w:tcW w:w="527" w:type="pct"/>
                  <w:vAlign w:val="center"/>
                </w:tcPr>
                <w:p w14:paraId="7EF83931">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锡及其化合物</w:t>
                  </w:r>
                </w:p>
              </w:tc>
              <w:tc>
                <w:tcPr>
                  <w:tcW w:w="601" w:type="pct"/>
                  <w:vAlign w:val="center"/>
                </w:tcPr>
                <w:p w14:paraId="73F7FFB3">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0.0003</w:t>
                  </w:r>
                </w:p>
              </w:tc>
              <w:tc>
                <w:tcPr>
                  <w:tcW w:w="572" w:type="pct"/>
                  <w:vAlign w:val="center"/>
                </w:tcPr>
                <w:p w14:paraId="5EB3D50A">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0.00004</w:t>
                  </w:r>
                </w:p>
              </w:tc>
              <w:tc>
                <w:tcPr>
                  <w:tcW w:w="443" w:type="pct"/>
                  <w:vMerge w:val="continue"/>
                  <w:vAlign w:val="center"/>
                </w:tcPr>
                <w:p w14:paraId="26B6782F">
                  <w:pPr>
                    <w:widowControl/>
                    <w:jc w:val="center"/>
                    <w:rPr>
                      <w:rFonts w:hint="default" w:ascii="Times New Roman" w:hAnsi="Times New Roman" w:eastAsia="仿宋" w:cs="Times New Roman"/>
                      <w:color w:val="auto"/>
                      <w:sz w:val="21"/>
                      <w:szCs w:val="21"/>
                    </w:rPr>
                  </w:pPr>
                </w:p>
              </w:tc>
              <w:tc>
                <w:tcPr>
                  <w:tcW w:w="510" w:type="pct"/>
                  <w:vAlign w:val="center"/>
                </w:tcPr>
                <w:p w14:paraId="62B6C8A3">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0.0003</w:t>
                  </w:r>
                </w:p>
              </w:tc>
              <w:tc>
                <w:tcPr>
                  <w:tcW w:w="527" w:type="pct"/>
                  <w:vAlign w:val="center"/>
                </w:tcPr>
                <w:p w14:paraId="3983D740">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0.00004</w:t>
                  </w:r>
                </w:p>
              </w:tc>
              <w:tc>
                <w:tcPr>
                  <w:tcW w:w="411" w:type="pct"/>
                  <w:vMerge w:val="continue"/>
                  <w:vAlign w:val="center"/>
                </w:tcPr>
                <w:p w14:paraId="70F3D3D4">
                  <w:pPr>
                    <w:widowControl/>
                    <w:jc w:val="center"/>
                    <w:rPr>
                      <w:rFonts w:hint="default" w:ascii="Times New Roman" w:hAnsi="Times New Roman" w:eastAsia="仿宋" w:cs="Times New Roman"/>
                      <w:color w:val="auto"/>
                      <w:sz w:val="21"/>
                      <w:szCs w:val="21"/>
                    </w:rPr>
                  </w:pPr>
                </w:p>
              </w:tc>
              <w:tc>
                <w:tcPr>
                  <w:tcW w:w="362" w:type="pct"/>
                  <w:vMerge w:val="continue"/>
                  <w:vAlign w:val="center"/>
                </w:tcPr>
                <w:p w14:paraId="6D1DF2D1">
                  <w:pPr>
                    <w:widowControl/>
                    <w:jc w:val="center"/>
                    <w:rPr>
                      <w:rFonts w:hint="default" w:ascii="Times New Roman" w:hAnsi="Times New Roman" w:eastAsia="仿宋" w:cs="Times New Roman"/>
                      <w:color w:val="auto"/>
                      <w:sz w:val="21"/>
                      <w:szCs w:val="21"/>
                    </w:rPr>
                  </w:pPr>
                </w:p>
              </w:tc>
            </w:tr>
          </w:tbl>
          <w:p w14:paraId="02E9DD25">
            <w:pPr>
              <w:adjustRightInd w:val="0"/>
              <w:snapToGrid w:val="0"/>
              <w:spacing w:before="120" w:beforeLines="5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面源参数表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1"/>
              <w:gridCol w:w="1409"/>
              <w:gridCol w:w="1162"/>
              <w:gridCol w:w="721"/>
              <w:gridCol w:w="634"/>
              <w:gridCol w:w="632"/>
              <w:gridCol w:w="723"/>
              <w:gridCol w:w="813"/>
              <w:gridCol w:w="725"/>
              <w:gridCol w:w="795"/>
            </w:tblGrid>
            <w:tr w14:paraId="355CB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vMerge w:val="restart"/>
                  <w:noWrap w:val="0"/>
                  <w:vAlign w:val="center"/>
                </w:tcPr>
                <w:p w14:paraId="72A82A0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名称</w:t>
                  </w:r>
                </w:p>
              </w:tc>
              <w:tc>
                <w:tcPr>
                  <w:tcW w:w="1562" w:type="pct"/>
                  <w:gridSpan w:val="2"/>
                  <w:noWrap w:val="0"/>
                  <w:vAlign w:val="center"/>
                </w:tcPr>
                <w:p w14:paraId="53ABAC3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面源起点坐标</w:t>
                  </w:r>
                </w:p>
              </w:tc>
              <w:tc>
                <w:tcPr>
                  <w:tcW w:w="438" w:type="pct"/>
                  <w:vMerge w:val="restart"/>
                  <w:noWrap w:val="0"/>
                  <w:vAlign w:val="center"/>
                </w:tcPr>
                <w:p w14:paraId="619C951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面源海拔高度（m）</w:t>
                  </w:r>
                </w:p>
              </w:tc>
              <w:tc>
                <w:tcPr>
                  <w:tcW w:w="385" w:type="pct"/>
                  <w:vMerge w:val="restart"/>
                  <w:noWrap w:val="0"/>
                  <w:vAlign w:val="center"/>
                </w:tcPr>
                <w:p w14:paraId="59B2F87D">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面源</w:t>
                  </w:r>
                </w:p>
                <w:p w14:paraId="00116B9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长度（m）</w:t>
                  </w:r>
                </w:p>
              </w:tc>
              <w:tc>
                <w:tcPr>
                  <w:tcW w:w="384" w:type="pct"/>
                  <w:vMerge w:val="restart"/>
                  <w:noWrap w:val="0"/>
                  <w:vAlign w:val="center"/>
                </w:tcPr>
                <w:p w14:paraId="5EA873AE">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面源</w:t>
                  </w:r>
                </w:p>
                <w:p w14:paraId="6D5170C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宽度（m）</w:t>
                  </w:r>
                </w:p>
              </w:tc>
              <w:tc>
                <w:tcPr>
                  <w:tcW w:w="439" w:type="pct"/>
                  <w:vMerge w:val="restart"/>
                  <w:noWrap w:val="0"/>
                  <w:vAlign w:val="center"/>
                </w:tcPr>
                <w:p w14:paraId="458A6DEC">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
                      <w:color w:val="auto"/>
                      <w:szCs w:val="21"/>
                    </w:rPr>
                    <w:t>与正北方向夹角</w:t>
                  </w:r>
                  <w:r>
                    <w:rPr>
                      <w:rFonts w:hint="default" w:ascii="Times New Roman" w:hAnsi="Times New Roman" w:eastAsia="仿宋" w:cs="Times New Roman"/>
                      <w:b/>
                      <w:color w:val="auto"/>
                      <w:szCs w:val="21"/>
                      <w:lang w:val="en-US" w:eastAsia="zh-CN"/>
                    </w:rPr>
                    <w:t>(</w:t>
                  </w:r>
                  <w:r>
                    <w:rPr>
                      <w:rFonts w:hint="default" w:ascii="Times New Roman" w:hAnsi="Times New Roman" w:eastAsia="仿宋" w:cs="Times New Roman"/>
                      <w:b/>
                      <w:color w:val="auto"/>
                      <w:szCs w:val="21"/>
                    </w:rPr>
                    <w:t>°</w:t>
                  </w:r>
                  <w:r>
                    <w:rPr>
                      <w:rFonts w:hint="default" w:ascii="Times New Roman" w:hAnsi="Times New Roman" w:eastAsia="仿宋" w:cs="Times New Roman"/>
                      <w:b/>
                      <w:color w:val="auto"/>
                      <w:szCs w:val="21"/>
                      <w:lang w:val="en-US" w:eastAsia="zh-CN"/>
                    </w:rPr>
                    <w:t>)</w:t>
                  </w:r>
                </w:p>
              </w:tc>
              <w:tc>
                <w:tcPr>
                  <w:tcW w:w="494" w:type="pct"/>
                  <w:vMerge w:val="restart"/>
                  <w:noWrap w:val="0"/>
                  <w:vAlign w:val="center"/>
                </w:tcPr>
                <w:p w14:paraId="3D3CB49F">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
                      <w:color w:val="auto"/>
                      <w:szCs w:val="21"/>
                    </w:rPr>
                    <w:t>面源有效排放高度</w:t>
                  </w:r>
                  <w:r>
                    <w:rPr>
                      <w:rFonts w:hint="default" w:ascii="Times New Roman" w:hAnsi="Times New Roman" w:eastAsia="仿宋" w:cs="Times New Roman"/>
                      <w:b/>
                      <w:color w:val="auto"/>
                      <w:szCs w:val="21"/>
                      <w:lang w:val="en-US" w:eastAsia="zh-CN"/>
                    </w:rPr>
                    <w:t>(</w:t>
                  </w:r>
                  <w:r>
                    <w:rPr>
                      <w:rFonts w:hint="default" w:ascii="Times New Roman" w:hAnsi="Times New Roman" w:eastAsia="仿宋" w:cs="Times New Roman"/>
                      <w:b/>
                      <w:color w:val="auto"/>
                      <w:szCs w:val="21"/>
                    </w:rPr>
                    <w:t>m</w:t>
                  </w:r>
                  <w:r>
                    <w:rPr>
                      <w:rFonts w:hint="default" w:ascii="Times New Roman" w:hAnsi="Times New Roman" w:eastAsia="仿宋" w:cs="Times New Roman"/>
                      <w:b/>
                      <w:color w:val="auto"/>
                      <w:szCs w:val="21"/>
                      <w:lang w:val="en-US" w:eastAsia="zh-CN"/>
                    </w:rPr>
                    <w:t>)</w:t>
                  </w:r>
                </w:p>
              </w:tc>
              <w:tc>
                <w:tcPr>
                  <w:tcW w:w="440" w:type="pct"/>
                  <w:vMerge w:val="restart"/>
                  <w:noWrap w:val="0"/>
                  <w:vAlign w:val="center"/>
                </w:tcPr>
                <w:p w14:paraId="6F2F46A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年排放小时数（h）</w:t>
                  </w:r>
                </w:p>
              </w:tc>
              <w:tc>
                <w:tcPr>
                  <w:tcW w:w="482" w:type="pct"/>
                  <w:vMerge w:val="restart"/>
                  <w:noWrap w:val="0"/>
                  <w:vAlign w:val="center"/>
                </w:tcPr>
                <w:p w14:paraId="5F56695E">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排放</w:t>
                  </w:r>
                </w:p>
                <w:p w14:paraId="45D9AE0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工况</w:t>
                  </w:r>
                </w:p>
              </w:tc>
            </w:tr>
            <w:tr w14:paraId="776D9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159043F8">
                  <w:pPr>
                    <w:adjustRightInd w:val="0"/>
                    <w:snapToGrid w:val="0"/>
                    <w:jc w:val="center"/>
                    <w:rPr>
                      <w:rFonts w:hint="default" w:ascii="Times New Roman" w:hAnsi="Times New Roman" w:eastAsia="仿宋" w:cs="Times New Roman"/>
                      <w:color w:val="auto"/>
                      <w:szCs w:val="21"/>
                    </w:rPr>
                  </w:pPr>
                </w:p>
              </w:tc>
              <w:tc>
                <w:tcPr>
                  <w:tcW w:w="856" w:type="pct"/>
                  <w:noWrap w:val="0"/>
                  <w:vAlign w:val="center"/>
                </w:tcPr>
                <w:p w14:paraId="73ED3DE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经度（</w:t>
                  </w:r>
                  <w:r>
                    <w:rPr>
                      <w:rFonts w:hint="default" w:ascii="Times New Roman" w:hAnsi="Times New Roman" w:eastAsia="仿宋" w:cs="Times New Roman"/>
                      <w:bCs/>
                      <w:color w:val="auto"/>
                      <w:szCs w:val="21"/>
                    </w:rPr>
                    <w:t>°</w:t>
                  </w:r>
                  <w:r>
                    <w:rPr>
                      <w:rFonts w:hint="default" w:ascii="Times New Roman" w:hAnsi="Times New Roman" w:eastAsia="仿宋" w:cs="Times New Roman"/>
                      <w:b/>
                      <w:color w:val="auto"/>
                      <w:szCs w:val="21"/>
                    </w:rPr>
                    <w:t>）</w:t>
                  </w:r>
                </w:p>
              </w:tc>
              <w:tc>
                <w:tcPr>
                  <w:tcW w:w="706" w:type="pct"/>
                  <w:noWrap w:val="0"/>
                  <w:vAlign w:val="center"/>
                </w:tcPr>
                <w:p w14:paraId="64F10E4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纬度（</w:t>
                  </w:r>
                  <w:r>
                    <w:rPr>
                      <w:rFonts w:hint="default" w:ascii="Times New Roman" w:hAnsi="Times New Roman" w:eastAsia="仿宋" w:cs="Times New Roman"/>
                      <w:bCs/>
                      <w:color w:val="auto"/>
                      <w:szCs w:val="21"/>
                    </w:rPr>
                    <w:t>°</w:t>
                  </w:r>
                  <w:r>
                    <w:rPr>
                      <w:rFonts w:hint="default" w:ascii="Times New Roman" w:hAnsi="Times New Roman" w:eastAsia="仿宋" w:cs="Times New Roman"/>
                      <w:b/>
                      <w:color w:val="auto"/>
                      <w:szCs w:val="21"/>
                    </w:rPr>
                    <w:t>）</w:t>
                  </w:r>
                </w:p>
              </w:tc>
              <w:tc>
                <w:tcPr>
                  <w:tcW w:w="438" w:type="pct"/>
                  <w:vMerge w:val="continue"/>
                  <w:noWrap w:val="0"/>
                  <w:vAlign w:val="center"/>
                </w:tcPr>
                <w:p w14:paraId="7E861866">
                  <w:pPr>
                    <w:adjustRightInd w:val="0"/>
                    <w:snapToGrid w:val="0"/>
                    <w:jc w:val="center"/>
                    <w:rPr>
                      <w:rFonts w:hint="default" w:ascii="Times New Roman" w:hAnsi="Times New Roman" w:eastAsia="仿宋" w:cs="Times New Roman"/>
                      <w:color w:val="auto"/>
                      <w:szCs w:val="21"/>
                    </w:rPr>
                  </w:pPr>
                </w:p>
              </w:tc>
              <w:tc>
                <w:tcPr>
                  <w:tcW w:w="385" w:type="pct"/>
                  <w:vMerge w:val="continue"/>
                  <w:noWrap w:val="0"/>
                  <w:vAlign w:val="center"/>
                </w:tcPr>
                <w:p w14:paraId="0D2E36D3">
                  <w:pPr>
                    <w:adjustRightInd w:val="0"/>
                    <w:snapToGrid w:val="0"/>
                    <w:jc w:val="center"/>
                    <w:rPr>
                      <w:rFonts w:hint="default" w:ascii="Times New Roman" w:hAnsi="Times New Roman" w:eastAsia="仿宋" w:cs="Times New Roman"/>
                      <w:color w:val="auto"/>
                      <w:szCs w:val="21"/>
                    </w:rPr>
                  </w:pPr>
                </w:p>
              </w:tc>
              <w:tc>
                <w:tcPr>
                  <w:tcW w:w="384" w:type="pct"/>
                  <w:vMerge w:val="continue"/>
                  <w:noWrap w:val="0"/>
                  <w:vAlign w:val="center"/>
                </w:tcPr>
                <w:p w14:paraId="6F2C14C2">
                  <w:pPr>
                    <w:adjustRightInd w:val="0"/>
                    <w:snapToGrid w:val="0"/>
                    <w:jc w:val="center"/>
                    <w:rPr>
                      <w:rFonts w:hint="default" w:ascii="Times New Roman" w:hAnsi="Times New Roman" w:eastAsia="仿宋" w:cs="Times New Roman"/>
                      <w:color w:val="auto"/>
                      <w:szCs w:val="21"/>
                    </w:rPr>
                  </w:pPr>
                </w:p>
              </w:tc>
              <w:tc>
                <w:tcPr>
                  <w:tcW w:w="439" w:type="pct"/>
                  <w:vMerge w:val="continue"/>
                  <w:noWrap w:val="0"/>
                  <w:vAlign w:val="center"/>
                </w:tcPr>
                <w:p w14:paraId="6166B044">
                  <w:pPr>
                    <w:adjustRightInd w:val="0"/>
                    <w:snapToGrid w:val="0"/>
                    <w:jc w:val="center"/>
                    <w:rPr>
                      <w:rFonts w:hint="default" w:ascii="Times New Roman" w:hAnsi="Times New Roman" w:eastAsia="仿宋" w:cs="Times New Roman"/>
                      <w:color w:val="auto"/>
                      <w:szCs w:val="21"/>
                    </w:rPr>
                  </w:pPr>
                </w:p>
              </w:tc>
              <w:tc>
                <w:tcPr>
                  <w:tcW w:w="494" w:type="pct"/>
                  <w:vMerge w:val="continue"/>
                  <w:noWrap w:val="0"/>
                  <w:vAlign w:val="center"/>
                </w:tcPr>
                <w:p w14:paraId="60EA9360">
                  <w:pPr>
                    <w:adjustRightInd w:val="0"/>
                    <w:snapToGrid w:val="0"/>
                    <w:jc w:val="center"/>
                    <w:rPr>
                      <w:rFonts w:hint="default" w:ascii="Times New Roman" w:hAnsi="Times New Roman" w:eastAsia="仿宋" w:cs="Times New Roman"/>
                      <w:color w:val="auto"/>
                      <w:szCs w:val="21"/>
                    </w:rPr>
                  </w:pPr>
                </w:p>
              </w:tc>
              <w:tc>
                <w:tcPr>
                  <w:tcW w:w="440" w:type="pct"/>
                  <w:vMerge w:val="continue"/>
                  <w:noWrap w:val="0"/>
                  <w:vAlign w:val="center"/>
                </w:tcPr>
                <w:p w14:paraId="62643F3E">
                  <w:pPr>
                    <w:adjustRightInd w:val="0"/>
                    <w:snapToGrid w:val="0"/>
                    <w:jc w:val="center"/>
                    <w:rPr>
                      <w:rFonts w:hint="default" w:ascii="Times New Roman" w:hAnsi="Times New Roman" w:eastAsia="仿宋" w:cs="Times New Roman"/>
                      <w:color w:val="auto"/>
                      <w:szCs w:val="21"/>
                    </w:rPr>
                  </w:pPr>
                </w:p>
              </w:tc>
              <w:tc>
                <w:tcPr>
                  <w:tcW w:w="482" w:type="pct"/>
                  <w:vMerge w:val="continue"/>
                  <w:noWrap w:val="0"/>
                  <w:vAlign w:val="center"/>
                </w:tcPr>
                <w:p w14:paraId="4FD2B5B3">
                  <w:pPr>
                    <w:adjustRightInd w:val="0"/>
                    <w:snapToGrid w:val="0"/>
                    <w:jc w:val="center"/>
                    <w:rPr>
                      <w:rFonts w:hint="default" w:ascii="Times New Roman" w:hAnsi="Times New Roman" w:eastAsia="仿宋" w:cs="Times New Roman"/>
                      <w:color w:val="auto"/>
                      <w:szCs w:val="21"/>
                    </w:rPr>
                  </w:pPr>
                </w:p>
              </w:tc>
            </w:tr>
            <w:tr w14:paraId="1C31C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371" w:type="pct"/>
                  <w:noWrap w:val="0"/>
                  <w:vAlign w:val="center"/>
                </w:tcPr>
                <w:p w14:paraId="414AE739">
                  <w:pPr>
                    <w:jc w:val="center"/>
                    <w:rPr>
                      <w:rFonts w:hint="default" w:ascii="Times New Roman" w:hAnsi="Times New Roman" w:eastAsia="仿宋" w:cs="Times New Roman"/>
                      <w:color w:val="auto"/>
                      <w:szCs w:val="21"/>
                      <w:lang w:val="en-US"/>
                    </w:rPr>
                  </w:pPr>
                  <w:r>
                    <w:rPr>
                      <w:rFonts w:hint="eastAsia" w:eastAsia="仿宋" w:cs="Times New Roman"/>
                      <w:color w:val="auto"/>
                      <w:spacing w:val="0"/>
                      <w:sz w:val="21"/>
                      <w:szCs w:val="21"/>
                      <w:lang w:val="en-US" w:eastAsia="zh-CN"/>
                    </w:rPr>
                    <w:t>1#</w:t>
                  </w:r>
                  <w:r>
                    <w:rPr>
                      <w:rFonts w:hint="default" w:ascii="Times New Roman" w:hAnsi="Times New Roman" w:eastAsia="仿宋" w:cs="Times New Roman"/>
                      <w:color w:val="auto"/>
                      <w:spacing w:val="0"/>
                      <w:sz w:val="21"/>
                      <w:szCs w:val="21"/>
                      <w:lang w:val="en-US" w:eastAsia="zh-CN"/>
                    </w:rPr>
                    <w:t>实验室</w:t>
                  </w:r>
                </w:p>
              </w:tc>
              <w:tc>
                <w:tcPr>
                  <w:tcW w:w="856" w:type="pct"/>
                  <w:noWrap w:val="0"/>
                  <w:vAlign w:val="center"/>
                </w:tcPr>
                <w:p w14:paraId="0655998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119.652413</w:t>
                  </w:r>
                </w:p>
              </w:tc>
              <w:tc>
                <w:tcPr>
                  <w:tcW w:w="706" w:type="pct"/>
                  <w:noWrap w:val="0"/>
                  <w:vAlign w:val="center"/>
                </w:tcPr>
                <w:p w14:paraId="48B51BC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31.733516</w:t>
                  </w:r>
                </w:p>
              </w:tc>
              <w:tc>
                <w:tcPr>
                  <w:tcW w:w="438" w:type="pct"/>
                  <w:noWrap w:val="0"/>
                  <w:vAlign w:val="center"/>
                </w:tcPr>
                <w:p w14:paraId="24972DC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p>
              </w:tc>
              <w:tc>
                <w:tcPr>
                  <w:tcW w:w="385" w:type="pct"/>
                  <w:noWrap w:val="0"/>
                  <w:vAlign w:val="center"/>
                </w:tcPr>
                <w:p w14:paraId="5AEB3688">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w:t>
                  </w:r>
                </w:p>
              </w:tc>
              <w:tc>
                <w:tcPr>
                  <w:tcW w:w="384" w:type="pct"/>
                  <w:noWrap w:val="0"/>
                  <w:vAlign w:val="center"/>
                </w:tcPr>
                <w:p w14:paraId="564D2597">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w:t>
                  </w:r>
                </w:p>
              </w:tc>
              <w:tc>
                <w:tcPr>
                  <w:tcW w:w="439" w:type="pct"/>
                  <w:noWrap w:val="0"/>
                  <w:vAlign w:val="center"/>
                </w:tcPr>
                <w:p w14:paraId="36B730FF">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3</w:t>
                  </w:r>
                </w:p>
              </w:tc>
              <w:tc>
                <w:tcPr>
                  <w:tcW w:w="494" w:type="pct"/>
                  <w:noWrap w:val="0"/>
                  <w:vAlign w:val="center"/>
                </w:tcPr>
                <w:p w14:paraId="47FD7F4D">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w:t>
                  </w:r>
                </w:p>
              </w:tc>
              <w:tc>
                <w:tcPr>
                  <w:tcW w:w="440" w:type="pct"/>
                  <w:noWrap w:val="0"/>
                  <w:vAlign w:val="center"/>
                </w:tcPr>
                <w:p w14:paraId="2438B5E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600</w:t>
                  </w:r>
                </w:p>
              </w:tc>
              <w:tc>
                <w:tcPr>
                  <w:tcW w:w="482" w:type="pct"/>
                  <w:noWrap w:val="0"/>
                  <w:vAlign w:val="center"/>
                </w:tcPr>
                <w:p w14:paraId="3468FAC5">
                  <w:pPr>
                    <w:adjustRightInd w:val="0"/>
                    <w:snapToGrid w:val="0"/>
                    <w:ind w:left="-21" w:leftChars="-10" w:right="-21" w:rightChars="-1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正常、</w:t>
                  </w:r>
                </w:p>
                <w:p w14:paraId="35B6F62D">
                  <w:pPr>
                    <w:adjustRightInd w:val="0"/>
                    <w:snapToGrid w:val="0"/>
                    <w:ind w:left="-21" w:leftChars="-10" w:right="-21" w:rightChars="-1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间断</w:t>
                  </w:r>
                </w:p>
              </w:tc>
            </w:tr>
          </w:tbl>
          <w:p w14:paraId="5ACFF810">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4、非正常排放</w:t>
            </w:r>
          </w:p>
          <w:p w14:paraId="58822238">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根据本项目工程分析及生产特点，工艺废气异常排放主要发生在废气处理装置出现故障，考虑最不利情况，此时工艺生产过程排放的废气未经处理直接排入大气，造成非正常排放，非正常工况时废气源强见下表。</w:t>
            </w:r>
          </w:p>
          <w:p w14:paraId="45E3646F">
            <w:pPr>
              <w:jc w:val="center"/>
              <w:rPr>
                <w:rFonts w:hint="default" w:ascii="Times New Roman" w:hAnsi="Times New Roman" w:eastAsia="仿宋" w:cs="Times New Roman"/>
                <w:b/>
                <w:bCs/>
                <w:color w:val="auto"/>
                <w:sz w:val="24"/>
              </w:rPr>
            </w:pPr>
          </w:p>
          <w:p w14:paraId="08E452D1">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3</w:t>
            </w:r>
            <w:r>
              <w:rPr>
                <w:rFonts w:hint="default" w:ascii="Times New Roman" w:hAnsi="Times New Roman" w:eastAsia="仿宋" w:cs="Times New Roman"/>
                <w:b/>
                <w:bCs/>
                <w:color w:val="auto"/>
                <w:sz w:val="24"/>
              </w:rPr>
              <w:t xml:space="preserve">  本项目非正常工况下排放参数表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852"/>
              <w:gridCol w:w="1551"/>
              <w:gridCol w:w="1379"/>
              <w:gridCol w:w="1146"/>
              <w:gridCol w:w="1053"/>
            </w:tblGrid>
            <w:tr w14:paraId="79452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6" w:type="pct"/>
                  <w:vAlign w:val="center"/>
                </w:tcPr>
                <w:p w14:paraId="1BD6D72C">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非正常排放源</w:t>
                  </w:r>
                </w:p>
              </w:tc>
              <w:tc>
                <w:tcPr>
                  <w:tcW w:w="1125" w:type="pct"/>
                  <w:vAlign w:val="center"/>
                </w:tcPr>
                <w:p w14:paraId="531BAEC1">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非正常排放原因</w:t>
                  </w:r>
                </w:p>
              </w:tc>
              <w:tc>
                <w:tcPr>
                  <w:tcW w:w="942" w:type="pct"/>
                  <w:vAlign w:val="center"/>
                </w:tcPr>
                <w:p w14:paraId="2E10E3EA">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污染物</w:t>
                  </w:r>
                </w:p>
              </w:tc>
              <w:tc>
                <w:tcPr>
                  <w:tcW w:w="838" w:type="pct"/>
                  <w:vAlign w:val="center"/>
                </w:tcPr>
                <w:p w14:paraId="3E8EAE4D">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非正常排放速率/（kg/h）</w:t>
                  </w:r>
                </w:p>
              </w:tc>
              <w:tc>
                <w:tcPr>
                  <w:tcW w:w="696" w:type="pct"/>
                  <w:vAlign w:val="center"/>
                </w:tcPr>
                <w:p w14:paraId="7C65C2F6">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单次持续时间/h</w:t>
                  </w:r>
                </w:p>
              </w:tc>
              <w:tc>
                <w:tcPr>
                  <w:tcW w:w="640" w:type="pct"/>
                  <w:vAlign w:val="center"/>
                </w:tcPr>
                <w:p w14:paraId="53C750B1">
                  <w:pPr>
                    <w:pStyle w:val="20"/>
                    <w:adjustRightInd w:val="0"/>
                    <w:snapToGrid w:val="0"/>
                    <w:spacing w:after="0"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color w:val="auto"/>
                      <w:szCs w:val="21"/>
                    </w:rPr>
                    <w:t>年发生频次/次</w:t>
                  </w:r>
                </w:p>
              </w:tc>
            </w:tr>
            <w:tr w14:paraId="4C58B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6" w:type="pct"/>
                  <w:vMerge w:val="restart"/>
                  <w:vAlign w:val="center"/>
                </w:tcPr>
                <w:p w14:paraId="6E3FCF9D">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3</w:t>
                  </w:r>
                  <w:r>
                    <w:rPr>
                      <w:rFonts w:hint="default" w:ascii="Times New Roman" w:hAnsi="Times New Roman" w:eastAsia="仿宋" w:cs="Times New Roman"/>
                      <w:color w:val="auto"/>
                      <w:szCs w:val="21"/>
                    </w:rPr>
                    <w:t>#排气筒</w:t>
                  </w:r>
                </w:p>
              </w:tc>
              <w:tc>
                <w:tcPr>
                  <w:tcW w:w="1125" w:type="pct"/>
                  <w:vMerge w:val="restart"/>
                  <w:vAlign w:val="center"/>
                </w:tcPr>
                <w:p w14:paraId="6B47E270">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废气处理装置出现故障，处理效率以0%最不利情况</w:t>
                  </w:r>
                </w:p>
              </w:tc>
              <w:tc>
                <w:tcPr>
                  <w:tcW w:w="942" w:type="pct"/>
                  <w:vAlign w:val="center"/>
                </w:tcPr>
                <w:p w14:paraId="68C7316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氯化氢</w:t>
                  </w:r>
                </w:p>
              </w:tc>
              <w:tc>
                <w:tcPr>
                  <w:tcW w:w="838" w:type="pct"/>
                  <w:vAlign w:val="center"/>
                </w:tcPr>
                <w:p w14:paraId="3B7BC297">
                  <w:pPr>
                    <w:pStyle w:val="20"/>
                    <w:adjustRightInd w:val="0"/>
                    <w:snapToGrid w:val="0"/>
                    <w:spacing w:after="0"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w:t>
                  </w:r>
                  <w:r>
                    <w:rPr>
                      <w:rFonts w:hint="eastAsia" w:eastAsia="仿宋" w:cs="Times New Roman"/>
                      <w:color w:val="auto"/>
                      <w:szCs w:val="21"/>
                      <w:lang w:val="en-US" w:eastAsia="zh-CN"/>
                    </w:rPr>
                    <w:t>13</w:t>
                  </w:r>
                </w:p>
              </w:tc>
              <w:tc>
                <w:tcPr>
                  <w:tcW w:w="696" w:type="pct"/>
                  <w:vAlign w:val="center"/>
                </w:tcPr>
                <w:p w14:paraId="5132356E">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640" w:type="pct"/>
                  <w:vAlign w:val="center"/>
                </w:tcPr>
                <w:p w14:paraId="4E2C0839">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r>
            <w:tr w14:paraId="1A4BF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56" w:type="pct"/>
                  <w:vMerge w:val="continue"/>
                  <w:vAlign w:val="center"/>
                </w:tcPr>
                <w:p w14:paraId="5017BA76">
                  <w:pPr>
                    <w:pStyle w:val="20"/>
                    <w:adjustRightInd w:val="0"/>
                    <w:snapToGrid w:val="0"/>
                    <w:spacing w:after="0" w:line="240" w:lineRule="auto"/>
                    <w:jc w:val="center"/>
                    <w:rPr>
                      <w:rFonts w:hint="default" w:ascii="Times New Roman" w:hAnsi="Times New Roman" w:eastAsia="仿宋" w:cs="Times New Roman"/>
                      <w:color w:val="auto"/>
                      <w:szCs w:val="21"/>
                    </w:rPr>
                  </w:pPr>
                </w:p>
              </w:tc>
              <w:tc>
                <w:tcPr>
                  <w:tcW w:w="1125" w:type="pct"/>
                  <w:vMerge w:val="continue"/>
                  <w:vAlign w:val="center"/>
                </w:tcPr>
                <w:p w14:paraId="179803CB">
                  <w:pPr>
                    <w:pStyle w:val="20"/>
                    <w:adjustRightInd w:val="0"/>
                    <w:snapToGrid w:val="0"/>
                    <w:spacing w:after="0" w:line="240" w:lineRule="auto"/>
                    <w:jc w:val="center"/>
                    <w:rPr>
                      <w:rFonts w:hint="default" w:ascii="Times New Roman" w:hAnsi="Times New Roman" w:eastAsia="仿宋" w:cs="Times New Roman"/>
                      <w:color w:val="auto"/>
                      <w:szCs w:val="21"/>
                    </w:rPr>
                  </w:pPr>
                </w:p>
              </w:tc>
              <w:tc>
                <w:tcPr>
                  <w:tcW w:w="942" w:type="pct"/>
                  <w:vAlign w:val="center"/>
                </w:tcPr>
                <w:p w14:paraId="424FB8A9">
                  <w:pPr>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 w:val="21"/>
                      <w:szCs w:val="21"/>
                      <w:lang w:val="en-US" w:eastAsia="zh-CN"/>
                    </w:rPr>
                    <w:t>非甲烷总烃</w:t>
                  </w:r>
                </w:p>
              </w:tc>
              <w:tc>
                <w:tcPr>
                  <w:tcW w:w="838" w:type="pct"/>
                  <w:vAlign w:val="center"/>
                </w:tcPr>
                <w:p w14:paraId="45F21F19">
                  <w:pPr>
                    <w:pStyle w:val="20"/>
                    <w:adjustRightInd w:val="0"/>
                    <w:snapToGrid w:val="0"/>
                    <w:spacing w:after="0"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0.015</w:t>
                  </w:r>
                </w:p>
              </w:tc>
              <w:tc>
                <w:tcPr>
                  <w:tcW w:w="696" w:type="pct"/>
                  <w:vAlign w:val="center"/>
                </w:tcPr>
                <w:p w14:paraId="412DD728">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640" w:type="pct"/>
                  <w:vAlign w:val="center"/>
                </w:tcPr>
                <w:p w14:paraId="4C8312E2">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r>
            <w:tr w14:paraId="589CB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6" w:type="pct"/>
                  <w:vMerge w:val="continue"/>
                  <w:vAlign w:val="center"/>
                </w:tcPr>
                <w:p w14:paraId="7378A2F2">
                  <w:pPr>
                    <w:pStyle w:val="20"/>
                    <w:adjustRightInd w:val="0"/>
                    <w:snapToGrid w:val="0"/>
                    <w:spacing w:after="0" w:line="240" w:lineRule="auto"/>
                    <w:jc w:val="center"/>
                    <w:rPr>
                      <w:rFonts w:hint="default" w:ascii="Times New Roman" w:hAnsi="Times New Roman" w:eastAsia="仿宋" w:cs="Times New Roman"/>
                      <w:color w:val="auto"/>
                      <w:szCs w:val="21"/>
                    </w:rPr>
                  </w:pPr>
                </w:p>
              </w:tc>
              <w:tc>
                <w:tcPr>
                  <w:tcW w:w="1125" w:type="pct"/>
                  <w:vMerge w:val="continue"/>
                  <w:vAlign w:val="center"/>
                </w:tcPr>
                <w:p w14:paraId="3C01EF91">
                  <w:pPr>
                    <w:pStyle w:val="20"/>
                    <w:adjustRightInd w:val="0"/>
                    <w:snapToGrid w:val="0"/>
                    <w:spacing w:after="0" w:line="240" w:lineRule="auto"/>
                    <w:jc w:val="center"/>
                    <w:rPr>
                      <w:rFonts w:hint="default" w:ascii="Times New Roman" w:hAnsi="Times New Roman" w:eastAsia="仿宋" w:cs="Times New Roman"/>
                      <w:color w:val="auto"/>
                      <w:szCs w:val="21"/>
                    </w:rPr>
                  </w:pPr>
                </w:p>
              </w:tc>
              <w:tc>
                <w:tcPr>
                  <w:tcW w:w="942" w:type="pct"/>
                  <w:vAlign w:val="center"/>
                </w:tcPr>
                <w:p w14:paraId="5EA76751">
                  <w:pPr>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 w:val="21"/>
                      <w:szCs w:val="21"/>
                      <w:highlight w:val="none"/>
                      <w:lang w:val="en-US" w:eastAsia="zh-CN"/>
                    </w:rPr>
                    <w:t>锡及其化合物</w:t>
                  </w:r>
                </w:p>
              </w:tc>
              <w:tc>
                <w:tcPr>
                  <w:tcW w:w="838" w:type="pct"/>
                  <w:vAlign w:val="center"/>
                </w:tcPr>
                <w:p w14:paraId="22F1096F">
                  <w:pPr>
                    <w:pStyle w:val="20"/>
                    <w:adjustRightInd w:val="0"/>
                    <w:snapToGrid w:val="0"/>
                    <w:spacing w:after="0"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不定量计算</w:t>
                  </w:r>
                </w:p>
              </w:tc>
              <w:tc>
                <w:tcPr>
                  <w:tcW w:w="696" w:type="pct"/>
                  <w:vAlign w:val="center"/>
                </w:tcPr>
                <w:p w14:paraId="09199A5D">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w:t>
                  </w:r>
                </w:p>
              </w:tc>
              <w:tc>
                <w:tcPr>
                  <w:tcW w:w="640" w:type="pct"/>
                  <w:vAlign w:val="center"/>
                </w:tcPr>
                <w:p w14:paraId="35F319DE">
                  <w:pPr>
                    <w:pStyle w:val="20"/>
                    <w:adjustRightInd w:val="0"/>
                    <w:snapToGrid w:val="0"/>
                    <w:spacing w:after="0"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r>
          </w:tbl>
          <w:p w14:paraId="4B00EFCA">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对于废气处理系统，一般情况下是开工时先运行废气处理系统，停工时废气处理系统最后停运，因此，在开工时一般情况下不存在工艺尾气事故排放。对于上述极端情况，一方面要设立自控系统，保证出现事故情况下，立即启动备用系统，如果突然断电，要立即关掉设备废气排放阀门，尽量减少废气直接排入大气环境。</w:t>
            </w:r>
          </w:p>
          <w:p w14:paraId="27D34A6A">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5、废气监测计划</w:t>
            </w:r>
          </w:p>
          <w:p w14:paraId="64EF3D9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根据《排污单位自行监测技术指南 电子工业》（HJ1253-2022），</w:t>
            </w:r>
            <w:r>
              <w:rPr>
                <w:rFonts w:hint="default" w:ascii="Times New Roman" w:hAnsi="Times New Roman" w:eastAsia="仿宋" w:cs="Times New Roman"/>
                <w:bCs/>
                <w:color w:val="auto"/>
                <w:sz w:val="24"/>
                <w:lang w:val="en-US" w:eastAsia="zh-CN"/>
              </w:rPr>
              <w:t>本项目</w:t>
            </w:r>
            <w:r>
              <w:rPr>
                <w:rFonts w:hint="default" w:ascii="Times New Roman" w:hAnsi="Times New Roman" w:eastAsia="仿宋" w:cs="Times New Roman"/>
                <w:bCs/>
                <w:color w:val="auto"/>
                <w:sz w:val="24"/>
              </w:rPr>
              <w:t>废气监测计划见下表。</w:t>
            </w:r>
          </w:p>
          <w:p w14:paraId="62B84511">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4</w:t>
            </w:r>
            <w:r>
              <w:rPr>
                <w:rFonts w:hint="default" w:ascii="Times New Roman" w:hAnsi="Times New Roman" w:eastAsia="仿宋" w:cs="Times New Roman"/>
                <w:b/>
                <w:bCs/>
                <w:color w:val="auto"/>
                <w:sz w:val="24"/>
              </w:rPr>
              <w:t xml:space="preserve">  本项目运营期废气监测计划表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9"/>
              <w:gridCol w:w="612"/>
              <w:gridCol w:w="955"/>
              <w:gridCol w:w="1268"/>
              <w:gridCol w:w="901"/>
              <w:gridCol w:w="2365"/>
              <w:gridCol w:w="901"/>
              <w:gridCol w:w="654"/>
            </w:tblGrid>
            <w:tr w14:paraId="22699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46" w:type="pct"/>
                  <w:tcBorders>
                    <w:tl2br w:val="nil"/>
                    <w:tr2bl w:val="nil"/>
                  </w:tcBorders>
                  <w:vAlign w:val="center"/>
                </w:tcPr>
                <w:p w14:paraId="44B09DAE">
                  <w:pPr>
                    <w:wordWrap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时段</w:t>
                  </w:r>
                </w:p>
              </w:tc>
              <w:tc>
                <w:tcPr>
                  <w:tcW w:w="372" w:type="pct"/>
                  <w:tcBorders>
                    <w:tl2br w:val="nil"/>
                    <w:tr2bl w:val="nil"/>
                  </w:tcBorders>
                  <w:vAlign w:val="center"/>
                </w:tcPr>
                <w:p w14:paraId="5FE899D5">
                  <w:pPr>
                    <w:wordWrap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类别</w:t>
                  </w:r>
                </w:p>
              </w:tc>
              <w:tc>
                <w:tcPr>
                  <w:tcW w:w="580" w:type="pct"/>
                  <w:tcBorders>
                    <w:tl2br w:val="nil"/>
                    <w:tr2bl w:val="nil"/>
                  </w:tcBorders>
                  <w:vAlign w:val="center"/>
                </w:tcPr>
                <w:p w14:paraId="3570DFD2">
                  <w:pPr>
                    <w:wordWrap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监测位置</w:t>
                  </w:r>
                </w:p>
              </w:tc>
              <w:tc>
                <w:tcPr>
                  <w:tcW w:w="770" w:type="pct"/>
                  <w:tcBorders>
                    <w:tl2br w:val="nil"/>
                    <w:tr2bl w:val="nil"/>
                  </w:tcBorders>
                  <w:vAlign w:val="center"/>
                </w:tcPr>
                <w:p w14:paraId="75F051D7">
                  <w:pPr>
                    <w:wordWrap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监测项目</w:t>
                  </w:r>
                </w:p>
              </w:tc>
              <w:tc>
                <w:tcPr>
                  <w:tcW w:w="547" w:type="pct"/>
                  <w:tcBorders>
                    <w:tl2br w:val="nil"/>
                    <w:tr2bl w:val="nil"/>
                  </w:tcBorders>
                  <w:vAlign w:val="center"/>
                </w:tcPr>
                <w:p w14:paraId="2C24D77A">
                  <w:pPr>
                    <w:wordWrap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监测频率</w:t>
                  </w:r>
                </w:p>
              </w:tc>
              <w:tc>
                <w:tcPr>
                  <w:tcW w:w="1436" w:type="pct"/>
                  <w:tcBorders>
                    <w:tl2br w:val="nil"/>
                    <w:tr2bl w:val="nil"/>
                  </w:tcBorders>
                  <w:vAlign w:val="center"/>
                </w:tcPr>
                <w:p w14:paraId="008BC050">
                  <w:pPr>
                    <w:wordWrap w:val="0"/>
                    <w:spacing w:line="24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执行标准</w:t>
                  </w:r>
                </w:p>
              </w:tc>
              <w:tc>
                <w:tcPr>
                  <w:tcW w:w="547" w:type="pct"/>
                  <w:tcBorders>
                    <w:tl2br w:val="nil"/>
                    <w:tr2bl w:val="nil"/>
                  </w:tcBorders>
                  <w:vAlign w:val="center"/>
                </w:tcPr>
                <w:p w14:paraId="70DFDEA0">
                  <w:pPr>
                    <w:wordWrap w:val="0"/>
                    <w:spacing w:line="24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监测方法</w:t>
                  </w:r>
                </w:p>
              </w:tc>
              <w:tc>
                <w:tcPr>
                  <w:tcW w:w="397" w:type="pct"/>
                  <w:tcBorders>
                    <w:tl2br w:val="nil"/>
                    <w:tr2bl w:val="nil"/>
                  </w:tcBorders>
                  <w:vAlign w:val="center"/>
                </w:tcPr>
                <w:p w14:paraId="16DA8421">
                  <w:pPr>
                    <w:wordWrap w:val="0"/>
                    <w:spacing w:line="24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备注</w:t>
                  </w:r>
                </w:p>
              </w:tc>
            </w:tr>
            <w:tr w14:paraId="09427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346" w:type="pct"/>
                  <w:vMerge w:val="restart"/>
                  <w:tcBorders>
                    <w:tl2br w:val="nil"/>
                    <w:tr2bl w:val="nil"/>
                  </w:tcBorders>
                  <w:vAlign w:val="center"/>
                </w:tcPr>
                <w:p w14:paraId="4D1E2031">
                  <w:pPr>
                    <w:wordWrap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营运期</w:t>
                  </w:r>
                </w:p>
              </w:tc>
              <w:tc>
                <w:tcPr>
                  <w:tcW w:w="372" w:type="pct"/>
                  <w:vMerge w:val="restart"/>
                  <w:tcBorders>
                    <w:tl2br w:val="nil"/>
                    <w:tr2bl w:val="nil"/>
                  </w:tcBorders>
                  <w:vAlign w:val="center"/>
                </w:tcPr>
                <w:p w14:paraId="3D16A6BC">
                  <w:pPr>
                    <w:wordWrap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w:t>
                  </w:r>
                </w:p>
              </w:tc>
              <w:tc>
                <w:tcPr>
                  <w:tcW w:w="580" w:type="pct"/>
                  <w:tcBorders>
                    <w:tl2br w:val="nil"/>
                    <w:tr2bl w:val="nil"/>
                  </w:tcBorders>
                  <w:shd w:val="clear" w:color="auto" w:fill="auto"/>
                  <w:vAlign w:val="center"/>
                </w:tcPr>
                <w:p w14:paraId="4C9CE07C">
                  <w:pPr>
                    <w:wordWrap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3#排气筒</w:t>
                  </w:r>
                </w:p>
              </w:tc>
              <w:tc>
                <w:tcPr>
                  <w:tcW w:w="770" w:type="pct"/>
                  <w:tcBorders>
                    <w:tl2br w:val="nil"/>
                    <w:tr2bl w:val="nil"/>
                  </w:tcBorders>
                  <w:shd w:val="clear" w:color="auto" w:fill="auto"/>
                  <w:vAlign w:val="center"/>
                </w:tcPr>
                <w:p w14:paraId="06BF69DA">
                  <w:pPr>
                    <w:wordWrap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非甲烷总烃</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氯化氢、锡及其化合物</w:t>
                  </w:r>
                </w:p>
              </w:tc>
              <w:tc>
                <w:tcPr>
                  <w:tcW w:w="547" w:type="pct"/>
                  <w:tcBorders>
                    <w:tl2br w:val="nil"/>
                    <w:tr2bl w:val="nil"/>
                  </w:tcBorders>
                  <w:shd w:val="clear" w:color="auto" w:fill="auto"/>
                  <w:vAlign w:val="center"/>
                </w:tcPr>
                <w:p w14:paraId="47B67F03">
                  <w:pPr>
                    <w:wordWrap w:val="0"/>
                    <w:spacing w:line="240" w:lineRule="exact"/>
                    <w:ind w:left="-105" w:leftChars="-50" w:right="-105" w:rightChars="-5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1次/年</w:t>
                  </w:r>
                </w:p>
              </w:tc>
              <w:tc>
                <w:tcPr>
                  <w:tcW w:w="1436" w:type="pct"/>
                  <w:tcBorders>
                    <w:tl2br w:val="nil"/>
                    <w:tr2bl w:val="nil"/>
                  </w:tcBorders>
                  <w:shd w:val="clear" w:color="auto" w:fill="auto"/>
                  <w:vAlign w:val="center"/>
                </w:tcPr>
                <w:p w14:paraId="66D274FC">
                  <w:pPr>
                    <w:wordWrap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《大气污染物综合排放标准》（DB32/4041-2021）</w:t>
                  </w:r>
                  <w:r>
                    <w:rPr>
                      <w:rFonts w:hint="default" w:ascii="Times New Roman" w:hAnsi="Times New Roman" w:eastAsia="仿宋" w:cs="Times New Roman"/>
                      <w:color w:val="auto"/>
                      <w:szCs w:val="21"/>
                      <w:highlight w:val="none"/>
                      <w:lang w:val="en-US" w:eastAsia="zh-CN"/>
                    </w:rPr>
                    <w:t>表1</w:t>
                  </w:r>
                </w:p>
              </w:tc>
              <w:tc>
                <w:tcPr>
                  <w:tcW w:w="547" w:type="pct"/>
                  <w:vMerge w:val="restart"/>
                  <w:tcBorders>
                    <w:tl2br w:val="nil"/>
                    <w:tr2bl w:val="nil"/>
                  </w:tcBorders>
                  <w:vAlign w:val="center"/>
                </w:tcPr>
                <w:p w14:paraId="0C4974E3">
                  <w:pPr>
                    <w:wordWrap w:val="0"/>
                    <w:spacing w:line="24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采用国家规定最新监测方法与标准</w:t>
                  </w:r>
                </w:p>
              </w:tc>
              <w:tc>
                <w:tcPr>
                  <w:tcW w:w="397" w:type="pct"/>
                  <w:vMerge w:val="restart"/>
                  <w:tcBorders>
                    <w:tl2br w:val="nil"/>
                    <w:tr2bl w:val="nil"/>
                  </w:tcBorders>
                  <w:vAlign w:val="center"/>
                </w:tcPr>
                <w:p w14:paraId="01120509">
                  <w:pPr>
                    <w:wordWrap w:val="0"/>
                    <w:spacing w:line="240" w:lineRule="exact"/>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委托有资质的环境检测单位实施检测</w:t>
                  </w:r>
                </w:p>
              </w:tc>
            </w:tr>
            <w:tr w14:paraId="189FF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0" w:hRule="atLeast"/>
              </w:trPr>
              <w:tc>
                <w:tcPr>
                  <w:tcW w:w="346" w:type="pct"/>
                  <w:vMerge w:val="continue"/>
                  <w:tcBorders>
                    <w:tl2br w:val="nil"/>
                    <w:tr2bl w:val="nil"/>
                  </w:tcBorders>
                  <w:vAlign w:val="center"/>
                </w:tcPr>
                <w:p w14:paraId="1A434A77">
                  <w:pPr>
                    <w:wordWrap w:val="0"/>
                    <w:jc w:val="center"/>
                    <w:rPr>
                      <w:rFonts w:hint="default" w:ascii="Times New Roman" w:hAnsi="Times New Roman" w:eastAsia="仿宋" w:cs="Times New Roman"/>
                      <w:bCs/>
                      <w:color w:val="auto"/>
                      <w:szCs w:val="21"/>
                    </w:rPr>
                  </w:pPr>
                </w:p>
              </w:tc>
              <w:tc>
                <w:tcPr>
                  <w:tcW w:w="372" w:type="pct"/>
                  <w:vMerge w:val="continue"/>
                  <w:tcBorders>
                    <w:tl2br w:val="nil"/>
                    <w:tr2bl w:val="nil"/>
                  </w:tcBorders>
                  <w:vAlign w:val="center"/>
                </w:tcPr>
                <w:p w14:paraId="4228401C">
                  <w:pPr>
                    <w:wordWrap w:val="0"/>
                    <w:jc w:val="center"/>
                    <w:rPr>
                      <w:rFonts w:hint="default" w:ascii="Times New Roman" w:hAnsi="Times New Roman" w:eastAsia="仿宋" w:cs="Times New Roman"/>
                      <w:color w:val="auto"/>
                      <w:szCs w:val="21"/>
                    </w:rPr>
                  </w:pPr>
                </w:p>
              </w:tc>
              <w:tc>
                <w:tcPr>
                  <w:tcW w:w="580" w:type="pct"/>
                  <w:tcBorders>
                    <w:tl2br w:val="nil"/>
                    <w:tr2bl w:val="nil"/>
                  </w:tcBorders>
                  <w:vAlign w:val="center"/>
                </w:tcPr>
                <w:p w14:paraId="07A6964B">
                  <w:pPr>
                    <w:wordWrap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厂界外1m范围内上风向1个点，下风向3个点</w:t>
                  </w:r>
                </w:p>
              </w:tc>
              <w:tc>
                <w:tcPr>
                  <w:tcW w:w="770" w:type="pct"/>
                  <w:tcBorders>
                    <w:tl2br w:val="nil"/>
                    <w:tr2bl w:val="nil"/>
                  </w:tcBorders>
                  <w:vAlign w:val="center"/>
                </w:tcPr>
                <w:p w14:paraId="227BF16A">
                  <w:pPr>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rPr>
                    <w:t>锡及其化合物、非甲烷总烃</w:t>
                  </w:r>
                  <w:r>
                    <w:rPr>
                      <w:rFonts w:hint="default" w:ascii="Times New Roman" w:hAnsi="Times New Roman" w:eastAsia="仿宋" w:cs="Times New Roman"/>
                      <w:bCs/>
                      <w:color w:val="auto"/>
                      <w:szCs w:val="21"/>
                      <w:highlight w:val="none"/>
                      <w:lang w:eastAsia="zh-CN"/>
                    </w:rPr>
                    <w:t>、</w:t>
                  </w:r>
                  <w:r>
                    <w:rPr>
                      <w:rFonts w:hint="default" w:ascii="Times New Roman" w:hAnsi="Times New Roman" w:eastAsia="仿宋" w:cs="Times New Roman"/>
                      <w:bCs/>
                      <w:color w:val="auto"/>
                      <w:szCs w:val="21"/>
                      <w:highlight w:val="none"/>
                      <w:lang w:val="en-US" w:eastAsia="zh-CN"/>
                    </w:rPr>
                    <w:t>氯化氢</w:t>
                  </w:r>
                </w:p>
              </w:tc>
              <w:tc>
                <w:tcPr>
                  <w:tcW w:w="547" w:type="pct"/>
                  <w:tcBorders>
                    <w:tl2br w:val="nil"/>
                    <w:tr2bl w:val="nil"/>
                  </w:tcBorders>
                  <w:vAlign w:val="center"/>
                </w:tcPr>
                <w:p w14:paraId="3356F6A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1436" w:type="pct"/>
                  <w:tcBorders>
                    <w:tl2br w:val="nil"/>
                    <w:tr2bl w:val="nil"/>
                  </w:tcBorders>
                  <w:vAlign w:val="center"/>
                </w:tcPr>
                <w:p w14:paraId="698FDEC3">
                  <w:pPr>
                    <w:wordWrap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《大气污染物综合排放标准》（DB32/4041-2021）</w:t>
                  </w:r>
                  <w:r>
                    <w:rPr>
                      <w:rFonts w:hint="default" w:ascii="Times New Roman" w:hAnsi="Times New Roman" w:eastAsia="仿宋" w:cs="Times New Roman"/>
                      <w:color w:val="auto"/>
                      <w:szCs w:val="21"/>
                      <w:highlight w:val="none"/>
                      <w:lang w:val="en-US" w:eastAsia="zh-CN"/>
                    </w:rPr>
                    <w:t>表3</w:t>
                  </w:r>
                </w:p>
              </w:tc>
              <w:tc>
                <w:tcPr>
                  <w:tcW w:w="547" w:type="pct"/>
                  <w:vMerge w:val="continue"/>
                  <w:tcBorders>
                    <w:tl2br w:val="nil"/>
                    <w:tr2bl w:val="nil"/>
                  </w:tcBorders>
                  <w:vAlign w:val="center"/>
                </w:tcPr>
                <w:p w14:paraId="654BFCCE">
                  <w:pPr>
                    <w:wordWrap w:val="0"/>
                    <w:spacing w:line="240" w:lineRule="exact"/>
                    <w:jc w:val="center"/>
                    <w:rPr>
                      <w:rFonts w:hint="default" w:ascii="Times New Roman" w:hAnsi="Times New Roman" w:eastAsia="仿宋" w:cs="Times New Roman"/>
                      <w:bCs/>
                      <w:color w:val="auto"/>
                      <w:szCs w:val="21"/>
                    </w:rPr>
                  </w:pPr>
                </w:p>
              </w:tc>
              <w:tc>
                <w:tcPr>
                  <w:tcW w:w="397" w:type="pct"/>
                  <w:vMerge w:val="continue"/>
                  <w:tcBorders>
                    <w:tl2br w:val="nil"/>
                    <w:tr2bl w:val="nil"/>
                  </w:tcBorders>
                  <w:vAlign w:val="center"/>
                </w:tcPr>
                <w:p w14:paraId="11C96FE9">
                  <w:pPr>
                    <w:wordWrap w:val="0"/>
                    <w:spacing w:line="240" w:lineRule="exact"/>
                    <w:jc w:val="center"/>
                    <w:rPr>
                      <w:rFonts w:hint="default" w:ascii="Times New Roman" w:hAnsi="Times New Roman" w:eastAsia="仿宋" w:cs="Times New Roman"/>
                      <w:bCs/>
                      <w:color w:val="auto"/>
                      <w:szCs w:val="21"/>
                    </w:rPr>
                  </w:pPr>
                </w:p>
              </w:tc>
            </w:tr>
            <w:tr w14:paraId="326D0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trPr>
              <w:tc>
                <w:tcPr>
                  <w:tcW w:w="346" w:type="pct"/>
                  <w:vMerge w:val="continue"/>
                  <w:tcBorders>
                    <w:tl2br w:val="nil"/>
                    <w:tr2bl w:val="nil"/>
                  </w:tcBorders>
                  <w:vAlign w:val="center"/>
                </w:tcPr>
                <w:p w14:paraId="2C761D9F">
                  <w:pPr>
                    <w:wordWrap w:val="0"/>
                    <w:jc w:val="center"/>
                    <w:rPr>
                      <w:rFonts w:hint="default" w:ascii="Times New Roman" w:hAnsi="Times New Roman" w:eastAsia="仿宋" w:cs="Times New Roman"/>
                      <w:bCs/>
                      <w:color w:val="auto"/>
                      <w:szCs w:val="21"/>
                    </w:rPr>
                  </w:pPr>
                </w:p>
              </w:tc>
              <w:tc>
                <w:tcPr>
                  <w:tcW w:w="372" w:type="pct"/>
                  <w:vMerge w:val="continue"/>
                  <w:tcBorders>
                    <w:tl2br w:val="nil"/>
                    <w:tr2bl w:val="nil"/>
                  </w:tcBorders>
                  <w:vAlign w:val="center"/>
                </w:tcPr>
                <w:p w14:paraId="6A35AEAE">
                  <w:pPr>
                    <w:wordWrap w:val="0"/>
                    <w:jc w:val="center"/>
                    <w:rPr>
                      <w:rFonts w:hint="default" w:ascii="Times New Roman" w:hAnsi="Times New Roman" w:eastAsia="仿宋" w:cs="Times New Roman"/>
                      <w:color w:val="auto"/>
                      <w:szCs w:val="21"/>
                    </w:rPr>
                  </w:pPr>
                </w:p>
              </w:tc>
              <w:tc>
                <w:tcPr>
                  <w:tcW w:w="580" w:type="pct"/>
                  <w:tcBorders>
                    <w:tl2br w:val="nil"/>
                    <w:tr2bl w:val="nil"/>
                  </w:tcBorders>
                  <w:vAlign w:val="center"/>
                </w:tcPr>
                <w:p w14:paraId="0FDDD0D4">
                  <w:pPr>
                    <w:wordWrap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生产车间门口、窗户外1m</w:t>
                  </w:r>
                </w:p>
              </w:tc>
              <w:tc>
                <w:tcPr>
                  <w:tcW w:w="770" w:type="pct"/>
                  <w:tcBorders>
                    <w:tl2br w:val="nil"/>
                    <w:tr2bl w:val="nil"/>
                  </w:tcBorders>
                  <w:vAlign w:val="center"/>
                </w:tcPr>
                <w:p w14:paraId="42EA63E1">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color w:val="auto"/>
                      <w:szCs w:val="21"/>
                      <w:highlight w:val="none"/>
                    </w:rPr>
                    <w:t>非甲烷总烃</w:t>
                  </w:r>
                </w:p>
              </w:tc>
              <w:tc>
                <w:tcPr>
                  <w:tcW w:w="547" w:type="pct"/>
                  <w:tcBorders>
                    <w:tl2br w:val="nil"/>
                    <w:tr2bl w:val="nil"/>
                  </w:tcBorders>
                  <w:vAlign w:val="center"/>
                </w:tcPr>
                <w:p w14:paraId="7B19BB0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1436" w:type="pct"/>
                  <w:tcBorders>
                    <w:tl2br w:val="nil"/>
                    <w:tr2bl w:val="nil"/>
                  </w:tcBorders>
                  <w:vAlign w:val="center"/>
                </w:tcPr>
                <w:p w14:paraId="5E8E0BC5">
                  <w:pPr>
                    <w:wordWrap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《大气污染物综合排放标准》（DB32/4041-2021）</w:t>
                  </w:r>
                  <w:r>
                    <w:rPr>
                      <w:rFonts w:hint="default" w:ascii="Times New Roman" w:hAnsi="Times New Roman" w:eastAsia="仿宋" w:cs="Times New Roman"/>
                      <w:color w:val="auto"/>
                      <w:szCs w:val="21"/>
                      <w:highlight w:val="none"/>
                      <w:lang w:val="en-US" w:eastAsia="zh-CN"/>
                    </w:rPr>
                    <w:t>表2</w:t>
                  </w:r>
                </w:p>
              </w:tc>
              <w:tc>
                <w:tcPr>
                  <w:tcW w:w="547" w:type="pct"/>
                  <w:vMerge w:val="continue"/>
                  <w:tcBorders>
                    <w:tl2br w:val="nil"/>
                    <w:tr2bl w:val="nil"/>
                  </w:tcBorders>
                  <w:vAlign w:val="center"/>
                </w:tcPr>
                <w:p w14:paraId="45B9E409">
                  <w:pPr>
                    <w:wordWrap w:val="0"/>
                    <w:spacing w:line="240" w:lineRule="exact"/>
                    <w:jc w:val="center"/>
                    <w:rPr>
                      <w:rFonts w:hint="default" w:ascii="Times New Roman" w:hAnsi="Times New Roman" w:eastAsia="仿宋" w:cs="Times New Roman"/>
                      <w:bCs/>
                      <w:color w:val="auto"/>
                      <w:szCs w:val="21"/>
                    </w:rPr>
                  </w:pPr>
                </w:p>
              </w:tc>
              <w:tc>
                <w:tcPr>
                  <w:tcW w:w="397" w:type="pct"/>
                  <w:vMerge w:val="continue"/>
                  <w:tcBorders>
                    <w:tl2br w:val="nil"/>
                    <w:tr2bl w:val="nil"/>
                  </w:tcBorders>
                  <w:vAlign w:val="center"/>
                </w:tcPr>
                <w:p w14:paraId="04EA06BE">
                  <w:pPr>
                    <w:wordWrap w:val="0"/>
                    <w:spacing w:line="240" w:lineRule="exact"/>
                    <w:jc w:val="center"/>
                    <w:rPr>
                      <w:rFonts w:hint="default" w:ascii="Times New Roman" w:hAnsi="Times New Roman" w:eastAsia="仿宋" w:cs="Times New Roman"/>
                      <w:bCs/>
                      <w:color w:val="auto"/>
                      <w:szCs w:val="21"/>
                    </w:rPr>
                  </w:pPr>
                </w:p>
              </w:tc>
            </w:tr>
          </w:tbl>
          <w:p w14:paraId="202A99F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6、卫生防护距离</w:t>
            </w:r>
          </w:p>
          <w:p w14:paraId="295780C5">
            <w:pPr>
              <w:widowControl/>
              <w:spacing w:line="360" w:lineRule="auto"/>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根据《大气有害物质无组织排放卫生防护距离推导技术导则》（GB/T39499-2020），各类工业企业卫生防护距离按下式计算：</w:t>
            </w:r>
          </w:p>
          <w:p w14:paraId="34B0658D">
            <w:pPr>
              <w:widowControl/>
              <w:spacing w:line="360" w:lineRule="auto"/>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rPr>
              <w:drawing>
                <wp:inline distT="0" distB="0" distL="114300" distR="114300">
                  <wp:extent cx="1760855" cy="464185"/>
                  <wp:effectExtent l="0" t="0" r="0" b="0"/>
                  <wp:docPr id="36" name="图片 55" descr="C:\Users\ADMINI~1\AppData\Local\Temp\ksohtml\wpsE50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5" descr="C:\Users\ADMINI~1\AppData\Local\Temp\ksohtml\wpsE50D.tmp.png"/>
                          <pic:cNvPicPr>
                            <a:picLocks noChangeAspect="1"/>
                          </pic:cNvPicPr>
                        </pic:nvPicPr>
                        <pic:blipFill>
                          <a:blip r:embed="rId24"/>
                          <a:stretch>
                            <a:fillRect/>
                          </a:stretch>
                        </pic:blipFill>
                        <pic:spPr>
                          <a:xfrm>
                            <a:off x="0" y="0"/>
                            <a:ext cx="1760855" cy="464185"/>
                          </a:xfrm>
                          <a:prstGeom prst="rect">
                            <a:avLst/>
                          </a:prstGeom>
                          <a:noFill/>
                          <a:ln>
                            <a:noFill/>
                          </a:ln>
                        </pic:spPr>
                      </pic:pic>
                    </a:graphicData>
                  </a:graphic>
                </wp:inline>
              </w:drawing>
            </w:r>
          </w:p>
          <w:p w14:paraId="364B0C66">
            <w:pPr>
              <w:widowControl/>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式中：C</w:t>
            </w:r>
            <w:r>
              <w:rPr>
                <w:rFonts w:hint="default" w:ascii="Times New Roman" w:hAnsi="Times New Roman" w:eastAsia="仿宋" w:cs="Times New Roman"/>
                <w:color w:val="auto"/>
                <w:sz w:val="24"/>
                <w:vertAlign w:val="subscript"/>
              </w:rPr>
              <w:t>m</w:t>
            </w:r>
            <w:r>
              <w:rPr>
                <w:rFonts w:hint="default" w:ascii="Times New Roman" w:hAnsi="Times New Roman" w:eastAsia="仿宋" w:cs="Times New Roman"/>
                <w:color w:val="auto"/>
                <w:sz w:val="24"/>
              </w:rPr>
              <w:t>——标准浓度限值（mg/m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p>
          <w:p w14:paraId="7AB215B1">
            <w:pPr>
              <w:widowControl/>
              <w:spacing w:line="360" w:lineRule="auto"/>
              <w:ind w:firstLine="1200" w:firstLineChars="5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Q</w:t>
            </w:r>
            <w:r>
              <w:rPr>
                <w:rFonts w:hint="default" w:ascii="Times New Roman" w:hAnsi="Times New Roman" w:eastAsia="仿宋" w:cs="Times New Roman"/>
                <w:color w:val="auto"/>
                <w:sz w:val="24"/>
                <w:vertAlign w:val="subscript"/>
              </w:rPr>
              <w:t>c</w:t>
            </w:r>
            <w:r>
              <w:rPr>
                <w:rFonts w:hint="default" w:ascii="Times New Roman" w:hAnsi="Times New Roman" w:eastAsia="仿宋" w:cs="Times New Roman"/>
                <w:color w:val="auto"/>
                <w:sz w:val="24"/>
              </w:rPr>
              <w:t>——大气污染物可以达到的控制水平（kg/h）；</w:t>
            </w:r>
          </w:p>
          <w:p w14:paraId="3E4B0C2D">
            <w:pPr>
              <w:widowControl/>
              <w:spacing w:line="360" w:lineRule="auto"/>
              <w:ind w:firstLine="1200" w:firstLineChars="5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A、B、C、D——卫生防护距离计算系数；</w:t>
            </w:r>
          </w:p>
          <w:p w14:paraId="28E329FA">
            <w:pPr>
              <w:widowControl/>
              <w:spacing w:line="360" w:lineRule="auto"/>
              <w:ind w:firstLine="1200" w:firstLineChars="5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r——排放源所在生产单元的等效半径（m）；</w:t>
            </w:r>
          </w:p>
          <w:p w14:paraId="1CC7EBCA">
            <w:pPr>
              <w:widowControl/>
              <w:spacing w:line="360" w:lineRule="auto"/>
              <w:ind w:firstLine="1200" w:firstLineChars="5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L——卫生防护距离（m）。</w:t>
            </w:r>
          </w:p>
          <w:p w14:paraId="76AD3152">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按照无组织废气源强参数表，根据《大气有害物质无组织排放卫生防护距离推导技术导则》（GB/T39499-2020）的有关规定计算卫生防护距离，各参数取值见下表。</w:t>
            </w:r>
          </w:p>
          <w:p w14:paraId="75C481F5">
            <w:pPr>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5</w:t>
            </w:r>
            <w:r>
              <w:rPr>
                <w:rFonts w:hint="default" w:ascii="Times New Roman" w:hAnsi="Times New Roman" w:eastAsia="仿宋" w:cs="Times New Roman"/>
                <w:b/>
                <w:color w:val="auto"/>
                <w:sz w:val="24"/>
              </w:rPr>
              <w:t xml:space="preserve">  卫生防护距离计算系数</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37"/>
              <w:gridCol w:w="1278"/>
              <w:gridCol w:w="622"/>
              <w:gridCol w:w="622"/>
              <w:gridCol w:w="625"/>
              <w:gridCol w:w="623"/>
              <w:gridCol w:w="623"/>
              <w:gridCol w:w="623"/>
              <w:gridCol w:w="624"/>
              <w:gridCol w:w="624"/>
              <w:gridCol w:w="624"/>
            </w:tblGrid>
            <w:tr w14:paraId="07939D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vAlign w:val="center"/>
                </w:tcPr>
                <w:p w14:paraId="723241E3">
                  <w:pPr>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计算系数</w:t>
                  </w:r>
                </w:p>
              </w:tc>
              <w:tc>
                <w:tcPr>
                  <w:tcW w:w="777" w:type="pct"/>
                  <w:vMerge w:val="restart"/>
                  <w:vAlign w:val="center"/>
                </w:tcPr>
                <w:p w14:paraId="1ED0FF47">
                  <w:pPr>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5年平均风速，m/s</w:t>
                  </w:r>
                </w:p>
              </w:tc>
              <w:tc>
                <w:tcPr>
                  <w:tcW w:w="3409" w:type="pct"/>
                  <w:gridSpan w:val="9"/>
                  <w:vAlign w:val="center"/>
                </w:tcPr>
                <w:p w14:paraId="075F0007">
                  <w:pPr>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卫生防护距离L（m）</w:t>
                  </w:r>
                </w:p>
              </w:tc>
            </w:tr>
            <w:tr w14:paraId="5FAD73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vAlign w:val="center"/>
                </w:tcPr>
                <w:p w14:paraId="766FEA08">
                  <w:pPr>
                    <w:snapToGrid w:val="0"/>
                    <w:jc w:val="center"/>
                    <w:rPr>
                      <w:rFonts w:hint="default" w:ascii="Times New Roman" w:hAnsi="Times New Roman" w:eastAsia="仿宋" w:cs="Times New Roman"/>
                      <w:color w:val="auto"/>
                      <w:szCs w:val="21"/>
                    </w:rPr>
                  </w:pPr>
                </w:p>
              </w:tc>
              <w:tc>
                <w:tcPr>
                  <w:tcW w:w="777" w:type="pct"/>
                  <w:vMerge w:val="continue"/>
                  <w:vAlign w:val="center"/>
                </w:tcPr>
                <w:p w14:paraId="5C9088C8">
                  <w:pPr>
                    <w:snapToGrid w:val="0"/>
                    <w:jc w:val="center"/>
                    <w:rPr>
                      <w:rFonts w:hint="default" w:ascii="Times New Roman" w:hAnsi="Times New Roman" w:eastAsia="仿宋" w:cs="Times New Roman"/>
                      <w:color w:val="auto"/>
                      <w:szCs w:val="21"/>
                    </w:rPr>
                  </w:pPr>
                </w:p>
              </w:tc>
              <w:tc>
                <w:tcPr>
                  <w:tcW w:w="1136" w:type="pct"/>
                  <w:gridSpan w:val="3"/>
                  <w:vAlign w:val="center"/>
                </w:tcPr>
                <w:p w14:paraId="47A5AD8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L≤1000</w:t>
                  </w:r>
                </w:p>
              </w:tc>
              <w:tc>
                <w:tcPr>
                  <w:tcW w:w="1137" w:type="pct"/>
                  <w:gridSpan w:val="3"/>
                  <w:vAlign w:val="center"/>
                </w:tcPr>
                <w:p w14:paraId="41413E14">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1000＜L≤2000</w:t>
                  </w:r>
                </w:p>
              </w:tc>
              <w:tc>
                <w:tcPr>
                  <w:tcW w:w="1137" w:type="pct"/>
                  <w:gridSpan w:val="3"/>
                  <w:vAlign w:val="center"/>
                </w:tcPr>
                <w:p w14:paraId="3975F7D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L＞2000</w:t>
                  </w:r>
                </w:p>
              </w:tc>
            </w:tr>
            <w:tr w14:paraId="7F54C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vAlign w:val="center"/>
                </w:tcPr>
                <w:p w14:paraId="591EFDC2">
                  <w:pPr>
                    <w:snapToGrid w:val="0"/>
                    <w:jc w:val="center"/>
                    <w:rPr>
                      <w:rFonts w:hint="default" w:ascii="Times New Roman" w:hAnsi="Times New Roman" w:eastAsia="仿宋" w:cs="Times New Roman"/>
                      <w:color w:val="auto"/>
                      <w:szCs w:val="21"/>
                    </w:rPr>
                  </w:pPr>
                </w:p>
              </w:tc>
              <w:tc>
                <w:tcPr>
                  <w:tcW w:w="777" w:type="pct"/>
                  <w:vMerge w:val="continue"/>
                  <w:vAlign w:val="center"/>
                </w:tcPr>
                <w:p w14:paraId="218E44F6">
                  <w:pPr>
                    <w:snapToGrid w:val="0"/>
                    <w:jc w:val="center"/>
                    <w:rPr>
                      <w:rFonts w:hint="default" w:ascii="Times New Roman" w:hAnsi="Times New Roman" w:eastAsia="仿宋" w:cs="Times New Roman"/>
                      <w:color w:val="auto"/>
                      <w:szCs w:val="21"/>
                    </w:rPr>
                  </w:pPr>
                </w:p>
              </w:tc>
              <w:tc>
                <w:tcPr>
                  <w:tcW w:w="3409" w:type="pct"/>
                  <w:gridSpan w:val="9"/>
                  <w:vAlign w:val="center"/>
                </w:tcPr>
                <w:p w14:paraId="34205BCD">
                  <w:pPr>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工业大气污染源构成类别</w:t>
                  </w:r>
                </w:p>
              </w:tc>
            </w:tr>
            <w:tr w14:paraId="15A9F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vAlign w:val="center"/>
                </w:tcPr>
                <w:p w14:paraId="22A4CC9C">
                  <w:pPr>
                    <w:snapToGrid w:val="0"/>
                    <w:jc w:val="center"/>
                    <w:rPr>
                      <w:rFonts w:hint="default" w:ascii="Times New Roman" w:hAnsi="Times New Roman" w:eastAsia="仿宋" w:cs="Times New Roman"/>
                      <w:color w:val="auto"/>
                      <w:szCs w:val="21"/>
                    </w:rPr>
                  </w:pPr>
                </w:p>
              </w:tc>
              <w:tc>
                <w:tcPr>
                  <w:tcW w:w="777" w:type="pct"/>
                  <w:vMerge w:val="continue"/>
                  <w:vAlign w:val="center"/>
                </w:tcPr>
                <w:p w14:paraId="01402800">
                  <w:pPr>
                    <w:snapToGrid w:val="0"/>
                    <w:jc w:val="center"/>
                    <w:rPr>
                      <w:rFonts w:hint="default" w:ascii="Times New Roman" w:hAnsi="Times New Roman" w:eastAsia="仿宋" w:cs="Times New Roman"/>
                      <w:color w:val="auto"/>
                      <w:szCs w:val="21"/>
                    </w:rPr>
                  </w:pPr>
                </w:p>
              </w:tc>
              <w:tc>
                <w:tcPr>
                  <w:tcW w:w="378" w:type="pct"/>
                  <w:vAlign w:val="center"/>
                </w:tcPr>
                <w:p w14:paraId="622A32F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378" w:type="pct"/>
                  <w:vAlign w:val="center"/>
                </w:tcPr>
                <w:p w14:paraId="5C77381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379" w:type="pct"/>
                  <w:vAlign w:val="center"/>
                </w:tcPr>
                <w:p w14:paraId="5B1F8F2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379" w:type="pct"/>
                  <w:vAlign w:val="center"/>
                </w:tcPr>
                <w:p w14:paraId="44314CF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379" w:type="pct"/>
                  <w:vAlign w:val="center"/>
                </w:tcPr>
                <w:p w14:paraId="0E8AF91D">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379" w:type="pct"/>
                  <w:vAlign w:val="center"/>
                </w:tcPr>
                <w:p w14:paraId="262D489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c>
                <w:tcPr>
                  <w:tcW w:w="379" w:type="pct"/>
                  <w:vAlign w:val="center"/>
                </w:tcPr>
                <w:p w14:paraId="43088680">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Ⅰ</w:t>
                  </w:r>
                </w:p>
              </w:tc>
              <w:tc>
                <w:tcPr>
                  <w:tcW w:w="379" w:type="pct"/>
                  <w:vAlign w:val="center"/>
                </w:tcPr>
                <w:p w14:paraId="4EBA1E43">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Ⅱ</w:t>
                  </w:r>
                </w:p>
              </w:tc>
              <w:tc>
                <w:tcPr>
                  <w:tcW w:w="379" w:type="pct"/>
                  <w:vAlign w:val="center"/>
                </w:tcPr>
                <w:p w14:paraId="47DC0C3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w:t>
                  </w:r>
                </w:p>
              </w:tc>
            </w:tr>
            <w:tr w14:paraId="5230F1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vAlign w:val="center"/>
                </w:tcPr>
                <w:p w14:paraId="25267E5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A</w:t>
                  </w:r>
                </w:p>
              </w:tc>
              <w:tc>
                <w:tcPr>
                  <w:tcW w:w="777" w:type="pct"/>
                  <w:vAlign w:val="center"/>
                </w:tcPr>
                <w:p w14:paraId="033F6A44">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378" w:type="pct"/>
                  <w:vAlign w:val="center"/>
                </w:tcPr>
                <w:p w14:paraId="5A42814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8" w:type="pct"/>
                  <w:vAlign w:val="center"/>
                </w:tcPr>
                <w:p w14:paraId="29FA0E8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9" w:type="pct"/>
                  <w:vAlign w:val="center"/>
                </w:tcPr>
                <w:p w14:paraId="229FF07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9" w:type="pct"/>
                  <w:vAlign w:val="center"/>
                </w:tcPr>
                <w:p w14:paraId="4B76A7E7">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9" w:type="pct"/>
                  <w:vAlign w:val="center"/>
                </w:tcPr>
                <w:p w14:paraId="570853C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9" w:type="pct"/>
                  <w:vAlign w:val="center"/>
                </w:tcPr>
                <w:p w14:paraId="48C3ED2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379" w:type="pct"/>
                  <w:vAlign w:val="center"/>
                </w:tcPr>
                <w:p w14:paraId="535C90E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379" w:type="pct"/>
                  <w:vAlign w:val="center"/>
                </w:tcPr>
                <w:p w14:paraId="03B77147">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379" w:type="pct"/>
                  <w:vAlign w:val="center"/>
                </w:tcPr>
                <w:p w14:paraId="5558AFF3">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r>
            <w:tr w14:paraId="561E6C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vAlign w:val="center"/>
                </w:tcPr>
                <w:p w14:paraId="345040DF">
                  <w:pPr>
                    <w:snapToGrid w:val="0"/>
                    <w:jc w:val="center"/>
                    <w:rPr>
                      <w:rFonts w:hint="default" w:ascii="Times New Roman" w:hAnsi="Times New Roman" w:eastAsia="仿宋" w:cs="Times New Roman"/>
                      <w:color w:val="auto"/>
                      <w:szCs w:val="21"/>
                    </w:rPr>
                  </w:pPr>
                </w:p>
              </w:tc>
              <w:tc>
                <w:tcPr>
                  <w:tcW w:w="777" w:type="pct"/>
                  <w:shd w:val="clear" w:color="auto" w:fill="auto"/>
                  <w:vAlign w:val="center"/>
                </w:tcPr>
                <w:p w14:paraId="6062820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2-4</w:t>
                  </w:r>
                </w:p>
              </w:tc>
              <w:tc>
                <w:tcPr>
                  <w:tcW w:w="378" w:type="pct"/>
                  <w:shd w:val="clear" w:color="auto" w:fill="auto"/>
                  <w:vAlign w:val="center"/>
                </w:tcPr>
                <w:p w14:paraId="4B628CB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378" w:type="pct"/>
                  <w:shd w:val="clear" w:color="auto" w:fill="B3B3B3"/>
                  <w:vAlign w:val="center"/>
                </w:tcPr>
                <w:p w14:paraId="1DF9805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379" w:type="pct"/>
                  <w:vAlign w:val="center"/>
                </w:tcPr>
                <w:p w14:paraId="788ED92D">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379" w:type="pct"/>
                  <w:vAlign w:val="center"/>
                </w:tcPr>
                <w:p w14:paraId="1705E09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700</w:t>
                  </w:r>
                </w:p>
              </w:tc>
              <w:tc>
                <w:tcPr>
                  <w:tcW w:w="379" w:type="pct"/>
                  <w:vAlign w:val="center"/>
                </w:tcPr>
                <w:p w14:paraId="03C5537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470</w:t>
                  </w:r>
                </w:p>
              </w:tc>
              <w:tc>
                <w:tcPr>
                  <w:tcW w:w="379" w:type="pct"/>
                  <w:vAlign w:val="center"/>
                </w:tcPr>
                <w:p w14:paraId="285469E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379" w:type="pct"/>
                  <w:vAlign w:val="center"/>
                </w:tcPr>
                <w:p w14:paraId="6F7FD6CD">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380</w:t>
                  </w:r>
                </w:p>
              </w:tc>
              <w:tc>
                <w:tcPr>
                  <w:tcW w:w="379" w:type="pct"/>
                  <w:vAlign w:val="center"/>
                </w:tcPr>
                <w:p w14:paraId="7004FBE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250</w:t>
                  </w:r>
                </w:p>
              </w:tc>
              <w:tc>
                <w:tcPr>
                  <w:tcW w:w="379" w:type="pct"/>
                  <w:vAlign w:val="center"/>
                </w:tcPr>
                <w:p w14:paraId="2873D9F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r>
            <w:tr w14:paraId="189936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vAlign w:val="center"/>
                </w:tcPr>
                <w:p w14:paraId="6BA0F0E2">
                  <w:pPr>
                    <w:snapToGrid w:val="0"/>
                    <w:jc w:val="center"/>
                    <w:rPr>
                      <w:rFonts w:hint="default" w:ascii="Times New Roman" w:hAnsi="Times New Roman" w:eastAsia="仿宋" w:cs="Times New Roman"/>
                      <w:color w:val="auto"/>
                      <w:szCs w:val="21"/>
                    </w:rPr>
                  </w:pPr>
                </w:p>
              </w:tc>
              <w:tc>
                <w:tcPr>
                  <w:tcW w:w="777" w:type="pct"/>
                  <w:vAlign w:val="center"/>
                </w:tcPr>
                <w:p w14:paraId="2ED3296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378" w:type="pct"/>
                  <w:vAlign w:val="center"/>
                </w:tcPr>
                <w:p w14:paraId="1612C31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378" w:type="pct"/>
                  <w:vAlign w:val="center"/>
                </w:tcPr>
                <w:p w14:paraId="0FB80BDD">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379" w:type="pct"/>
                  <w:vAlign w:val="center"/>
                </w:tcPr>
                <w:p w14:paraId="35543CC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379" w:type="pct"/>
                  <w:vAlign w:val="center"/>
                </w:tcPr>
                <w:p w14:paraId="48B5D27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530</w:t>
                  </w:r>
                </w:p>
              </w:tc>
              <w:tc>
                <w:tcPr>
                  <w:tcW w:w="379" w:type="pct"/>
                  <w:vAlign w:val="center"/>
                </w:tcPr>
                <w:p w14:paraId="480A2E27">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350</w:t>
                  </w:r>
                </w:p>
              </w:tc>
              <w:tc>
                <w:tcPr>
                  <w:tcW w:w="379" w:type="pct"/>
                  <w:vAlign w:val="center"/>
                </w:tcPr>
                <w:p w14:paraId="77C6D78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260</w:t>
                  </w:r>
                </w:p>
              </w:tc>
              <w:tc>
                <w:tcPr>
                  <w:tcW w:w="379" w:type="pct"/>
                  <w:vAlign w:val="center"/>
                </w:tcPr>
                <w:p w14:paraId="5E7228C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290</w:t>
                  </w:r>
                </w:p>
              </w:tc>
              <w:tc>
                <w:tcPr>
                  <w:tcW w:w="379" w:type="pct"/>
                  <w:vAlign w:val="center"/>
                </w:tcPr>
                <w:p w14:paraId="6019301F">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190</w:t>
                  </w:r>
                </w:p>
              </w:tc>
              <w:tc>
                <w:tcPr>
                  <w:tcW w:w="379" w:type="pct"/>
                  <w:vAlign w:val="center"/>
                </w:tcPr>
                <w:p w14:paraId="6768AAA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140</w:t>
                  </w:r>
                </w:p>
              </w:tc>
            </w:tr>
            <w:tr w14:paraId="07F3C4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vAlign w:val="center"/>
                </w:tcPr>
                <w:p w14:paraId="601D810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B</w:t>
                  </w:r>
                </w:p>
              </w:tc>
              <w:tc>
                <w:tcPr>
                  <w:tcW w:w="777" w:type="pct"/>
                  <w:vAlign w:val="center"/>
                </w:tcPr>
                <w:p w14:paraId="2FEA3EB6">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vAlign w:val="center"/>
                </w:tcPr>
                <w:p w14:paraId="2BFCA938">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w:t>
                  </w:r>
                </w:p>
              </w:tc>
              <w:tc>
                <w:tcPr>
                  <w:tcW w:w="1137" w:type="pct"/>
                  <w:gridSpan w:val="3"/>
                  <w:vAlign w:val="center"/>
                </w:tcPr>
                <w:p w14:paraId="380128B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c>
                <w:tcPr>
                  <w:tcW w:w="1137" w:type="pct"/>
                  <w:gridSpan w:val="3"/>
                  <w:vAlign w:val="center"/>
                </w:tcPr>
                <w:p w14:paraId="02EBC844">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0.015</w:t>
                  </w:r>
                </w:p>
              </w:tc>
            </w:tr>
            <w:tr w14:paraId="5465EA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vAlign w:val="center"/>
                </w:tcPr>
                <w:p w14:paraId="75742B96">
                  <w:pPr>
                    <w:snapToGrid w:val="0"/>
                    <w:jc w:val="center"/>
                    <w:rPr>
                      <w:rFonts w:hint="default" w:ascii="Times New Roman" w:hAnsi="Times New Roman" w:eastAsia="仿宋" w:cs="Times New Roman"/>
                      <w:color w:val="auto"/>
                      <w:szCs w:val="21"/>
                    </w:rPr>
                  </w:pPr>
                </w:p>
              </w:tc>
              <w:tc>
                <w:tcPr>
                  <w:tcW w:w="777" w:type="pct"/>
                  <w:shd w:val="clear" w:color="auto" w:fill="auto"/>
                  <w:vAlign w:val="center"/>
                </w:tcPr>
                <w:p w14:paraId="1F8203E4">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shd w:val="clear" w:color="auto" w:fill="B3B3B3"/>
                  <w:vAlign w:val="center"/>
                </w:tcPr>
                <w:p w14:paraId="43DC675A">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0.021</w:t>
                  </w:r>
                </w:p>
              </w:tc>
              <w:tc>
                <w:tcPr>
                  <w:tcW w:w="1137" w:type="pct"/>
                  <w:gridSpan w:val="3"/>
                  <w:vAlign w:val="center"/>
                </w:tcPr>
                <w:p w14:paraId="3015188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c>
                <w:tcPr>
                  <w:tcW w:w="1137" w:type="pct"/>
                  <w:gridSpan w:val="3"/>
                  <w:vAlign w:val="center"/>
                </w:tcPr>
                <w:p w14:paraId="3F7208B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0.036</w:t>
                  </w:r>
                </w:p>
              </w:tc>
            </w:tr>
            <w:tr w14:paraId="1592C5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vAlign w:val="center"/>
                </w:tcPr>
                <w:p w14:paraId="1BF054D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w:t>
                  </w:r>
                </w:p>
              </w:tc>
              <w:tc>
                <w:tcPr>
                  <w:tcW w:w="777" w:type="pct"/>
                  <w:vAlign w:val="center"/>
                </w:tcPr>
                <w:p w14:paraId="208EAF33">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vAlign w:val="center"/>
                </w:tcPr>
                <w:p w14:paraId="7B4F1F9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1137" w:type="pct"/>
                  <w:gridSpan w:val="3"/>
                  <w:vAlign w:val="center"/>
                </w:tcPr>
                <w:p w14:paraId="7A43FBBC">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c>
                <w:tcPr>
                  <w:tcW w:w="1137" w:type="pct"/>
                  <w:gridSpan w:val="3"/>
                  <w:vAlign w:val="center"/>
                </w:tcPr>
                <w:p w14:paraId="4657E31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1.79</w:t>
                  </w:r>
                </w:p>
              </w:tc>
            </w:tr>
            <w:tr w14:paraId="65AA8C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vAlign w:val="center"/>
                </w:tcPr>
                <w:p w14:paraId="00822AB4">
                  <w:pPr>
                    <w:snapToGrid w:val="0"/>
                    <w:jc w:val="center"/>
                    <w:rPr>
                      <w:rFonts w:hint="default" w:ascii="Times New Roman" w:hAnsi="Times New Roman" w:eastAsia="仿宋" w:cs="Times New Roman"/>
                      <w:color w:val="auto"/>
                      <w:szCs w:val="21"/>
                    </w:rPr>
                  </w:pPr>
                </w:p>
              </w:tc>
              <w:tc>
                <w:tcPr>
                  <w:tcW w:w="777" w:type="pct"/>
                  <w:shd w:val="clear" w:color="auto" w:fill="auto"/>
                  <w:vAlign w:val="center"/>
                </w:tcPr>
                <w:p w14:paraId="63A7A296">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shd w:val="clear" w:color="auto" w:fill="B3B3B3"/>
                  <w:vAlign w:val="center"/>
                </w:tcPr>
                <w:p w14:paraId="1F1C8BC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1.85</w:t>
                  </w:r>
                </w:p>
              </w:tc>
              <w:tc>
                <w:tcPr>
                  <w:tcW w:w="1137" w:type="pct"/>
                  <w:gridSpan w:val="3"/>
                  <w:vAlign w:val="center"/>
                </w:tcPr>
                <w:p w14:paraId="59B949A3">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c>
                <w:tcPr>
                  <w:tcW w:w="1137" w:type="pct"/>
                  <w:gridSpan w:val="3"/>
                  <w:vAlign w:val="center"/>
                </w:tcPr>
                <w:p w14:paraId="025DFE25">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1.77</w:t>
                  </w:r>
                </w:p>
              </w:tc>
            </w:tr>
            <w:tr w14:paraId="117320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restart"/>
                  <w:vAlign w:val="center"/>
                </w:tcPr>
                <w:p w14:paraId="26B0C28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D</w:t>
                  </w:r>
                </w:p>
              </w:tc>
              <w:tc>
                <w:tcPr>
                  <w:tcW w:w="777" w:type="pct"/>
                  <w:vAlign w:val="center"/>
                </w:tcPr>
                <w:p w14:paraId="0C00B55E">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vAlign w:val="center"/>
                </w:tcPr>
                <w:p w14:paraId="33E5C53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1137" w:type="pct"/>
                  <w:gridSpan w:val="3"/>
                  <w:vAlign w:val="center"/>
                </w:tcPr>
                <w:p w14:paraId="14A7D1D7">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0.78</w:t>
                  </w:r>
                </w:p>
              </w:tc>
              <w:tc>
                <w:tcPr>
                  <w:tcW w:w="1137" w:type="pct"/>
                  <w:gridSpan w:val="3"/>
                  <w:vAlign w:val="center"/>
                </w:tcPr>
                <w:p w14:paraId="25CDFA22">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0.57</w:t>
                  </w:r>
                </w:p>
              </w:tc>
            </w:tr>
            <w:tr w14:paraId="768E50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813" w:type="pct"/>
                  <w:vMerge w:val="continue"/>
                  <w:shd w:val="clear" w:color="auto" w:fill="auto"/>
                  <w:vAlign w:val="center"/>
                </w:tcPr>
                <w:p w14:paraId="3D81F03D">
                  <w:pPr>
                    <w:snapToGrid w:val="0"/>
                    <w:jc w:val="center"/>
                    <w:rPr>
                      <w:rFonts w:hint="default" w:ascii="Times New Roman" w:hAnsi="Times New Roman" w:eastAsia="仿宋" w:cs="Times New Roman"/>
                      <w:color w:val="auto"/>
                      <w:szCs w:val="21"/>
                    </w:rPr>
                  </w:pPr>
                </w:p>
              </w:tc>
              <w:tc>
                <w:tcPr>
                  <w:tcW w:w="777" w:type="pct"/>
                  <w:shd w:val="clear" w:color="auto" w:fill="auto"/>
                  <w:vAlign w:val="center"/>
                </w:tcPr>
                <w:p w14:paraId="2B2FEC21">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136" w:type="pct"/>
                  <w:gridSpan w:val="3"/>
                  <w:shd w:val="clear" w:color="auto" w:fill="B3B3B3"/>
                  <w:vAlign w:val="center"/>
                </w:tcPr>
                <w:p w14:paraId="65EA5B89">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1137" w:type="pct"/>
                  <w:gridSpan w:val="3"/>
                  <w:vAlign w:val="center"/>
                </w:tcPr>
                <w:p w14:paraId="47F53DF6">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0.84</w:t>
                  </w:r>
                </w:p>
              </w:tc>
              <w:tc>
                <w:tcPr>
                  <w:tcW w:w="1137" w:type="pct"/>
                  <w:gridSpan w:val="3"/>
                  <w:vAlign w:val="center"/>
                </w:tcPr>
                <w:p w14:paraId="78A79A5B">
                  <w:pPr>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0.76</w:t>
                  </w:r>
                </w:p>
              </w:tc>
            </w:tr>
          </w:tbl>
          <w:p w14:paraId="0FA52492">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经计算，</w:t>
            </w:r>
            <w:r>
              <w:rPr>
                <w:rFonts w:hint="default" w:ascii="Times New Roman" w:hAnsi="Times New Roman" w:eastAsia="仿宋" w:cs="Times New Roman"/>
                <w:bCs/>
                <w:color w:val="auto"/>
                <w:sz w:val="24"/>
                <w:lang w:val="en-US" w:eastAsia="zh-CN"/>
              </w:rPr>
              <w:t>本项目</w:t>
            </w:r>
            <w:r>
              <w:rPr>
                <w:rFonts w:hint="default" w:ascii="Times New Roman" w:hAnsi="Times New Roman" w:eastAsia="仿宋" w:cs="Times New Roman"/>
                <w:bCs/>
                <w:color w:val="auto"/>
                <w:sz w:val="24"/>
              </w:rPr>
              <w:t>卫生防护距离计算结果见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356A791F">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6</w:t>
            </w:r>
            <w:r>
              <w:rPr>
                <w:rFonts w:hint="default" w:ascii="Times New Roman" w:hAnsi="Times New Roman" w:eastAsia="仿宋" w:cs="Times New Roman"/>
                <w:b/>
                <w:bCs/>
                <w:color w:val="auto"/>
                <w:sz w:val="24"/>
              </w:rPr>
              <w:t xml:space="preserve">  卫生防护距离计算结果表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autofit"/>
              <w:tblCellMar>
                <w:top w:w="0" w:type="dxa"/>
                <w:left w:w="28" w:type="dxa"/>
                <w:bottom w:w="0" w:type="dxa"/>
                <w:right w:w="28" w:type="dxa"/>
              </w:tblCellMar>
            </w:tblPr>
            <w:tblGrid>
              <w:gridCol w:w="542"/>
              <w:gridCol w:w="1165"/>
              <w:gridCol w:w="996"/>
              <w:gridCol w:w="774"/>
              <w:gridCol w:w="1059"/>
              <w:gridCol w:w="484"/>
              <w:gridCol w:w="642"/>
              <w:gridCol w:w="553"/>
              <w:gridCol w:w="578"/>
              <w:gridCol w:w="744"/>
              <w:gridCol w:w="688"/>
            </w:tblGrid>
            <w:tr w14:paraId="534807C3">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28" w:type="dxa"/>
                  <w:bottom w:w="0" w:type="dxa"/>
                  <w:right w:w="28" w:type="dxa"/>
                </w:tblCellMar>
              </w:tblPrEx>
              <w:trPr>
                <w:trHeight w:val="23" w:hRule="atLeast"/>
              </w:trPr>
              <w:tc>
                <w:tcPr>
                  <w:tcW w:w="333" w:type="pct"/>
                  <w:vMerge w:val="restart"/>
                  <w:tcBorders>
                    <w:tl2br w:val="nil"/>
                    <w:tr2bl w:val="nil"/>
                  </w:tcBorders>
                  <w:vAlign w:val="center"/>
                </w:tcPr>
                <w:p w14:paraId="0D02B9DD">
                  <w:pPr>
                    <w:adjustRightInd w:val="0"/>
                    <w:snapToGrid w:val="0"/>
                    <w:jc w:val="center"/>
                    <w:rPr>
                      <w:rFonts w:hint="default" w:ascii="Times New Roman" w:hAnsi="Times New Roman" w:eastAsia="仿宋" w:cs="Times New Roman"/>
                      <w:b/>
                      <w:snapToGrid w:val="0"/>
                      <w:color w:val="auto"/>
                      <w:sz w:val="21"/>
                      <w:szCs w:val="21"/>
                      <w:highlight w:val="none"/>
                    </w:rPr>
                  </w:pPr>
                  <w:r>
                    <w:rPr>
                      <w:rFonts w:hint="default" w:ascii="Times New Roman" w:hAnsi="Times New Roman" w:eastAsia="仿宋" w:cs="Times New Roman"/>
                      <w:b/>
                      <w:snapToGrid w:val="0"/>
                      <w:color w:val="auto"/>
                      <w:sz w:val="21"/>
                      <w:szCs w:val="21"/>
                      <w:highlight w:val="none"/>
                    </w:rPr>
                    <w:t>面源名称</w:t>
                  </w:r>
                </w:p>
              </w:tc>
              <w:tc>
                <w:tcPr>
                  <w:tcW w:w="711" w:type="pct"/>
                  <w:vMerge w:val="restart"/>
                  <w:tcBorders>
                    <w:tl2br w:val="nil"/>
                    <w:tr2bl w:val="nil"/>
                  </w:tcBorders>
                  <w:vAlign w:val="center"/>
                </w:tcPr>
                <w:p w14:paraId="497A85A6">
                  <w:pPr>
                    <w:adjustRightInd w:val="0"/>
                    <w:snapToGrid w:val="0"/>
                    <w:jc w:val="center"/>
                    <w:rPr>
                      <w:rFonts w:hint="default" w:ascii="Times New Roman" w:hAnsi="Times New Roman" w:eastAsia="仿宋" w:cs="Times New Roman"/>
                      <w:b/>
                      <w:snapToGrid w:val="0"/>
                      <w:color w:val="auto"/>
                      <w:sz w:val="21"/>
                      <w:szCs w:val="21"/>
                      <w:highlight w:val="none"/>
                    </w:rPr>
                  </w:pPr>
                  <w:r>
                    <w:rPr>
                      <w:rFonts w:hint="default" w:ascii="Times New Roman" w:hAnsi="Times New Roman" w:eastAsia="仿宋" w:cs="Times New Roman"/>
                      <w:b/>
                      <w:snapToGrid w:val="0"/>
                      <w:color w:val="auto"/>
                      <w:sz w:val="21"/>
                      <w:szCs w:val="21"/>
                      <w:highlight w:val="none"/>
                    </w:rPr>
                    <w:t>污染物</w:t>
                  </w:r>
                </w:p>
              </w:tc>
              <w:tc>
                <w:tcPr>
                  <w:tcW w:w="608" w:type="pct"/>
                  <w:vMerge w:val="restart"/>
                  <w:tcBorders>
                    <w:tl2br w:val="nil"/>
                    <w:tr2bl w:val="nil"/>
                  </w:tcBorders>
                  <w:vAlign w:val="center"/>
                </w:tcPr>
                <w:p w14:paraId="1660C167">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产生量(</w:t>
                  </w:r>
                  <w:r>
                    <w:rPr>
                      <w:rFonts w:hint="default" w:ascii="Times New Roman" w:hAnsi="Times New Roman" w:eastAsia="仿宋" w:cs="Times New Roman"/>
                      <w:b/>
                      <w:color w:val="auto"/>
                      <w:sz w:val="21"/>
                      <w:szCs w:val="21"/>
                    </w:rPr>
                    <w:t>kg/h</w:t>
                  </w:r>
                  <w:r>
                    <w:rPr>
                      <w:rFonts w:hint="default" w:ascii="Times New Roman" w:hAnsi="Times New Roman" w:eastAsia="仿宋" w:cs="Times New Roman"/>
                      <w:b/>
                      <w:snapToGrid w:val="0"/>
                      <w:color w:val="auto"/>
                      <w:sz w:val="21"/>
                      <w:szCs w:val="21"/>
                    </w:rPr>
                    <w:t>)</w:t>
                  </w:r>
                </w:p>
              </w:tc>
              <w:tc>
                <w:tcPr>
                  <w:tcW w:w="473" w:type="pct"/>
                  <w:vMerge w:val="restart"/>
                  <w:tcBorders>
                    <w:tl2br w:val="nil"/>
                    <w:tr2bl w:val="nil"/>
                  </w:tcBorders>
                  <w:vAlign w:val="center"/>
                </w:tcPr>
                <w:p w14:paraId="59E378F1">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面源面积（m</w:t>
                  </w:r>
                  <w:r>
                    <w:rPr>
                      <w:rFonts w:hint="default" w:ascii="Times New Roman" w:hAnsi="Times New Roman" w:eastAsia="仿宋" w:cs="Times New Roman"/>
                      <w:b/>
                      <w:snapToGrid w:val="0"/>
                      <w:color w:val="auto"/>
                      <w:sz w:val="21"/>
                      <w:szCs w:val="21"/>
                      <w:vertAlign w:val="superscript"/>
                    </w:rPr>
                    <w:t>2</w:t>
                  </w:r>
                  <w:r>
                    <w:rPr>
                      <w:rFonts w:hint="default" w:ascii="Times New Roman" w:hAnsi="Times New Roman" w:eastAsia="仿宋" w:cs="Times New Roman"/>
                      <w:b/>
                      <w:snapToGrid w:val="0"/>
                      <w:color w:val="auto"/>
                      <w:sz w:val="21"/>
                      <w:szCs w:val="21"/>
                    </w:rPr>
                    <w:t>）</w:t>
                  </w:r>
                </w:p>
              </w:tc>
              <w:tc>
                <w:tcPr>
                  <w:tcW w:w="1996" w:type="pct"/>
                  <w:gridSpan w:val="5"/>
                  <w:tcBorders>
                    <w:tl2br w:val="nil"/>
                    <w:tr2bl w:val="nil"/>
                  </w:tcBorders>
                  <w:vAlign w:val="center"/>
                </w:tcPr>
                <w:p w14:paraId="17BFA2BB">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计算参数</w:t>
                  </w:r>
                </w:p>
              </w:tc>
              <w:tc>
                <w:tcPr>
                  <w:tcW w:w="876" w:type="pct"/>
                  <w:gridSpan w:val="2"/>
                  <w:tcBorders>
                    <w:tl2br w:val="nil"/>
                    <w:tr2bl w:val="nil"/>
                  </w:tcBorders>
                  <w:vAlign w:val="center"/>
                </w:tcPr>
                <w:p w14:paraId="1ABFA419">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卫生防护距离</w:t>
                  </w:r>
                </w:p>
              </w:tc>
            </w:tr>
            <w:tr w14:paraId="38BE3480">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28" w:type="dxa"/>
                  <w:bottom w:w="0" w:type="dxa"/>
                  <w:right w:w="28" w:type="dxa"/>
                </w:tblCellMar>
              </w:tblPrEx>
              <w:trPr>
                <w:trHeight w:val="23" w:hRule="atLeast"/>
              </w:trPr>
              <w:tc>
                <w:tcPr>
                  <w:tcW w:w="333" w:type="pct"/>
                  <w:vMerge w:val="continue"/>
                  <w:tcBorders>
                    <w:tl2br w:val="nil"/>
                    <w:tr2bl w:val="nil"/>
                  </w:tcBorders>
                  <w:vAlign w:val="center"/>
                </w:tcPr>
                <w:p w14:paraId="549A1263">
                  <w:pPr>
                    <w:adjustRightInd w:val="0"/>
                    <w:snapToGrid w:val="0"/>
                    <w:jc w:val="center"/>
                    <w:rPr>
                      <w:rFonts w:hint="default" w:ascii="Times New Roman" w:hAnsi="Times New Roman" w:eastAsia="仿宋" w:cs="Times New Roman"/>
                      <w:b/>
                      <w:snapToGrid w:val="0"/>
                      <w:color w:val="auto"/>
                      <w:sz w:val="21"/>
                      <w:szCs w:val="21"/>
                    </w:rPr>
                  </w:pPr>
                </w:p>
              </w:tc>
              <w:tc>
                <w:tcPr>
                  <w:tcW w:w="711" w:type="pct"/>
                  <w:vMerge w:val="continue"/>
                  <w:tcBorders>
                    <w:tl2br w:val="nil"/>
                    <w:tr2bl w:val="nil"/>
                  </w:tcBorders>
                  <w:vAlign w:val="center"/>
                </w:tcPr>
                <w:p w14:paraId="3E5B4894">
                  <w:pPr>
                    <w:adjustRightInd w:val="0"/>
                    <w:snapToGrid w:val="0"/>
                    <w:jc w:val="center"/>
                    <w:rPr>
                      <w:rFonts w:hint="default" w:ascii="Times New Roman" w:hAnsi="Times New Roman" w:eastAsia="仿宋" w:cs="Times New Roman"/>
                      <w:b/>
                      <w:snapToGrid w:val="0"/>
                      <w:color w:val="auto"/>
                      <w:sz w:val="21"/>
                      <w:szCs w:val="21"/>
                    </w:rPr>
                  </w:pPr>
                </w:p>
              </w:tc>
              <w:tc>
                <w:tcPr>
                  <w:tcW w:w="608" w:type="pct"/>
                  <w:vMerge w:val="continue"/>
                  <w:tcBorders>
                    <w:tl2br w:val="nil"/>
                    <w:tr2bl w:val="nil"/>
                  </w:tcBorders>
                  <w:vAlign w:val="center"/>
                </w:tcPr>
                <w:p w14:paraId="068F2FD7">
                  <w:pPr>
                    <w:adjustRightInd w:val="0"/>
                    <w:snapToGrid w:val="0"/>
                    <w:jc w:val="center"/>
                    <w:rPr>
                      <w:rFonts w:hint="default" w:ascii="Times New Roman" w:hAnsi="Times New Roman" w:eastAsia="仿宋" w:cs="Times New Roman"/>
                      <w:b/>
                      <w:snapToGrid w:val="0"/>
                      <w:color w:val="auto"/>
                      <w:sz w:val="21"/>
                      <w:szCs w:val="21"/>
                    </w:rPr>
                  </w:pPr>
                </w:p>
              </w:tc>
              <w:tc>
                <w:tcPr>
                  <w:tcW w:w="473" w:type="pct"/>
                  <w:vMerge w:val="continue"/>
                  <w:tcBorders>
                    <w:tl2br w:val="nil"/>
                    <w:tr2bl w:val="nil"/>
                  </w:tcBorders>
                  <w:vAlign w:val="center"/>
                </w:tcPr>
                <w:p w14:paraId="2E3C668D">
                  <w:pPr>
                    <w:adjustRightInd w:val="0"/>
                    <w:snapToGrid w:val="0"/>
                    <w:jc w:val="center"/>
                    <w:rPr>
                      <w:rFonts w:hint="default" w:ascii="Times New Roman" w:hAnsi="Times New Roman" w:eastAsia="仿宋" w:cs="Times New Roman"/>
                      <w:b/>
                      <w:snapToGrid w:val="0"/>
                      <w:color w:val="auto"/>
                      <w:sz w:val="21"/>
                      <w:szCs w:val="21"/>
                    </w:rPr>
                  </w:pPr>
                </w:p>
              </w:tc>
              <w:tc>
                <w:tcPr>
                  <w:tcW w:w="613" w:type="pct"/>
                  <w:tcBorders>
                    <w:tl2br w:val="nil"/>
                    <w:tr2bl w:val="nil"/>
                  </w:tcBorders>
                  <w:vAlign w:val="center"/>
                </w:tcPr>
                <w:p w14:paraId="6755E345">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C</w:t>
                  </w:r>
                  <w:r>
                    <w:rPr>
                      <w:rFonts w:hint="default" w:ascii="Times New Roman" w:hAnsi="Times New Roman" w:eastAsia="仿宋" w:cs="Times New Roman"/>
                      <w:b/>
                      <w:color w:val="auto"/>
                      <w:sz w:val="21"/>
                      <w:szCs w:val="21"/>
                      <w:vertAlign w:val="subscript"/>
                    </w:rPr>
                    <w:t>m</w:t>
                  </w:r>
                  <w:r>
                    <w:rPr>
                      <w:rFonts w:hint="default" w:ascii="Times New Roman" w:hAnsi="Times New Roman" w:eastAsia="仿宋" w:cs="Times New Roman"/>
                      <w:b/>
                      <w:color w:val="auto"/>
                      <w:sz w:val="21"/>
                      <w:szCs w:val="21"/>
                    </w:rPr>
                    <w:t>（mg/m</w:t>
                  </w:r>
                  <w:r>
                    <w:rPr>
                      <w:rFonts w:hint="default" w:ascii="Times New Roman" w:hAnsi="Times New Roman" w:eastAsia="仿宋" w:cs="Times New Roman"/>
                      <w:b/>
                      <w:color w:val="auto"/>
                      <w:sz w:val="21"/>
                      <w:szCs w:val="21"/>
                      <w:vertAlign w:val="superscript"/>
                    </w:rPr>
                    <w:t>3</w:t>
                  </w:r>
                  <w:r>
                    <w:rPr>
                      <w:rFonts w:hint="default" w:ascii="Times New Roman" w:hAnsi="Times New Roman" w:eastAsia="仿宋" w:cs="Times New Roman"/>
                      <w:b/>
                      <w:color w:val="auto"/>
                      <w:sz w:val="21"/>
                      <w:szCs w:val="21"/>
                    </w:rPr>
                    <w:t>）</w:t>
                  </w:r>
                </w:p>
              </w:tc>
              <w:tc>
                <w:tcPr>
                  <w:tcW w:w="297" w:type="pct"/>
                  <w:tcBorders>
                    <w:tl2br w:val="nil"/>
                    <w:tr2bl w:val="nil"/>
                  </w:tcBorders>
                  <w:vAlign w:val="center"/>
                </w:tcPr>
                <w:p w14:paraId="6FA0CA83">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A</w:t>
                  </w:r>
                </w:p>
              </w:tc>
              <w:tc>
                <w:tcPr>
                  <w:tcW w:w="393" w:type="pct"/>
                  <w:tcBorders>
                    <w:tl2br w:val="nil"/>
                    <w:tr2bl w:val="nil"/>
                  </w:tcBorders>
                  <w:vAlign w:val="center"/>
                </w:tcPr>
                <w:p w14:paraId="1B090CD3">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B</w:t>
                  </w:r>
                </w:p>
              </w:tc>
              <w:tc>
                <w:tcPr>
                  <w:tcW w:w="339" w:type="pct"/>
                  <w:tcBorders>
                    <w:tl2br w:val="nil"/>
                    <w:tr2bl w:val="nil"/>
                  </w:tcBorders>
                  <w:vAlign w:val="center"/>
                </w:tcPr>
                <w:p w14:paraId="429EF7D2">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C</w:t>
                  </w:r>
                </w:p>
              </w:tc>
              <w:tc>
                <w:tcPr>
                  <w:tcW w:w="353" w:type="pct"/>
                  <w:tcBorders>
                    <w:tl2br w:val="nil"/>
                    <w:tr2bl w:val="nil"/>
                  </w:tcBorders>
                  <w:vAlign w:val="center"/>
                </w:tcPr>
                <w:p w14:paraId="604E7A4F">
                  <w:pPr>
                    <w:adjustRightInd w:val="0"/>
                    <w:snapToGrid w:val="0"/>
                    <w:jc w:val="center"/>
                    <w:rPr>
                      <w:rFonts w:hint="default" w:ascii="Times New Roman" w:hAnsi="Times New Roman" w:eastAsia="仿宋" w:cs="Times New Roman"/>
                      <w:b/>
                      <w:snapToGrid w:val="0"/>
                      <w:color w:val="auto"/>
                      <w:sz w:val="21"/>
                      <w:szCs w:val="21"/>
                    </w:rPr>
                  </w:pPr>
                  <w:r>
                    <w:rPr>
                      <w:rFonts w:hint="default" w:ascii="Times New Roman" w:hAnsi="Times New Roman" w:eastAsia="仿宋" w:cs="Times New Roman"/>
                      <w:b/>
                      <w:snapToGrid w:val="0"/>
                      <w:color w:val="auto"/>
                      <w:sz w:val="21"/>
                      <w:szCs w:val="21"/>
                    </w:rPr>
                    <w:t>D</w:t>
                  </w:r>
                </w:p>
              </w:tc>
              <w:tc>
                <w:tcPr>
                  <w:tcW w:w="455" w:type="pct"/>
                  <w:tcBorders>
                    <w:tl2br w:val="nil"/>
                    <w:tr2bl w:val="nil"/>
                  </w:tcBorders>
                  <w:vAlign w:val="center"/>
                </w:tcPr>
                <w:p w14:paraId="3FBC841C">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L</w:t>
                  </w:r>
                  <w:r>
                    <w:rPr>
                      <w:rFonts w:hint="default" w:ascii="Times New Roman" w:hAnsi="Times New Roman" w:eastAsia="仿宋" w:cs="Times New Roman"/>
                      <w:b/>
                      <w:color w:val="auto"/>
                      <w:sz w:val="21"/>
                      <w:szCs w:val="21"/>
                      <w:highlight w:val="none"/>
                      <w:vertAlign w:val="subscript"/>
                    </w:rPr>
                    <w:t>计</w:t>
                  </w:r>
                  <w:r>
                    <w:rPr>
                      <w:rFonts w:hint="default" w:ascii="Times New Roman" w:hAnsi="Times New Roman" w:eastAsia="仿宋" w:cs="Times New Roman"/>
                      <w:b/>
                      <w:color w:val="auto"/>
                      <w:sz w:val="21"/>
                      <w:szCs w:val="21"/>
                      <w:highlight w:val="none"/>
                    </w:rPr>
                    <w:t>（m）</w:t>
                  </w:r>
                </w:p>
              </w:tc>
              <w:tc>
                <w:tcPr>
                  <w:tcW w:w="421" w:type="pct"/>
                  <w:tcBorders>
                    <w:tl2br w:val="nil"/>
                    <w:tr2bl w:val="nil"/>
                  </w:tcBorders>
                  <w:vAlign w:val="center"/>
                </w:tcPr>
                <w:p w14:paraId="663A3F57">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L</w:t>
                  </w:r>
                  <w:r>
                    <w:rPr>
                      <w:rFonts w:hint="default" w:ascii="Times New Roman" w:hAnsi="Times New Roman" w:eastAsia="仿宋" w:cs="Times New Roman"/>
                      <w:b/>
                      <w:color w:val="auto"/>
                      <w:sz w:val="21"/>
                      <w:szCs w:val="21"/>
                      <w:highlight w:val="none"/>
                      <w:vertAlign w:val="subscript"/>
                    </w:rPr>
                    <w:t>卫</w:t>
                  </w:r>
                  <w:r>
                    <w:rPr>
                      <w:rFonts w:hint="default" w:ascii="Times New Roman" w:hAnsi="Times New Roman" w:eastAsia="仿宋" w:cs="Times New Roman"/>
                      <w:b/>
                      <w:color w:val="auto"/>
                      <w:sz w:val="21"/>
                      <w:szCs w:val="21"/>
                      <w:highlight w:val="none"/>
                    </w:rPr>
                    <w:t>（m）</w:t>
                  </w:r>
                </w:p>
              </w:tc>
            </w:tr>
            <w:tr w14:paraId="2633AE86">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28" w:type="dxa"/>
                  <w:bottom w:w="0" w:type="dxa"/>
                  <w:right w:w="28" w:type="dxa"/>
                </w:tblCellMar>
              </w:tblPrEx>
              <w:trPr>
                <w:trHeight w:val="202" w:hRule="atLeast"/>
              </w:trPr>
              <w:tc>
                <w:tcPr>
                  <w:tcW w:w="333" w:type="pct"/>
                  <w:vMerge w:val="restart"/>
                  <w:tcBorders>
                    <w:tl2br w:val="nil"/>
                    <w:tr2bl w:val="nil"/>
                  </w:tcBorders>
                  <w:vAlign w:val="center"/>
                </w:tcPr>
                <w:p w14:paraId="0E6DCDA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r>
                    <w:rPr>
                      <w:rFonts w:hint="default" w:ascii="Times New Roman" w:hAnsi="Times New Roman" w:eastAsia="仿宋" w:cs="Times New Roman"/>
                      <w:color w:val="auto"/>
                      <w:sz w:val="21"/>
                      <w:szCs w:val="21"/>
                      <w:lang w:val="en-US" w:eastAsia="zh-CN"/>
                    </w:rPr>
                    <w:t>实验室</w:t>
                  </w:r>
                </w:p>
              </w:tc>
              <w:tc>
                <w:tcPr>
                  <w:tcW w:w="711" w:type="pct"/>
                  <w:tcBorders>
                    <w:tl2br w:val="nil"/>
                    <w:tr2bl w:val="nil"/>
                  </w:tcBorders>
                  <w:vAlign w:val="center"/>
                </w:tcPr>
                <w:p w14:paraId="5D56A803">
                  <w:pPr>
                    <w:widowControl/>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氯化氢</w:t>
                  </w:r>
                </w:p>
              </w:tc>
              <w:tc>
                <w:tcPr>
                  <w:tcW w:w="608" w:type="pct"/>
                  <w:tcBorders>
                    <w:tl2br w:val="nil"/>
                    <w:tr2bl w:val="nil"/>
                  </w:tcBorders>
                  <w:vAlign w:val="center"/>
                </w:tcPr>
                <w:p w14:paraId="23572565">
                  <w:pPr>
                    <w:widowControl/>
                    <w:jc w:val="center"/>
                    <w:rPr>
                      <w:rFonts w:hint="default" w:ascii="Times New Roman" w:hAnsi="Times New Roman" w:eastAsia="仿宋" w:cs="Times New Roman"/>
                      <w:color w:val="auto"/>
                      <w:sz w:val="21"/>
                      <w:szCs w:val="21"/>
                      <w:lang w:val="en-US"/>
                    </w:rPr>
                  </w:pPr>
                  <w:r>
                    <w:rPr>
                      <w:rFonts w:hint="eastAsia" w:eastAsia="仿宋" w:cs="Times New Roman"/>
                      <w:color w:val="auto"/>
                      <w:sz w:val="21"/>
                      <w:szCs w:val="21"/>
                      <w:lang w:val="en-US" w:eastAsia="zh-CN"/>
                    </w:rPr>
                    <w:t>0.00007</w:t>
                  </w:r>
                </w:p>
              </w:tc>
              <w:tc>
                <w:tcPr>
                  <w:tcW w:w="473" w:type="pct"/>
                  <w:vMerge w:val="restart"/>
                  <w:tcBorders>
                    <w:tl2br w:val="nil"/>
                    <w:tr2bl w:val="nil"/>
                  </w:tcBorders>
                  <w:vAlign w:val="center"/>
                </w:tcPr>
                <w:p w14:paraId="63588C6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613" w:type="pct"/>
                  <w:tcBorders>
                    <w:tl2br w:val="nil"/>
                    <w:tr2bl w:val="nil"/>
                  </w:tcBorders>
                  <w:vAlign w:val="center"/>
                </w:tcPr>
                <w:p w14:paraId="3CD37E2B">
                  <w:pPr>
                    <w:jc w:val="center"/>
                    <w:rPr>
                      <w:rFonts w:hint="default" w:ascii="Times New Roman" w:hAnsi="Times New Roman" w:eastAsia="仿宋" w:cs="Times New Roman"/>
                      <w:snapToGrid w:val="0"/>
                      <w:color w:val="auto"/>
                      <w:sz w:val="21"/>
                      <w:szCs w:val="21"/>
                    </w:rPr>
                  </w:pPr>
                  <w:r>
                    <w:rPr>
                      <w:rFonts w:hint="default" w:ascii="Times New Roman" w:hAnsi="Times New Roman" w:eastAsia="仿宋" w:cs="Times New Roman"/>
                      <w:color w:val="auto"/>
                      <w:sz w:val="21"/>
                      <w:szCs w:val="21"/>
                      <w:highlight w:val="none"/>
                      <w:lang w:val="en-US" w:eastAsia="zh-CN"/>
                    </w:rPr>
                    <w:t>0.05</w:t>
                  </w:r>
                </w:p>
              </w:tc>
              <w:tc>
                <w:tcPr>
                  <w:tcW w:w="489" w:type="dxa"/>
                  <w:tcBorders>
                    <w:tl2br w:val="nil"/>
                    <w:tr2bl w:val="nil"/>
                  </w:tcBorders>
                  <w:vAlign w:val="center"/>
                </w:tcPr>
                <w:p w14:paraId="529BFEA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470</w:t>
                  </w:r>
                </w:p>
              </w:tc>
              <w:tc>
                <w:tcPr>
                  <w:tcW w:w="647" w:type="dxa"/>
                  <w:tcBorders>
                    <w:tl2br w:val="nil"/>
                    <w:tr2bl w:val="nil"/>
                  </w:tcBorders>
                  <w:vAlign w:val="center"/>
                </w:tcPr>
                <w:p w14:paraId="2FC6DCD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0.021</w:t>
                  </w:r>
                </w:p>
              </w:tc>
              <w:tc>
                <w:tcPr>
                  <w:tcW w:w="558" w:type="dxa"/>
                  <w:tcBorders>
                    <w:tl2br w:val="nil"/>
                    <w:tr2bl w:val="nil"/>
                  </w:tcBorders>
                  <w:vAlign w:val="center"/>
                </w:tcPr>
                <w:p w14:paraId="6E369D9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1.85</w:t>
                  </w:r>
                </w:p>
              </w:tc>
              <w:tc>
                <w:tcPr>
                  <w:tcW w:w="583" w:type="dxa"/>
                  <w:tcBorders>
                    <w:tl2br w:val="nil"/>
                    <w:tr2bl w:val="nil"/>
                  </w:tcBorders>
                  <w:vAlign w:val="center"/>
                </w:tcPr>
                <w:p w14:paraId="122FB18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0.84</w:t>
                  </w:r>
                </w:p>
              </w:tc>
              <w:tc>
                <w:tcPr>
                  <w:tcW w:w="455" w:type="pct"/>
                  <w:tcBorders>
                    <w:tl2br w:val="nil"/>
                    <w:tr2bl w:val="nil"/>
                  </w:tcBorders>
                  <w:vAlign w:val="center"/>
                </w:tcPr>
                <w:p w14:paraId="5CEAE01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0.403</w:t>
                  </w:r>
                </w:p>
              </w:tc>
              <w:tc>
                <w:tcPr>
                  <w:tcW w:w="421" w:type="pct"/>
                  <w:tcBorders>
                    <w:tl2br w:val="nil"/>
                    <w:tr2bl w:val="nil"/>
                  </w:tcBorders>
                  <w:vAlign w:val="center"/>
                </w:tcPr>
                <w:p w14:paraId="3E7646F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r>
            <w:tr w14:paraId="0E22F578">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28" w:type="dxa"/>
                  <w:bottom w:w="0" w:type="dxa"/>
                  <w:right w:w="28" w:type="dxa"/>
                </w:tblCellMar>
              </w:tblPrEx>
              <w:trPr>
                <w:trHeight w:val="23" w:hRule="atLeast"/>
              </w:trPr>
              <w:tc>
                <w:tcPr>
                  <w:tcW w:w="333" w:type="pct"/>
                  <w:vMerge w:val="continue"/>
                  <w:tcBorders>
                    <w:tl2br w:val="nil"/>
                    <w:tr2bl w:val="nil"/>
                  </w:tcBorders>
                  <w:vAlign w:val="center"/>
                </w:tcPr>
                <w:p w14:paraId="2BDAD2EE">
                  <w:pPr>
                    <w:jc w:val="center"/>
                    <w:rPr>
                      <w:rFonts w:hint="default" w:ascii="Times New Roman" w:hAnsi="Times New Roman" w:eastAsia="仿宋" w:cs="Times New Roman"/>
                      <w:color w:val="auto"/>
                      <w:sz w:val="21"/>
                      <w:szCs w:val="21"/>
                    </w:rPr>
                  </w:pPr>
                </w:p>
              </w:tc>
              <w:tc>
                <w:tcPr>
                  <w:tcW w:w="711" w:type="pct"/>
                  <w:tcBorders>
                    <w:tl2br w:val="nil"/>
                    <w:tr2bl w:val="nil"/>
                  </w:tcBorders>
                  <w:vAlign w:val="center"/>
                </w:tcPr>
                <w:p w14:paraId="0FD1652D">
                  <w:pPr>
                    <w:widowControl/>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非甲烷总烃</w:t>
                  </w:r>
                </w:p>
              </w:tc>
              <w:tc>
                <w:tcPr>
                  <w:tcW w:w="608" w:type="pct"/>
                  <w:tcBorders>
                    <w:tl2br w:val="nil"/>
                    <w:tr2bl w:val="nil"/>
                  </w:tcBorders>
                  <w:vAlign w:val="center"/>
                </w:tcPr>
                <w:p w14:paraId="754FF135">
                  <w:pPr>
                    <w:widowControl/>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0.002</w:t>
                  </w:r>
                </w:p>
              </w:tc>
              <w:tc>
                <w:tcPr>
                  <w:tcW w:w="473" w:type="pct"/>
                  <w:vMerge w:val="continue"/>
                  <w:tcBorders>
                    <w:tl2br w:val="nil"/>
                    <w:tr2bl w:val="nil"/>
                  </w:tcBorders>
                  <w:vAlign w:val="center"/>
                </w:tcPr>
                <w:p w14:paraId="550B0C72">
                  <w:pPr>
                    <w:jc w:val="center"/>
                    <w:rPr>
                      <w:rFonts w:hint="default" w:ascii="Times New Roman" w:hAnsi="Times New Roman" w:eastAsia="仿宋" w:cs="Times New Roman"/>
                      <w:color w:val="auto"/>
                      <w:sz w:val="21"/>
                      <w:szCs w:val="21"/>
                    </w:rPr>
                  </w:pPr>
                </w:p>
              </w:tc>
              <w:tc>
                <w:tcPr>
                  <w:tcW w:w="613" w:type="pct"/>
                  <w:tcBorders>
                    <w:tl2br w:val="nil"/>
                    <w:tr2bl w:val="nil"/>
                  </w:tcBorders>
                  <w:shd w:val="clear" w:color="auto" w:fill="auto"/>
                  <w:vAlign w:val="center"/>
                </w:tcPr>
                <w:p w14:paraId="3837FB6B">
                  <w:pPr>
                    <w:jc w:val="center"/>
                    <w:rPr>
                      <w:rFonts w:hint="default" w:ascii="Times New Roman" w:hAnsi="Times New Roman" w:eastAsia="仿宋" w:cs="Times New Roman"/>
                      <w:snapToGrid w:val="0"/>
                      <w:color w:val="auto"/>
                      <w:kern w:val="2"/>
                      <w:sz w:val="21"/>
                      <w:szCs w:val="21"/>
                      <w:lang w:val="en-US" w:eastAsia="zh-CN" w:bidi="ar-SA"/>
                    </w:rPr>
                  </w:pPr>
                  <w:r>
                    <w:rPr>
                      <w:rFonts w:hint="default" w:ascii="Times New Roman" w:hAnsi="Times New Roman" w:eastAsia="仿宋" w:cs="Times New Roman"/>
                      <w:color w:val="auto"/>
                      <w:sz w:val="21"/>
                      <w:szCs w:val="21"/>
                    </w:rPr>
                    <w:t>2.0</w:t>
                  </w:r>
                </w:p>
              </w:tc>
              <w:tc>
                <w:tcPr>
                  <w:tcW w:w="297" w:type="pct"/>
                  <w:tcBorders>
                    <w:tl2br w:val="nil"/>
                    <w:tr2bl w:val="nil"/>
                  </w:tcBorders>
                  <w:shd w:val="clear" w:color="auto" w:fill="auto"/>
                  <w:vAlign w:val="center"/>
                </w:tcPr>
                <w:p w14:paraId="327F2BE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470</w:t>
                  </w:r>
                </w:p>
              </w:tc>
              <w:tc>
                <w:tcPr>
                  <w:tcW w:w="393" w:type="pct"/>
                  <w:tcBorders>
                    <w:tl2br w:val="nil"/>
                    <w:tr2bl w:val="nil"/>
                  </w:tcBorders>
                  <w:shd w:val="clear" w:color="auto" w:fill="auto"/>
                  <w:vAlign w:val="center"/>
                </w:tcPr>
                <w:p w14:paraId="0053E90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0.021</w:t>
                  </w:r>
                </w:p>
              </w:tc>
              <w:tc>
                <w:tcPr>
                  <w:tcW w:w="339" w:type="pct"/>
                  <w:tcBorders>
                    <w:tl2br w:val="nil"/>
                    <w:tr2bl w:val="nil"/>
                  </w:tcBorders>
                  <w:shd w:val="clear" w:color="auto" w:fill="auto"/>
                  <w:vAlign w:val="center"/>
                </w:tcPr>
                <w:p w14:paraId="455AF91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1.85</w:t>
                  </w:r>
                </w:p>
              </w:tc>
              <w:tc>
                <w:tcPr>
                  <w:tcW w:w="353" w:type="pct"/>
                  <w:tcBorders>
                    <w:tl2br w:val="nil"/>
                    <w:tr2bl w:val="nil"/>
                  </w:tcBorders>
                  <w:shd w:val="clear" w:color="auto" w:fill="auto"/>
                  <w:vAlign w:val="center"/>
                </w:tcPr>
                <w:p w14:paraId="6D000CC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0.84</w:t>
                  </w:r>
                </w:p>
              </w:tc>
              <w:tc>
                <w:tcPr>
                  <w:tcW w:w="455" w:type="pct"/>
                  <w:tcBorders>
                    <w:tl2br w:val="nil"/>
                    <w:tr2bl w:val="nil"/>
                  </w:tcBorders>
                  <w:vAlign w:val="center"/>
                </w:tcPr>
                <w:p w14:paraId="062072A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0.27</w:t>
                  </w:r>
                </w:p>
              </w:tc>
              <w:tc>
                <w:tcPr>
                  <w:tcW w:w="421" w:type="pct"/>
                  <w:tcBorders>
                    <w:tl2br w:val="nil"/>
                    <w:tr2bl w:val="nil"/>
                  </w:tcBorders>
                  <w:vAlign w:val="center"/>
                </w:tcPr>
                <w:p w14:paraId="5CED84C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w:t>
                  </w:r>
                </w:p>
              </w:tc>
            </w:tr>
          </w:tbl>
          <w:p w14:paraId="1718F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18"/>
                <w:szCs w:val="18"/>
                <w:lang w:val="en-US" w:eastAsia="zh-CN"/>
              </w:rPr>
              <w:t>注：本项目锡及其化合物产生量极小，不进行定量计算。</w:t>
            </w:r>
          </w:p>
          <w:p w14:paraId="79BC3B39">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根据《大气有害物质无组织排放卫生防护距离推导技术导则》（GB/T39499-2020）6.1.1中“卫生防护距离初值小于50m时，级差为50m。如计算初值小于50m，卫生防护距离终值取50m”。确定本项目卫生防护距离是以</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lang w:val="en-US" w:eastAsia="zh-CN"/>
              </w:rPr>
              <w:t>实验室</w:t>
            </w:r>
            <w:r>
              <w:rPr>
                <w:rFonts w:hint="default" w:ascii="Times New Roman" w:hAnsi="Times New Roman" w:eastAsia="仿宋" w:cs="Times New Roman"/>
                <w:bCs/>
                <w:color w:val="auto"/>
                <w:sz w:val="24"/>
              </w:rPr>
              <w:t>边界外扩100米</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现有项目卫生防护距离是以生产车间边界外扩100米范围，结合图上作业，</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lang w:val="en-US" w:eastAsia="zh-CN"/>
              </w:rPr>
              <w:t>实验室位于生产车间2F内，则全厂卫生防护距离仍为以生产车间边界外扩100米范围。</w:t>
            </w:r>
            <w:r>
              <w:rPr>
                <w:rFonts w:hint="default" w:ascii="Times New Roman" w:hAnsi="Times New Roman" w:eastAsia="仿宋" w:cs="Times New Roman"/>
                <w:bCs/>
                <w:color w:val="auto"/>
                <w:sz w:val="24"/>
              </w:rPr>
              <w:t>该范围内目前为常州艾迪信轴承制造有限公司</w:t>
            </w:r>
            <w:r>
              <w:rPr>
                <w:rFonts w:hint="default" w:ascii="Times New Roman" w:hAnsi="Times New Roman" w:eastAsia="仿宋" w:cs="Times New Roman"/>
                <w:bCs/>
                <w:color w:val="auto"/>
                <w:sz w:val="24"/>
                <w:lang w:val="en-US" w:eastAsia="zh-CN"/>
              </w:rPr>
              <w:t>及龙湖路，</w:t>
            </w:r>
            <w:r>
              <w:rPr>
                <w:rFonts w:hint="default" w:ascii="Times New Roman" w:hAnsi="Times New Roman" w:eastAsia="仿宋" w:cs="Times New Roman"/>
                <w:bCs/>
                <w:color w:val="auto"/>
                <w:sz w:val="24"/>
              </w:rPr>
              <w:t>无居民、学校等环境敏感保护目标，可满足卫生防护距离设置要求，将来在该卫生防护距离范围也不得新建居民、学校、医院等属于环境保护目标的项目。</w:t>
            </w:r>
          </w:p>
          <w:p w14:paraId="4399AEC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7、大气环境影响分析</w:t>
            </w:r>
          </w:p>
          <w:p w14:paraId="5C7C1035">
            <w:pPr>
              <w:adjustRightInd w:val="0"/>
              <w:snapToGrid w:val="0"/>
              <w:spacing w:line="360" w:lineRule="auto"/>
              <w:ind w:firstLine="480"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Cs/>
                <w:color w:val="auto"/>
                <w:sz w:val="24"/>
              </w:rPr>
              <w:t>本项目位于环境空气质量非达标区，超标因子为PM</w:t>
            </w:r>
            <w:r>
              <w:rPr>
                <w:rFonts w:hint="default" w:ascii="Times New Roman" w:hAnsi="Times New Roman" w:eastAsia="仿宋" w:cs="Times New Roman"/>
                <w:bCs/>
                <w:color w:val="auto"/>
                <w:sz w:val="24"/>
                <w:vertAlign w:val="subscript"/>
              </w:rPr>
              <w:t>2.5</w:t>
            </w:r>
            <w:r>
              <w:rPr>
                <w:rFonts w:hint="default" w:ascii="Times New Roman" w:hAnsi="Times New Roman" w:eastAsia="仿宋" w:cs="Times New Roman"/>
                <w:bCs/>
                <w:color w:val="auto"/>
                <w:sz w:val="24"/>
              </w:rPr>
              <w:t>和O</w:t>
            </w:r>
            <w:r>
              <w:rPr>
                <w:rFonts w:hint="default" w:ascii="Times New Roman" w:hAnsi="Times New Roman" w:eastAsia="仿宋" w:cs="Times New Roman"/>
                <w:bCs/>
                <w:color w:val="auto"/>
                <w:sz w:val="24"/>
                <w:vertAlign w:val="subscript"/>
              </w:rPr>
              <w:t>3</w:t>
            </w:r>
            <w:r>
              <w:rPr>
                <w:rFonts w:hint="default" w:ascii="Times New Roman" w:hAnsi="Times New Roman" w:eastAsia="仿宋" w:cs="Times New Roman"/>
                <w:bCs/>
                <w:color w:val="auto"/>
                <w:sz w:val="24"/>
              </w:rPr>
              <w:t>。企业卫生防护距离范围内不涉及居民、学校等环境敏感保护目标。本项目排放的大气污染物经采取有效的污染防治措施治理后有组织排放，各大气污染物排放强度较低，对大气环境影响较小，周边大气环境可基本维持现状，但仍要加强污染控制管理，减少非正常排放情况的发生。</w:t>
            </w:r>
          </w:p>
          <w:p w14:paraId="000B813F">
            <w:pPr>
              <w:adjustRightInd w:val="0"/>
              <w:snapToGrid w:val="0"/>
              <w:spacing w:line="360" w:lineRule="auto"/>
              <w:jc w:val="left"/>
              <w:rPr>
                <w:rFonts w:hint="default" w:ascii="Times New Roman" w:hAnsi="Times New Roman" w:eastAsia="仿宋" w:cs="Times New Roman"/>
                <w:bCs/>
                <w:color w:val="auto"/>
                <w:sz w:val="24"/>
              </w:rPr>
            </w:pPr>
            <w:r>
              <w:rPr>
                <w:rFonts w:hint="default" w:ascii="Times New Roman" w:hAnsi="Times New Roman" w:eastAsia="仿宋" w:cs="Times New Roman"/>
                <w:b/>
                <w:bCs/>
                <w:color w:val="auto"/>
                <w:sz w:val="24"/>
              </w:rPr>
              <w:t>二、废水</w:t>
            </w:r>
          </w:p>
          <w:p w14:paraId="00AB579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1、源强核算</w:t>
            </w:r>
          </w:p>
          <w:p w14:paraId="0D4C670D">
            <w:pPr>
              <w:adjustRightInd w:val="0"/>
              <w:snapToGrid w:val="0"/>
              <w:spacing w:line="360" w:lineRule="auto"/>
              <w:ind w:firstLine="480" w:firstLineChars="200"/>
              <w:jc w:val="both"/>
              <w:rPr>
                <w:rFonts w:hint="default"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lang w:val="en-US" w:eastAsia="zh-CN"/>
              </w:rPr>
              <w:t>本项目不新增职工，故不新增生活污水。</w:t>
            </w:r>
            <w:r>
              <w:rPr>
                <w:rFonts w:hint="default" w:ascii="Times New Roman" w:hAnsi="Times New Roman" w:eastAsia="仿宋" w:cs="Times New Roman"/>
                <w:bCs/>
                <w:color w:val="auto"/>
                <w:sz w:val="24"/>
              </w:rPr>
              <w:t>本项目车间地面定期清扫，不进行冲洗，无地面冲洗废水产生</w:t>
            </w:r>
            <w:r>
              <w:rPr>
                <w:rFonts w:hint="default" w:ascii="Times New Roman" w:hAnsi="Times New Roman" w:eastAsia="仿宋" w:cs="Times New Roman"/>
                <w:bCs/>
                <w:color w:val="auto"/>
                <w:sz w:val="24"/>
                <w:lang w:eastAsia="zh-CN"/>
              </w:rPr>
              <w:t>。</w:t>
            </w:r>
          </w:p>
          <w:p w14:paraId="4A879015">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w:t>
            </w:r>
            <w:r>
              <w:rPr>
                <w:rFonts w:hint="eastAsia" w:eastAsia="仿宋" w:cs="Times New Roman"/>
                <w:bCs/>
                <w:color w:val="auto"/>
                <w:sz w:val="24"/>
                <w:lang w:val="en-US" w:eastAsia="zh-CN"/>
              </w:rPr>
              <w:t>新增1台10L/h</w:t>
            </w:r>
            <w:r>
              <w:rPr>
                <w:rFonts w:hint="default" w:ascii="Times New Roman" w:hAnsi="Times New Roman" w:eastAsia="仿宋" w:cs="Times New Roman"/>
                <w:bCs/>
                <w:color w:val="auto"/>
                <w:sz w:val="24"/>
                <w:lang w:val="en-US" w:eastAsia="zh-CN"/>
              </w:rPr>
              <w:t>纯水制备机</w:t>
            </w:r>
            <w:r>
              <w:rPr>
                <w:rFonts w:hint="default" w:ascii="Times New Roman" w:hAnsi="Times New Roman" w:eastAsia="仿宋" w:cs="Times New Roman"/>
                <w:bCs/>
                <w:color w:val="auto"/>
                <w:sz w:val="24"/>
              </w:rPr>
              <w:t>制纯水</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制纯率</w:t>
            </w:r>
            <w:r>
              <w:rPr>
                <w:rFonts w:hint="default" w:ascii="Times New Roman" w:hAnsi="Times New Roman" w:eastAsia="仿宋" w:cs="Times New Roman"/>
                <w:bCs/>
                <w:color w:val="auto"/>
                <w:sz w:val="24"/>
                <w:lang w:val="en-US" w:eastAsia="zh-CN"/>
              </w:rPr>
              <w:t>为</w:t>
            </w:r>
            <w:r>
              <w:rPr>
                <w:rFonts w:hint="default" w:ascii="Times New Roman" w:hAnsi="Times New Roman" w:eastAsia="仿宋" w:cs="Times New Roman"/>
                <w:bCs/>
                <w:color w:val="auto"/>
                <w:sz w:val="24"/>
              </w:rPr>
              <w:t>60%，弃水产生量按照自来水用量的40%核算，</w:t>
            </w:r>
            <w:r>
              <w:rPr>
                <w:rFonts w:hint="default" w:ascii="Times New Roman" w:hAnsi="Times New Roman" w:eastAsia="仿宋" w:cs="Times New Roman"/>
                <w:bCs/>
                <w:color w:val="auto"/>
                <w:sz w:val="24"/>
                <w:lang w:val="en-US" w:eastAsia="zh-CN"/>
              </w:rPr>
              <w:t>本项目实验室需要的纯水量为2.2t/a</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则自来水用量为3.7t/a，</w:t>
            </w:r>
            <w:r>
              <w:rPr>
                <w:rFonts w:hint="eastAsia" w:eastAsia="仿宋" w:cs="Times New Roman"/>
                <w:bCs/>
                <w:color w:val="auto"/>
                <w:sz w:val="24"/>
                <w:lang w:val="en-US" w:eastAsia="zh-CN"/>
              </w:rPr>
              <w:t>纯水制备</w:t>
            </w:r>
            <w:r>
              <w:rPr>
                <w:rFonts w:hint="default" w:ascii="Times New Roman" w:hAnsi="Times New Roman" w:eastAsia="仿宋" w:cs="Times New Roman"/>
                <w:bCs/>
                <w:color w:val="auto"/>
                <w:sz w:val="24"/>
                <w:lang w:val="en-US" w:eastAsia="zh-CN"/>
              </w:rPr>
              <w:t>弃水W</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lang w:val="en-US" w:eastAsia="zh-CN"/>
              </w:rPr>
              <w:t>产生量为</w:t>
            </w:r>
            <w:r>
              <w:rPr>
                <w:rFonts w:hint="eastAsia" w:eastAsia="仿宋" w:cs="Times New Roman"/>
                <w:bCs/>
                <w:color w:val="auto"/>
                <w:sz w:val="24"/>
                <w:lang w:val="en-US" w:eastAsia="zh-CN"/>
              </w:rPr>
              <w:t>1.5</w:t>
            </w:r>
            <w:r>
              <w:rPr>
                <w:rFonts w:hint="default" w:ascii="Times New Roman" w:hAnsi="Times New Roman" w:eastAsia="仿宋" w:cs="Times New Roman"/>
                <w:bCs/>
                <w:color w:val="auto"/>
                <w:sz w:val="24"/>
                <w:lang w:val="en-US" w:eastAsia="zh-CN"/>
              </w:rPr>
              <w:t>t/a</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主要污染物浓度</w:t>
            </w:r>
            <w:r>
              <w:rPr>
                <w:rFonts w:hint="default" w:ascii="Times New Roman" w:hAnsi="Times New Roman" w:eastAsia="仿宋" w:cs="Times New Roman"/>
                <w:bCs/>
                <w:color w:val="auto"/>
                <w:sz w:val="24"/>
                <w:lang w:val="en-US" w:eastAsia="zh-CN"/>
              </w:rPr>
              <w:t>为</w:t>
            </w:r>
            <w:r>
              <w:rPr>
                <w:rFonts w:hint="default" w:ascii="Times New Roman" w:hAnsi="Times New Roman" w:eastAsia="仿宋" w:cs="Times New Roman"/>
                <w:bCs/>
                <w:color w:val="auto"/>
                <w:sz w:val="24"/>
              </w:rPr>
              <w:t>pH 7-9、COD 40mg/L、SS 40mg/L。</w:t>
            </w:r>
          </w:p>
          <w:p w14:paraId="3506D504">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本项目废水产生情况见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39CC45DE">
            <w:pPr>
              <w:adjustRightInd w:val="0"/>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7</w:t>
            </w:r>
            <w:r>
              <w:rPr>
                <w:rFonts w:hint="default" w:ascii="Times New Roman" w:hAnsi="Times New Roman" w:eastAsia="仿宋" w:cs="Times New Roman"/>
                <w:b/>
                <w:color w:val="auto"/>
                <w:sz w:val="24"/>
              </w:rPr>
              <w:t xml:space="preserve">  本项目水污染物产生情况表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24"/>
              <w:gridCol w:w="1354"/>
              <w:gridCol w:w="1251"/>
              <w:gridCol w:w="2230"/>
              <w:gridCol w:w="1866"/>
            </w:tblGrid>
            <w:tr w14:paraId="0E4AA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26" w:type="pct"/>
                  <w:vAlign w:val="center"/>
                </w:tcPr>
                <w:p w14:paraId="23229EF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废水名称</w:t>
                  </w:r>
                </w:p>
              </w:tc>
              <w:tc>
                <w:tcPr>
                  <w:tcW w:w="823" w:type="pct"/>
                  <w:vAlign w:val="center"/>
                </w:tcPr>
                <w:p w14:paraId="1B724C8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废水量(t</w:t>
                  </w:r>
                  <w:r>
                    <w:rPr>
                      <w:rFonts w:hint="default" w:ascii="Times New Roman" w:hAnsi="Times New Roman" w:eastAsia="仿宋" w:cs="Times New Roman"/>
                      <w:b/>
                      <w:color w:val="auto"/>
                      <w:szCs w:val="21"/>
                    </w:rPr>
                    <w:t>/a</w:t>
                  </w:r>
                  <w:r>
                    <w:rPr>
                      <w:rFonts w:hint="default" w:ascii="Times New Roman" w:hAnsi="Times New Roman" w:eastAsia="仿宋" w:cs="Times New Roman"/>
                      <w:b/>
                      <w:bCs/>
                      <w:color w:val="auto"/>
                      <w:szCs w:val="21"/>
                    </w:rPr>
                    <w:t>)</w:t>
                  </w:r>
                </w:p>
              </w:tc>
              <w:tc>
                <w:tcPr>
                  <w:tcW w:w="760" w:type="pct"/>
                  <w:vAlign w:val="center"/>
                </w:tcPr>
                <w:p w14:paraId="2901C6A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355" w:type="pct"/>
                  <w:vAlign w:val="center"/>
                </w:tcPr>
                <w:p w14:paraId="00AD0EC6">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污染物产生浓度</w:t>
                  </w:r>
                </w:p>
                <w:p w14:paraId="38D71EDA">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(mg/L)</w:t>
                  </w:r>
                </w:p>
              </w:tc>
              <w:tc>
                <w:tcPr>
                  <w:tcW w:w="1134" w:type="pct"/>
                  <w:vAlign w:val="center"/>
                </w:tcPr>
                <w:p w14:paraId="445F829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污染物产生量</w:t>
                  </w:r>
                </w:p>
                <w:p w14:paraId="460B7656">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w:t>
                  </w:r>
                  <w:r>
                    <w:rPr>
                      <w:rFonts w:hint="default" w:ascii="Times New Roman" w:hAnsi="Times New Roman" w:eastAsia="仿宋" w:cs="Times New Roman"/>
                      <w:b/>
                      <w:color w:val="auto"/>
                      <w:szCs w:val="21"/>
                    </w:rPr>
                    <w:t>t/a</w:t>
                  </w:r>
                  <w:r>
                    <w:rPr>
                      <w:rFonts w:hint="default" w:ascii="Times New Roman" w:hAnsi="Times New Roman" w:eastAsia="仿宋" w:cs="Times New Roman"/>
                      <w:b/>
                      <w:bCs/>
                      <w:color w:val="auto"/>
                      <w:szCs w:val="21"/>
                    </w:rPr>
                    <w:t>)</w:t>
                  </w:r>
                </w:p>
              </w:tc>
            </w:tr>
            <w:tr w14:paraId="4A827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926" w:type="pct"/>
                  <w:vMerge w:val="restart"/>
                  <w:shd w:val="clear" w:color="auto" w:fill="auto"/>
                  <w:vAlign w:val="center"/>
                </w:tcPr>
                <w:p w14:paraId="46D30E5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纯水制备弃水W</w:t>
                  </w:r>
                  <w:r>
                    <w:rPr>
                      <w:rFonts w:hint="eastAsia" w:eastAsia="仿宋" w:cs="Times New Roman"/>
                      <w:color w:val="auto"/>
                      <w:szCs w:val="21"/>
                      <w:lang w:val="en-US" w:eastAsia="zh-CN"/>
                    </w:rPr>
                    <w:t>1</w:t>
                  </w:r>
                </w:p>
              </w:tc>
              <w:tc>
                <w:tcPr>
                  <w:tcW w:w="823" w:type="pct"/>
                  <w:vMerge w:val="restart"/>
                  <w:shd w:val="clear" w:color="auto" w:fill="auto"/>
                  <w:vAlign w:val="center"/>
                </w:tcPr>
                <w:p w14:paraId="76B02D4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w:t>
                  </w:r>
                </w:p>
              </w:tc>
              <w:tc>
                <w:tcPr>
                  <w:tcW w:w="760" w:type="pct"/>
                  <w:vAlign w:val="center"/>
                </w:tcPr>
                <w:p w14:paraId="2C2A63E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2489" w:type="pct"/>
                  <w:gridSpan w:val="2"/>
                  <w:vAlign w:val="center"/>
                </w:tcPr>
                <w:p w14:paraId="08A893A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9.0</w:t>
                  </w:r>
                </w:p>
              </w:tc>
            </w:tr>
            <w:tr w14:paraId="6F552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926" w:type="pct"/>
                  <w:vMerge w:val="continue"/>
                  <w:vAlign w:val="center"/>
                </w:tcPr>
                <w:p w14:paraId="5158EDFB">
                  <w:pPr>
                    <w:jc w:val="center"/>
                    <w:rPr>
                      <w:rFonts w:hint="default" w:ascii="Times New Roman" w:hAnsi="Times New Roman" w:eastAsia="仿宋" w:cs="Times New Roman"/>
                      <w:color w:val="auto"/>
                      <w:szCs w:val="21"/>
                      <w:lang w:val="en-US" w:eastAsia="zh-CN"/>
                    </w:rPr>
                  </w:pPr>
                </w:p>
              </w:tc>
              <w:tc>
                <w:tcPr>
                  <w:tcW w:w="823" w:type="pct"/>
                  <w:vMerge w:val="continue"/>
                  <w:vAlign w:val="center"/>
                </w:tcPr>
                <w:p w14:paraId="18B6E074">
                  <w:pPr>
                    <w:jc w:val="center"/>
                    <w:rPr>
                      <w:rFonts w:hint="default" w:ascii="Times New Roman" w:hAnsi="Times New Roman" w:eastAsia="仿宋" w:cs="Times New Roman"/>
                      <w:color w:val="auto"/>
                      <w:szCs w:val="21"/>
                      <w:lang w:val="en-US" w:eastAsia="zh-CN"/>
                    </w:rPr>
                  </w:pPr>
                </w:p>
              </w:tc>
              <w:tc>
                <w:tcPr>
                  <w:tcW w:w="760" w:type="pct"/>
                  <w:vAlign w:val="center"/>
                </w:tcPr>
                <w:p w14:paraId="3AD96A0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355" w:type="pct"/>
                  <w:vAlign w:val="center"/>
                </w:tcPr>
                <w:p w14:paraId="457D9F8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1134" w:type="pct"/>
                  <w:vAlign w:val="center"/>
                </w:tcPr>
                <w:p w14:paraId="7129389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r>
            <w:tr w14:paraId="3388F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926" w:type="pct"/>
                  <w:vMerge w:val="continue"/>
                  <w:vAlign w:val="center"/>
                </w:tcPr>
                <w:p w14:paraId="7E3939B1">
                  <w:pPr>
                    <w:jc w:val="center"/>
                    <w:rPr>
                      <w:rFonts w:hint="default" w:ascii="Times New Roman" w:hAnsi="Times New Roman" w:eastAsia="仿宋" w:cs="Times New Roman"/>
                      <w:color w:val="auto"/>
                      <w:szCs w:val="21"/>
                      <w:lang w:val="en-US" w:eastAsia="zh-CN"/>
                    </w:rPr>
                  </w:pPr>
                </w:p>
              </w:tc>
              <w:tc>
                <w:tcPr>
                  <w:tcW w:w="823" w:type="pct"/>
                  <w:vMerge w:val="continue"/>
                  <w:vAlign w:val="center"/>
                </w:tcPr>
                <w:p w14:paraId="0C013E10">
                  <w:pPr>
                    <w:jc w:val="center"/>
                    <w:rPr>
                      <w:rFonts w:hint="default" w:ascii="Times New Roman" w:hAnsi="Times New Roman" w:eastAsia="仿宋" w:cs="Times New Roman"/>
                      <w:color w:val="auto"/>
                      <w:szCs w:val="21"/>
                      <w:lang w:val="en-US" w:eastAsia="zh-CN"/>
                    </w:rPr>
                  </w:pPr>
                </w:p>
              </w:tc>
              <w:tc>
                <w:tcPr>
                  <w:tcW w:w="760" w:type="pct"/>
                  <w:vAlign w:val="center"/>
                </w:tcPr>
                <w:p w14:paraId="444AE85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355" w:type="pct"/>
                  <w:vAlign w:val="center"/>
                </w:tcPr>
                <w:p w14:paraId="418D181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1134" w:type="pct"/>
                  <w:vAlign w:val="center"/>
                </w:tcPr>
                <w:p w14:paraId="20A7CC0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r>
          </w:tbl>
          <w:p w14:paraId="16DCAFFE">
            <w:pPr>
              <w:adjustRightInd w:val="0"/>
              <w:snapToGrid w:val="0"/>
              <w:ind w:firstLine="200" w:firstLineChars="200"/>
              <w:jc w:val="left"/>
              <w:rPr>
                <w:rFonts w:hint="default" w:ascii="Times New Roman" w:hAnsi="Times New Roman" w:eastAsia="仿宋" w:cs="Times New Roman"/>
                <w:bCs/>
                <w:color w:val="auto"/>
                <w:sz w:val="10"/>
                <w:szCs w:val="10"/>
              </w:rPr>
            </w:pPr>
          </w:p>
          <w:p w14:paraId="408FC09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2、水污染防治措施</w:t>
            </w:r>
          </w:p>
          <w:p w14:paraId="1542594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（1）排水体制</w:t>
            </w:r>
          </w:p>
          <w:p w14:paraId="47A1402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厂区排水实施“雨污分流”，雨水经雨水管网收集后，排入当地市政雨水管网，最终汇入附近河流。</w:t>
            </w:r>
            <w:r>
              <w:rPr>
                <w:rFonts w:hint="eastAsia" w:eastAsia="仿宋" w:cs="Times New Roman"/>
                <w:bCs/>
                <w:color w:val="auto"/>
                <w:sz w:val="24"/>
                <w:lang w:val="en-US" w:eastAsia="zh-CN"/>
              </w:rPr>
              <w:t>本项目不新增生活污水，</w:t>
            </w:r>
            <w:r>
              <w:rPr>
                <w:rFonts w:hint="default" w:ascii="Times New Roman" w:hAnsi="Times New Roman" w:eastAsia="仿宋" w:cs="Times New Roman"/>
                <w:bCs/>
                <w:color w:val="auto"/>
                <w:sz w:val="24"/>
                <w:lang w:val="en-US" w:eastAsia="zh-CN"/>
              </w:rPr>
              <w:t>新增的制纯水弃水全部用于员工冲厕</w:t>
            </w:r>
            <w:r>
              <w:rPr>
                <w:rFonts w:hint="default" w:ascii="Times New Roman" w:hAnsi="Times New Roman" w:eastAsia="仿宋" w:cs="Times New Roman"/>
                <w:bCs/>
                <w:color w:val="auto"/>
                <w:sz w:val="24"/>
              </w:rPr>
              <w:t>。</w:t>
            </w:r>
          </w:p>
          <w:p w14:paraId="6B278B28">
            <w:pPr>
              <w:adjustRightInd w:val="0"/>
              <w:snapToGrid w:val="0"/>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lang w:eastAsia="zh-CN"/>
              </w:rPr>
              <w:t>（</w:t>
            </w:r>
            <w:r>
              <w:rPr>
                <w:rFonts w:hint="eastAsia" w:ascii="仿宋" w:hAnsi="仿宋" w:eastAsia="仿宋" w:cs="宋体"/>
                <w:bCs/>
                <w:color w:val="auto"/>
                <w:sz w:val="24"/>
                <w:lang w:val="en-US" w:eastAsia="zh-CN"/>
              </w:rPr>
              <w:t>2</w:t>
            </w:r>
            <w:r>
              <w:rPr>
                <w:rFonts w:hint="eastAsia" w:ascii="仿宋" w:hAnsi="仿宋" w:eastAsia="仿宋" w:cs="宋体"/>
                <w:bCs/>
                <w:color w:val="auto"/>
                <w:sz w:val="24"/>
                <w:lang w:eastAsia="zh-CN"/>
              </w:rPr>
              <w:t>）</w:t>
            </w:r>
            <w:r>
              <w:rPr>
                <w:rFonts w:ascii="仿宋" w:hAnsi="仿宋" w:eastAsia="仿宋" w:cs="宋体"/>
                <w:bCs/>
                <w:color w:val="auto"/>
                <w:sz w:val="24"/>
              </w:rPr>
              <w:t>纯水</w:t>
            </w:r>
            <w:r>
              <w:rPr>
                <w:rFonts w:hint="eastAsia" w:ascii="仿宋" w:hAnsi="仿宋" w:eastAsia="仿宋" w:cs="宋体"/>
                <w:bCs/>
                <w:color w:val="auto"/>
                <w:sz w:val="24"/>
              </w:rPr>
              <w:t>制备</w:t>
            </w:r>
            <w:r>
              <w:rPr>
                <w:rFonts w:ascii="仿宋" w:hAnsi="仿宋" w:eastAsia="仿宋" w:cs="宋体"/>
                <w:bCs/>
                <w:color w:val="auto"/>
                <w:sz w:val="24"/>
              </w:rPr>
              <w:t>弃水回用可行性</w:t>
            </w:r>
          </w:p>
          <w:p w14:paraId="600A9550">
            <w:pPr>
              <w:adjustRightInd w:val="0"/>
              <w:snapToGrid w:val="0"/>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lang w:val="en-US" w:eastAsia="zh-CN"/>
              </w:rPr>
              <w:t>厂区现有</w:t>
            </w:r>
            <w:r>
              <w:rPr>
                <w:rFonts w:ascii="仿宋" w:hAnsi="仿宋" w:eastAsia="仿宋" w:cs="宋体"/>
                <w:bCs/>
                <w:color w:val="auto"/>
                <w:sz w:val="24"/>
              </w:rPr>
              <w:t>员工人数为</w:t>
            </w:r>
            <w:r>
              <w:rPr>
                <w:rFonts w:hint="eastAsia" w:ascii="仿宋" w:hAnsi="仿宋" w:eastAsia="仿宋" w:cs="宋体"/>
                <w:bCs/>
                <w:color w:val="auto"/>
                <w:sz w:val="24"/>
                <w:lang w:val="en-US" w:eastAsia="zh-CN"/>
              </w:rPr>
              <w:t>150</w:t>
            </w:r>
            <w:r>
              <w:rPr>
                <w:rFonts w:hint="eastAsia" w:ascii="仿宋" w:hAnsi="仿宋" w:eastAsia="仿宋" w:cs="宋体"/>
                <w:bCs/>
                <w:color w:val="auto"/>
                <w:sz w:val="24"/>
              </w:rPr>
              <w:t>人，如厕次数约5次/人·d，企业各个厕所坑位均配有1个20L水箱，冲厕用水量为20L/人·次，年工作300天，经计算，冲厕用水量为</w:t>
            </w:r>
            <w:r>
              <w:rPr>
                <w:rFonts w:hint="eastAsia" w:ascii="仿宋" w:hAnsi="仿宋" w:eastAsia="仿宋" w:cs="宋体"/>
                <w:bCs/>
                <w:color w:val="auto"/>
                <w:sz w:val="24"/>
                <w:lang w:val="en-US" w:eastAsia="zh-CN"/>
              </w:rPr>
              <w:t>4500</w:t>
            </w:r>
            <w:r>
              <w:rPr>
                <w:rFonts w:hint="eastAsia" w:ascii="仿宋" w:hAnsi="仿宋" w:eastAsia="仿宋" w:cs="宋体"/>
                <w:bCs/>
                <w:color w:val="auto"/>
                <w:sz w:val="24"/>
              </w:rPr>
              <w:t>t/a（</w:t>
            </w:r>
            <w:r>
              <w:rPr>
                <w:rFonts w:hint="eastAsia" w:ascii="仿宋" w:hAnsi="仿宋" w:eastAsia="仿宋" w:cs="宋体"/>
                <w:bCs/>
                <w:color w:val="auto"/>
                <w:sz w:val="24"/>
                <w:lang w:val="en-US" w:eastAsia="zh-CN"/>
              </w:rPr>
              <w:t>15</w:t>
            </w:r>
            <w:r>
              <w:rPr>
                <w:rFonts w:hint="eastAsia" w:ascii="仿宋" w:hAnsi="仿宋" w:eastAsia="仿宋" w:cs="宋体"/>
                <w:bCs/>
                <w:color w:val="auto"/>
                <w:sz w:val="24"/>
              </w:rPr>
              <w:t>t/d）。本项目</w:t>
            </w:r>
            <w:r>
              <w:rPr>
                <w:rFonts w:hint="eastAsia" w:ascii="仿宋" w:hAnsi="仿宋" w:eastAsia="仿宋"/>
                <w:color w:val="auto"/>
                <w:spacing w:val="-2"/>
                <w:sz w:val="24"/>
              </w:rPr>
              <w:t>纯水制备弃水</w:t>
            </w:r>
            <w:r>
              <w:rPr>
                <w:rFonts w:hint="eastAsia" w:ascii="仿宋" w:hAnsi="仿宋" w:eastAsia="仿宋" w:cs="宋体"/>
                <w:bCs/>
                <w:color w:val="auto"/>
                <w:sz w:val="24"/>
              </w:rPr>
              <w:t>产生量为</w:t>
            </w:r>
            <w:r>
              <w:rPr>
                <w:rFonts w:hint="eastAsia" w:ascii="仿宋" w:hAnsi="仿宋" w:eastAsia="仿宋" w:cs="宋体"/>
                <w:bCs/>
                <w:color w:val="auto"/>
                <w:sz w:val="24"/>
                <w:lang w:val="en-US" w:eastAsia="zh-CN"/>
              </w:rPr>
              <w:t>1.5</w:t>
            </w:r>
            <w:r>
              <w:rPr>
                <w:rFonts w:hint="eastAsia" w:ascii="仿宋" w:hAnsi="仿宋" w:eastAsia="仿宋" w:cs="宋体"/>
                <w:bCs/>
                <w:color w:val="auto"/>
                <w:sz w:val="24"/>
              </w:rPr>
              <w:t>t/a（</w:t>
            </w:r>
            <w:r>
              <w:rPr>
                <w:rFonts w:hint="eastAsia" w:ascii="仿宋" w:hAnsi="仿宋" w:eastAsia="仿宋" w:cs="宋体"/>
                <w:bCs/>
                <w:color w:val="auto"/>
                <w:sz w:val="24"/>
                <w:lang w:val="en-US" w:eastAsia="zh-CN"/>
              </w:rPr>
              <w:t>0.005</w:t>
            </w:r>
            <w:r>
              <w:rPr>
                <w:rFonts w:hint="eastAsia" w:ascii="仿宋" w:hAnsi="仿宋" w:eastAsia="仿宋" w:cs="宋体"/>
                <w:bCs/>
                <w:color w:val="auto"/>
                <w:sz w:val="24"/>
              </w:rPr>
              <w:t>t/d），因此，项目</w:t>
            </w:r>
            <w:r>
              <w:rPr>
                <w:rFonts w:hint="eastAsia" w:ascii="仿宋" w:hAnsi="仿宋" w:eastAsia="仿宋"/>
                <w:color w:val="auto"/>
                <w:spacing w:val="-2"/>
                <w:sz w:val="24"/>
              </w:rPr>
              <w:t>纯水制备弃水</w:t>
            </w:r>
            <w:r>
              <w:rPr>
                <w:rFonts w:hint="eastAsia" w:ascii="仿宋" w:hAnsi="仿宋" w:eastAsia="仿宋" w:cs="宋体"/>
                <w:bCs/>
                <w:color w:val="auto"/>
                <w:sz w:val="24"/>
              </w:rPr>
              <w:t>全部</w:t>
            </w:r>
            <w:r>
              <w:rPr>
                <w:rFonts w:ascii="仿宋" w:hAnsi="仿宋" w:eastAsia="仿宋" w:cs="宋体"/>
                <w:bCs/>
                <w:color w:val="auto"/>
                <w:sz w:val="24"/>
              </w:rPr>
              <w:t>用于厂内员工冲厕可行</w:t>
            </w:r>
            <w:r>
              <w:rPr>
                <w:rFonts w:hint="eastAsia" w:ascii="仿宋" w:hAnsi="仿宋" w:eastAsia="仿宋" w:cs="宋体"/>
                <w:bCs/>
                <w:color w:val="auto"/>
                <w:sz w:val="24"/>
              </w:rPr>
              <w:t>。</w:t>
            </w:r>
          </w:p>
          <w:p w14:paraId="75BBCF8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3、废水排放情况</w:t>
            </w:r>
          </w:p>
          <w:p w14:paraId="3FB1051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本项目水污染物产生及排放情况见表4-</w:t>
            </w:r>
            <w:r>
              <w:rPr>
                <w:rFonts w:hint="eastAsia" w:eastAsia="仿宋" w:cs="Times New Roman"/>
                <w:bCs/>
                <w:color w:val="auto"/>
                <w:sz w:val="24"/>
                <w:lang w:val="en-US" w:eastAsia="zh-CN"/>
              </w:rPr>
              <w:t>18</w:t>
            </w:r>
            <w:r>
              <w:rPr>
                <w:rFonts w:hint="default" w:ascii="Times New Roman" w:hAnsi="Times New Roman" w:eastAsia="仿宋" w:cs="Times New Roman"/>
                <w:bCs/>
                <w:color w:val="auto"/>
                <w:sz w:val="24"/>
                <w:lang w:val="en-US" w:eastAsia="zh-CN"/>
              </w:rPr>
              <w:t>，全厂</w:t>
            </w:r>
            <w:r>
              <w:rPr>
                <w:rFonts w:hint="default" w:ascii="Times New Roman" w:hAnsi="Times New Roman" w:eastAsia="仿宋" w:cs="Times New Roman"/>
                <w:bCs/>
                <w:color w:val="auto"/>
                <w:sz w:val="24"/>
              </w:rPr>
              <w:t>水污染物产生及排放情况</w:t>
            </w:r>
            <w:r>
              <w:rPr>
                <w:rFonts w:hint="default" w:ascii="Times New Roman" w:hAnsi="Times New Roman" w:eastAsia="仿宋" w:cs="Times New Roman"/>
                <w:bCs/>
                <w:color w:val="auto"/>
                <w:sz w:val="24"/>
                <w:lang w:val="en-US" w:eastAsia="zh-CN"/>
              </w:rPr>
              <w:t>见表4-</w:t>
            </w:r>
            <w:r>
              <w:rPr>
                <w:rFonts w:hint="eastAsia" w:eastAsia="仿宋" w:cs="Times New Roman"/>
                <w:bCs/>
                <w:color w:val="auto"/>
                <w:sz w:val="24"/>
                <w:lang w:val="en-US" w:eastAsia="zh-CN"/>
              </w:rPr>
              <w:t>19</w:t>
            </w:r>
            <w:r>
              <w:rPr>
                <w:rFonts w:hint="default" w:ascii="Times New Roman" w:hAnsi="Times New Roman" w:eastAsia="仿宋" w:cs="Times New Roman"/>
                <w:bCs/>
                <w:color w:val="auto"/>
                <w:sz w:val="24"/>
              </w:rPr>
              <w:t>。</w:t>
            </w:r>
          </w:p>
          <w:p w14:paraId="0643B7AA">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49E034CD">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7D7C80F9">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59DAE39C">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4B223078">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28744D4A">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58B6E3AF">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1C9E5F88">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3012F44D">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0891F1BA">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6F6771A4">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05187DDC">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59EFC2D1">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17D60585">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60D483E7">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19AED17A">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3846D617">
            <w:pPr>
              <w:adjustRightInd w:val="0"/>
              <w:snapToGrid w:val="0"/>
              <w:spacing w:line="360" w:lineRule="auto"/>
              <w:ind w:firstLine="480" w:firstLineChars="200"/>
              <w:jc w:val="left"/>
              <w:rPr>
                <w:rFonts w:hint="default" w:ascii="Times New Roman" w:hAnsi="Times New Roman" w:eastAsia="仿宋" w:cs="Times New Roman"/>
                <w:bCs/>
                <w:color w:val="auto"/>
                <w:sz w:val="24"/>
              </w:rPr>
            </w:pPr>
          </w:p>
          <w:p w14:paraId="16D34620">
            <w:pPr>
              <w:pStyle w:val="25"/>
              <w:ind w:firstLine="480"/>
              <w:rPr>
                <w:rFonts w:hint="default" w:ascii="Times New Roman" w:hAnsi="Times New Roman" w:eastAsia="仿宋" w:cs="Times New Roman"/>
                <w:bCs/>
                <w:color w:val="auto"/>
                <w:sz w:val="24"/>
              </w:rPr>
            </w:pPr>
          </w:p>
          <w:p w14:paraId="463195E3">
            <w:pPr>
              <w:pStyle w:val="25"/>
              <w:ind w:firstLine="480"/>
              <w:rPr>
                <w:rFonts w:hint="default" w:ascii="Times New Roman" w:hAnsi="Times New Roman" w:eastAsia="仿宋" w:cs="Times New Roman"/>
                <w:bCs/>
                <w:color w:val="auto"/>
                <w:sz w:val="24"/>
              </w:rPr>
            </w:pPr>
          </w:p>
          <w:p w14:paraId="15E965FD">
            <w:pPr>
              <w:pStyle w:val="25"/>
              <w:ind w:firstLine="480"/>
              <w:rPr>
                <w:rFonts w:hint="default" w:ascii="Times New Roman" w:hAnsi="Times New Roman" w:eastAsia="仿宋" w:cs="Times New Roman"/>
                <w:bCs/>
                <w:color w:val="auto"/>
                <w:sz w:val="24"/>
              </w:rPr>
            </w:pPr>
          </w:p>
        </w:tc>
      </w:tr>
    </w:tbl>
    <w:p w14:paraId="562A59BA">
      <w:pPr>
        <w:adjustRightInd w:val="0"/>
        <w:snapToGrid w:val="0"/>
        <w:spacing w:line="360" w:lineRule="auto"/>
        <w:jc w:val="center"/>
        <w:rPr>
          <w:rFonts w:hint="default" w:ascii="Times New Roman" w:hAnsi="Times New Roman" w:eastAsia="仿宋" w:cs="Times New Roman"/>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772"/>
      </w:tblGrid>
      <w:tr w14:paraId="5B8A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dxa"/>
            <w:vAlign w:val="center"/>
          </w:tcPr>
          <w:p w14:paraId="15090967">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42ABF982">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7D33E820">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1C33B81A">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1C82E7A0">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保护措</w:t>
            </w:r>
          </w:p>
          <w:p w14:paraId="08A44C10">
            <w:pPr>
              <w:pStyle w:val="25"/>
              <w:jc w:val="center"/>
              <w:rPr>
                <w:rFonts w:hint="default" w:ascii="Times New Roman" w:hAnsi="Times New Roman" w:eastAsia="仿宋" w:cs="Times New Roman"/>
                <w:color w:val="auto"/>
              </w:rPr>
            </w:pPr>
          </w:p>
        </w:tc>
        <w:tc>
          <w:tcPr>
            <w:tcW w:w="12845" w:type="dxa"/>
          </w:tcPr>
          <w:p w14:paraId="4D9A5B7D">
            <w:pPr>
              <w:adjustRightInd w:val="0"/>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18</w:t>
            </w:r>
            <w:r>
              <w:rPr>
                <w:rFonts w:hint="default" w:ascii="Times New Roman" w:hAnsi="Times New Roman" w:eastAsia="仿宋" w:cs="Times New Roman"/>
                <w:b/>
                <w:color w:val="auto"/>
                <w:sz w:val="24"/>
              </w:rPr>
              <w:t xml:space="preserve">  本项目水污染物产生及排放情况表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99"/>
              <w:gridCol w:w="987"/>
              <w:gridCol w:w="1191"/>
              <w:gridCol w:w="2014"/>
              <w:gridCol w:w="1758"/>
              <w:gridCol w:w="1781"/>
              <w:gridCol w:w="1801"/>
              <w:gridCol w:w="1620"/>
            </w:tblGrid>
            <w:tr w14:paraId="4D1C1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restart"/>
                  <w:tcBorders>
                    <w:tl2br w:val="nil"/>
                    <w:tr2bl w:val="nil"/>
                  </w:tcBorders>
                  <w:vAlign w:val="center"/>
                </w:tcPr>
                <w:p w14:paraId="7D0B8F40">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废水名称</w:t>
                  </w:r>
                </w:p>
              </w:tc>
              <w:tc>
                <w:tcPr>
                  <w:tcW w:w="393" w:type="pct"/>
                  <w:vMerge w:val="restart"/>
                  <w:tcBorders>
                    <w:tl2br w:val="nil"/>
                    <w:tr2bl w:val="nil"/>
                  </w:tcBorders>
                  <w:vAlign w:val="center"/>
                </w:tcPr>
                <w:p w14:paraId="46ACA3FC">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废水产生量(t/a)</w:t>
                  </w:r>
                </w:p>
              </w:tc>
              <w:tc>
                <w:tcPr>
                  <w:tcW w:w="474" w:type="pct"/>
                  <w:vMerge w:val="restart"/>
                  <w:tcBorders>
                    <w:tl2br w:val="nil"/>
                    <w:tr2bl w:val="nil"/>
                  </w:tcBorders>
                  <w:vAlign w:val="center"/>
                </w:tcPr>
                <w:p w14:paraId="5FA23F81">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502" w:type="pct"/>
                  <w:gridSpan w:val="2"/>
                  <w:tcBorders>
                    <w:tl2br w:val="nil"/>
                    <w:tr2bl w:val="nil"/>
                  </w:tcBorders>
                  <w:vAlign w:val="center"/>
                </w:tcPr>
                <w:p w14:paraId="40211129">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产生情况</w:t>
                  </w:r>
                </w:p>
              </w:tc>
              <w:tc>
                <w:tcPr>
                  <w:tcW w:w="709" w:type="pct"/>
                  <w:vMerge w:val="restart"/>
                  <w:tcBorders>
                    <w:tl2br w:val="nil"/>
                    <w:tr2bl w:val="nil"/>
                  </w:tcBorders>
                  <w:vAlign w:val="center"/>
                </w:tcPr>
                <w:p w14:paraId="59F43D1F">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治理措施</w:t>
                  </w:r>
                </w:p>
              </w:tc>
              <w:tc>
                <w:tcPr>
                  <w:tcW w:w="717" w:type="pct"/>
                  <w:vMerge w:val="restart"/>
                  <w:tcBorders>
                    <w:tl2br w:val="nil"/>
                    <w:tr2bl w:val="nil"/>
                  </w:tcBorders>
                  <w:vAlign w:val="center"/>
                </w:tcPr>
                <w:p w14:paraId="61B9C63E">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排放情况</w:t>
                  </w:r>
                </w:p>
                <w:p w14:paraId="1F3C1097">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产生浓度，产生量</w:t>
                  </w:r>
                </w:p>
              </w:tc>
              <w:tc>
                <w:tcPr>
                  <w:tcW w:w="645" w:type="pct"/>
                  <w:vMerge w:val="restart"/>
                  <w:tcBorders>
                    <w:tl2br w:val="nil"/>
                    <w:tr2bl w:val="nil"/>
                  </w:tcBorders>
                  <w:vAlign w:val="center"/>
                </w:tcPr>
                <w:p w14:paraId="59ECBC4E">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排放去向</w:t>
                  </w:r>
                </w:p>
              </w:tc>
            </w:tr>
            <w:tr w14:paraId="1616A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continue"/>
                  <w:tcBorders>
                    <w:tl2br w:val="nil"/>
                    <w:tr2bl w:val="nil"/>
                  </w:tcBorders>
                  <w:vAlign w:val="center"/>
                </w:tcPr>
                <w:p w14:paraId="5D53005D">
                  <w:pPr>
                    <w:adjustRightInd w:val="0"/>
                    <w:snapToGrid w:val="0"/>
                    <w:jc w:val="center"/>
                    <w:rPr>
                      <w:rFonts w:hint="default" w:ascii="Times New Roman" w:hAnsi="Times New Roman" w:eastAsia="仿宋" w:cs="Times New Roman"/>
                      <w:b/>
                      <w:bCs/>
                      <w:color w:val="auto"/>
                      <w:szCs w:val="21"/>
                    </w:rPr>
                  </w:pPr>
                </w:p>
              </w:tc>
              <w:tc>
                <w:tcPr>
                  <w:tcW w:w="393" w:type="pct"/>
                  <w:vMerge w:val="continue"/>
                  <w:tcBorders>
                    <w:tl2br w:val="nil"/>
                    <w:tr2bl w:val="nil"/>
                  </w:tcBorders>
                  <w:vAlign w:val="center"/>
                </w:tcPr>
                <w:p w14:paraId="2210E16E">
                  <w:pPr>
                    <w:adjustRightInd w:val="0"/>
                    <w:snapToGrid w:val="0"/>
                    <w:jc w:val="center"/>
                    <w:rPr>
                      <w:rFonts w:hint="default" w:ascii="Times New Roman" w:hAnsi="Times New Roman" w:eastAsia="仿宋" w:cs="Times New Roman"/>
                      <w:b/>
                      <w:bCs/>
                      <w:color w:val="auto"/>
                      <w:szCs w:val="21"/>
                    </w:rPr>
                  </w:pPr>
                </w:p>
              </w:tc>
              <w:tc>
                <w:tcPr>
                  <w:tcW w:w="474" w:type="pct"/>
                  <w:vMerge w:val="continue"/>
                  <w:tcBorders>
                    <w:tl2br w:val="nil"/>
                    <w:tr2bl w:val="nil"/>
                  </w:tcBorders>
                  <w:vAlign w:val="center"/>
                </w:tcPr>
                <w:p w14:paraId="65F341F0">
                  <w:pPr>
                    <w:adjustRightInd w:val="0"/>
                    <w:snapToGrid w:val="0"/>
                    <w:jc w:val="center"/>
                    <w:rPr>
                      <w:rFonts w:hint="default" w:ascii="Times New Roman" w:hAnsi="Times New Roman" w:eastAsia="仿宋" w:cs="Times New Roman"/>
                      <w:b/>
                      <w:bCs/>
                      <w:color w:val="auto"/>
                      <w:szCs w:val="21"/>
                    </w:rPr>
                  </w:pPr>
                </w:p>
              </w:tc>
              <w:tc>
                <w:tcPr>
                  <w:tcW w:w="802" w:type="pct"/>
                  <w:tcBorders>
                    <w:tl2br w:val="nil"/>
                    <w:tr2bl w:val="nil"/>
                  </w:tcBorders>
                  <w:vAlign w:val="center"/>
                </w:tcPr>
                <w:p w14:paraId="07A6E177">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产生浓度(mg/L)</w:t>
                  </w:r>
                </w:p>
              </w:tc>
              <w:tc>
                <w:tcPr>
                  <w:tcW w:w="700" w:type="pct"/>
                  <w:tcBorders>
                    <w:tl2br w:val="nil"/>
                    <w:tr2bl w:val="nil"/>
                  </w:tcBorders>
                  <w:vAlign w:val="center"/>
                </w:tcPr>
                <w:p w14:paraId="5E769905">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产生量(t/a)</w:t>
                  </w:r>
                </w:p>
              </w:tc>
              <w:tc>
                <w:tcPr>
                  <w:tcW w:w="709" w:type="pct"/>
                  <w:vMerge w:val="continue"/>
                  <w:tcBorders>
                    <w:tl2br w:val="nil"/>
                    <w:tr2bl w:val="nil"/>
                  </w:tcBorders>
                  <w:vAlign w:val="center"/>
                </w:tcPr>
                <w:p w14:paraId="5DB29CCF">
                  <w:pPr>
                    <w:adjustRightInd w:val="0"/>
                    <w:snapToGrid w:val="0"/>
                    <w:jc w:val="center"/>
                    <w:rPr>
                      <w:rFonts w:hint="default" w:ascii="Times New Roman" w:hAnsi="Times New Roman" w:eastAsia="仿宋" w:cs="Times New Roman"/>
                      <w:b/>
                      <w:bCs/>
                      <w:color w:val="auto"/>
                      <w:szCs w:val="21"/>
                    </w:rPr>
                  </w:pPr>
                </w:p>
              </w:tc>
              <w:tc>
                <w:tcPr>
                  <w:tcW w:w="717" w:type="pct"/>
                  <w:vMerge w:val="continue"/>
                  <w:tcBorders>
                    <w:tl2br w:val="nil"/>
                    <w:tr2bl w:val="nil"/>
                  </w:tcBorders>
                  <w:vAlign w:val="center"/>
                </w:tcPr>
                <w:p w14:paraId="2EFC090F">
                  <w:pPr>
                    <w:adjustRightInd w:val="0"/>
                    <w:snapToGrid w:val="0"/>
                    <w:jc w:val="center"/>
                    <w:rPr>
                      <w:rFonts w:hint="default" w:ascii="Times New Roman" w:hAnsi="Times New Roman" w:eastAsia="仿宋" w:cs="Times New Roman"/>
                      <w:b/>
                      <w:bCs/>
                      <w:color w:val="auto"/>
                      <w:szCs w:val="21"/>
                    </w:rPr>
                  </w:pPr>
                </w:p>
              </w:tc>
              <w:tc>
                <w:tcPr>
                  <w:tcW w:w="645" w:type="pct"/>
                  <w:vMerge w:val="continue"/>
                  <w:tcBorders>
                    <w:tl2br w:val="nil"/>
                    <w:tr2bl w:val="nil"/>
                  </w:tcBorders>
                  <w:vAlign w:val="center"/>
                </w:tcPr>
                <w:p w14:paraId="6B3BE97E">
                  <w:pPr>
                    <w:adjustRightInd w:val="0"/>
                    <w:snapToGrid w:val="0"/>
                    <w:jc w:val="center"/>
                    <w:rPr>
                      <w:rFonts w:hint="default" w:ascii="Times New Roman" w:hAnsi="Times New Roman" w:eastAsia="仿宋" w:cs="Times New Roman"/>
                      <w:b/>
                      <w:bCs/>
                      <w:color w:val="auto"/>
                      <w:szCs w:val="21"/>
                    </w:rPr>
                  </w:pPr>
                </w:p>
              </w:tc>
            </w:tr>
            <w:tr w14:paraId="2E9CC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restart"/>
                  <w:tcBorders>
                    <w:tl2br w:val="nil"/>
                    <w:tr2bl w:val="nil"/>
                  </w:tcBorders>
                  <w:vAlign w:val="center"/>
                </w:tcPr>
                <w:p w14:paraId="36CFBB47">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纯水制备弃水</w:t>
                  </w:r>
                </w:p>
              </w:tc>
              <w:tc>
                <w:tcPr>
                  <w:tcW w:w="393" w:type="pct"/>
                  <w:vMerge w:val="restart"/>
                  <w:tcBorders>
                    <w:tl2br w:val="nil"/>
                    <w:tr2bl w:val="nil"/>
                  </w:tcBorders>
                  <w:vAlign w:val="center"/>
                </w:tcPr>
                <w:p w14:paraId="73A7351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w:t>
                  </w:r>
                </w:p>
              </w:tc>
              <w:tc>
                <w:tcPr>
                  <w:tcW w:w="474" w:type="pct"/>
                  <w:tcBorders>
                    <w:tl2br w:val="nil"/>
                    <w:tr2bl w:val="nil"/>
                  </w:tcBorders>
                  <w:vAlign w:val="center"/>
                </w:tcPr>
                <w:p w14:paraId="76ED794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502" w:type="pct"/>
                  <w:gridSpan w:val="2"/>
                  <w:tcBorders>
                    <w:tl2br w:val="nil"/>
                    <w:tr2bl w:val="nil"/>
                  </w:tcBorders>
                  <w:vAlign w:val="center"/>
                </w:tcPr>
                <w:p w14:paraId="6F72EAC7">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9.0</w:t>
                  </w:r>
                </w:p>
              </w:tc>
              <w:tc>
                <w:tcPr>
                  <w:tcW w:w="709" w:type="pct"/>
                  <w:vMerge w:val="restart"/>
                  <w:tcBorders>
                    <w:tl2br w:val="nil"/>
                    <w:tr2bl w:val="nil"/>
                  </w:tcBorders>
                  <w:vAlign w:val="center"/>
                </w:tcPr>
                <w:p w14:paraId="0E7EF92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w:t>
                  </w:r>
                </w:p>
              </w:tc>
              <w:tc>
                <w:tcPr>
                  <w:tcW w:w="1362" w:type="pct"/>
                  <w:gridSpan w:val="2"/>
                  <w:vMerge w:val="restart"/>
                  <w:tcBorders>
                    <w:tl2br w:val="nil"/>
                    <w:tr2bl w:val="nil"/>
                  </w:tcBorders>
                  <w:vAlign w:val="center"/>
                </w:tcPr>
                <w:p w14:paraId="5B917E4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全部用于员工冲厕</w:t>
                  </w:r>
                </w:p>
              </w:tc>
            </w:tr>
            <w:tr w14:paraId="16D9C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continue"/>
                  <w:tcBorders>
                    <w:tl2br w:val="nil"/>
                    <w:tr2bl w:val="nil"/>
                  </w:tcBorders>
                  <w:vAlign w:val="center"/>
                </w:tcPr>
                <w:p w14:paraId="047F2755">
                  <w:pPr>
                    <w:adjustRightInd w:val="0"/>
                    <w:snapToGrid w:val="0"/>
                    <w:jc w:val="center"/>
                    <w:rPr>
                      <w:rFonts w:hint="default" w:ascii="Times New Roman" w:hAnsi="Times New Roman" w:eastAsia="仿宋" w:cs="Times New Roman"/>
                      <w:bCs/>
                      <w:color w:val="auto"/>
                      <w:szCs w:val="21"/>
                    </w:rPr>
                  </w:pPr>
                </w:p>
              </w:tc>
              <w:tc>
                <w:tcPr>
                  <w:tcW w:w="393" w:type="pct"/>
                  <w:vMerge w:val="continue"/>
                  <w:tcBorders>
                    <w:tl2br w:val="nil"/>
                    <w:tr2bl w:val="nil"/>
                  </w:tcBorders>
                  <w:vAlign w:val="center"/>
                </w:tcPr>
                <w:p w14:paraId="1FCCA2F8">
                  <w:pPr>
                    <w:adjustRightInd w:val="0"/>
                    <w:snapToGrid w:val="0"/>
                    <w:jc w:val="center"/>
                    <w:rPr>
                      <w:rFonts w:hint="default" w:ascii="Times New Roman" w:hAnsi="Times New Roman" w:eastAsia="仿宋" w:cs="Times New Roman"/>
                      <w:bCs/>
                      <w:color w:val="auto"/>
                      <w:szCs w:val="21"/>
                    </w:rPr>
                  </w:pPr>
                </w:p>
              </w:tc>
              <w:tc>
                <w:tcPr>
                  <w:tcW w:w="474" w:type="pct"/>
                  <w:tcBorders>
                    <w:tl2br w:val="nil"/>
                    <w:tr2bl w:val="nil"/>
                  </w:tcBorders>
                  <w:vAlign w:val="center"/>
                </w:tcPr>
                <w:p w14:paraId="405FB0D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802" w:type="pct"/>
                  <w:tcBorders>
                    <w:tl2br w:val="nil"/>
                    <w:tr2bl w:val="nil"/>
                  </w:tcBorders>
                  <w:vAlign w:val="center"/>
                </w:tcPr>
                <w:p w14:paraId="63B18C9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1758" w:type="dxa"/>
                  <w:tcBorders>
                    <w:tl2br w:val="nil"/>
                    <w:tr2bl w:val="nil"/>
                  </w:tcBorders>
                  <w:vAlign w:val="center"/>
                </w:tcPr>
                <w:p w14:paraId="0FF1526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c>
                <w:tcPr>
                  <w:tcW w:w="709" w:type="pct"/>
                  <w:vMerge w:val="continue"/>
                  <w:tcBorders>
                    <w:tl2br w:val="nil"/>
                    <w:tr2bl w:val="nil"/>
                  </w:tcBorders>
                  <w:vAlign w:val="center"/>
                </w:tcPr>
                <w:p w14:paraId="6584D4C2">
                  <w:pPr>
                    <w:jc w:val="center"/>
                    <w:rPr>
                      <w:rFonts w:hint="default" w:ascii="Times New Roman" w:hAnsi="Times New Roman" w:eastAsia="仿宋" w:cs="Times New Roman"/>
                      <w:color w:val="auto"/>
                      <w:szCs w:val="21"/>
                      <w:lang w:val="en-US" w:eastAsia="zh-CN"/>
                    </w:rPr>
                  </w:pPr>
                </w:p>
              </w:tc>
              <w:tc>
                <w:tcPr>
                  <w:tcW w:w="1362" w:type="pct"/>
                  <w:gridSpan w:val="2"/>
                  <w:vMerge w:val="continue"/>
                  <w:tcBorders>
                    <w:tl2br w:val="nil"/>
                    <w:tr2bl w:val="nil"/>
                  </w:tcBorders>
                  <w:vAlign w:val="center"/>
                </w:tcPr>
                <w:p w14:paraId="04C0B9D1">
                  <w:pPr>
                    <w:jc w:val="center"/>
                    <w:rPr>
                      <w:rFonts w:hint="default" w:ascii="Times New Roman" w:hAnsi="Times New Roman" w:eastAsia="仿宋" w:cs="Times New Roman"/>
                      <w:color w:val="auto"/>
                      <w:szCs w:val="21"/>
                      <w:lang w:val="en-US" w:eastAsia="zh-CN"/>
                    </w:rPr>
                  </w:pPr>
                </w:p>
              </w:tc>
            </w:tr>
            <w:tr w14:paraId="00FC3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7" w:type="pct"/>
                  <w:vMerge w:val="continue"/>
                  <w:tcBorders>
                    <w:tl2br w:val="nil"/>
                    <w:tr2bl w:val="nil"/>
                  </w:tcBorders>
                  <w:vAlign w:val="center"/>
                </w:tcPr>
                <w:p w14:paraId="13780BFE">
                  <w:pPr>
                    <w:adjustRightInd w:val="0"/>
                    <w:snapToGrid w:val="0"/>
                    <w:jc w:val="center"/>
                    <w:rPr>
                      <w:rFonts w:hint="default" w:ascii="Times New Roman" w:hAnsi="Times New Roman" w:eastAsia="仿宋" w:cs="Times New Roman"/>
                      <w:bCs/>
                      <w:color w:val="auto"/>
                      <w:szCs w:val="21"/>
                    </w:rPr>
                  </w:pPr>
                </w:p>
              </w:tc>
              <w:tc>
                <w:tcPr>
                  <w:tcW w:w="393" w:type="pct"/>
                  <w:vMerge w:val="continue"/>
                  <w:tcBorders>
                    <w:tl2br w:val="nil"/>
                    <w:tr2bl w:val="nil"/>
                  </w:tcBorders>
                  <w:vAlign w:val="center"/>
                </w:tcPr>
                <w:p w14:paraId="6921A8A8">
                  <w:pPr>
                    <w:adjustRightInd w:val="0"/>
                    <w:snapToGrid w:val="0"/>
                    <w:jc w:val="center"/>
                    <w:rPr>
                      <w:rFonts w:hint="default" w:ascii="Times New Roman" w:hAnsi="Times New Roman" w:eastAsia="仿宋" w:cs="Times New Roman"/>
                      <w:bCs/>
                      <w:color w:val="auto"/>
                      <w:szCs w:val="21"/>
                    </w:rPr>
                  </w:pPr>
                </w:p>
              </w:tc>
              <w:tc>
                <w:tcPr>
                  <w:tcW w:w="474" w:type="pct"/>
                  <w:tcBorders>
                    <w:tl2br w:val="nil"/>
                    <w:tr2bl w:val="nil"/>
                  </w:tcBorders>
                  <w:vAlign w:val="center"/>
                </w:tcPr>
                <w:p w14:paraId="4E26155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802" w:type="pct"/>
                  <w:tcBorders>
                    <w:tl2br w:val="nil"/>
                    <w:tr2bl w:val="nil"/>
                  </w:tcBorders>
                  <w:vAlign w:val="center"/>
                </w:tcPr>
                <w:p w14:paraId="3DB2564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1758" w:type="dxa"/>
                  <w:tcBorders>
                    <w:tl2br w:val="nil"/>
                    <w:tr2bl w:val="nil"/>
                  </w:tcBorders>
                  <w:vAlign w:val="center"/>
                </w:tcPr>
                <w:p w14:paraId="71DADB2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c>
                <w:tcPr>
                  <w:tcW w:w="709" w:type="pct"/>
                  <w:vMerge w:val="continue"/>
                  <w:tcBorders>
                    <w:tl2br w:val="nil"/>
                    <w:tr2bl w:val="nil"/>
                  </w:tcBorders>
                  <w:vAlign w:val="center"/>
                </w:tcPr>
                <w:p w14:paraId="71870E7B">
                  <w:pPr>
                    <w:jc w:val="center"/>
                    <w:rPr>
                      <w:rFonts w:hint="default" w:ascii="Times New Roman" w:hAnsi="Times New Roman" w:eastAsia="仿宋" w:cs="Times New Roman"/>
                      <w:color w:val="auto"/>
                      <w:szCs w:val="21"/>
                      <w:lang w:val="en-US" w:eastAsia="zh-CN"/>
                    </w:rPr>
                  </w:pPr>
                </w:p>
              </w:tc>
              <w:tc>
                <w:tcPr>
                  <w:tcW w:w="1362" w:type="pct"/>
                  <w:gridSpan w:val="2"/>
                  <w:vMerge w:val="continue"/>
                  <w:tcBorders>
                    <w:tl2br w:val="nil"/>
                    <w:tr2bl w:val="nil"/>
                  </w:tcBorders>
                  <w:vAlign w:val="center"/>
                </w:tcPr>
                <w:p w14:paraId="549C0B0A">
                  <w:pPr>
                    <w:jc w:val="center"/>
                    <w:rPr>
                      <w:rFonts w:hint="default" w:ascii="Times New Roman" w:hAnsi="Times New Roman" w:eastAsia="仿宋" w:cs="Times New Roman"/>
                      <w:color w:val="auto"/>
                      <w:szCs w:val="21"/>
                      <w:lang w:val="en-US" w:eastAsia="zh-CN"/>
                    </w:rPr>
                  </w:pPr>
                </w:p>
              </w:tc>
            </w:tr>
          </w:tbl>
          <w:p w14:paraId="2DDBCCC2">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19</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val="en-US" w:eastAsia="zh-CN"/>
              </w:rPr>
              <w:t>全厂</w:t>
            </w:r>
            <w:r>
              <w:rPr>
                <w:rFonts w:hint="default" w:ascii="Times New Roman" w:hAnsi="Times New Roman" w:eastAsia="仿宋" w:cs="Times New Roman"/>
                <w:b/>
                <w:color w:val="auto"/>
                <w:sz w:val="24"/>
              </w:rPr>
              <w:t>水污染物产生及排放情况表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78"/>
              <w:gridCol w:w="834"/>
              <w:gridCol w:w="1535"/>
              <w:gridCol w:w="1625"/>
              <w:gridCol w:w="1020"/>
              <w:gridCol w:w="1977"/>
              <w:gridCol w:w="834"/>
              <w:gridCol w:w="2183"/>
              <w:gridCol w:w="1370"/>
            </w:tblGrid>
            <w:tr w14:paraId="2E4DA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vAlign w:val="center"/>
                </w:tcPr>
                <w:p w14:paraId="68099881">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废水名称</w:t>
                  </w:r>
                </w:p>
              </w:tc>
              <w:tc>
                <w:tcPr>
                  <w:tcW w:w="332" w:type="pct"/>
                  <w:vMerge w:val="restart"/>
                  <w:tcBorders>
                    <w:tl2br w:val="nil"/>
                    <w:tr2bl w:val="nil"/>
                  </w:tcBorders>
                  <w:vAlign w:val="center"/>
                </w:tcPr>
                <w:p w14:paraId="3DAF61AB">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废水产生量(t/a)</w:t>
                  </w:r>
                </w:p>
              </w:tc>
              <w:tc>
                <w:tcPr>
                  <w:tcW w:w="611" w:type="pct"/>
                  <w:vMerge w:val="restart"/>
                  <w:tcBorders>
                    <w:tl2br w:val="nil"/>
                    <w:tr2bl w:val="nil"/>
                  </w:tcBorders>
                  <w:vAlign w:val="center"/>
                </w:tcPr>
                <w:p w14:paraId="7974FAEA">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053" w:type="pct"/>
                  <w:gridSpan w:val="2"/>
                  <w:tcBorders>
                    <w:tl2br w:val="nil"/>
                    <w:tr2bl w:val="nil"/>
                  </w:tcBorders>
                  <w:vAlign w:val="center"/>
                </w:tcPr>
                <w:p w14:paraId="473C917D">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产生情况</w:t>
                  </w:r>
                </w:p>
              </w:tc>
              <w:tc>
                <w:tcPr>
                  <w:tcW w:w="787" w:type="pct"/>
                  <w:vMerge w:val="restart"/>
                  <w:tcBorders>
                    <w:tl2br w:val="nil"/>
                    <w:tr2bl w:val="nil"/>
                  </w:tcBorders>
                  <w:vAlign w:val="center"/>
                </w:tcPr>
                <w:p w14:paraId="7A018AE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混合水质</w:t>
                  </w:r>
                </w:p>
                <w:p w14:paraId="644E61CB">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产生浓度，产生量</w:t>
                  </w:r>
                </w:p>
              </w:tc>
              <w:tc>
                <w:tcPr>
                  <w:tcW w:w="332" w:type="pct"/>
                  <w:vMerge w:val="restart"/>
                  <w:tcBorders>
                    <w:tl2br w:val="nil"/>
                    <w:tr2bl w:val="nil"/>
                  </w:tcBorders>
                  <w:vAlign w:val="center"/>
                </w:tcPr>
                <w:p w14:paraId="6C8A9D2D">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治理</w:t>
                  </w:r>
                </w:p>
                <w:p w14:paraId="6DF51A49">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措施</w:t>
                  </w:r>
                </w:p>
              </w:tc>
              <w:tc>
                <w:tcPr>
                  <w:tcW w:w="869" w:type="pct"/>
                  <w:vMerge w:val="restart"/>
                  <w:tcBorders>
                    <w:tl2br w:val="nil"/>
                    <w:tr2bl w:val="nil"/>
                  </w:tcBorders>
                  <w:vAlign w:val="center"/>
                </w:tcPr>
                <w:p w14:paraId="21F04BD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排放情况</w:t>
                  </w:r>
                </w:p>
                <w:p w14:paraId="0AB1C46E">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产生浓度，产生量</w:t>
                  </w:r>
                </w:p>
              </w:tc>
              <w:tc>
                <w:tcPr>
                  <w:tcW w:w="545" w:type="pct"/>
                  <w:vMerge w:val="restart"/>
                  <w:tcBorders>
                    <w:tl2br w:val="nil"/>
                    <w:tr2bl w:val="nil"/>
                  </w:tcBorders>
                  <w:vAlign w:val="center"/>
                </w:tcPr>
                <w:p w14:paraId="6FA65B79">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排放去向</w:t>
                  </w:r>
                </w:p>
              </w:tc>
            </w:tr>
            <w:tr w14:paraId="79139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3FF3E0B6">
                  <w:pPr>
                    <w:adjustRightInd w:val="0"/>
                    <w:snapToGrid w:val="0"/>
                    <w:jc w:val="center"/>
                    <w:rPr>
                      <w:rFonts w:hint="default" w:ascii="Times New Roman" w:hAnsi="Times New Roman" w:eastAsia="仿宋" w:cs="Times New Roman"/>
                      <w:b/>
                      <w:bCs/>
                      <w:color w:val="auto"/>
                      <w:szCs w:val="21"/>
                    </w:rPr>
                  </w:pPr>
                </w:p>
              </w:tc>
              <w:tc>
                <w:tcPr>
                  <w:tcW w:w="332" w:type="pct"/>
                  <w:vMerge w:val="continue"/>
                  <w:tcBorders>
                    <w:tl2br w:val="nil"/>
                    <w:tr2bl w:val="nil"/>
                  </w:tcBorders>
                  <w:vAlign w:val="center"/>
                </w:tcPr>
                <w:p w14:paraId="6AB974A0">
                  <w:pPr>
                    <w:adjustRightInd w:val="0"/>
                    <w:snapToGrid w:val="0"/>
                    <w:jc w:val="center"/>
                    <w:rPr>
                      <w:rFonts w:hint="default" w:ascii="Times New Roman" w:hAnsi="Times New Roman" w:eastAsia="仿宋" w:cs="Times New Roman"/>
                      <w:b/>
                      <w:bCs/>
                      <w:color w:val="auto"/>
                      <w:szCs w:val="21"/>
                    </w:rPr>
                  </w:pPr>
                </w:p>
              </w:tc>
              <w:tc>
                <w:tcPr>
                  <w:tcW w:w="611" w:type="pct"/>
                  <w:vMerge w:val="continue"/>
                  <w:tcBorders>
                    <w:tl2br w:val="nil"/>
                    <w:tr2bl w:val="nil"/>
                  </w:tcBorders>
                  <w:vAlign w:val="center"/>
                </w:tcPr>
                <w:p w14:paraId="3E0CC395">
                  <w:pPr>
                    <w:adjustRightInd w:val="0"/>
                    <w:snapToGrid w:val="0"/>
                    <w:jc w:val="center"/>
                    <w:rPr>
                      <w:rFonts w:hint="default" w:ascii="Times New Roman" w:hAnsi="Times New Roman" w:eastAsia="仿宋" w:cs="Times New Roman"/>
                      <w:b/>
                      <w:bCs/>
                      <w:color w:val="auto"/>
                      <w:szCs w:val="21"/>
                    </w:rPr>
                  </w:pPr>
                </w:p>
              </w:tc>
              <w:tc>
                <w:tcPr>
                  <w:tcW w:w="647" w:type="pct"/>
                  <w:tcBorders>
                    <w:tl2br w:val="nil"/>
                    <w:tr2bl w:val="nil"/>
                  </w:tcBorders>
                  <w:vAlign w:val="center"/>
                </w:tcPr>
                <w:p w14:paraId="68D10366">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产生浓度(mg/L)</w:t>
                  </w:r>
                </w:p>
              </w:tc>
              <w:tc>
                <w:tcPr>
                  <w:tcW w:w="406" w:type="pct"/>
                  <w:tcBorders>
                    <w:tl2br w:val="nil"/>
                    <w:tr2bl w:val="nil"/>
                  </w:tcBorders>
                  <w:vAlign w:val="center"/>
                </w:tcPr>
                <w:p w14:paraId="58E3ADF8">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产生量(t/a)</w:t>
                  </w:r>
                </w:p>
              </w:tc>
              <w:tc>
                <w:tcPr>
                  <w:tcW w:w="787" w:type="pct"/>
                  <w:vMerge w:val="continue"/>
                  <w:tcBorders>
                    <w:tl2br w:val="nil"/>
                    <w:tr2bl w:val="nil"/>
                  </w:tcBorders>
                  <w:vAlign w:val="center"/>
                </w:tcPr>
                <w:p w14:paraId="18716B4B">
                  <w:pPr>
                    <w:adjustRightInd w:val="0"/>
                    <w:snapToGrid w:val="0"/>
                    <w:jc w:val="center"/>
                    <w:rPr>
                      <w:rFonts w:hint="default" w:ascii="Times New Roman" w:hAnsi="Times New Roman" w:eastAsia="仿宋" w:cs="Times New Roman"/>
                      <w:b/>
                      <w:bCs/>
                      <w:color w:val="auto"/>
                      <w:szCs w:val="21"/>
                    </w:rPr>
                  </w:pPr>
                </w:p>
              </w:tc>
              <w:tc>
                <w:tcPr>
                  <w:tcW w:w="332" w:type="pct"/>
                  <w:vMerge w:val="continue"/>
                  <w:tcBorders>
                    <w:tl2br w:val="nil"/>
                    <w:tr2bl w:val="nil"/>
                  </w:tcBorders>
                  <w:vAlign w:val="center"/>
                </w:tcPr>
                <w:p w14:paraId="0C1121D3">
                  <w:pPr>
                    <w:adjustRightInd w:val="0"/>
                    <w:snapToGrid w:val="0"/>
                    <w:jc w:val="center"/>
                    <w:rPr>
                      <w:rFonts w:hint="default" w:ascii="Times New Roman" w:hAnsi="Times New Roman" w:eastAsia="仿宋" w:cs="Times New Roman"/>
                      <w:b/>
                      <w:bCs/>
                      <w:color w:val="auto"/>
                      <w:szCs w:val="21"/>
                    </w:rPr>
                  </w:pPr>
                </w:p>
              </w:tc>
              <w:tc>
                <w:tcPr>
                  <w:tcW w:w="869" w:type="pct"/>
                  <w:vMerge w:val="continue"/>
                  <w:tcBorders>
                    <w:tl2br w:val="nil"/>
                    <w:tr2bl w:val="nil"/>
                  </w:tcBorders>
                  <w:vAlign w:val="center"/>
                </w:tcPr>
                <w:p w14:paraId="676C6B51">
                  <w:pPr>
                    <w:adjustRightInd w:val="0"/>
                    <w:snapToGrid w:val="0"/>
                    <w:jc w:val="center"/>
                    <w:rPr>
                      <w:rFonts w:hint="default" w:ascii="Times New Roman" w:hAnsi="Times New Roman" w:eastAsia="仿宋" w:cs="Times New Roman"/>
                      <w:b/>
                      <w:bCs/>
                      <w:color w:val="auto"/>
                      <w:szCs w:val="21"/>
                    </w:rPr>
                  </w:pPr>
                </w:p>
              </w:tc>
              <w:tc>
                <w:tcPr>
                  <w:tcW w:w="545" w:type="pct"/>
                  <w:vMerge w:val="continue"/>
                  <w:tcBorders>
                    <w:tl2br w:val="nil"/>
                    <w:tr2bl w:val="nil"/>
                  </w:tcBorders>
                  <w:vAlign w:val="center"/>
                </w:tcPr>
                <w:p w14:paraId="7B0B39D7">
                  <w:pPr>
                    <w:adjustRightInd w:val="0"/>
                    <w:snapToGrid w:val="0"/>
                    <w:jc w:val="center"/>
                    <w:rPr>
                      <w:rFonts w:hint="default" w:ascii="Times New Roman" w:hAnsi="Times New Roman" w:eastAsia="仿宋" w:cs="Times New Roman"/>
                      <w:b/>
                      <w:bCs/>
                      <w:color w:val="auto"/>
                      <w:szCs w:val="21"/>
                    </w:rPr>
                  </w:pPr>
                </w:p>
              </w:tc>
            </w:tr>
            <w:tr w14:paraId="0C5E8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9" w:type="pct"/>
                  <w:vMerge w:val="restart"/>
                  <w:tcBorders>
                    <w:tl2br w:val="nil"/>
                    <w:tr2bl w:val="nil"/>
                  </w:tcBorders>
                  <w:vAlign w:val="center"/>
                </w:tcPr>
                <w:p w14:paraId="7D8C2516">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生活污水</w:t>
                  </w:r>
                </w:p>
              </w:tc>
              <w:tc>
                <w:tcPr>
                  <w:tcW w:w="332" w:type="pct"/>
                  <w:vMerge w:val="restart"/>
                  <w:tcBorders>
                    <w:tl2br w:val="nil"/>
                    <w:tr2bl w:val="nil"/>
                  </w:tcBorders>
                  <w:vAlign w:val="center"/>
                </w:tcPr>
                <w:p w14:paraId="733780D6">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1800</w:t>
                  </w:r>
                </w:p>
              </w:tc>
              <w:tc>
                <w:tcPr>
                  <w:tcW w:w="611" w:type="pct"/>
                  <w:tcBorders>
                    <w:tl2br w:val="nil"/>
                    <w:tr2bl w:val="nil"/>
                  </w:tcBorders>
                  <w:vAlign w:val="center"/>
                </w:tcPr>
                <w:p w14:paraId="78BCAC8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6855711B">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7.0-9.0</w:t>
                  </w:r>
                </w:p>
              </w:tc>
              <w:tc>
                <w:tcPr>
                  <w:tcW w:w="787" w:type="pct"/>
                  <w:vMerge w:val="restart"/>
                  <w:tcBorders>
                    <w:tl2br w:val="nil"/>
                    <w:tr2bl w:val="nil"/>
                  </w:tcBorders>
                  <w:vAlign w:val="center"/>
                </w:tcPr>
                <w:p w14:paraId="29A9C1E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332" w:type="pct"/>
                  <w:vMerge w:val="restart"/>
                  <w:tcBorders>
                    <w:tl2br w:val="nil"/>
                    <w:tr2bl w:val="nil"/>
                  </w:tcBorders>
                  <w:vAlign w:val="center"/>
                </w:tcPr>
                <w:p w14:paraId="4F11478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w:t>
                  </w:r>
                </w:p>
              </w:tc>
              <w:tc>
                <w:tcPr>
                  <w:tcW w:w="869" w:type="pct"/>
                  <w:vMerge w:val="restart"/>
                  <w:tcBorders>
                    <w:tl2br w:val="nil"/>
                    <w:tr2bl w:val="nil"/>
                  </w:tcBorders>
                  <w:vAlign w:val="center"/>
                </w:tcPr>
                <w:p w14:paraId="79027BF8">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水量：2263t/a；</w:t>
                  </w:r>
                </w:p>
                <w:p w14:paraId="0A88A73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COD：379.5mg/L，0.859t/a、</w:t>
                  </w:r>
                </w:p>
                <w:p w14:paraId="2DAD658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SS：165mg/L，0.374t/a、</w:t>
                  </w:r>
                </w:p>
                <w:p w14:paraId="68F42C7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氨氮：20.1mg/L，0.045t/a、</w:t>
                  </w:r>
                </w:p>
                <w:p w14:paraId="10CB88A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TP：2.42mg/L，0.0055t/a、</w:t>
                  </w:r>
                </w:p>
                <w:p w14:paraId="0ED63D71">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TN：32.1mg/L，0.073t/a、</w:t>
                  </w:r>
                </w:p>
                <w:p w14:paraId="6346FD69">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LAS：0.072mg/L，0.0002t/a、</w:t>
                  </w:r>
                </w:p>
                <w:p w14:paraId="1AB93609">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石油类：0.139mg/L，0.0003t/a</w:t>
                  </w:r>
                </w:p>
              </w:tc>
              <w:tc>
                <w:tcPr>
                  <w:tcW w:w="545" w:type="pct"/>
                  <w:vMerge w:val="restart"/>
                  <w:tcBorders>
                    <w:tl2br w:val="nil"/>
                    <w:tr2bl w:val="nil"/>
                  </w:tcBorders>
                  <w:vAlign w:val="center"/>
                </w:tcPr>
                <w:p w14:paraId="629FE16B">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制纯水弃水、预清洗废水、研磨废水定期进入厂内综合污水处理站处理，经该污水站“物化”单元处理后约</w:t>
                  </w:r>
                  <w:r>
                    <w:rPr>
                      <w:rFonts w:hint="default" w:ascii="Times New Roman" w:hAnsi="Times New Roman" w:eastAsia="仿宋" w:cs="Times New Roman"/>
                      <w:bCs/>
                      <w:color w:val="auto"/>
                      <w:szCs w:val="21"/>
                      <w:lang w:val="en-US" w:eastAsia="zh-CN"/>
                    </w:rPr>
                    <w:t>463t/a</w:t>
                  </w:r>
                  <w:r>
                    <w:rPr>
                      <w:rFonts w:hint="default" w:ascii="Times New Roman" w:hAnsi="Times New Roman" w:eastAsia="仿宋" w:cs="Times New Roman"/>
                      <w:bCs/>
                      <w:color w:val="auto"/>
                      <w:szCs w:val="21"/>
                    </w:rPr>
                    <w:t>废水与</w:t>
                  </w:r>
                  <w:r>
                    <w:rPr>
                      <w:rFonts w:hint="default" w:ascii="Times New Roman" w:hAnsi="Times New Roman" w:eastAsia="仿宋" w:cs="Times New Roman"/>
                      <w:bCs/>
                      <w:color w:val="auto"/>
                      <w:szCs w:val="21"/>
                      <w:lang w:eastAsia="zh-CN"/>
                    </w:rPr>
                    <w:t>生活污水</w:t>
                  </w:r>
                  <w:r>
                    <w:rPr>
                      <w:rFonts w:hint="default" w:ascii="Times New Roman" w:hAnsi="Times New Roman" w:eastAsia="仿宋" w:cs="Times New Roman"/>
                      <w:bCs/>
                      <w:color w:val="auto"/>
                      <w:szCs w:val="21"/>
                      <w:lang w:val="en-US" w:eastAsia="zh-CN"/>
                    </w:rPr>
                    <w:t>1800t/a</w:t>
                  </w:r>
                  <w:r>
                    <w:rPr>
                      <w:rFonts w:hint="default" w:ascii="Times New Roman" w:hAnsi="Times New Roman" w:eastAsia="仿宋" w:cs="Times New Roman"/>
                      <w:bCs/>
                      <w:color w:val="auto"/>
                      <w:szCs w:val="21"/>
                    </w:rPr>
                    <w:t>一并接管进常州金坛区第二污水处理有限公司集中处理，剩余废水继续经过该污水站“RO+MVR蒸发”单元处理，处理后约</w:t>
                  </w:r>
                  <w:r>
                    <w:rPr>
                      <w:rFonts w:hint="default" w:ascii="Times New Roman" w:hAnsi="Times New Roman" w:eastAsia="仿宋" w:cs="Times New Roman"/>
                      <w:bCs/>
                      <w:color w:val="auto"/>
                      <w:szCs w:val="21"/>
                      <w:lang w:val="en-US" w:eastAsia="zh-CN"/>
                    </w:rPr>
                    <w:t>70</w:t>
                  </w:r>
                  <w:r>
                    <w:rPr>
                      <w:rFonts w:hint="default" w:ascii="Times New Roman" w:hAnsi="Times New Roman" w:eastAsia="仿宋" w:cs="Times New Roman"/>
                      <w:bCs/>
                      <w:color w:val="auto"/>
                      <w:szCs w:val="21"/>
                    </w:rPr>
                    <w:t>%尾水回用于纯水</w:t>
                  </w:r>
                  <w:r>
                    <w:rPr>
                      <w:rFonts w:hint="default" w:ascii="Times New Roman" w:hAnsi="Times New Roman" w:eastAsia="仿宋" w:cs="Times New Roman"/>
                      <w:color w:val="auto"/>
                      <w:sz w:val="21"/>
                      <w:szCs w:val="21"/>
                      <w:lang w:val="en-US" w:eastAsia="zh-CN"/>
                    </w:rPr>
                    <w:t>制备机</w:t>
                  </w:r>
                  <w:r>
                    <w:rPr>
                      <w:rFonts w:hint="default" w:ascii="Times New Roman" w:hAnsi="Times New Roman" w:eastAsia="仿宋" w:cs="Times New Roman"/>
                      <w:bCs/>
                      <w:color w:val="auto"/>
                      <w:szCs w:val="21"/>
                    </w:rPr>
                    <w:t>，剩余约3</w:t>
                  </w:r>
                  <w:r>
                    <w:rPr>
                      <w:rFonts w:hint="default" w:ascii="Times New Roman" w:hAnsi="Times New Roman" w:eastAsia="仿宋" w:cs="Times New Roman"/>
                      <w:bCs/>
                      <w:color w:val="auto"/>
                      <w:szCs w:val="21"/>
                      <w:lang w:val="en-US" w:eastAsia="zh-CN"/>
                    </w:rPr>
                    <w:t>0</w:t>
                  </w:r>
                  <w:r>
                    <w:rPr>
                      <w:rFonts w:hint="default" w:ascii="Times New Roman" w:hAnsi="Times New Roman" w:eastAsia="仿宋" w:cs="Times New Roman"/>
                      <w:bCs/>
                      <w:color w:val="auto"/>
                      <w:szCs w:val="21"/>
                    </w:rPr>
                    <w:t>%尾水回用于冷却塔。</w:t>
                  </w:r>
                </w:p>
              </w:tc>
            </w:tr>
            <w:tr w14:paraId="1A916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73FF6C0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768390EE">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097402E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COD</w:t>
                  </w:r>
                </w:p>
              </w:tc>
              <w:tc>
                <w:tcPr>
                  <w:tcW w:w="647" w:type="pct"/>
                  <w:tcBorders>
                    <w:tl2br w:val="nil"/>
                    <w:tr2bl w:val="nil"/>
                  </w:tcBorders>
                  <w:vAlign w:val="center"/>
                </w:tcPr>
                <w:p w14:paraId="11F4951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w:t>
                  </w:r>
                </w:p>
              </w:tc>
              <w:tc>
                <w:tcPr>
                  <w:tcW w:w="406" w:type="pct"/>
                  <w:tcBorders>
                    <w:tl2br w:val="nil"/>
                    <w:tr2bl w:val="nil"/>
                  </w:tcBorders>
                  <w:vAlign w:val="center"/>
                </w:tcPr>
                <w:p w14:paraId="7C7DEA4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0.72</w:t>
                  </w:r>
                </w:p>
              </w:tc>
              <w:tc>
                <w:tcPr>
                  <w:tcW w:w="787" w:type="pct"/>
                  <w:vMerge w:val="continue"/>
                  <w:tcBorders>
                    <w:tl2br w:val="nil"/>
                    <w:tr2bl w:val="nil"/>
                  </w:tcBorders>
                  <w:vAlign w:val="center"/>
                </w:tcPr>
                <w:p w14:paraId="71B5F66A">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0D9150D">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5C7F9D98">
                  <w:pPr>
                    <w:jc w:val="center"/>
                    <w:rPr>
                      <w:rFonts w:hint="default" w:ascii="Times New Roman" w:hAnsi="Times New Roman" w:eastAsia="仿宋" w:cs="Times New Roman"/>
                      <w:bCs/>
                      <w:color w:val="auto"/>
                      <w:szCs w:val="21"/>
                    </w:rPr>
                  </w:pPr>
                </w:p>
              </w:tc>
              <w:tc>
                <w:tcPr>
                  <w:tcW w:w="545" w:type="pct"/>
                  <w:vMerge w:val="continue"/>
                  <w:tcBorders>
                    <w:tl2br w:val="nil"/>
                    <w:tr2bl w:val="nil"/>
                  </w:tcBorders>
                  <w:vAlign w:val="center"/>
                </w:tcPr>
                <w:p w14:paraId="2E93A396">
                  <w:pPr>
                    <w:adjustRightInd w:val="0"/>
                    <w:snapToGrid w:val="0"/>
                    <w:jc w:val="center"/>
                    <w:rPr>
                      <w:rFonts w:hint="default" w:ascii="Times New Roman" w:hAnsi="Times New Roman" w:eastAsia="仿宋" w:cs="Times New Roman"/>
                      <w:bCs/>
                      <w:color w:val="auto"/>
                      <w:szCs w:val="21"/>
                    </w:rPr>
                  </w:pPr>
                </w:p>
              </w:tc>
            </w:tr>
            <w:tr w14:paraId="7B646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8D5A6CC">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4B664A2">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6354CEA9">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SS</w:t>
                  </w:r>
                </w:p>
              </w:tc>
              <w:tc>
                <w:tcPr>
                  <w:tcW w:w="647" w:type="pct"/>
                  <w:tcBorders>
                    <w:tl2br w:val="nil"/>
                    <w:tr2bl w:val="nil"/>
                  </w:tcBorders>
                  <w:vAlign w:val="center"/>
                </w:tcPr>
                <w:p w14:paraId="7471412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200</w:t>
                  </w:r>
                </w:p>
              </w:tc>
              <w:tc>
                <w:tcPr>
                  <w:tcW w:w="406" w:type="pct"/>
                  <w:tcBorders>
                    <w:tl2br w:val="nil"/>
                    <w:tr2bl w:val="nil"/>
                  </w:tcBorders>
                  <w:vAlign w:val="center"/>
                </w:tcPr>
                <w:p w14:paraId="7E18A35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0.36</w:t>
                  </w:r>
                </w:p>
              </w:tc>
              <w:tc>
                <w:tcPr>
                  <w:tcW w:w="787" w:type="pct"/>
                  <w:vMerge w:val="continue"/>
                  <w:tcBorders>
                    <w:tl2br w:val="nil"/>
                    <w:tr2bl w:val="nil"/>
                  </w:tcBorders>
                  <w:vAlign w:val="center"/>
                </w:tcPr>
                <w:p w14:paraId="7E18F398">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FA7E33C">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26CDD803">
                  <w:pPr>
                    <w:jc w:val="center"/>
                    <w:rPr>
                      <w:rFonts w:hint="default" w:ascii="Times New Roman" w:hAnsi="Times New Roman" w:eastAsia="仿宋" w:cs="Times New Roman"/>
                      <w:bCs/>
                      <w:color w:val="auto"/>
                      <w:szCs w:val="21"/>
                    </w:rPr>
                  </w:pPr>
                </w:p>
              </w:tc>
              <w:tc>
                <w:tcPr>
                  <w:tcW w:w="545" w:type="pct"/>
                  <w:vMerge w:val="continue"/>
                  <w:tcBorders>
                    <w:tl2br w:val="nil"/>
                    <w:tr2bl w:val="nil"/>
                  </w:tcBorders>
                  <w:vAlign w:val="center"/>
                </w:tcPr>
                <w:p w14:paraId="003D3254">
                  <w:pPr>
                    <w:adjustRightInd w:val="0"/>
                    <w:snapToGrid w:val="0"/>
                    <w:jc w:val="center"/>
                    <w:rPr>
                      <w:rFonts w:hint="default" w:ascii="Times New Roman" w:hAnsi="Times New Roman" w:eastAsia="仿宋" w:cs="Times New Roman"/>
                      <w:bCs/>
                      <w:color w:val="auto"/>
                      <w:szCs w:val="21"/>
                    </w:rPr>
                  </w:pPr>
                </w:p>
              </w:tc>
            </w:tr>
            <w:tr w14:paraId="1B9E8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73C8533C">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6B1CBFC">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7CF8C4B6">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氨氮</w:t>
                  </w:r>
                </w:p>
              </w:tc>
              <w:tc>
                <w:tcPr>
                  <w:tcW w:w="647" w:type="pct"/>
                  <w:tcBorders>
                    <w:tl2br w:val="nil"/>
                    <w:tr2bl w:val="nil"/>
                  </w:tcBorders>
                  <w:vAlign w:val="center"/>
                </w:tcPr>
                <w:p w14:paraId="4CAE1F1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25</w:t>
                  </w:r>
                </w:p>
              </w:tc>
              <w:tc>
                <w:tcPr>
                  <w:tcW w:w="406" w:type="pct"/>
                  <w:tcBorders>
                    <w:tl2br w:val="nil"/>
                    <w:tr2bl w:val="nil"/>
                  </w:tcBorders>
                  <w:vAlign w:val="center"/>
                </w:tcPr>
                <w:p w14:paraId="40D1209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0.045</w:t>
                  </w:r>
                </w:p>
              </w:tc>
              <w:tc>
                <w:tcPr>
                  <w:tcW w:w="787" w:type="pct"/>
                  <w:vMerge w:val="continue"/>
                  <w:tcBorders>
                    <w:tl2br w:val="nil"/>
                    <w:tr2bl w:val="nil"/>
                  </w:tcBorders>
                  <w:vAlign w:val="center"/>
                </w:tcPr>
                <w:p w14:paraId="1DA8BE04">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75FC904">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A98406E">
                  <w:pPr>
                    <w:jc w:val="center"/>
                    <w:rPr>
                      <w:rFonts w:hint="default" w:ascii="Times New Roman" w:hAnsi="Times New Roman" w:eastAsia="仿宋" w:cs="Times New Roman"/>
                      <w:bCs/>
                      <w:color w:val="auto"/>
                      <w:szCs w:val="21"/>
                    </w:rPr>
                  </w:pPr>
                </w:p>
              </w:tc>
              <w:tc>
                <w:tcPr>
                  <w:tcW w:w="545" w:type="pct"/>
                  <w:vMerge w:val="continue"/>
                  <w:tcBorders>
                    <w:tl2br w:val="nil"/>
                    <w:tr2bl w:val="nil"/>
                  </w:tcBorders>
                  <w:vAlign w:val="center"/>
                </w:tcPr>
                <w:p w14:paraId="4F1252F7">
                  <w:pPr>
                    <w:adjustRightInd w:val="0"/>
                    <w:snapToGrid w:val="0"/>
                    <w:jc w:val="center"/>
                    <w:rPr>
                      <w:rFonts w:hint="default" w:ascii="Times New Roman" w:hAnsi="Times New Roman" w:eastAsia="仿宋" w:cs="Times New Roman"/>
                      <w:bCs/>
                      <w:color w:val="auto"/>
                      <w:szCs w:val="21"/>
                    </w:rPr>
                  </w:pPr>
                </w:p>
              </w:tc>
            </w:tr>
            <w:tr w14:paraId="11ED0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4A0843D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22BD2FCC">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7CD65B3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总氮</w:t>
                  </w:r>
                </w:p>
              </w:tc>
              <w:tc>
                <w:tcPr>
                  <w:tcW w:w="647" w:type="pct"/>
                  <w:tcBorders>
                    <w:tl2br w:val="nil"/>
                    <w:tr2bl w:val="nil"/>
                  </w:tcBorders>
                  <w:vAlign w:val="center"/>
                </w:tcPr>
                <w:p w14:paraId="346DD51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06" w:type="pct"/>
                  <w:tcBorders>
                    <w:tl2br w:val="nil"/>
                    <w:tr2bl w:val="nil"/>
                  </w:tcBorders>
                  <w:vAlign w:val="center"/>
                </w:tcPr>
                <w:p w14:paraId="651C79A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0.072</w:t>
                  </w:r>
                </w:p>
              </w:tc>
              <w:tc>
                <w:tcPr>
                  <w:tcW w:w="787" w:type="pct"/>
                  <w:vMerge w:val="continue"/>
                  <w:tcBorders>
                    <w:tl2br w:val="nil"/>
                    <w:tr2bl w:val="nil"/>
                  </w:tcBorders>
                  <w:vAlign w:val="center"/>
                </w:tcPr>
                <w:p w14:paraId="1C4126DA">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72A894F1">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3CB5B930">
                  <w:pPr>
                    <w:jc w:val="center"/>
                    <w:rPr>
                      <w:rFonts w:hint="default" w:ascii="Times New Roman" w:hAnsi="Times New Roman" w:eastAsia="仿宋" w:cs="Times New Roman"/>
                      <w:bCs/>
                      <w:color w:val="auto"/>
                      <w:szCs w:val="21"/>
                    </w:rPr>
                  </w:pPr>
                </w:p>
              </w:tc>
              <w:tc>
                <w:tcPr>
                  <w:tcW w:w="545" w:type="pct"/>
                  <w:vMerge w:val="continue"/>
                  <w:tcBorders>
                    <w:tl2br w:val="nil"/>
                    <w:tr2bl w:val="nil"/>
                  </w:tcBorders>
                  <w:vAlign w:val="center"/>
                </w:tcPr>
                <w:p w14:paraId="11455A7E">
                  <w:pPr>
                    <w:adjustRightInd w:val="0"/>
                    <w:snapToGrid w:val="0"/>
                    <w:jc w:val="center"/>
                    <w:rPr>
                      <w:rFonts w:hint="default" w:ascii="Times New Roman" w:hAnsi="Times New Roman" w:eastAsia="仿宋" w:cs="Times New Roman"/>
                      <w:bCs/>
                      <w:color w:val="auto"/>
                      <w:szCs w:val="21"/>
                    </w:rPr>
                  </w:pPr>
                </w:p>
              </w:tc>
            </w:tr>
            <w:tr w14:paraId="0B4F7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AA25744">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2CF9E11D">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1C50FB55">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总磷</w:t>
                  </w:r>
                </w:p>
              </w:tc>
              <w:tc>
                <w:tcPr>
                  <w:tcW w:w="647" w:type="pct"/>
                  <w:tcBorders>
                    <w:tl2br w:val="nil"/>
                    <w:tr2bl w:val="nil"/>
                  </w:tcBorders>
                  <w:vAlign w:val="center"/>
                </w:tcPr>
                <w:p w14:paraId="0C672BF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406" w:type="pct"/>
                  <w:tcBorders>
                    <w:tl2br w:val="nil"/>
                    <w:tr2bl w:val="nil"/>
                  </w:tcBorders>
                  <w:vAlign w:val="center"/>
                </w:tcPr>
                <w:p w14:paraId="2892116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0.0054</w:t>
                  </w:r>
                </w:p>
              </w:tc>
              <w:tc>
                <w:tcPr>
                  <w:tcW w:w="787" w:type="pct"/>
                  <w:vMerge w:val="continue"/>
                  <w:tcBorders>
                    <w:tl2br w:val="nil"/>
                    <w:tr2bl w:val="nil"/>
                  </w:tcBorders>
                  <w:vAlign w:val="center"/>
                </w:tcPr>
                <w:p w14:paraId="09BFB4F7">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06EB6EA">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65D84EE">
                  <w:pPr>
                    <w:jc w:val="center"/>
                    <w:rPr>
                      <w:rFonts w:hint="default" w:ascii="Times New Roman" w:hAnsi="Times New Roman" w:eastAsia="仿宋" w:cs="Times New Roman"/>
                      <w:bCs/>
                      <w:color w:val="auto"/>
                      <w:szCs w:val="21"/>
                    </w:rPr>
                  </w:pPr>
                </w:p>
              </w:tc>
              <w:tc>
                <w:tcPr>
                  <w:tcW w:w="545" w:type="pct"/>
                  <w:vMerge w:val="continue"/>
                  <w:tcBorders>
                    <w:tl2br w:val="nil"/>
                    <w:tr2bl w:val="nil"/>
                  </w:tcBorders>
                  <w:vAlign w:val="center"/>
                </w:tcPr>
                <w:p w14:paraId="27146AB8">
                  <w:pPr>
                    <w:adjustRightInd w:val="0"/>
                    <w:snapToGrid w:val="0"/>
                    <w:jc w:val="center"/>
                    <w:rPr>
                      <w:rFonts w:hint="default" w:ascii="Times New Roman" w:hAnsi="Times New Roman" w:eastAsia="仿宋" w:cs="Times New Roman"/>
                      <w:bCs/>
                      <w:color w:val="auto"/>
                      <w:szCs w:val="21"/>
                    </w:rPr>
                  </w:pPr>
                </w:p>
              </w:tc>
            </w:tr>
            <w:tr w14:paraId="5425A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vAlign w:val="center"/>
                </w:tcPr>
                <w:p w14:paraId="5833CEB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1#反渗透系统弃水</w:t>
                  </w:r>
                </w:p>
              </w:tc>
              <w:tc>
                <w:tcPr>
                  <w:tcW w:w="332" w:type="pct"/>
                  <w:vMerge w:val="restart"/>
                  <w:tcBorders>
                    <w:tl2br w:val="nil"/>
                    <w:tr2bl w:val="nil"/>
                  </w:tcBorders>
                  <w:vAlign w:val="center"/>
                </w:tcPr>
                <w:p w14:paraId="51EFA7F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223</w:t>
                  </w:r>
                  <w:r>
                    <w:rPr>
                      <w:rFonts w:hint="eastAsia" w:eastAsia="仿宋" w:cs="Times New Roman"/>
                      <w:color w:val="auto"/>
                      <w:szCs w:val="21"/>
                      <w:lang w:val="en-US" w:eastAsia="zh-CN"/>
                    </w:rPr>
                    <w:t>7.5</w:t>
                  </w:r>
                </w:p>
              </w:tc>
              <w:tc>
                <w:tcPr>
                  <w:tcW w:w="611" w:type="pct"/>
                  <w:tcBorders>
                    <w:tl2br w:val="nil"/>
                    <w:tr2bl w:val="nil"/>
                  </w:tcBorders>
                  <w:vAlign w:val="center"/>
                </w:tcPr>
                <w:p w14:paraId="4FBDF3A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186263D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7.0-9.0</w:t>
                  </w:r>
                </w:p>
              </w:tc>
              <w:tc>
                <w:tcPr>
                  <w:tcW w:w="787" w:type="pct"/>
                  <w:vMerge w:val="restart"/>
                  <w:tcBorders>
                    <w:tl2br w:val="nil"/>
                    <w:tr2bl w:val="nil"/>
                  </w:tcBorders>
                  <w:vAlign w:val="center"/>
                </w:tcPr>
                <w:p w14:paraId="1722981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水量：</w:t>
                  </w:r>
                  <w:r>
                    <w:rPr>
                      <w:rFonts w:hint="eastAsia" w:eastAsia="仿宋" w:cs="Times New Roman"/>
                      <w:bCs/>
                      <w:color w:val="auto"/>
                      <w:szCs w:val="21"/>
                      <w:lang w:val="en-US" w:eastAsia="zh-CN"/>
                    </w:rPr>
                    <w:t>5332.5</w:t>
                  </w:r>
                  <w:r>
                    <w:rPr>
                      <w:rFonts w:hint="default" w:ascii="Times New Roman" w:hAnsi="Times New Roman" w:eastAsia="仿宋" w:cs="Times New Roman"/>
                      <w:bCs/>
                      <w:color w:val="auto"/>
                      <w:szCs w:val="21"/>
                    </w:rPr>
                    <w:t>t/a；</w:t>
                  </w:r>
                </w:p>
                <w:p w14:paraId="52CD2FD6">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COD：4</w:t>
                  </w:r>
                  <w:r>
                    <w:rPr>
                      <w:rFonts w:hint="eastAsia" w:eastAsia="仿宋" w:cs="Times New Roman"/>
                      <w:bCs/>
                      <w:color w:val="auto"/>
                      <w:szCs w:val="21"/>
                      <w:lang w:val="en-US" w:eastAsia="zh-CN"/>
                    </w:rPr>
                    <w:t>10</w:t>
                  </w:r>
                  <w:r>
                    <w:rPr>
                      <w:rFonts w:hint="default" w:ascii="Times New Roman" w:hAnsi="Times New Roman" w:eastAsia="仿宋" w:cs="Times New Roman"/>
                      <w:bCs/>
                      <w:color w:val="auto"/>
                      <w:szCs w:val="21"/>
                    </w:rPr>
                    <w:t>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2.</w:t>
                  </w:r>
                  <w:r>
                    <w:rPr>
                      <w:rFonts w:hint="default" w:ascii="Times New Roman" w:hAnsi="Times New Roman" w:eastAsia="仿宋" w:cs="Times New Roman"/>
                      <w:bCs/>
                      <w:color w:val="auto"/>
                      <w:szCs w:val="21"/>
                      <w:lang w:val="en-US" w:eastAsia="zh-CN"/>
                    </w:rPr>
                    <w:t>1</w:t>
                  </w:r>
                  <w:r>
                    <w:rPr>
                      <w:rFonts w:hint="eastAsia" w:eastAsia="仿宋" w:cs="Times New Roman"/>
                      <w:bCs/>
                      <w:color w:val="auto"/>
                      <w:szCs w:val="21"/>
                      <w:lang w:val="en-US" w:eastAsia="zh-CN"/>
                    </w:rPr>
                    <w:t>84</w:t>
                  </w:r>
                  <w:r>
                    <w:rPr>
                      <w:rFonts w:hint="default" w:ascii="Times New Roman" w:hAnsi="Times New Roman" w:eastAsia="仿宋" w:cs="Times New Roman"/>
                      <w:bCs/>
                      <w:color w:val="auto"/>
                      <w:szCs w:val="21"/>
                    </w:rPr>
                    <w:t>t/a</w:t>
                  </w:r>
                  <w:r>
                    <w:rPr>
                      <w:rFonts w:hint="default" w:ascii="Times New Roman" w:hAnsi="Times New Roman" w:eastAsia="仿宋" w:cs="Times New Roman"/>
                      <w:bCs/>
                      <w:color w:val="auto"/>
                      <w:szCs w:val="21"/>
                      <w:lang w:eastAsia="zh-CN"/>
                    </w:rPr>
                    <w:t>；</w:t>
                  </w:r>
                </w:p>
                <w:p w14:paraId="5B08E369">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SS：</w:t>
                  </w:r>
                  <w:r>
                    <w:rPr>
                      <w:rFonts w:hint="eastAsia" w:eastAsia="仿宋" w:cs="Times New Roman"/>
                      <w:bCs/>
                      <w:color w:val="auto"/>
                      <w:szCs w:val="21"/>
                      <w:lang w:val="en-US" w:eastAsia="zh-CN"/>
                    </w:rPr>
                    <w:t>29</w:t>
                  </w:r>
                  <w:r>
                    <w:rPr>
                      <w:rFonts w:hint="default" w:ascii="Times New Roman" w:hAnsi="Times New Roman" w:eastAsia="仿宋" w:cs="Times New Roman"/>
                      <w:bCs/>
                      <w:color w:val="auto"/>
                      <w:szCs w:val="21"/>
                    </w:rPr>
                    <w:t>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0.1</w:t>
                  </w:r>
                  <w:r>
                    <w:rPr>
                      <w:rFonts w:hint="eastAsia" w:eastAsia="仿宋" w:cs="Times New Roman"/>
                      <w:bCs/>
                      <w:color w:val="auto"/>
                      <w:szCs w:val="21"/>
                      <w:lang w:val="en-US" w:eastAsia="zh-CN"/>
                    </w:rPr>
                    <w:t>56</w:t>
                  </w:r>
                  <w:r>
                    <w:rPr>
                      <w:rFonts w:hint="default" w:ascii="Times New Roman" w:hAnsi="Times New Roman" w:eastAsia="仿宋" w:cs="Times New Roman"/>
                      <w:bCs/>
                      <w:color w:val="auto"/>
                      <w:szCs w:val="21"/>
                    </w:rPr>
                    <w:t>t/a</w:t>
                  </w:r>
                  <w:r>
                    <w:rPr>
                      <w:rFonts w:hint="default" w:ascii="Times New Roman" w:hAnsi="Times New Roman" w:eastAsia="仿宋" w:cs="Times New Roman"/>
                      <w:bCs/>
                      <w:color w:val="auto"/>
                      <w:szCs w:val="21"/>
                      <w:lang w:eastAsia="zh-CN"/>
                    </w:rPr>
                    <w:t>；</w:t>
                  </w:r>
                </w:p>
                <w:p w14:paraId="6C0DEC4C">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氨氮：1.05mg/L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0.005</w:t>
                  </w:r>
                  <w:r>
                    <w:rPr>
                      <w:rFonts w:hint="default" w:ascii="Times New Roman" w:hAnsi="Times New Roman" w:eastAsia="仿宋" w:cs="Times New Roman"/>
                      <w:bCs/>
                      <w:color w:val="auto"/>
                      <w:szCs w:val="21"/>
                      <w:lang w:val="en-US" w:eastAsia="zh-CN"/>
                    </w:rPr>
                    <w:t>6</w:t>
                  </w:r>
                  <w:r>
                    <w:rPr>
                      <w:rFonts w:hint="default" w:ascii="Times New Roman" w:hAnsi="Times New Roman" w:eastAsia="仿宋" w:cs="Times New Roman"/>
                      <w:bCs/>
                      <w:color w:val="auto"/>
                      <w:szCs w:val="21"/>
                    </w:rPr>
                    <w:t>t/a</w:t>
                  </w:r>
                  <w:r>
                    <w:rPr>
                      <w:rFonts w:hint="default" w:ascii="Times New Roman" w:hAnsi="Times New Roman" w:eastAsia="仿宋" w:cs="Times New Roman"/>
                      <w:bCs/>
                      <w:color w:val="auto"/>
                      <w:szCs w:val="21"/>
                      <w:lang w:eastAsia="zh-CN"/>
                    </w:rPr>
                    <w:t>；</w:t>
                  </w:r>
                </w:p>
                <w:p w14:paraId="767BE8E5">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TP：</w:t>
                  </w:r>
                  <w:r>
                    <w:rPr>
                      <w:rFonts w:hint="eastAsia" w:eastAsia="仿宋" w:cs="Times New Roman"/>
                      <w:bCs/>
                      <w:color w:val="auto"/>
                      <w:szCs w:val="21"/>
                      <w:lang w:val="en-US" w:eastAsia="zh-CN"/>
                    </w:rPr>
                    <w:t>0.75</w:t>
                  </w:r>
                  <w:r>
                    <w:rPr>
                      <w:rFonts w:hint="default" w:ascii="Times New Roman" w:hAnsi="Times New Roman" w:eastAsia="仿宋" w:cs="Times New Roman"/>
                      <w:bCs/>
                      <w:color w:val="auto"/>
                      <w:szCs w:val="21"/>
                    </w:rPr>
                    <w:t>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0.004t/a</w:t>
                  </w:r>
                  <w:r>
                    <w:rPr>
                      <w:rFonts w:hint="default" w:ascii="Times New Roman" w:hAnsi="Times New Roman" w:eastAsia="仿宋" w:cs="Times New Roman"/>
                      <w:bCs/>
                      <w:color w:val="auto"/>
                      <w:szCs w:val="21"/>
                      <w:lang w:eastAsia="zh-CN"/>
                    </w:rPr>
                    <w:t>；</w:t>
                  </w:r>
                </w:p>
                <w:p w14:paraId="24E12E3C">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TN：1.6mg/L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0.008</w:t>
                  </w:r>
                  <w:r>
                    <w:rPr>
                      <w:rFonts w:hint="eastAsia" w:eastAsia="仿宋" w:cs="Times New Roman"/>
                      <w:bCs/>
                      <w:color w:val="auto"/>
                      <w:szCs w:val="21"/>
                      <w:lang w:val="en-US" w:eastAsia="zh-CN"/>
                    </w:rPr>
                    <w:t>7</w:t>
                  </w:r>
                  <w:r>
                    <w:rPr>
                      <w:rFonts w:hint="default" w:ascii="Times New Roman" w:hAnsi="Times New Roman" w:eastAsia="仿宋" w:cs="Times New Roman"/>
                      <w:bCs/>
                      <w:color w:val="auto"/>
                      <w:szCs w:val="21"/>
                    </w:rPr>
                    <w:t>t/a</w:t>
                  </w:r>
                  <w:r>
                    <w:rPr>
                      <w:rFonts w:hint="default" w:ascii="Times New Roman" w:hAnsi="Times New Roman" w:eastAsia="仿宋" w:cs="Times New Roman"/>
                      <w:bCs/>
                      <w:color w:val="auto"/>
                      <w:szCs w:val="21"/>
                      <w:lang w:eastAsia="zh-CN"/>
                    </w:rPr>
                    <w:t>；</w:t>
                  </w:r>
                </w:p>
                <w:p w14:paraId="2744685A">
                  <w:pPr>
                    <w:adjustRightInd w:val="0"/>
                    <w:snapToGrid w:val="0"/>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rPr>
                    <w:t>石油类：15mg/L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0.08</w:t>
                  </w:r>
                  <w:r>
                    <w:rPr>
                      <w:rFonts w:hint="eastAsia" w:eastAsia="仿宋" w:cs="Times New Roman"/>
                      <w:bCs/>
                      <w:color w:val="auto"/>
                      <w:szCs w:val="21"/>
                      <w:lang w:val="en-US" w:eastAsia="zh-CN"/>
                    </w:rPr>
                    <w:t>2</w:t>
                  </w:r>
                  <w:r>
                    <w:rPr>
                      <w:rFonts w:hint="default" w:ascii="Times New Roman" w:hAnsi="Times New Roman" w:eastAsia="仿宋" w:cs="Times New Roman"/>
                      <w:bCs/>
                      <w:color w:val="auto"/>
                      <w:szCs w:val="21"/>
                    </w:rPr>
                    <w:t>t/a</w:t>
                  </w:r>
                  <w:r>
                    <w:rPr>
                      <w:rFonts w:hint="default" w:ascii="Times New Roman" w:hAnsi="Times New Roman" w:eastAsia="仿宋" w:cs="Times New Roman"/>
                      <w:bCs/>
                      <w:color w:val="auto"/>
                      <w:szCs w:val="21"/>
                      <w:lang w:eastAsia="zh-CN"/>
                    </w:rPr>
                    <w:t>；</w:t>
                  </w:r>
                </w:p>
                <w:p w14:paraId="6C5A6A6A">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LAS：1.8</w:t>
                  </w:r>
                  <w:r>
                    <w:rPr>
                      <w:rFonts w:hint="eastAsia" w:eastAsia="仿宋" w:cs="Times New Roman"/>
                      <w:bCs/>
                      <w:color w:val="auto"/>
                      <w:szCs w:val="21"/>
                      <w:lang w:val="en-US" w:eastAsia="zh-CN"/>
                    </w:rPr>
                    <w:t>8</w:t>
                  </w:r>
                  <w:r>
                    <w:rPr>
                      <w:rFonts w:hint="default" w:ascii="Times New Roman" w:hAnsi="Times New Roman" w:eastAsia="仿宋" w:cs="Times New Roman"/>
                      <w:bCs/>
                      <w:color w:val="auto"/>
                      <w:szCs w:val="21"/>
                    </w:rPr>
                    <w:t>mg/L</w:t>
                  </w:r>
                  <w:r>
                    <w:rPr>
                      <w:rFonts w:hint="default" w:ascii="Times New Roman" w:hAnsi="Times New Roman" w:eastAsia="仿宋" w:cs="Times New Roman"/>
                      <w:bCs/>
                      <w:color w:val="auto"/>
                      <w:szCs w:val="21"/>
                      <w:lang w:eastAsia="zh-CN"/>
                    </w:rPr>
                    <w:t>、</w:t>
                  </w:r>
                  <w:r>
                    <w:rPr>
                      <w:rFonts w:hint="default" w:ascii="Times New Roman" w:hAnsi="Times New Roman" w:eastAsia="仿宋" w:cs="Times New Roman"/>
                      <w:bCs/>
                      <w:color w:val="auto"/>
                      <w:szCs w:val="21"/>
                    </w:rPr>
                    <w:t>0.01t/a</w:t>
                  </w:r>
                </w:p>
                <w:p w14:paraId="7DBD351C">
                  <w:pPr>
                    <w:adjustRightInd w:val="0"/>
                    <w:snapToGrid w:val="0"/>
                    <w:jc w:val="center"/>
                    <w:rPr>
                      <w:rFonts w:hint="default" w:ascii="Times New Roman" w:hAnsi="Times New Roman" w:eastAsia="仿宋" w:cs="Times New Roman"/>
                      <w:color w:val="auto"/>
                      <w:szCs w:val="21"/>
                    </w:rPr>
                  </w:pPr>
                </w:p>
              </w:tc>
              <w:tc>
                <w:tcPr>
                  <w:tcW w:w="332" w:type="pct"/>
                  <w:vMerge w:val="restart"/>
                  <w:tcBorders>
                    <w:tl2br w:val="nil"/>
                    <w:tr2bl w:val="nil"/>
                  </w:tcBorders>
                  <w:vAlign w:val="center"/>
                </w:tcPr>
                <w:p w14:paraId="5E6A0F62">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lang w:val="en-US" w:eastAsia="zh-CN"/>
                    </w:rPr>
                    <w:t>厂内综合污水处理站</w:t>
                  </w:r>
                </w:p>
              </w:tc>
              <w:tc>
                <w:tcPr>
                  <w:tcW w:w="869" w:type="pct"/>
                  <w:vMerge w:val="continue"/>
                  <w:tcBorders>
                    <w:tl2br w:val="nil"/>
                    <w:tr2bl w:val="nil"/>
                  </w:tcBorders>
                  <w:vAlign w:val="center"/>
                </w:tcPr>
                <w:p w14:paraId="2CA823E2">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286AD38F">
                  <w:pPr>
                    <w:adjustRightInd w:val="0"/>
                    <w:snapToGrid w:val="0"/>
                    <w:jc w:val="center"/>
                    <w:rPr>
                      <w:rFonts w:hint="default" w:ascii="Times New Roman" w:hAnsi="Times New Roman" w:eastAsia="仿宋" w:cs="Times New Roman"/>
                      <w:bCs/>
                      <w:color w:val="auto"/>
                      <w:szCs w:val="21"/>
                    </w:rPr>
                  </w:pPr>
                </w:p>
              </w:tc>
            </w:tr>
            <w:tr w14:paraId="5621A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71E767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1EFACEB6">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3C7BDD8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392DAB2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85</w:t>
                  </w:r>
                </w:p>
              </w:tc>
              <w:tc>
                <w:tcPr>
                  <w:tcW w:w="406" w:type="pct"/>
                  <w:tcBorders>
                    <w:tl2br w:val="nil"/>
                    <w:tr2bl w:val="nil"/>
                  </w:tcBorders>
                  <w:vAlign w:val="center"/>
                </w:tcPr>
                <w:p w14:paraId="08D1667C">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0.19</w:t>
                  </w:r>
                </w:p>
              </w:tc>
              <w:tc>
                <w:tcPr>
                  <w:tcW w:w="787" w:type="pct"/>
                  <w:vMerge w:val="continue"/>
                  <w:tcBorders>
                    <w:tl2br w:val="nil"/>
                    <w:tr2bl w:val="nil"/>
                  </w:tcBorders>
                  <w:vAlign w:val="center"/>
                </w:tcPr>
                <w:p w14:paraId="08ACF27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EA65B4E">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9E62D2C">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0B9B0E19">
                  <w:pPr>
                    <w:adjustRightInd w:val="0"/>
                    <w:snapToGrid w:val="0"/>
                    <w:jc w:val="center"/>
                    <w:rPr>
                      <w:rFonts w:hint="default" w:ascii="Times New Roman" w:hAnsi="Times New Roman" w:eastAsia="仿宋" w:cs="Times New Roman"/>
                      <w:bCs/>
                      <w:color w:val="auto"/>
                      <w:szCs w:val="21"/>
                    </w:rPr>
                  </w:pPr>
                </w:p>
              </w:tc>
            </w:tr>
            <w:tr w14:paraId="7E4F6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EF37AE7">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1F9166B">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5430645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74FF7178">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50</w:t>
                  </w:r>
                </w:p>
              </w:tc>
              <w:tc>
                <w:tcPr>
                  <w:tcW w:w="406" w:type="pct"/>
                  <w:tcBorders>
                    <w:tl2br w:val="nil"/>
                    <w:tr2bl w:val="nil"/>
                  </w:tcBorders>
                  <w:vAlign w:val="center"/>
                </w:tcPr>
                <w:p w14:paraId="360AC115">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0.112</w:t>
                  </w:r>
                </w:p>
              </w:tc>
              <w:tc>
                <w:tcPr>
                  <w:tcW w:w="787" w:type="pct"/>
                  <w:vMerge w:val="continue"/>
                  <w:tcBorders>
                    <w:tl2br w:val="nil"/>
                    <w:tr2bl w:val="nil"/>
                  </w:tcBorders>
                  <w:vAlign w:val="center"/>
                </w:tcPr>
                <w:p w14:paraId="4E1C8A95">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7FBAB02C">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527E642C">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3C82EECF">
                  <w:pPr>
                    <w:adjustRightInd w:val="0"/>
                    <w:snapToGrid w:val="0"/>
                    <w:jc w:val="center"/>
                    <w:rPr>
                      <w:rFonts w:hint="default" w:ascii="Times New Roman" w:hAnsi="Times New Roman" w:eastAsia="仿宋" w:cs="Times New Roman"/>
                      <w:bCs/>
                      <w:color w:val="auto"/>
                      <w:szCs w:val="21"/>
                    </w:rPr>
                  </w:pPr>
                </w:p>
              </w:tc>
            </w:tr>
            <w:tr w14:paraId="50E45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0BDF687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00EA42D">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73FC650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647" w:type="pct"/>
                  <w:tcBorders>
                    <w:tl2br w:val="nil"/>
                    <w:tr2bl w:val="nil"/>
                  </w:tcBorders>
                  <w:vAlign w:val="center"/>
                </w:tcPr>
                <w:p w14:paraId="021AB3A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0.8</w:t>
                  </w:r>
                </w:p>
              </w:tc>
              <w:tc>
                <w:tcPr>
                  <w:tcW w:w="406" w:type="pct"/>
                  <w:tcBorders>
                    <w:tl2br w:val="nil"/>
                    <w:tr2bl w:val="nil"/>
                  </w:tcBorders>
                  <w:vAlign w:val="center"/>
                </w:tcPr>
                <w:p w14:paraId="175E28C8">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0.0018</w:t>
                  </w:r>
                </w:p>
              </w:tc>
              <w:tc>
                <w:tcPr>
                  <w:tcW w:w="787" w:type="pct"/>
                  <w:vMerge w:val="continue"/>
                  <w:tcBorders>
                    <w:tl2br w:val="nil"/>
                    <w:tr2bl w:val="nil"/>
                  </w:tcBorders>
                  <w:vAlign w:val="center"/>
                </w:tcPr>
                <w:p w14:paraId="275A27D3">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C0DBA90">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076091C">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15E1489F">
                  <w:pPr>
                    <w:adjustRightInd w:val="0"/>
                    <w:snapToGrid w:val="0"/>
                    <w:jc w:val="center"/>
                    <w:rPr>
                      <w:rFonts w:hint="default" w:ascii="Times New Roman" w:hAnsi="Times New Roman" w:eastAsia="仿宋" w:cs="Times New Roman"/>
                      <w:bCs/>
                      <w:color w:val="auto"/>
                      <w:szCs w:val="21"/>
                    </w:rPr>
                  </w:pPr>
                </w:p>
              </w:tc>
            </w:tr>
            <w:tr w14:paraId="76D29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E539DE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F9495A7">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4924894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647" w:type="pct"/>
                  <w:tcBorders>
                    <w:tl2br w:val="nil"/>
                    <w:tr2bl w:val="nil"/>
                  </w:tcBorders>
                  <w:vAlign w:val="center"/>
                </w:tcPr>
                <w:p w14:paraId="41510B3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w:t>
                  </w:r>
                </w:p>
              </w:tc>
              <w:tc>
                <w:tcPr>
                  <w:tcW w:w="406" w:type="pct"/>
                  <w:tcBorders>
                    <w:tl2br w:val="nil"/>
                    <w:tr2bl w:val="nil"/>
                  </w:tcBorders>
                  <w:vAlign w:val="center"/>
                </w:tcPr>
                <w:p w14:paraId="7E43E9D2">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0.0002</w:t>
                  </w:r>
                </w:p>
              </w:tc>
              <w:tc>
                <w:tcPr>
                  <w:tcW w:w="787" w:type="pct"/>
                  <w:vMerge w:val="continue"/>
                  <w:tcBorders>
                    <w:tl2br w:val="nil"/>
                    <w:tr2bl w:val="nil"/>
                  </w:tcBorders>
                  <w:vAlign w:val="center"/>
                </w:tcPr>
                <w:p w14:paraId="33562C0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436BDC0">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52DAD49">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06F16820">
                  <w:pPr>
                    <w:adjustRightInd w:val="0"/>
                    <w:snapToGrid w:val="0"/>
                    <w:jc w:val="center"/>
                    <w:rPr>
                      <w:rFonts w:hint="default" w:ascii="Times New Roman" w:hAnsi="Times New Roman" w:eastAsia="仿宋" w:cs="Times New Roman"/>
                      <w:bCs/>
                      <w:color w:val="auto"/>
                      <w:szCs w:val="21"/>
                    </w:rPr>
                  </w:pPr>
                </w:p>
              </w:tc>
            </w:tr>
            <w:tr w14:paraId="56B89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110581F">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2F005A4B">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748E8C2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647" w:type="pct"/>
                  <w:tcBorders>
                    <w:tl2br w:val="nil"/>
                    <w:tr2bl w:val="nil"/>
                  </w:tcBorders>
                  <w:vAlign w:val="center"/>
                </w:tcPr>
                <w:p w14:paraId="41B721F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w:t>
                  </w:r>
                </w:p>
              </w:tc>
              <w:tc>
                <w:tcPr>
                  <w:tcW w:w="406" w:type="pct"/>
                  <w:tcBorders>
                    <w:tl2br w:val="nil"/>
                    <w:tr2bl w:val="nil"/>
                  </w:tcBorders>
                  <w:vAlign w:val="center"/>
                </w:tcPr>
                <w:p w14:paraId="297FCD93">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0.0022</w:t>
                  </w:r>
                </w:p>
              </w:tc>
              <w:tc>
                <w:tcPr>
                  <w:tcW w:w="787" w:type="pct"/>
                  <w:vMerge w:val="continue"/>
                  <w:tcBorders>
                    <w:tl2br w:val="nil"/>
                    <w:tr2bl w:val="nil"/>
                  </w:tcBorders>
                  <w:vAlign w:val="center"/>
                </w:tcPr>
                <w:p w14:paraId="123B555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5BCCEE2">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7CAB55C4">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7B894982">
                  <w:pPr>
                    <w:adjustRightInd w:val="0"/>
                    <w:snapToGrid w:val="0"/>
                    <w:jc w:val="center"/>
                    <w:rPr>
                      <w:rFonts w:hint="default" w:ascii="Times New Roman" w:hAnsi="Times New Roman" w:eastAsia="仿宋" w:cs="Times New Roman"/>
                      <w:bCs/>
                      <w:color w:val="auto"/>
                      <w:szCs w:val="21"/>
                    </w:rPr>
                  </w:pPr>
                </w:p>
              </w:tc>
            </w:tr>
            <w:tr w14:paraId="4EECE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3BD41D7D">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5EB1BF0">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2CEA62F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石油类</w:t>
                  </w:r>
                </w:p>
              </w:tc>
              <w:tc>
                <w:tcPr>
                  <w:tcW w:w="647" w:type="pct"/>
                  <w:tcBorders>
                    <w:tl2br w:val="nil"/>
                    <w:tr2bl w:val="nil"/>
                  </w:tcBorders>
                  <w:vAlign w:val="center"/>
                </w:tcPr>
                <w:p w14:paraId="6C3D6163">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w:t>
                  </w:r>
                </w:p>
              </w:tc>
              <w:tc>
                <w:tcPr>
                  <w:tcW w:w="406" w:type="pct"/>
                  <w:tcBorders>
                    <w:tl2br w:val="nil"/>
                    <w:tr2bl w:val="nil"/>
                  </w:tcBorders>
                  <w:vAlign w:val="center"/>
                </w:tcPr>
                <w:p w14:paraId="262F80CE">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0.0022</w:t>
                  </w:r>
                </w:p>
              </w:tc>
              <w:tc>
                <w:tcPr>
                  <w:tcW w:w="787" w:type="pct"/>
                  <w:vMerge w:val="continue"/>
                  <w:tcBorders>
                    <w:tl2br w:val="nil"/>
                    <w:tr2bl w:val="nil"/>
                  </w:tcBorders>
                  <w:vAlign w:val="center"/>
                </w:tcPr>
                <w:p w14:paraId="24BF057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D5AB7D4">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F6D5D59">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3401F3E6">
                  <w:pPr>
                    <w:adjustRightInd w:val="0"/>
                    <w:snapToGrid w:val="0"/>
                    <w:jc w:val="center"/>
                    <w:rPr>
                      <w:rFonts w:hint="default" w:ascii="Times New Roman" w:hAnsi="Times New Roman" w:eastAsia="仿宋" w:cs="Times New Roman"/>
                      <w:bCs/>
                      <w:color w:val="auto"/>
                      <w:szCs w:val="21"/>
                    </w:rPr>
                  </w:pPr>
                </w:p>
              </w:tc>
            </w:tr>
            <w:tr w14:paraId="1DA36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3166314B">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802CCD0">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5F172AC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LAS</w:t>
                  </w:r>
                </w:p>
              </w:tc>
              <w:tc>
                <w:tcPr>
                  <w:tcW w:w="647" w:type="pct"/>
                  <w:tcBorders>
                    <w:tl2br w:val="nil"/>
                    <w:tr2bl w:val="nil"/>
                  </w:tcBorders>
                  <w:vAlign w:val="center"/>
                </w:tcPr>
                <w:p w14:paraId="44BA983D">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w:t>
                  </w:r>
                </w:p>
              </w:tc>
              <w:tc>
                <w:tcPr>
                  <w:tcW w:w="406" w:type="pct"/>
                  <w:tcBorders>
                    <w:tl2br w:val="nil"/>
                    <w:tr2bl w:val="nil"/>
                  </w:tcBorders>
                  <w:vAlign w:val="center"/>
                </w:tcPr>
                <w:p w14:paraId="6BD1AF63">
                  <w:pPr>
                    <w:jc w:val="center"/>
                    <w:rPr>
                      <w:rFonts w:hint="default" w:eastAsia="仿宋" w:cs="Times New Roman"/>
                      <w:color w:val="auto"/>
                      <w:szCs w:val="21"/>
                      <w:lang w:val="en-US" w:eastAsia="zh-CN"/>
                    </w:rPr>
                  </w:pPr>
                  <w:r>
                    <w:rPr>
                      <w:rFonts w:hint="eastAsia" w:eastAsia="仿宋" w:cs="Times New Roman"/>
                      <w:color w:val="auto"/>
                      <w:szCs w:val="21"/>
                      <w:lang w:val="en-US" w:eastAsia="zh-CN"/>
                    </w:rPr>
                    <w:t>0.0007</w:t>
                  </w:r>
                </w:p>
              </w:tc>
              <w:tc>
                <w:tcPr>
                  <w:tcW w:w="787" w:type="pct"/>
                  <w:vMerge w:val="continue"/>
                  <w:tcBorders>
                    <w:tl2br w:val="nil"/>
                    <w:tr2bl w:val="nil"/>
                  </w:tcBorders>
                  <w:vAlign w:val="center"/>
                </w:tcPr>
                <w:p w14:paraId="210494A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541611A">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25983084">
                  <w:pPr>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4867BC37">
                  <w:pPr>
                    <w:adjustRightInd w:val="0"/>
                    <w:snapToGrid w:val="0"/>
                    <w:jc w:val="center"/>
                    <w:rPr>
                      <w:rFonts w:hint="default" w:ascii="Times New Roman" w:hAnsi="Times New Roman" w:eastAsia="仿宋" w:cs="Times New Roman"/>
                      <w:bCs/>
                      <w:color w:val="auto"/>
                      <w:szCs w:val="21"/>
                    </w:rPr>
                  </w:pPr>
                </w:p>
              </w:tc>
            </w:tr>
            <w:tr w14:paraId="1D519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9" w:type="pct"/>
                  <w:vMerge w:val="restart"/>
                  <w:tcBorders>
                    <w:tl2br w:val="nil"/>
                    <w:tr2bl w:val="nil"/>
                  </w:tcBorders>
                  <w:vAlign w:val="center"/>
                </w:tcPr>
                <w:p w14:paraId="02CD0D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预清洗废水</w:t>
                  </w:r>
                </w:p>
              </w:tc>
              <w:tc>
                <w:tcPr>
                  <w:tcW w:w="332" w:type="pct"/>
                  <w:vMerge w:val="restart"/>
                  <w:tcBorders>
                    <w:tl2br w:val="nil"/>
                    <w:tr2bl w:val="nil"/>
                  </w:tcBorders>
                  <w:vAlign w:val="center"/>
                </w:tcPr>
                <w:p w14:paraId="274F227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3088</w:t>
                  </w:r>
                </w:p>
              </w:tc>
              <w:tc>
                <w:tcPr>
                  <w:tcW w:w="611" w:type="pct"/>
                  <w:tcBorders>
                    <w:tl2br w:val="nil"/>
                    <w:tr2bl w:val="nil"/>
                  </w:tcBorders>
                  <w:vAlign w:val="center"/>
                </w:tcPr>
                <w:p w14:paraId="16B3CAA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16679AE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7.0-9.0</w:t>
                  </w:r>
                </w:p>
              </w:tc>
              <w:tc>
                <w:tcPr>
                  <w:tcW w:w="787" w:type="pct"/>
                  <w:vMerge w:val="continue"/>
                  <w:tcBorders>
                    <w:tl2br w:val="nil"/>
                    <w:tr2bl w:val="nil"/>
                  </w:tcBorders>
                  <w:vAlign w:val="center"/>
                </w:tcPr>
                <w:p w14:paraId="712A6782">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15C4E5C9">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772B9CBA">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474FF21A">
                  <w:pPr>
                    <w:adjustRightInd w:val="0"/>
                    <w:snapToGrid w:val="0"/>
                    <w:jc w:val="center"/>
                    <w:rPr>
                      <w:rFonts w:hint="default" w:ascii="Times New Roman" w:hAnsi="Times New Roman" w:eastAsia="仿宋" w:cs="Times New Roman"/>
                      <w:bCs/>
                      <w:color w:val="auto"/>
                      <w:szCs w:val="21"/>
                    </w:rPr>
                  </w:pPr>
                </w:p>
              </w:tc>
            </w:tr>
            <w:tr w14:paraId="12C91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9E55BF8">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31B4F4F">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528DBD4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77681D4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645</w:t>
                  </w:r>
                </w:p>
              </w:tc>
              <w:tc>
                <w:tcPr>
                  <w:tcW w:w="406" w:type="pct"/>
                  <w:tcBorders>
                    <w:tl2br w:val="nil"/>
                    <w:tr2bl w:val="nil"/>
                  </w:tcBorders>
                  <w:vAlign w:val="center"/>
                </w:tcPr>
                <w:p w14:paraId="13795A7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1.99</w:t>
                  </w:r>
                </w:p>
              </w:tc>
              <w:tc>
                <w:tcPr>
                  <w:tcW w:w="787" w:type="pct"/>
                  <w:vMerge w:val="continue"/>
                  <w:tcBorders>
                    <w:tl2br w:val="nil"/>
                    <w:tr2bl w:val="nil"/>
                  </w:tcBorders>
                  <w:vAlign w:val="center"/>
                </w:tcPr>
                <w:p w14:paraId="00C5EFB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68224D5">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3858487">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6B45099B">
                  <w:pPr>
                    <w:adjustRightInd w:val="0"/>
                    <w:snapToGrid w:val="0"/>
                    <w:jc w:val="center"/>
                    <w:rPr>
                      <w:rFonts w:hint="default" w:ascii="Times New Roman" w:hAnsi="Times New Roman" w:eastAsia="仿宋" w:cs="Times New Roman"/>
                      <w:bCs/>
                      <w:color w:val="auto"/>
                      <w:szCs w:val="21"/>
                    </w:rPr>
                  </w:pPr>
                </w:p>
              </w:tc>
            </w:tr>
            <w:tr w14:paraId="75E51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8419986">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4B70313">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097F504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2BE0AFF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14</w:t>
                  </w:r>
                </w:p>
              </w:tc>
              <w:tc>
                <w:tcPr>
                  <w:tcW w:w="406" w:type="pct"/>
                  <w:tcBorders>
                    <w:tl2br w:val="nil"/>
                    <w:tr2bl w:val="nil"/>
                  </w:tcBorders>
                  <w:vAlign w:val="center"/>
                </w:tcPr>
                <w:p w14:paraId="2C1A98C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0.043</w:t>
                  </w:r>
                </w:p>
              </w:tc>
              <w:tc>
                <w:tcPr>
                  <w:tcW w:w="787" w:type="pct"/>
                  <w:vMerge w:val="continue"/>
                  <w:tcBorders>
                    <w:tl2br w:val="nil"/>
                    <w:tr2bl w:val="nil"/>
                  </w:tcBorders>
                  <w:vAlign w:val="center"/>
                </w:tcPr>
                <w:p w14:paraId="217A8D0F">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B595093">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5EA77C0">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2CF03262">
                  <w:pPr>
                    <w:adjustRightInd w:val="0"/>
                    <w:snapToGrid w:val="0"/>
                    <w:jc w:val="center"/>
                    <w:rPr>
                      <w:rFonts w:hint="default" w:ascii="Times New Roman" w:hAnsi="Times New Roman" w:eastAsia="仿宋" w:cs="Times New Roman"/>
                      <w:bCs/>
                      <w:color w:val="auto"/>
                      <w:szCs w:val="21"/>
                    </w:rPr>
                  </w:pPr>
                </w:p>
              </w:tc>
            </w:tr>
            <w:tr w14:paraId="6557E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333C852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42888FA">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7316768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647" w:type="pct"/>
                  <w:tcBorders>
                    <w:tl2br w:val="nil"/>
                    <w:tr2bl w:val="nil"/>
                  </w:tcBorders>
                  <w:vAlign w:val="center"/>
                </w:tcPr>
                <w:p w14:paraId="3A51CC2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1.25</w:t>
                  </w:r>
                </w:p>
              </w:tc>
              <w:tc>
                <w:tcPr>
                  <w:tcW w:w="406" w:type="pct"/>
                  <w:tcBorders>
                    <w:tl2br w:val="nil"/>
                    <w:tr2bl w:val="nil"/>
                  </w:tcBorders>
                  <w:vAlign w:val="center"/>
                </w:tcPr>
                <w:p w14:paraId="19609F2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0.0038</w:t>
                  </w:r>
                </w:p>
              </w:tc>
              <w:tc>
                <w:tcPr>
                  <w:tcW w:w="787" w:type="pct"/>
                  <w:vMerge w:val="continue"/>
                  <w:tcBorders>
                    <w:tl2br w:val="nil"/>
                    <w:tr2bl w:val="nil"/>
                  </w:tcBorders>
                  <w:vAlign w:val="center"/>
                </w:tcPr>
                <w:p w14:paraId="1567EBA4">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E8AF917">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754FEEA">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19798AD1">
                  <w:pPr>
                    <w:adjustRightInd w:val="0"/>
                    <w:snapToGrid w:val="0"/>
                    <w:jc w:val="center"/>
                    <w:rPr>
                      <w:rFonts w:hint="default" w:ascii="Times New Roman" w:hAnsi="Times New Roman" w:eastAsia="仿宋" w:cs="Times New Roman"/>
                      <w:bCs/>
                      <w:color w:val="auto"/>
                      <w:szCs w:val="21"/>
                    </w:rPr>
                  </w:pPr>
                </w:p>
              </w:tc>
            </w:tr>
            <w:tr w14:paraId="147F1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247B3C7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351D1F9">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6B06ABD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647" w:type="pct"/>
                  <w:tcBorders>
                    <w:tl2br w:val="nil"/>
                    <w:tr2bl w:val="nil"/>
                  </w:tcBorders>
                  <w:vAlign w:val="center"/>
                </w:tcPr>
                <w:p w14:paraId="04E88BB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1.26</w:t>
                  </w:r>
                </w:p>
              </w:tc>
              <w:tc>
                <w:tcPr>
                  <w:tcW w:w="406" w:type="pct"/>
                  <w:tcBorders>
                    <w:tl2br w:val="nil"/>
                    <w:tr2bl w:val="nil"/>
                  </w:tcBorders>
                  <w:vAlign w:val="center"/>
                </w:tcPr>
                <w:p w14:paraId="353FE95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0.0039</w:t>
                  </w:r>
                </w:p>
              </w:tc>
              <w:tc>
                <w:tcPr>
                  <w:tcW w:w="787" w:type="pct"/>
                  <w:vMerge w:val="continue"/>
                  <w:tcBorders>
                    <w:tl2br w:val="nil"/>
                    <w:tr2bl w:val="nil"/>
                  </w:tcBorders>
                  <w:vAlign w:val="center"/>
                </w:tcPr>
                <w:p w14:paraId="245BDC9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8002F28">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751F8383">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7663432D">
                  <w:pPr>
                    <w:adjustRightInd w:val="0"/>
                    <w:snapToGrid w:val="0"/>
                    <w:jc w:val="center"/>
                    <w:rPr>
                      <w:rFonts w:hint="default" w:ascii="Times New Roman" w:hAnsi="Times New Roman" w:eastAsia="仿宋" w:cs="Times New Roman"/>
                      <w:bCs/>
                      <w:color w:val="auto"/>
                      <w:szCs w:val="21"/>
                    </w:rPr>
                  </w:pPr>
                </w:p>
              </w:tc>
            </w:tr>
            <w:tr w14:paraId="1CABE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8D95AD1">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7ACCD74">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2D7F116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647" w:type="pct"/>
                  <w:tcBorders>
                    <w:tl2br w:val="nil"/>
                    <w:tr2bl w:val="nil"/>
                  </w:tcBorders>
                  <w:vAlign w:val="center"/>
                </w:tcPr>
                <w:p w14:paraId="0B75EB0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2.1</w:t>
                  </w:r>
                </w:p>
              </w:tc>
              <w:tc>
                <w:tcPr>
                  <w:tcW w:w="406" w:type="pct"/>
                  <w:tcBorders>
                    <w:tl2br w:val="nil"/>
                    <w:tr2bl w:val="nil"/>
                  </w:tcBorders>
                  <w:vAlign w:val="center"/>
                </w:tcPr>
                <w:p w14:paraId="5944352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0.0065</w:t>
                  </w:r>
                </w:p>
              </w:tc>
              <w:tc>
                <w:tcPr>
                  <w:tcW w:w="787" w:type="pct"/>
                  <w:vMerge w:val="continue"/>
                  <w:tcBorders>
                    <w:tl2br w:val="nil"/>
                    <w:tr2bl w:val="nil"/>
                  </w:tcBorders>
                  <w:vAlign w:val="center"/>
                </w:tcPr>
                <w:p w14:paraId="2088AFCB">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45D756C">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1B3A1F2A">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49CC6056">
                  <w:pPr>
                    <w:adjustRightInd w:val="0"/>
                    <w:snapToGrid w:val="0"/>
                    <w:jc w:val="center"/>
                    <w:rPr>
                      <w:rFonts w:hint="default" w:ascii="Times New Roman" w:hAnsi="Times New Roman" w:eastAsia="仿宋" w:cs="Times New Roman"/>
                      <w:bCs/>
                      <w:color w:val="auto"/>
                      <w:szCs w:val="21"/>
                    </w:rPr>
                  </w:pPr>
                </w:p>
              </w:tc>
            </w:tr>
            <w:tr w14:paraId="7A66B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62DD6134">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FBAE251">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4D3B7A9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石油类</w:t>
                  </w:r>
                </w:p>
              </w:tc>
              <w:tc>
                <w:tcPr>
                  <w:tcW w:w="647" w:type="pct"/>
                  <w:tcBorders>
                    <w:tl2br w:val="nil"/>
                    <w:tr2bl w:val="nil"/>
                  </w:tcBorders>
                  <w:vAlign w:val="center"/>
                </w:tcPr>
                <w:p w14:paraId="32235A6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26</w:t>
                  </w:r>
                </w:p>
              </w:tc>
              <w:tc>
                <w:tcPr>
                  <w:tcW w:w="406" w:type="pct"/>
                  <w:tcBorders>
                    <w:tl2br w:val="nil"/>
                    <w:tr2bl w:val="nil"/>
                  </w:tcBorders>
                  <w:vAlign w:val="center"/>
                </w:tcPr>
                <w:p w14:paraId="657404C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0.08</w:t>
                  </w:r>
                </w:p>
              </w:tc>
              <w:tc>
                <w:tcPr>
                  <w:tcW w:w="787" w:type="pct"/>
                  <w:vMerge w:val="continue"/>
                  <w:tcBorders>
                    <w:tl2br w:val="nil"/>
                    <w:tr2bl w:val="nil"/>
                  </w:tcBorders>
                  <w:vAlign w:val="center"/>
                </w:tcPr>
                <w:p w14:paraId="1DB4F21E">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C24E815">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249E7129">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4B015214">
                  <w:pPr>
                    <w:adjustRightInd w:val="0"/>
                    <w:snapToGrid w:val="0"/>
                    <w:jc w:val="center"/>
                    <w:rPr>
                      <w:rFonts w:hint="default" w:ascii="Times New Roman" w:hAnsi="Times New Roman" w:eastAsia="仿宋" w:cs="Times New Roman"/>
                      <w:bCs/>
                      <w:color w:val="auto"/>
                      <w:szCs w:val="21"/>
                    </w:rPr>
                  </w:pPr>
                </w:p>
              </w:tc>
            </w:tr>
            <w:tr w14:paraId="5A7D4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603E31C6">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FB2852E">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62E86F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LAS</w:t>
                  </w:r>
                </w:p>
              </w:tc>
              <w:tc>
                <w:tcPr>
                  <w:tcW w:w="647" w:type="pct"/>
                  <w:tcBorders>
                    <w:tl2br w:val="nil"/>
                    <w:tr2bl w:val="nil"/>
                  </w:tcBorders>
                  <w:vAlign w:val="center"/>
                </w:tcPr>
                <w:p w14:paraId="6D005D0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3.1</w:t>
                  </w:r>
                </w:p>
              </w:tc>
              <w:tc>
                <w:tcPr>
                  <w:tcW w:w="406" w:type="pct"/>
                  <w:tcBorders>
                    <w:tl2br w:val="nil"/>
                    <w:tr2bl w:val="nil"/>
                  </w:tcBorders>
                  <w:vAlign w:val="center"/>
                </w:tcPr>
                <w:p w14:paraId="5DB1970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0.0096</w:t>
                  </w:r>
                </w:p>
              </w:tc>
              <w:tc>
                <w:tcPr>
                  <w:tcW w:w="787" w:type="pct"/>
                  <w:vMerge w:val="continue"/>
                  <w:tcBorders>
                    <w:tl2br w:val="nil"/>
                    <w:tr2bl w:val="nil"/>
                  </w:tcBorders>
                  <w:vAlign w:val="center"/>
                </w:tcPr>
                <w:p w14:paraId="4D64EF23">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E23CC58">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1B93FFA">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0127B906">
                  <w:pPr>
                    <w:adjustRightInd w:val="0"/>
                    <w:snapToGrid w:val="0"/>
                    <w:jc w:val="center"/>
                    <w:rPr>
                      <w:rFonts w:hint="default" w:ascii="Times New Roman" w:hAnsi="Times New Roman" w:eastAsia="仿宋" w:cs="Times New Roman"/>
                      <w:bCs/>
                      <w:color w:val="auto"/>
                      <w:szCs w:val="21"/>
                    </w:rPr>
                  </w:pPr>
                </w:p>
              </w:tc>
            </w:tr>
            <w:tr w14:paraId="0056B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vAlign w:val="center"/>
                </w:tcPr>
                <w:p w14:paraId="58259164">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研磨废水</w:t>
                  </w:r>
                </w:p>
              </w:tc>
              <w:tc>
                <w:tcPr>
                  <w:tcW w:w="332" w:type="pct"/>
                  <w:vMerge w:val="restart"/>
                  <w:tcBorders>
                    <w:tl2br w:val="nil"/>
                    <w:tr2bl w:val="nil"/>
                  </w:tcBorders>
                  <w:vAlign w:val="center"/>
                </w:tcPr>
                <w:p w14:paraId="3EC81812">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w:t>
                  </w:r>
                </w:p>
              </w:tc>
              <w:tc>
                <w:tcPr>
                  <w:tcW w:w="611" w:type="pct"/>
                  <w:tcBorders>
                    <w:tl2br w:val="nil"/>
                    <w:tr2bl w:val="nil"/>
                  </w:tcBorders>
                  <w:vAlign w:val="center"/>
                </w:tcPr>
                <w:p w14:paraId="07C3C7C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7BB89C8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7.0-9.0</w:t>
                  </w:r>
                </w:p>
              </w:tc>
              <w:tc>
                <w:tcPr>
                  <w:tcW w:w="787" w:type="pct"/>
                  <w:vMerge w:val="continue"/>
                  <w:tcBorders>
                    <w:tl2br w:val="nil"/>
                    <w:tr2bl w:val="nil"/>
                  </w:tcBorders>
                  <w:vAlign w:val="center"/>
                </w:tcPr>
                <w:p w14:paraId="3DDB88BB">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29970BFA">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7BA52714">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61D17909">
                  <w:pPr>
                    <w:adjustRightInd w:val="0"/>
                    <w:snapToGrid w:val="0"/>
                    <w:jc w:val="center"/>
                    <w:rPr>
                      <w:rFonts w:hint="default" w:ascii="Times New Roman" w:hAnsi="Times New Roman" w:eastAsia="仿宋" w:cs="Times New Roman"/>
                      <w:bCs/>
                      <w:color w:val="auto"/>
                      <w:szCs w:val="21"/>
                    </w:rPr>
                  </w:pPr>
                </w:p>
              </w:tc>
            </w:tr>
            <w:tr w14:paraId="78830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720E1F9">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4BB0A09">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1752102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33866DE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500</w:t>
                  </w:r>
                </w:p>
              </w:tc>
              <w:tc>
                <w:tcPr>
                  <w:tcW w:w="406" w:type="pct"/>
                  <w:tcBorders>
                    <w:tl2br w:val="nil"/>
                    <w:tr2bl w:val="nil"/>
                  </w:tcBorders>
                  <w:vAlign w:val="center"/>
                </w:tcPr>
                <w:p w14:paraId="022E294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0.0035</w:t>
                  </w:r>
                </w:p>
              </w:tc>
              <w:tc>
                <w:tcPr>
                  <w:tcW w:w="787" w:type="pct"/>
                  <w:vMerge w:val="continue"/>
                  <w:tcBorders>
                    <w:tl2br w:val="nil"/>
                    <w:tr2bl w:val="nil"/>
                  </w:tcBorders>
                  <w:vAlign w:val="center"/>
                </w:tcPr>
                <w:p w14:paraId="612D315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68E5F2C">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F41E752">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00BB371A">
                  <w:pPr>
                    <w:adjustRightInd w:val="0"/>
                    <w:snapToGrid w:val="0"/>
                    <w:jc w:val="center"/>
                    <w:rPr>
                      <w:rFonts w:hint="default" w:ascii="Times New Roman" w:hAnsi="Times New Roman" w:eastAsia="仿宋" w:cs="Times New Roman"/>
                      <w:bCs/>
                      <w:color w:val="auto"/>
                      <w:szCs w:val="21"/>
                    </w:rPr>
                  </w:pPr>
                </w:p>
              </w:tc>
            </w:tr>
            <w:tr w14:paraId="523B6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85301BA">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51506FF4">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2F4E32E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29FAF9A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200</w:t>
                  </w:r>
                </w:p>
              </w:tc>
              <w:tc>
                <w:tcPr>
                  <w:tcW w:w="406" w:type="pct"/>
                  <w:tcBorders>
                    <w:tl2br w:val="nil"/>
                    <w:tr2bl w:val="nil"/>
                  </w:tcBorders>
                  <w:vAlign w:val="center"/>
                </w:tcPr>
                <w:p w14:paraId="4F26083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0.0014</w:t>
                  </w:r>
                </w:p>
              </w:tc>
              <w:tc>
                <w:tcPr>
                  <w:tcW w:w="787" w:type="pct"/>
                  <w:vMerge w:val="continue"/>
                  <w:tcBorders>
                    <w:tl2br w:val="nil"/>
                    <w:tr2bl w:val="nil"/>
                  </w:tcBorders>
                  <w:vAlign w:val="center"/>
                </w:tcPr>
                <w:p w14:paraId="11B691A6">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2AB5375E">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10689A0E">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27706D95">
                  <w:pPr>
                    <w:adjustRightInd w:val="0"/>
                    <w:snapToGrid w:val="0"/>
                    <w:jc w:val="center"/>
                    <w:rPr>
                      <w:rFonts w:hint="default" w:ascii="Times New Roman" w:hAnsi="Times New Roman" w:eastAsia="仿宋" w:cs="Times New Roman"/>
                      <w:bCs/>
                      <w:color w:val="auto"/>
                      <w:szCs w:val="21"/>
                    </w:rPr>
                  </w:pPr>
                </w:p>
              </w:tc>
            </w:tr>
            <w:tr w14:paraId="55C4F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7149C10">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496BCB96">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169C69B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647" w:type="pct"/>
                  <w:tcBorders>
                    <w:tl2br w:val="nil"/>
                    <w:tr2bl w:val="nil"/>
                  </w:tcBorders>
                  <w:vAlign w:val="center"/>
                </w:tcPr>
                <w:p w14:paraId="76FDD04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06" w:type="pct"/>
                  <w:tcBorders>
                    <w:tl2br w:val="nil"/>
                    <w:tr2bl w:val="nil"/>
                  </w:tcBorders>
                  <w:vAlign w:val="center"/>
                </w:tcPr>
                <w:p w14:paraId="51EF7DF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0.000007</w:t>
                  </w:r>
                </w:p>
              </w:tc>
              <w:tc>
                <w:tcPr>
                  <w:tcW w:w="787" w:type="pct"/>
                  <w:vMerge w:val="continue"/>
                  <w:tcBorders>
                    <w:tl2br w:val="nil"/>
                    <w:tr2bl w:val="nil"/>
                  </w:tcBorders>
                  <w:vAlign w:val="center"/>
                </w:tcPr>
                <w:p w14:paraId="4F9F2DE8">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0A66080E">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6363DC23">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3F904B46">
                  <w:pPr>
                    <w:adjustRightInd w:val="0"/>
                    <w:snapToGrid w:val="0"/>
                    <w:jc w:val="center"/>
                    <w:rPr>
                      <w:rFonts w:hint="default" w:ascii="Times New Roman" w:hAnsi="Times New Roman" w:eastAsia="仿宋" w:cs="Times New Roman"/>
                      <w:bCs/>
                      <w:color w:val="auto"/>
                      <w:szCs w:val="21"/>
                    </w:rPr>
                  </w:pPr>
                </w:p>
              </w:tc>
            </w:tr>
            <w:tr w14:paraId="4ABD9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6D1E169C">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3779246F">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6AD46BD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TN</w:t>
                  </w:r>
                </w:p>
              </w:tc>
              <w:tc>
                <w:tcPr>
                  <w:tcW w:w="647" w:type="pct"/>
                  <w:tcBorders>
                    <w:tl2br w:val="nil"/>
                    <w:tr2bl w:val="nil"/>
                  </w:tcBorders>
                  <w:vAlign w:val="center"/>
                </w:tcPr>
                <w:p w14:paraId="506DEE7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w:t>
                  </w:r>
                </w:p>
              </w:tc>
              <w:tc>
                <w:tcPr>
                  <w:tcW w:w="406" w:type="pct"/>
                  <w:tcBorders>
                    <w:tl2br w:val="nil"/>
                    <w:tr2bl w:val="nil"/>
                  </w:tcBorders>
                  <w:vAlign w:val="center"/>
                </w:tcPr>
                <w:p w14:paraId="5E7DA60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0.00001</w:t>
                  </w:r>
                </w:p>
              </w:tc>
              <w:tc>
                <w:tcPr>
                  <w:tcW w:w="787" w:type="pct"/>
                  <w:vMerge w:val="continue"/>
                  <w:tcBorders>
                    <w:tl2br w:val="nil"/>
                    <w:tr2bl w:val="nil"/>
                  </w:tcBorders>
                  <w:vAlign w:val="center"/>
                </w:tcPr>
                <w:p w14:paraId="10F4538C">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130F9CE0">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703B9FE">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27B05727">
                  <w:pPr>
                    <w:adjustRightInd w:val="0"/>
                    <w:snapToGrid w:val="0"/>
                    <w:jc w:val="center"/>
                    <w:rPr>
                      <w:rFonts w:hint="default" w:ascii="Times New Roman" w:hAnsi="Times New Roman" w:eastAsia="仿宋" w:cs="Times New Roman"/>
                      <w:bCs/>
                      <w:color w:val="auto"/>
                      <w:szCs w:val="21"/>
                    </w:rPr>
                  </w:pPr>
                </w:p>
              </w:tc>
            </w:tr>
            <w:tr w14:paraId="07A5D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9" w:hRule="atLeast"/>
                <w:jc w:val="center"/>
              </w:trPr>
              <w:tc>
                <w:tcPr>
                  <w:tcW w:w="469" w:type="pct"/>
                  <w:vMerge w:val="continue"/>
                  <w:tcBorders>
                    <w:tl2br w:val="nil"/>
                    <w:tr2bl w:val="nil"/>
                  </w:tcBorders>
                  <w:vAlign w:val="center"/>
                </w:tcPr>
                <w:p w14:paraId="5115536C">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7969E4BF">
                  <w:pPr>
                    <w:pStyle w:val="12"/>
                    <w:adjustRightInd w:val="0"/>
                    <w:snapToGrid w:val="0"/>
                    <w:spacing w:line="240" w:lineRule="auto"/>
                    <w:jc w:val="center"/>
                    <w:rPr>
                      <w:rFonts w:hint="default" w:ascii="Times New Roman" w:hAnsi="Times New Roman" w:eastAsia="仿宋" w:cs="Times New Roman"/>
                      <w:color w:val="auto"/>
                      <w:szCs w:val="21"/>
                    </w:rPr>
                  </w:pPr>
                </w:p>
              </w:tc>
              <w:tc>
                <w:tcPr>
                  <w:tcW w:w="611" w:type="pct"/>
                  <w:tcBorders>
                    <w:tl2br w:val="nil"/>
                    <w:tr2bl w:val="nil"/>
                  </w:tcBorders>
                  <w:vAlign w:val="center"/>
                </w:tcPr>
                <w:p w14:paraId="34E8803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LAS</w:t>
                  </w:r>
                </w:p>
              </w:tc>
              <w:tc>
                <w:tcPr>
                  <w:tcW w:w="647" w:type="pct"/>
                  <w:tcBorders>
                    <w:tl2br w:val="nil"/>
                    <w:tr2bl w:val="nil"/>
                  </w:tcBorders>
                  <w:vAlign w:val="center"/>
                </w:tcPr>
                <w:p w14:paraId="48157B9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406" w:type="pct"/>
                  <w:tcBorders>
                    <w:tl2br w:val="nil"/>
                    <w:tr2bl w:val="nil"/>
                  </w:tcBorders>
                  <w:vAlign w:val="center"/>
                </w:tcPr>
                <w:p w14:paraId="653E8AC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0.000021</w:t>
                  </w:r>
                </w:p>
              </w:tc>
              <w:tc>
                <w:tcPr>
                  <w:tcW w:w="787" w:type="pct"/>
                  <w:vMerge w:val="continue"/>
                  <w:tcBorders>
                    <w:tl2br w:val="nil"/>
                    <w:tr2bl w:val="nil"/>
                  </w:tcBorders>
                  <w:vAlign w:val="center"/>
                </w:tcPr>
                <w:p w14:paraId="755D7742">
                  <w:pPr>
                    <w:pStyle w:val="12"/>
                    <w:adjustRightInd w:val="0"/>
                    <w:snapToGrid w:val="0"/>
                    <w:spacing w:line="240" w:lineRule="auto"/>
                    <w:jc w:val="center"/>
                    <w:rPr>
                      <w:rFonts w:hint="default" w:ascii="Times New Roman" w:hAnsi="Times New Roman" w:eastAsia="仿宋" w:cs="Times New Roman"/>
                      <w:color w:val="auto"/>
                      <w:szCs w:val="21"/>
                    </w:rPr>
                  </w:pPr>
                </w:p>
              </w:tc>
              <w:tc>
                <w:tcPr>
                  <w:tcW w:w="332" w:type="pct"/>
                  <w:vMerge w:val="continue"/>
                  <w:tcBorders>
                    <w:tl2br w:val="nil"/>
                    <w:tr2bl w:val="nil"/>
                  </w:tcBorders>
                  <w:vAlign w:val="center"/>
                </w:tcPr>
                <w:p w14:paraId="6B0802FE">
                  <w:pPr>
                    <w:adjustRightInd w:val="0"/>
                    <w:snapToGrid w:val="0"/>
                    <w:jc w:val="center"/>
                    <w:rPr>
                      <w:rFonts w:hint="default" w:ascii="Times New Roman" w:hAnsi="Times New Roman" w:eastAsia="仿宋" w:cs="Times New Roman"/>
                      <w:bCs/>
                      <w:color w:val="auto"/>
                      <w:szCs w:val="21"/>
                    </w:rPr>
                  </w:pPr>
                </w:p>
              </w:tc>
              <w:tc>
                <w:tcPr>
                  <w:tcW w:w="869" w:type="pct"/>
                  <w:vMerge w:val="continue"/>
                  <w:tcBorders>
                    <w:tl2br w:val="nil"/>
                    <w:tr2bl w:val="nil"/>
                  </w:tcBorders>
                  <w:vAlign w:val="center"/>
                </w:tcPr>
                <w:p w14:paraId="40ADC586">
                  <w:pPr>
                    <w:adjustRightInd w:val="0"/>
                    <w:snapToGrid w:val="0"/>
                    <w:jc w:val="center"/>
                    <w:rPr>
                      <w:rFonts w:hint="default" w:ascii="Times New Roman" w:hAnsi="Times New Roman" w:eastAsia="仿宋" w:cs="Times New Roman"/>
                      <w:color w:val="auto"/>
                      <w:szCs w:val="21"/>
                    </w:rPr>
                  </w:pPr>
                </w:p>
              </w:tc>
              <w:tc>
                <w:tcPr>
                  <w:tcW w:w="545" w:type="pct"/>
                  <w:vMerge w:val="continue"/>
                  <w:tcBorders>
                    <w:tl2br w:val="nil"/>
                    <w:tr2bl w:val="nil"/>
                  </w:tcBorders>
                  <w:vAlign w:val="center"/>
                </w:tcPr>
                <w:p w14:paraId="4B54585E">
                  <w:pPr>
                    <w:adjustRightInd w:val="0"/>
                    <w:snapToGrid w:val="0"/>
                    <w:jc w:val="center"/>
                    <w:rPr>
                      <w:rFonts w:hint="default" w:ascii="Times New Roman" w:hAnsi="Times New Roman" w:eastAsia="仿宋" w:cs="Times New Roman"/>
                      <w:bCs/>
                      <w:color w:val="auto"/>
                      <w:szCs w:val="21"/>
                    </w:rPr>
                  </w:pPr>
                </w:p>
              </w:tc>
            </w:tr>
            <w:tr w14:paraId="4FED2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9" w:type="pct"/>
                  <w:vMerge w:val="restart"/>
                  <w:tcBorders>
                    <w:tl2br w:val="nil"/>
                    <w:tr2bl w:val="nil"/>
                  </w:tcBorders>
                  <w:vAlign w:val="center"/>
                </w:tcPr>
                <w:p w14:paraId="4AAA5EDF">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最终清洗废水</w:t>
                  </w:r>
                </w:p>
              </w:tc>
              <w:tc>
                <w:tcPr>
                  <w:tcW w:w="332" w:type="pct"/>
                  <w:vMerge w:val="restart"/>
                  <w:tcBorders>
                    <w:tl2br w:val="nil"/>
                    <w:tr2bl w:val="nil"/>
                  </w:tcBorders>
                  <w:vAlign w:val="center"/>
                </w:tcPr>
                <w:p w14:paraId="086842BD">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1544</w:t>
                  </w:r>
                </w:p>
              </w:tc>
              <w:tc>
                <w:tcPr>
                  <w:tcW w:w="611" w:type="pct"/>
                  <w:tcBorders>
                    <w:tl2br w:val="nil"/>
                    <w:tr2bl w:val="nil"/>
                  </w:tcBorders>
                  <w:vAlign w:val="center"/>
                </w:tcPr>
                <w:p w14:paraId="69A6123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64F6C6C0">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2.0-3.0</w:t>
                  </w:r>
                </w:p>
              </w:tc>
              <w:tc>
                <w:tcPr>
                  <w:tcW w:w="787" w:type="pct"/>
                  <w:vMerge w:val="restart"/>
                  <w:tcBorders>
                    <w:tl2br w:val="nil"/>
                    <w:tr2bl w:val="nil"/>
                  </w:tcBorders>
                  <w:vAlign w:val="center"/>
                </w:tcPr>
                <w:p w14:paraId="678F290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水量：</w:t>
                  </w:r>
                  <w:r>
                    <w:rPr>
                      <w:rFonts w:hint="default" w:ascii="Times New Roman" w:hAnsi="Times New Roman" w:eastAsia="仿宋" w:cs="Times New Roman"/>
                      <w:color w:val="auto"/>
                      <w:szCs w:val="21"/>
                      <w:highlight w:val="none"/>
                      <w:lang w:val="en-US" w:eastAsia="zh-CN"/>
                    </w:rPr>
                    <w:t>288</w:t>
                  </w:r>
                  <w:r>
                    <w:rPr>
                      <w:rFonts w:hint="eastAsia" w:eastAsia="仿宋" w:cs="Times New Roman"/>
                      <w:color w:val="auto"/>
                      <w:szCs w:val="21"/>
                      <w:highlight w:val="none"/>
                      <w:lang w:val="en-US" w:eastAsia="zh-CN"/>
                    </w:rPr>
                    <w:t>6.5</w:t>
                  </w:r>
                  <w:r>
                    <w:rPr>
                      <w:rFonts w:hint="default" w:ascii="Times New Roman" w:hAnsi="Times New Roman" w:eastAsia="仿宋" w:cs="Times New Roman"/>
                      <w:color w:val="auto"/>
                      <w:szCs w:val="21"/>
                      <w:highlight w:val="none"/>
                    </w:rPr>
                    <w:t>t/a；</w:t>
                  </w:r>
                </w:p>
                <w:p w14:paraId="17826A07">
                  <w:pPr>
                    <w:adjustRightInd w:val="0"/>
                    <w:snapToGrid w:val="0"/>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COD：</w:t>
                  </w:r>
                  <w:r>
                    <w:rPr>
                      <w:rFonts w:hint="default" w:ascii="Times New Roman" w:hAnsi="Times New Roman" w:eastAsia="仿宋" w:cs="Times New Roman"/>
                      <w:color w:val="auto"/>
                      <w:szCs w:val="21"/>
                      <w:highlight w:val="none"/>
                      <w:lang w:val="en-US" w:eastAsia="zh-CN"/>
                    </w:rPr>
                    <w:t>563</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1.6</w:t>
                  </w:r>
                  <w:r>
                    <w:rPr>
                      <w:rFonts w:hint="default" w:ascii="Times New Roman" w:hAnsi="Times New Roman" w:eastAsia="仿宋" w:cs="Times New Roman"/>
                      <w:color w:val="auto"/>
                      <w:szCs w:val="21"/>
                      <w:highlight w:val="none"/>
                      <w:lang w:val="en-US" w:eastAsia="zh-CN"/>
                    </w:rPr>
                    <w:t>24</w:t>
                  </w:r>
                  <w:r>
                    <w:rPr>
                      <w:rFonts w:hint="default" w:ascii="Times New Roman" w:hAnsi="Times New Roman" w:eastAsia="仿宋" w:cs="Times New Roman"/>
                      <w:color w:val="auto"/>
                      <w:szCs w:val="21"/>
                      <w:highlight w:val="none"/>
                    </w:rPr>
                    <w:t>t/a</w:t>
                  </w:r>
                  <w:r>
                    <w:rPr>
                      <w:rFonts w:hint="default" w:ascii="Times New Roman" w:hAnsi="Times New Roman" w:eastAsia="仿宋" w:cs="Times New Roman"/>
                      <w:color w:val="auto"/>
                      <w:szCs w:val="21"/>
                      <w:highlight w:val="none"/>
                      <w:lang w:eastAsia="zh-CN"/>
                    </w:rPr>
                    <w:t>；</w:t>
                  </w:r>
                </w:p>
                <w:p w14:paraId="2CE33E60">
                  <w:pPr>
                    <w:adjustRightInd w:val="0"/>
                    <w:snapToGrid w:val="0"/>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SS：</w:t>
                  </w:r>
                  <w:r>
                    <w:rPr>
                      <w:rFonts w:hint="default" w:ascii="Times New Roman" w:hAnsi="Times New Roman" w:eastAsia="仿宋" w:cs="Times New Roman"/>
                      <w:color w:val="auto"/>
                      <w:szCs w:val="21"/>
                      <w:highlight w:val="none"/>
                      <w:lang w:val="en-US" w:eastAsia="zh-CN"/>
                    </w:rPr>
                    <w:t>27</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0.07</w:t>
                  </w:r>
                  <w:r>
                    <w:rPr>
                      <w:rFonts w:hint="default" w:ascii="Times New Roman" w:hAnsi="Times New Roman" w:eastAsia="仿宋" w:cs="Times New Roman"/>
                      <w:color w:val="auto"/>
                      <w:szCs w:val="21"/>
                      <w:highlight w:val="none"/>
                      <w:lang w:val="en-US" w:eastAsia="zh-CN"/>
                    </w:rPr>
                    <w:t>7</w:t>
                  </w:r>
                  <w:r>
                    <w:rPr>
                      <w:rFonts w:hint="default" w:ascii="Times New Roman" w:hAnsi="Times New Roman" w:eastAsia="仿宋" w:cs="Times New Roman"/>
                      <w:color w:val="auto"/>
                      <w:szCs w:val="21"/>
                      <w:highlight w:val="none"/>
                    </w:rPr>
                    <w:t>t/a</w:t>
                  </w:r>
                  <w:r>
                    <w:rPr>
                      <w:rFonts w:hint="default" w:ascii="Times New Roman" w:hAnsi="Times New Roman" w:eastAsia="仿宋" w:cs="Times New Roman"/>
                      <w:color w:val="auto"/>
                      <w:szCs w:val="21"/>
                      <w:highlight w:val="none"/>
                      <w:lang w:eastAsia="zh-CN"/>
                    </w:rPr>
                    <w:t>；</w:t>
                  </w:r>
                </w:p>
                <w:p w14:paraId="31F3EB76">
                  <w:pPr>
                    <w:adjustRightInd w:val="0"/>
                    <w:snapToGrid w:val="0"/>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氨氮：</w:t>
                  </w:r>
                  <w:r>
                    <w:rPr>
                      <w:rFonts w:hint="default" w:ascii="Times New Roman" w:hAnsi="Times New Roman" w:eastAsia="仿宋" w:cs="Times New Roman"/>
                      <w:color w:val="auto"/>
                      <w:szCs w:val="21"/>
                      <w:highlight w:val="none"/>
                      <w:lang w:val="en-US" w:eastAsia="zh-CN"/>
                    </w:rPr>
                    <w:t>0.</w:t>
                  </w:r>
                  <w:r>
                    <w:rPr>
                      <w:rFonts w:hint="eastAsia" w:eastAsia="仿宋" w:cs="Times New Roman"/>
                      <w:color w:val="auto"/>
                      <w:szCs w:val="21"/>
                      <w:highlight w:val="none"/>
                      <w:lang w:val="en-US" w:eastAsia="zh-CN"/>
                    </w:rPr>
                    <w:t>1</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0.0003t/a</w:t>
                  </w:r>
                  <w:r>
                    <w:rPr>
                      <w:rFonts w:hint="default" w:ascii="Times New Roman" w:hAnsi="Times New Roman" w:eastAsia="仿宋" w:cs="Times New Roman"/>
                      <w:color w:val="auto"/>
                      <w:szCs w:val="21"/>
                      <w:highlight w:val="none"/>
                      <w:lang w:eastAsia="zh-CN"/>
                    </w:rPr>
                    <w:t>；</w:t>
                  </w:r>
                </w:p>
                <w:p w14:paraId="4BD550C3">
                  <w:pPr>
                    <w:adjustRightInd w:val="0"/>
                    <w:snapToGrid w:val="0"/>
                    <w:jc w:val="center"/>
                    <w:rPr>
                      <w:rFonts w:hint="default" w:ascii="Times New Roman" w:hAnsi="Times New Roman" w:eastAsia="仿宋" w:cs="Times New Roman"/>
                      <w:bCs/>
                      <w:color w:val="auto"/>
                      <w:szCs w:val="21"/>
                      <w:highlight w:val="none"/>
                      <w:lang w:eastAsia="zh-CN"/>
                    </w:rPr>
                  </w:pPr>
                  <w:r>
                    <w:rPr>
                      <w:rFonts w:hint="default" w:ascii="Times New Roman" w:hAnsi="Times New Roman" w:eastAsia="仿宋" w:cs="Times New Roman"/>
                      <w:color w:val="auto"/>
                      <w:szCs w:val="21"/>
                      <w:highlight w:val="none"/>
                    </w:rPr>
                    <w:t>总铜：</w:t>
                  </w:r>
                  <w:r>
                    <w:rPr>
                      <w:rFonts w:hint="default" w:ascii="Times New Roman" w:hAnsi="Times New Roman" w:eastAsia="仿宋" w:cs="Times New Roman"/>
                      <w:color w:val="auto"/>
                      <w:szCs w:val="21"/>
                      <w:highlight w:val="none"/>
                      <w:lang w:val="en-US" w:eastAsia="zh-CN"/>
                    </w:rPr>
                    <w:t>25</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0.071t/a</w:t>
                  </w:r>
                  <w:r>
                    <w:rPr>
                      <w:rFonts w:hint="default" w:ascii="Times New Roman" w:hAnsi="Times New Roman" w:eastAsia="仿宋" w:cs="Times New Roman"/>
                      <w:color w:val="auto"/>
                      <w:szCs w:val="21"/>
                      <w:highlight w:val="none"/>
                      <w:lang w:eastAsia="zh-CN"/>
                    </w:rPr>
                    <w:t>；</w:t>
                  </w:r>
                </w:p>
                <w:p w14:paraId="7794C0C2">
                  <w:pPr>
                    <w:adjustRightInd w:val="0"/>
                    <w:snapToGrid w:val="0"/>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总镍：</w:t>
                  </w:r>
                  <w:r>
                    <w:rPr>
                      <w:rFonts w:hint="default" w:ascii="Times New Roman" w:hAnsi="Times New Roman" w:eastAsia="仿宋" w:cs="Times New Roman"/>
                      <w:color w:val="auto"/>
                      <w:szCs w:val="21"/>
                      <w:highlight w:val="none"/>
                      <w:lang w:val="en-US" w:eastAsia="zh-CN"/>
                    </w:rPr>
                    <w:t>1.04</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0.003t/a</w:t>
                  </w:r>
                  <w:r>
                    <w:rPr>
                      <w:rFonts w:hint="default" w:ascii="Times New Roman" w:hAnsi="Times New Roman" w:eastAsia="仿宋" w:cs="Times New Roman"/>
                      <w:color w:val="auto"/>
                      <w:szCs w:val="21"/>
                      <w:highlight w:val="none"/>
                      <w:lang w:eastAsia="zh-CN"/>
                    </w:rPr>
                    <w:t>；</w:t>
                  </w:r>
                </w:p>
                <w:p w14:paraId="00408E9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highlight w:val="none"/>
                    </w:rPr>
                    <w:t>总铬：</w:t>
                  </w:r>
                  <w:r>
                    <w:rPr>
                      <w:rFonts w:hint="default" w:ascii="Times New Roman" w:hAnsi="Times New Roman" w:eastAsia="仿宋" w:cs="Times New Roman"/>
                      <w:color w:val="auto"/>
                      <w:szCs w:val="21"/>
                      <w:highlight w:val="none"/>
                      <w:lang w:val="en-US" w:eastAsia="zh-CN"/>
                    </w:rPr>
                    <w:t>1.7</w:t>
                  </w:r>
                  <w:r>
                    <w:rPr>
                      <w:rFonts w:hint="default" w:ascii="Times New Roman" w:hAnsi="Times New Roman" w:eastAsia="仿宋" w:cs="Times New Roman"/>
                      <w:color w:val="auto"/>
                      <w:szCs w:val="21"/>
                      <w:highlight w:val="none"/>
                    </w:rPr>
                    <w:t>mg/L</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0.00</w:t>
                  </w:r>
                  <w:r>
                    <w:rPr>
                      <w:rFonts w:hint="eastAsia" w:eastAsia="仿宋" w:cs="Times New Roman"/>
                      <w:color w:val="auto"/>
                      <w:szCs w:val="21"/>
                      <w:highlight w:val="none"/>
                      <w:lang w:val="en-US" w:eastAsia="zh-CN"/>
                    </w:rPr>
                    <w:t>5</w:t>
                  </w:r>
                  <w:r>
                    <w:rPr>
                      <w:rFonts w:hint="default" w:ascii="Times New Roman" w:hAnsi="Times New Roman" w:eastAsia="仿宋" w:cs="Times New Roman"/>
                      <w:color w:val="auto"/>
                      <w:szCs w:val="21"/>
                      <w:highlight w:val="none"/>
                    </w:rPr>
                    <w:t>t/a</w:t>
                  </w:r>
                </w:p>
              </w:tc>
              <w:tc>
                <w:tcPr>
                  <w:tcW w:w="332" w:type="pct"/>
                  <w:vMerge w:val="restart"/>
                  <w:tcBorders>
                    <w:tl2br w:val="nil"/>
                    <w:tr2bl w:val="nil"/>
                  </w:tcBorders>
                  <w:vAlign w:val="center"/>
                </w:tcPr>
                <w:p w14:paraId="7D8A032C">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color w:val="auto"/>
                      <w:szCs w:val="21"/>
                      <w:lang w:val="en-US" w:eastAsia="zh-CN"/>
                    </w:rPr>
                    <w:t>厂内含重金属污水处理站</w:t>
                  </w:r>
                </w:p>
              </w:tc>
              <w:tc>
                <w:tcPr>
                  <w:tcW w:w="1414" w:type="pct"/>
                  <w:gridSpan w:val="2"/>
                  <w:vMerge w:val="restart"/>
                  <w:tcBorders>
                    <w:tl2br w:val="nil"/>
                    <w:tr2bl w:val="nil"/>
                  </w:tcBorders>
                  <w:vAlign w:val="center"/>
                </w:tcPr>
                <w:p w14:paraId="2EF72E19">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全部回用于冷却塔，不外排</w:t>
                  </w:r>
                </w:p>
              </w:tc>
            </w:tr>
            <w:tr w14:paraId="14FB0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139113CC">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31742796">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15FABAF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2CDF6A1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1015</w:t>
                  </w:r>
                </w:p>
              </w:tc>
              <w:tc>
                <w:tcPr>
                  <w:tcW w:w="406" w:type="pct"/>
                  <w:tcBorders>
                    <w:tl2br w:val="nil"/>
                    <w:tr2bl w:val="nil"/>
                  </w:tcBorders>
                  <w:vAlign w:val="center"/>
                </w:tcPr>
                <w:p w14:paraId="5623228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1.57</w:t>
                  </w:r>
                </w:p>
              </w:tc>
              <w:tc>
                <w:tcPr>
                  <w:tcW w:w="787" w:type="pct"/>
                  <w:vMerge w:val="continue"/>
                  <w:tcBorders>
                    <w:tl2br w:val="nil"/>
                    <w:tr2bl w:val="nil"/>
                  </w:tcBorders>
                  <w:vAlign w:val="center"/>
                </w:tcPr>
                <w:p w14:paraId="3D6E127D">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35CDD870">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30B9BA56">
                  <w:pPr>
                    <w:adjustRightInd w:val="0"/>
                    <w:snapToGrid w:val="0"/>
                    <w:jc w:val="center"/>
                    <w:rPr>
                      <w:rFonts w:hint="default" w:ascii="Times New Roman" w:hAnsi="Times New Roman" w:eastAsia="仿宋" w:cs="Times New Roman"/>
                      <w:bCs/>
                      <w:color w:val="auto"/>
                      <w:szCs w:val="21"/>
                    </w:rPr>
                  </w:pPr>
                </w:p>
              </w:tc>
            </w:tr>
            <w:tr w14:paraId="22F57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70A7BC5">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7BAB9148">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3B61D40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43923DB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w:t>
                  </w:r>
                </w:p>
              </w:tc>
              <w:tc>
                <w:tcPr>
                  <w:tcW w:w="406" w:type="pct"/>
                  <w:tcBorders>
                    <w:tl2br w:val="nil"/>
                    <w:tr2bl w:val="nil"/>
                  </w:tcBorders>
                  <w:vAlign w:val="center"/>
                </w:tcPr>
                <w:p w14:paraId="0B9D0AF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0.023</w:t>
                  </w:r>
                </w:p>
              </w:tc>
              <w:tc>
                <w:tcPr>
                  <w:tcW w:w="787" w:type="pct"/>
                  <w:vMerge w:val="continue"/>
                  <w:tcBorders>
                    <w:tl2br w:val="nil"/>
                    <w:tr2bl w:val="nil"/>
                  </w:tcBorders>
                  <w:vAlign w:val="center"/>
                </w:tcPr>
                <w:p w14:paraId="0968F9B8">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31C561A1">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20F8341C">
                  <w:pPr>
                    <w:adjustRightInd w:val="0"/>
                    <w:snapToGrid w:val="0"/>
                    <w:jc w:val="center"/>
                    <w:rPr>
                      <w:rFonts w:hint="default" w:ascii="Times New Roman" w:hAnsi="Times New Roman" w:eastAsia="仿宋" w:cs="Times New Roman"/>
                      <w:bCs/>
                      <w:color w:val="auto"/>
                      <w:szCs w:val="21"/>
                    </w:rPr>
                  </w:pPr>
                </w:p>
              </w:tc>
            </w:tr>
            <w:tr w14:paraId="6218F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4B29740D">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0CE3D2DD">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3FF3BA6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647" w:type="pct"/>
                  <w:tcBorders>
                    <w:tl2br w:val="nil"/>
                    <w:tr2bl w:val="nil"/>
                  </w:tcBorders>
                  <w:vAlign w:val="center"/>
                </w:tcPr>
                <w:p w14:paraId="4F1FEA0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w:t>
                  </w:r>
                </w:p>
              </w:tc>
              <w:tc>
                <w:tcPr>
                  <w:tcW w:w="406" w:type="pct"/>
                  <w:tcBorders>
                    <w:tl2br w:val="nil"/>
                    <w:tr2bl w:val="nil"/>
                  </w:tcBorders>
                  <w:vAlign w:val="center"/>
                </w:tcPr>
                <w:p w14:paraId="26D1B58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0.0003</w:t>
                  </w:r>
                </w:p>
              </w:tc>
              <w:tc>
                <w:tcPr>
                  <w:tcW w:w="787" w:type="pct"/>
                  <w:vMerge w:val="continue"/>
                  <w:tcBorders>
                    <w:tl2br w:val="nil"/>
                    <w:tr2bl w:val="nil"/>
                  </w:tcBorders>
                  <w:vAlign w:val="center"/>
                </w:tcPr>
                <w:p w14:paraId="38F5547B">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3F2635AE">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5FDDB327">
                  <w:pPr>
                    <w:adjustRightInd w:val="0"/>
                    <w:snapToGrid w:val="0"/>
                    <w:jc w:val="center"/>
                    <w:rPr>
                      <w:rFonts w:hint="default" w:ascii="Times New Roman" w:hAnsi="Times New Roman" w:eastAsia="仿宋" w:cs="Times New Roman"/>
                      <w:bCs/>
                      <w:color w:val="auto"/>
                      <w:szCs w:val="21"/>
                    </w:rPr>
                  </w:pPr>
                </w:p>
              </w:tc>
            </w:tr>
            <w:tr w14:paraId="2E640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8897C12">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43796FDD">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70D85D9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总铜</w:t>
                  </w:r>
                </w:p>
              </w:tc>
              <w:tc>
                <w:tcPr>
                  <w:tcW w:w="647" w:type="pct"/>
                  <w:tcBorders>
                    <w:tl2br w:val="nil"/>
                    <w:tr2bl w:val="nil"/>
                  </w:tcBorders>
                  <w:vAlign w:val="center"/>
                </w:tcPr>
                <w:p w14:paraId="702322D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46</w:t>
                  </w:r>
                </w:p>
              </w:tc>
              <w:tc>
                <w:tcPr>
                  <w:tcW w:w="406" w:type="pct"/>
                  <w:tcBorders>
                    <w:tl2br w:val="nil"/>
                    <w:tr2bl w:val="nil"/>
                  </w:tcBorders>
                  <w:vAlign w:val="center"/>
                </w:tcPr>
                <w:p w14:paraId="648B255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0.071</w:t>
                  </w:r>
                </w:p>
              </w:tc>
              <w:tc>
                <w:tcPr>
                  <w:tcW w:w="787" w:type="pct"/>
                  <w:vMerge w:val="continue"/>
                  <w:tcBorders>
                    <w:tl2br w:val="nil"/>
                    <w:tr2bl w:val="nil"/>
                  </w:tcBorders>
                  <w:vAlign w:val="center"/>
                </w:tcPr>
                <w:p w14:paraId="27E20816">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03D46808">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2B139D3D">
                  <w:pPr>
                    <w:adjustRightInd w:val="0"/>
                    <w:snapToGrid w:val="0"/>
                    <w:jc w:val="center"/>
                    <w:rPr>
                      <w:rFonts w:hint="default" w:ascii="Times New Roman" w:hAnsi="Times New Roman" w:eastAsia="仿宋" w:cs="Times New Roman"/>
                      <w:bCs/>
                      <w:color w:val="auto"/>
                      <w:szCs w:val="21"/>
                    </w:rPr>
                  </w:pPr>
                </w:p>
              </w:tc>
            </w:tr>
            <w:tr w14:paraId="00741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48DB7F11">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1D04A81A">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614B8B9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总镍</w:t>
                  </w:r>
                </w:p>
              </w:tc>
              <w:tc>
                <w:tcPr>
                  <w:tcW w:w="647" w:type="pct"/>
                  <w:tcBorders>
                    <w:tl2br w:val="nil"/>
                    <w:tr2bl w:val="nil"/>
                  </w:tcBorders>
                  <w:vAlign w:val="center"/>
                </w:tcPr>
                <w:p w14:paraId="3C3E371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406" w:type="pct"/>
                  <w:tcBorders>
                    <w:tl2br w:val="nil"/>
                    <w:tr2bl w:val="nil"/>
                  </w:tcBorders>
                  <w:vAlign w:val="center"/>
                </w:tcPr>
                <w:p w14:paraId="3D290BD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0.003</w:t>
                  </w:r>
                </w:p>
              </w:tc>
              <w:tc>
                <w:tcPr>
                  <w:tcW w:w="787" w:type="pct"/>
                  <w:vMerge w:val="continue"/>
                  <w:tcBorders>
                    <w:tl2br w:val="nil"/>
                    <w:tr2bl w:val="nil"/>
                  </w:tcBorders>
                  <w:vAlign w:val="center"/>
                </w:tcPr>
                <w:p w14:paraId="4B24E471">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3B6063AC">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174C3170">
                  <w:pPr>
                    <w:adjustRightInd w:val="0"/>
                    <w:snapToGrid w:val="0"/>
                    <w:jc w:val="center"/>
                    <w:rPr>
                      <w:rFonts w:hint="default" w:ascii="Times New Roman" w:hAnsi="Times New Roman" w:eastAsia="仿宋" w:cs="Times New Roman"/>
                      <w:bCs/>
                      <w:color w:val="auto"/>
                      <w:szCs w:val="21"/>
                    </w:rPr>
                  </w:pPr>
                </w:p>
              </w:tc>
            </w:tr>
            <w:tr w14:paraId="2C0D7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266DF816">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0034BDA7">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243C80D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总铬</w:t>
                  </w:r>
                </w:p>
              </w:tc>
              <w:tc>
                <w:tcPr>
                  <w:tcW w:w="647" w:type="pct"/>
                  <w:tcBorders>
                    <w:tl2br w:val="nil"/>
                    <w:tr2bl w:val="nil"/>
                  </w:tcBorders>
                  <w:vAlign w:val="center"/>
                </w:tcPr>
                <w:p w14:paraId="4F24C7E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406" w:type="pct"/>
                  <w:tcBorders>
                    <w:tl2br w:val="nil"/>
                    <w:tr2bl w:val="nil"/>
                  </w:tcBorders>
                  <w:vAlign w:val="center"/>
                </w:tcPr>
                <w:p w14:paraId="34FCF7C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0.005</w:t>
                  </w:r>
                </w:p>
              </w:tc>
              <w:tc>
                <w:tcPr>
                  <w:tcW w:w="787" w:type="pct"/>
                  <w:vMerge w:val="continue"/>
                  <w:tcBorders>
                    <w:tl2br w:val="nil"/>
                    <w:tr2bl w:val="nil"/>
                  </w:tcBorders>
                  <w:vAlign w:val="center"/>
                </w:tcPr>
                <w:p w14:paraId="43D107F1">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1A712891">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6BF31E0E">
                  <w:pPr>
                    <w:adjustRightInd w:val="0"/>
                    <w:snapToGrid w:val="0"/>
                    <w:jc w:val="center"/>
                    <w:rPr>
                      <w:rFonts w:hint="default" w:ascii="Times New Roman" w:hAnsi="Times New Roman" w:eastAsia="仿宋" w:cs="Times New Roman"/>
                      <w:bCs/>
                      <w:color w:val="auto"/>
                      <w:szCs w:val="21"/>
                    </w:rPr>
                  </w:pPr>
                </w:p>
              </w:tc>
            </w:tr>
            <w:tr w14:paraId="68D6F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vAlign w:val="center"/>
                </w:tcPr>
                <w:p w14:paraId="179078A6">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2#、3#反渗透系统弃水</w:t>
                  </w:r>
                </w:p>
              </w:tc>
              <w:tc>
                <w:tcPr>
                  <w:tcW w:w="332" w:type="pct"/>
                  <w:vMerge w:val="restart"/>
                  <w:tcBorders>
                    <w:tl2br w:val="nil"/>
                    <w:tr2bl w:val="nil"/>
                  </w:tcBorders>
                  <w:vAlign w:val="center"/>
                </w:tcPr>
                <w:p w14:paraId="30B51697">
                  <w:pPr>
                    <w:pStyle w:val="12"/>
                    <w:adjustRightInd w:val="0"/>
                    <w:snapToGrid w:val="0"/>
                    <w:spacing w:line="240" w:lineRule="auto"/>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134</w:t>
                  </w:r>
                  <w:r>
                    <w:rPr>
                      <w:rFonts w:hint="eastAsia" w:ascii="Times New Roman" w:hAnsi="Times New Roman" w:eastAsia="仿宋" w:cs="Times New Roman"/>
                      <w:color w:val="auto"/>
                      <w:szCs w:val="21"/>
                      <w:lang w:val="en-US" w:eastAsia="zh-CN"/>
                    </w:rPr>
                    <w:t>2.5</w:t>
                  </w:r>
                </w:p>
              </w:tc>
              <w:tc>
                <w:tcPr>
                  <w:tcW w:w="611" w:type="pct"/>
                  <w:tcBorders>
                    <w:tl2br w:val="nil"/>
                    <w:tr2bl w:val="nil"/>
                  </w:tcBorders>
                  <w:vAlign w:val="center"/>
                </w:tcPr>
                <w:p w14:paraId="23E82FD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0B8415E1">
                  <w:pPr>
                    <w:pStyle w:val="12"/>
                    <w:adjustRightInd w:val="0"/>
                    <w:snapToGrid w:val="0"/>
                    <w:spacing w:line="240" w:lineRule="auto"/>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7.0~9.0</w:t>
                  </w:r>
                </w:p>
              </w:tc>
              <w:tc>
                <w:tcPr>
                  <w:tcW w:w="787" w:type="pct"/>
                  <w:vMerge w:val="continue"/>
                  <w:tcBorders>
                    <w:tl2br w:val="nil"/>
                    <w:tr2bl w:val="nil"/>
                  </w:tcBorders>
                  <w:vAlign w:val="center"/>
                </w:tcPr>
                <w:p w14:paraId="6D5DA445">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4DA02F4E">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55F49073">
                  <w:pPr>
                    <w:adjustRightInd w:val="0"/>
                    <w:snapToGrid w:val="0"/>
                    <w:jc w:val="center"/>
                    <w:rPr>
                      <w:rFonts w:hint="default" w:ascii="Times New Roman" w:hAnsi="Times New Roman" w:eastAsia="仿宋" w:cs="Times New Roman"/>
                      <w:bCs/>
                      <w:color w:val="auto"/>
                      <w:szCs w:val="21"/>
                    </w:rPr>
                  </w:pPr>
                </w:p>
              </w:tc>
            </w:tr>
            <w:tr w14:paraId="31BF9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469" w:type="pct"/>
                  <w:vMerge w:val="continue"/>
                  <w:tcBorders>
                    <w:tl2br w:val="nil"/>
                    <w:tr2bl w:val="nil"/>
                  </w:tcBorders>
                  <w:vAlign w:val="center"/>
                </w:tcPr>
                <w:p w14:paraId="4F09F1C2">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74FFD9ED">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0557F12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63DA74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06" w:type="pct"/>
                  <w:tcBorders>
                    <w:tl2br w:val="nil"/>
                    <w:tr2bl w:val="nil"/>
                  </w:tcBorders>
                  <w:vAlign w:val="center"/>
                </w:tcPr>
                <w:p w14:paraId="5937868D">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0.054</w:t>
                  </w:r>
                </w:p>
              </w:tc>
              <w:tc>
                <w:tcPr>
                  <w:tcW w:w="787" w:type="pct"/>
                  <w:vMerge w:val="continue"/>
                  <w:tcBorders>
                    <w:tl2br w:val="nil"/>
                    <w:tr2bl w:val="nil"/>
                  </w:tcBorders>
                  <w:vAlign w:val="center"/>
                </w:tcPr>
                <w:p w14:paraId="1138517A">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19B8B087">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2F58DAF0">
                  <w:pPr>
                    <w:adjustRightInd w:val="0"/>
                    <w:snapToGrid w:val="0"/>
                    <w:jc w:val="center"/>
                    <w:rPr>
                      <w:rFonts w:hint="default" w:ascii="Times New Roman" w:hAnsi="Times New Roman" w:eastAsia="仿宋" w:cs="Times New Roman"/>
                      <w:bCs/>
                      <w:color w:val="auto"/>
                      <w:szCs w:val="21"/>
                    </w:rPr>
                  </w:pPr>
                </w:p>
              </w:tc>
            </w:tr>
            <w:tr w14:paraId="21B33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FEB8CC7">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5EC804A3">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16F3C05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2F2A93E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06" w:type="pct"/>
                  <w:tcBorders>
                    <w:tl2br w:val="nil"/>
                    <w:tr2bl w:val="nil"/>
                  </w:tcBorders>
                  <w:vAlign w:val="center"/>
                </w:tcPr>
                <w:p w14:paraId="26DBBA9B">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0.054</w:t>
                  </w:r>
                </w:p>
              </w:tc>
              <w:tc>
                <w:tcPr>
                  <w:tcW w:w="787" w:type="pct"/>
                  <w:vMerge w:val="continue"/>
                  <w:tcBorders>
                    <w:tl2br w:val="nil"/>
                    <w:tr2bl w:val="nil"/>
                  </w:tcBorders>
                  <w:vAlign w:val="center"/>
                </w:tcPr>
                <w:p w14:paraId="1717EE35">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19B97FE6">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04363C24">
                  <w:pPr>
                    <w:adjustRightInd w:val="0"/>
                    <w:snapToGrid w:val="0"/>
                    <w:jc w:val="center"/>
                    <w:rPr>
                      <w:rFonts w:hint="default" w:ascii="Times New Roman" w:hAnsi="Times New Roman" w:eastAsia="仿宋" w:cs="Times New Roman"/>
                      <w:bCs/>
                      <w:color w:val="auto"/>
                      <w:szCs w:val="21"/>
                    </w:rPr>
                  </w:pPr>
                </w:p>
              </w:tc>
            </w:tr>
            <w:tr w14:paraId="3A928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restart"/>
                  <w:tcBorders>
                    <w:tl2br w:val="nil"/>
                    <w:tr2bl w:val="nil"/>
                  </w:tcBorders>
                  <w:vAlign w:val="center"/>
                </w:tcPr>
                <w:p w14:paraId="357576C7">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纯水制备弃水（实验室）</w:t>
                  </w:r>
                </w:p>
              </w:tc>
              <w:tc>
                <w:tcPr>
                  <w:tcW w:w="332" w:type="pct"/>
                  <w:vMerge w:val="restart"/>
                  <w:tcBorders>
                    <w:tl2br w:val="nil"/>
                    <w:tr2bl w:val="nil"/>
                  </w:tcBorders>
                  <w:vAlign w:val="center"/>
                </w:tcPr>
                <w:p w14:paraId="00F0424C">
                  <w:pPr>
                    <w:adjustRightInd w:val="0"/>
                    <w:snapToGrid w:val="0"/>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2.2</w:t>
                  </w:r>
                </w:p>
              </w:tc>
              <w:tc>
                <w:tcPr>
                  <w:tcW w:w="611" w:type="pct"/>
                  <w:tcBorders>
                    <w:tl2br w:val="nil"/>
                    <w:tr2bl w:val="nil"/>
                  </w:tcBorders>
                  <w:vAlign w:val="center"/>
                </w:tcPr>
                <w:p w14:paraId="70A2667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w:t>
                  </w:r>
                </w:p>
              </w:tc>
              <w:tc>
                <w:tcPr>
                  <w:tcW w:w="1053" w:type="pct"/>
                  <w:gridSpan w:val="2"/>
                  <w:tcBorders>
                    <w:tl2br w:val="nil"/>
                    <w:tr2bl w:val="nil"/>
                  </w:tcBorders>
                  <w:vAlign w:val="center"/>
                </w:tcPr>
                <w:p w14:paraId="09CA6EF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7.0~9.0</w:t>
                  </w:r>
                </w:p>
              </w:tc>
              <w:tc>
                <w:tcPr>
                  <w:tcW w:w="787" w:type="pct"/>
                  <w:vMerge w:val="restart"/>
                  <w:tcBorders>
                    <w:tl2br w:val="nil"/>
                    <w:tr2bl w:val="nil"/>
                  </w:tcBorders>
                  <w:vAlign w:val="center"/>
                </w:tcPr>
                <w:p w14:paraId="423047BA">
                  <w:pPr>
                    <w:adjustRightInd w:val="0"/>
                    <w:snapToGrid w:val="0"/>
                    <w:jc w:val="center"/>
                    <w:rPr>
                      <w:rFonts w:hint="eastAsia"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w:t>
                  </w:r>
                </w:p>
              </w:tc>
              <w:tc>
                <w:tcPr>
                  <w:tcW w:w="332" w:type="pct"/>
                  <w:vMerge w:val="restart"/>
                  <w:tcBorders>
                    <w:tl2br w:val="nil"/>
                    <w:tr2bl w:val="nil"/>
                  </w:tcBorders>
                  <w:vAlign w:val="center"/>
                </w:tcPr>
                <w:p w14:paraId="6E0E5E59">
                  <w:pPr>
                    <w:adjustRightInd w:val="0"/>
                    <w:snapToGrid w:val="0"/>
                    <w:jc w:val="center"/>
                    <w:rPr>
                      <w:rFonts w:hint="eastAsia"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w:t>
                  </w:r>
                </w:p>
              </w:tc>
              <w:tc>
                <w:tcPr>
                  <w:tcW w:w="1414" w:type="pct"/>
                  <w:gridSpan w:val="2"/>
                  <w:vMerge w:val="restart"/>
                  <w:tcBorders>
                    <w:tl2br w:val="nil"/>
                    <w:tr2bl w:val="nil"/>
                  </w:tcBorders>
                  <w:vAlign w:val="center"/>
                </w:tcPr>
                <w:p w14:paraId="2F3F8B10">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lang w:val="en-US" w:eastAsia="zh-CN"/>
                    </w:rPr>
                    <w:t>全部用于员工冲厕</w:t>
                  </w:r>
                </w:p>
              </w:tc>
            </w:tr>
            <w:tr w14:paraId="30D6B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6A504330">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48F7BE78">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2B29FA5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647" w:type="pct"/>
                  <w:tcBorders>
                    <w:tl2br w:val="nil"/>
                    <w:tr2bl w:val="nil"/>
                  </w:tcBorders>
                  <w:vAlign w:val="center"/>
                </w:tcPr>
                <w:p w14:paraId="7BD7E59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06" w:type="pct"/>
                  <w:tcBorders>
                    <w:tl2br w:val="nil"/>
                    <w:tr2bl w:val="nil"/>
                  </w:tcBorders>
                  <w:vAlign w:val="center"/>
                </w:tcPr>
                <w:p w14:paraId="02D92DF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c>
                <w:tcPr>
                  <w:tcW w:w="787" w:type="pct"/>
                  <w:vMerge w:val="continue"/>
                  <w:tcBorders>
                    <w:tl2br w:val="nil"/>
                    <w:tr2bl w:val="nil"/>
                  </w:tcBorders>
                  <w:vAlign w:val="center"/>
                </w:tcPr>
                <w:p w14:paraId="7161B220">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6602C70F">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5E94EABE">
                  <w:pPr>
                    <w:adjustRightInd w:val="0"/>
                    <w:snapToGrid w:val="0"/>
                    <w:jc w:val="center"/>
                    <w:rPr>
                      <w:rFonts w:hint="default" w:ascii="Times New Roman" w:hAnsi="Times New Roman" w:eastAsia="仿宋" w:cs="Times New Roman"/>
                      <w:bCs/>
                      <w:color w:val="auto"/>
                      <w:szCs w:val="21"/>
                    </w:rPr>
                  </w:pPr>
                </w:p>
              </w:tc>
            </w:tr>
            <w:tr w14:paraId="3DADD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69" w:type="pct"/>
                  <w:vMerge w:val="continue"/>
                  <w:tcBorders>
                    <w:tl2br w:val="nil"/>
                    <w:tr2bl w:val="nil"/>
                  </w:tcBorders>
                  <w:vAlign w:val="center"/>
                </w:tcPr>
                <w:p w14:paraId="50539256">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1BB40111">
                  <w:pPr>
                    <w:adjustRightInd w:val="0"/>
                    <w:snapToGrid w:val="0"/>
                    <w:jc w:val="center"/>
                    <w:rPr>
                      <w:rFonts w:hint="default" w:ascii="Times New Roman" w:hAnsi="Times New Roman" w:eastAsia="仿宋" w:cs="Times New Roman"/>
                      <w:bCs/>
                      <w:color w:val="auto"/>
                      <w:szCs w:val="21"/>
                    </w:rPr>
                  </w:pPr>
                </w:p>
              </w:tc>
              <w:tc>
                <w:tcPr>
                  <w:tcW w:w="611" w:type="pct"/>
                  <w:tcBorders>
                    <w:tl2br w:val="nil"/>
                    <w:tr2bl w:val="nil"/>
                  </w:tcBorders>
                  <w:vAlign w:val="center"/>
                </w:tcPr>
                <w:p w14:paraId="2F8337F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647" w:type="pct"/>
                  <w:tcBorders>
                    <w:tl2br w:val="nil"/>
                    <w:tr2bl w:val="nil"/>
                  </w:tcBorders>
                  <w:vAlign w:val="center"/>
                </w:tcPr>
                <w:p w14:paraId="4ACC634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406" w:type="pct"/>
                  <w:tcBorders>
                    <w:tl2br w:val="nil"/>
                    <w:tr2bl w:val="nil"/>
                  </w:tcBorders>
                  <w:vAlign w:val="center"/>
                </w:tcPr>
                <w:p w14:paraId="79356D1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0.0000</w:t>
                  </w:r>
                  <w:r>
                    <w:rPr>
                      <w:rFonts w:hint="eastAsia" w:eastAsia="仿宋" w:cs="Times New Roman"/>
                      <w:color w:val="auto"/>
                      <w:szCs w:val="21"/>
                      <w:lang w:val="en-US" w:eastAsia="zh-CN"/>
                    </w:rPr>
                    <w:t>6</w:t>
                  </w:r>
                </w:p>
              </w:tc>
              <w:tc>
                <w:tcPr>
                  <w:tcW w:w="787" w:type="pct"/>
                  <w:vMerge w:val="continue"/>
                  <w:tcBorders>
                    <w:tl2br w:val="nil"/>
                    <w:tr2bl w:val="nil"/>
                  </w:tcBorders>
                  <w:vAlign w:val="center"/>
                </w:tcPr>
                <w:p w14:paraId="56A6449E">
                  <w:pPr>
                    <w:adjustRightInd w:val="0"/>
                    <w:snapToGrid w:val="0"/>
                    <w:jc w:val="center"/>
                    <w:rPr>
                      <w:rFonts w:hint="default" w:ascii="Times New Roman" w:hAnsi="Times New Roman" w:eastAsia="仿宋" w:cs="Times New Roman"/>
                      <w:bCs/>
                      <w:color w:val="auto"/>
                      <w:szCs w:val="21"/>
                    </w:rPr>
                  </w:pPr>
                </w:p>
              </w:tc>
              <w:tc>
                <w:tcPr>
                  <w:tcW w:w="332" w:type="pct"/>
                  <w:vMerge w:val="continue"/>
                  <w:tcBorders>
                    <w:tl2br w:val="nil"/>
                    <w:tr2bl w:val="nil"/>
                  </w:tcBorders>
                  <w:vAlign w:val="center"/>
                </w:tcPr>
                <w:p w14:paraId="483A206E">
                  <w:pPr>
                    <w:adjustRightInd w:val="0"/>
                    <w:snapToGrid w:val="0"/>
                    <w:jc w:val="center"/>
                    <w:rPr>
                      <w:rFonts w:hint="default" w:ascii="Times New Roman" w:hAnsi="Times New Roman" w:eastAsia="仿宋" w:cs="Times New Roman"/>
                      <w:bCs/>
                      <w:color w:val="auto"/>
                      <w:szCs w:val="21"/>
                    </w:rPr>
                  </w:pPr>
                </w:p>
              </w:tc>
              <w:tc>
                <w:tcPr>
                  <w:tcW w:w="1414" w:type="pct"/>
                  <w:gridSpan w:val="2"/>
                  <w:vMerge w:val="continue"/>
                  <w:tcBorders>
                    <w:tl2br w:val="nil"/>
                    <w:tr2bl w:val="nil"/>
                  </w:tcBorders>
                  <w:vAlign w:val="center"/>
                </w:tcPr>
                <w:p w14:paraId="2AD20F32">
                  <w:pPr>
                    <w:adjustRightInd w:val="0"/>
                    <w:snapToGrid w:val="0"/>
                    <w:jc w:val="center"/>
                    <w:rPr>
                      <w:rFonts w:hint="default" w:ascii="Times New Roman" w:hAnsi="Times New Roman" w:eastAsia="仿宋" w:cs="Times New Roman"/>
                      <w:bCs/>
                      <w:color w:val="auto"/>
                      <w:szCs w:val="21"/>
                    </w:rPr>
                  </w:pPr>
                </w:p>
              </w:tc>
            </w:tr>
          </w:tbl>
          <w:p w14:paraId="3AF50D7B">
            <w:pPr>
              <w:pStyle w:val="25"/>
              <w:rPr>
                <w:rFonts w:hint="default" w:ascii="Times New Roman" w:hAnsi="Times New Roman" w:eastAsia="仿宋" w:cs="Times New Roman"/>
                <w:color w:val="auto"/>
              </w:rPr>
            </w:pPr>
          </w:p>
          <w:p w14:paraId="1992DE4C">
            <w:pPr>
              <w:pStyle w:val="24"/>
              <w:ind w:firstLine="210"/>
              <w:rPr>
                <w:rFonts w:hint="default" w:ascii="Times New Roman" w:hAnsi="Times New Roman" w:eastAsia="仿宋" w:cs="Times New Roman"/>
                <w:color w:val="auto"/>
              </w:rPr>
            </w:pPr>
          </w:p>
          <w:p w14:paraId="2D59DA17">
            <w:pPr>
              <w:rPr>
                <w:rFonts w:hint="default" w:ascii="Times New Roman" w:hAnsi="Times New Roman" w:eastAsia="仿宋" w:cs="Times New Roman"/>
                <w:color w:val="auto"/>
              </w:rPr>
            </w:pPr>
          </w:p>
          <w:p w14:paraId="69A90AF0">
            <w:pPr>
              <w:rPr>
                <w:rFonts w:hint="default" w:ascii="Times New Roman" w:hAnsi="Times New Roman" w:eastAsia="仿宋" w:cs="Times New Roman"/>
                <w:color w:val="auto"/>
              </w:rPr>
            </w:pPr>
          </w:p>
        </w:tc>
      </w:tr>
    </w:tbl>
    <w:p w14:paraId="7455C6BE">
      <w:pPr>
        <w:pStyle w:val="25"/>
        <w:rPr>
          <w:rFonts w:hint="default" w:ascii="Times New Roman" w:hAnsi="Times New Roman" w:eastAsia="仿宋" w:cs="Times New Roman"/>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8684"/>
      </w:tblGrid>
      <w:tr w14:paraId="020C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9" w:hRule="atLeast"/>
        </w:trPr>
        <w:tc>
          <w:tcPr>
            <w:tcW w:w="377" w:type="dxa"/>
            <w:vAlign w:val="center"/>
          </w:tcPr>
          <w:p w14:paraId="21E69D18">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运营</w:t>
            </w:r>
          </w:p>
          <w:p w14:paraId="2DDA29BF">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期环</w:t>
            </w:r>
          </w:p>
          <w:p w14:paraId="3E4404CD">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境影</w:t>
            </w:r>
          </w:p>
          <w:p w14:paraId="0D6F5F73">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响和</w:t>
            </w:r>
          </w:p>
          <w:p w14:paraId="67E8C4FC">
            <w:pPr>
              <w:adjustRightInd w:val="0"/>
              <w:snapToGrid w:val="0"/>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保护措</w:t>
            </w:r>
          </w:p>
          <w:p w14:paraId="1E114E16">
            <w:pPr>
              <w:pStyle w:val="24"/>
              <w:ind w:firstLine="240"/>
              <w:jc w:val="center"/>
              <w:rPr>
                <w:rFonts w:hint="default" w:ascii="Times New Roman" w:hAnsi="Times New Roman" w:eastAsia="仿宋" w:cs="Times New Roman"/>
                <w:color w:val="auto"/>
              </w:rPr>
            </w:pPr>
            <w:r>
              <w:rPr>
                <w:rFonts w:hint="default" w:ascii="Times New Roman" w:hAnsi="Times New Roman" w:eastAsia="仿宋" w:cs="Times New Roman"/>
                <w:bCs/>
                <w:color w:val="auto"/>
                <w:sz w:val="24"/>
              </w:rPr>
              <w:t>施</w:t>
            </w:r>
          </w:p>
        </w:tc>
        <w:tc>
          <w:tcPr>
            <w:tcW w:w="8684" w:type="dxa"/>
          </w:tcPr>
          <w:p w14:paraId="4AE70FF8">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4、废水监测计划</w:t>
            </w:r>
          </w:p>
          <w:p w14:paraId="3DE6AF4A">
            <w:pPr>
              <w:adjustRightInd w:val="0"/>
              <w:snapToGrid w:val="0"/>
              <w:ind w:firstLine="480" w:firstLineChars="200"/>
              <w:jc w:val="left"/>
              <w:rPr>
                <w:rFonts w:hint="default" w:ascii="Times New Roman" w:hAnsi="Times New Roman" w:eastAsia="仿宋" w:cs="Times New Roman"/>
                <w:b/>
                <w:color w:val="auto"/>
                <w:szCs w:val="21"/>
              </w:rPr>
            </w:pPr>
            <w:r>
              <w:rPr>
                <w:rFonts w:hint="default" w:ascii="Times New Roman" w:hAnsi="Times New Roman" w:eastAsia="仿宋" w:cs="Times New Roman"/>
                <w:color w:val="auto"/>
                <w:sz w:val="24"/>
                <w:lang w:val="en-US" w:eastAsia="zh-CN"/>
              </w:rPr>
              <w:t>本项目不新增废水排放，现有废水监测计划不变。</w:t>
            </w:r>
          </w:p>
          <w:p w14:paraId="27E37D6C">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5、地表水影响分析</w:t>
            </w:r>
          </w:p>
          <w:p w14:paraId="4EE5B53B">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本项目位于受纳水体环境质量达标区域，</w:t>
            </w:r>
            <w:r>
              <w:rPr>
                <w:rFonts w:hint="eastAsia" w:eastAsia="仿宋" w:cs="Times New Roman"/>
                <w:bCs/>
                <w:color w:val="auto"/>
                <w:sz w:val="24"/>
                <w:highlight w:val="none"/>
                <w:lang w:val="en-US" w:eastAsia="zh-CN"/>
              </w:rPr>
              <w:t>实验室仅</w:t>
            </w:r>
            <w:r>
              <w:rPr>
                <w:rFonts w:hint="default" w:ascii="Times New Roman" w:hAnsi="Times New Roman" w:eastAsia="仿宋" w:cs="Times New Roman"/>
                <w:bCs/>
                <w:color w:val="auto"/>
                <w:sz w:val="24"/>
                <w:highlight w:val="none"/>
                <w:lang w:val="en-US" w:eastAsia="zh-CN"/>
              </w:rPr>
              <w:t>新增纯水制备弃水</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全部用于员工冲厕</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因此项目对周围地表水环境无影响。</w:t>
            </w:r>
          </w:p>
          <w:p w14:paraId="130344A2">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三、噪声</w:t>
            </w:r>
          </w:p>
          <w:p w14:paraId="3EDBB42E">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1、噪声源</w:t>
            </w:r>
          </w:p>
          <w:p w14:paraId="6E9A250E">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textAlignment w:val="auto"/>
              <w:rPr>
                <w:rFonts w:hint="default" w:ascii="Times New Roman" w:hAnsi="Times New Roman" w:eastAsia="仿宋" w:cs="Times New Roman"/>
                <w:color w:val="auto"/>
                <w:highlight w:val="yellow"/>
              </w:rPr>
            </w:pPr>
            <w:r>
              <w:rPr>
                <w:rFonts w:hint="default" w:ascii="Times New Roman" w:hAnsi="Times New Roman" w:eastAsia="仿宋" w:cs="Times New Roman"/>
                <w:color w:val="auto"/>
                <w:spacing w:val="-2"/>
                <w:szCs w:val="24"/>
                <w:highlight w:val="none"/>
                <w:lang w:val="en-US" w:eastAsia="zh-CN"/>
              </w:rPr>
              <w:t>本项目新增</w:t>
            </w:r>
            <w:r>
              <w:rPr>
                <w:rFonts w:hint="default" w:ascii="Times New Roman" w:hAnsi="Times New Roman" w:eastAsia="仿宋" w:cs="Times New Roman"/>
                <w:color w:val="auto"/>
                <w:spacing w:val="-2"/>
                <w:szCs w:val="24"/>
                <w:highlight w:val="none"/>
              </w:rPr>
              <w:t>高噪声设备</w:t>
            </w:r>
            <w:r>
              <w:rPr>
                <w:rFonts w:hint="default" w:ascii="Times New Roman" w:hAnsi="Times New Roman" w:eastAsia="仿宋" w:cs="Times New Roman"/>
                <w:color w:val="auto"/>
                <w:spacing w:val="-2"/>
                <w:szCs w:val="24"/>
                <w:highlight w:val="none"/>
                <w:lang w:val="en-US" w:eastAsia="zh-CN"/>
              </w:rPr>
              <w:t>为</w:t>
            </w:r>
            <w:r>
              <w:rPr>
                <w:rFonts w:hint="default" w:ascii="Times New Roman" w:hAnsi="Times New Roman" w:eastAsia="仿宋" w:cs="Times New Roman"/>
                <w:color w:val="auto"/>
                <w:szCs w:val="21"/>
                <w:lang w:val="en-US" w:eastAsia="zh-CN"/>
              </w:rPr>
              <w:t>研磨机</w:t>
            </w:r>
            <w:r>
              <w:rPr>
                <w:rFonts w:hint="eastAsia" w:eastAsia="仿宋" w:cs="Times New Roman"/>
                <w:color w:val="auto"/>
                <w:szCs w:val="21"/>
                <w:lang w:val="en-US" w:eastAsia="zh-CN"/>
              </w:rPr>
              <w:t>（1台）</w:t>
            </w:r>
            <w:r>
              <w:rPr>
                <w:rFonts w:hint="default" w:ascii="Times New Roman" w:hAnsi="Times New Roman" w:eastAsia="仿宋" w:cs="Times New Roman"/>
                <w:color w:val="auto"/>
                <w:szCs w:val="21"/>
                <w:lang w:val="en-US" w:eastAsia="zh-CN"/>
              </w:rPr>
              <w:t>，属于室内声源</w:t>
            </w:r>
            <w:r>
              <w:rPr>
                <w:rFonts w:hint="default" w:ascii="Times New Roman" w:hAnsi="Times New Roman" w:eastAsia="仿宋" w:cs="Times New Roman"/>
                <w:color w:val="auto"/>
                <w:spacing w:val="-2"/>
                <w:szCs w:val="24"/>
                <w:highlight w:val="none"/>
              </w:rPr>
              <w:t>，噪声源强调查清单</w:t>
            </w:r>
            <w:r>
              <w:rPr>
                <w:rFonts w:hint="default" w:ascii="Times New Roman" w:hAnsi="Times New Roman" w:eastAsia="仿宋" w:cs="Times New Roman"/>
                <w:color w:val="auto"/>
                <w:szCs w:val="24"/>
                <w:highlight w:val="none"/>
              </w:rPr>
              <w:t>见下表</w:t>
            </w:r>
            <w:r>
              <w:rPr>
                <w:rFonts w:hint="default" w:ascii="Times New Roman" w:hAnsi="Times New Roman" w:eastAsia="仿宋" w:cs="Times New Roman"/>
                <w:color w:val="auto"/>
                <w:highlight w:val="none"/>
              </w:rPr>
              <w:t>。</w:t>
            </w:r>
          </w:p>
          <w:p w14:paraId="5866B6E1">
            <w:pPr>
              <w:spacing w:before="120" w:beforeLines="5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20</w:t>
            </w:r>
            <w:r>
              <w:rPr>
                <w:rFonts w:hint="default" w:ascii="Times New Roman" w:hAnsi="Times New Roman" w:eastAsia="仿宋" w:cs="Times New Roman"/>
                <w:b/>
                <w:color w:val="auto"/>
                <w:sz w:val="24"/>
                <w:highlight w:val="none"/>
              </w:rPr>
              <w:t xml:space="preserve">  噪声源强调查清单（室内声源）</w:t>
            </w:r>
          </w:p>
          <w:tbl>
            <w:tblPr>
              <w:tblStyle w:val="2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21"/>
              <w:gridCol w:w="787"/>
              <w:gridCol w:w="437"/>
              <w:gridCol w:w="410"/>
              <w:gridCol w:w="411"/>
              <w:gridCol w:w="598"/>
              <w:gridCol w:w="867"/>
              <w:gridCol w:w="787"/>
              <w:gridCol w:w="657"/>
              <w:gridCol w:w="725"/>
              <w:gridCol w:w="674"/>
              <w:gridCol w:w="746"/>
            </w:tblGrid>
            <w:tr w14:paraId="10070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8" w:type="pct"/>
                  <w:vMerge w:val="restart"/>
                  <w:vAlign w:val="center"/>
                </w:tcPr>
                <w:p w14:paraId="5672037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建筑物名称</w:t>
                  </w:r>
                </w:p>
              </w:tc>
              <w:tc>
                <w:tcPr>
                  <w:tcW w:w="426" w:type="pct"/>
                  <w:vMerge w:val="restart"/>
                  <w:vAlign w:val="center"/>
                </w:tcPr>
                <w:p w14:paraId="39926C49">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声源名称</w:t>
                  </w:r>
                </w:p>
              </w:tc>
              <w:tc>
                <w:tcPr>
                  <w:tcW w:w="465" w:type="pct"/>
                  <w:vMerge w:val="restart"/>
                  <w:vAlign w:val="center"/>
                </w:tcPr>
                <w:p w14:paraId="77DFD3C3">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单台声源源强/dB(A)</w:t>
                  </w:r>
                </w:p>
              </w:tc>
              <w:tc>
                <w:tcPr>
                  <w:tcW w:w="743" w:type="pct"/>
                  <w:gridSpan w:val="3"/>
                  <w:vAlign w:val="center"/>
                </w:tcPr>
                <w:p w14:paraId="6FC9FB7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空间相对位置/m</w:t>
                  </w:r>
                </w:p>
              </w:tc>
              <w:tc>
                <w:tcPr>
                  <w:tcW w:w="353" w:type="pct"/>
                  <w:vMerge w:val="restart"/>
                  <w:vAlign w:val="center"/>
                </w:tcPr>
                <w:p w14:paraId="122C285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声源控制措施</w:t>
                  </w:r>
                </w:p>
              </w:tc>
              <w:tc>
                <w:tcPr>
                  <w:tcW w:w="512" w:type="pct"/>
                  <w:vMerge w:val="restart"/>
                  <w:vAlign w:val="center"/>
                </w:tcPr>
                <w:p w14:paraId="032596E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距室内边界距离/m</w:t>
                  </w:r>
                </w:p>
              </w:tc>
              <w:tc>
                <w:tcPr>
                  <w:tcW w:w="465" w:type="pct"/>
                  <w:vMerge w:val="restart"/>
                  <w:vAlign w:val="center"/>
                </w:tcPr>
                <w:p w14:paraId="101E8E57">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室内边界声级/dB(A)</w:t>
                  </w:r>
                </w:p>
              </w:tc>
              <w:tc>
                <w:tcPr>
                  <w:tcW w:w="388" w:type="pct"/>
                  <w:vMerge w:val="restart"/>
                  <w:vAlign w:val="center"/>
                </w:tcPr>
                <w:p w14:paraId="1170834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运行时段</w:t>
                  </w:r>
                </w:p>
              </w:tc>
              <w:tc>
                <w:tcPr>
                  <w:tcW w:w="428" w:type="pct"/>
                  <w:vMerge w:val="restart"/>
                  <w:vAlign w:val="center"/>
                </w:tcPr>
                <w:p w14:paraId="04B1CF4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建筑物插入损失/dB（A）</w:t>
                  </w:r>
                </w:p>
              </w:tc>
              <w:tc>
                <w:tcPr>
                  <w:tcW w:w="839" w:type="pct"/>
                  <w:gridSpan w:val="2"/>
                  <w:vAlign w:val="center"/>
                </w:tcPr>
                <w:p w14:paraId="63BD12F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建筑物外噪声</w:t>
                  </w:r>
                </w:p>
              </w:tc>
            </w:tr>
            <w:tr w14:paraId="7B36D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78" w:type="pct"/>
                  <w:vMerge w:val="continue"/>
                  <w:vAlign w:val="center"/>
                </w:tcPr>
                <w:p w14:paraId="0AE1400F">
                  <w:pPr>
                    <w:jc w:val="center"/>
                    <w:rPr>
                      <w:rFonts w:hint="default" w:ascii="Times New Roman" w:hAnsi="Times New Roman" w:eastAsia="仿宋" w:cs="Times New Roman"/>
                      <w:b/>
                      <w:color w:val="auto"/>
                      <w:sz w:val="18"/>
                      <w:szCs w:val="18"/>
                    </w:rPr>
                  </w:pPr>
                </w:p>
              </w:tc>
              <w:tc>
                <w:tcPr>
                  <w:tcW w:w="426" w:type="pct"/>
                  <w:vMerge w:val="continue"/>
                  <w:vAlign w:val="center"/>
                </w:tcPr>
                <w:p w14:paraId="41DEF26D">
                  <w:pPr>
                    <w:jc w:val="center"/>
                    <w:rPr>
                      <w:rFonts w:hint="default" w:ascii="Times New Roman" w:hAnsi="Times New Roman" w:eastAsia="仿宋" w:cs="Times New Roman"/>
                      <w:b/>
                      <w:color w:val="auto"/>
                      <w:sz w:val="18"/>
                      <w:szCs w:val="18"/>
                    </w:rPr>
                  </w:pPr>
                </w:p>
              </w:tc>
              <w:tc>
                <w:tcPr>
                  <w:tcW w:w="465" w:type="pct"/>
                  <w:vMerge w:val="continue"/>
                  <w:vAlign w:val="center"/>
                </w:tcPr>
                <w:p w14:paraId="170A734E">
                  <w:pPr>
                    <w:jc w:val="center"/>
                    <w:rPr>
                      <w:rFonts w:hint="default" w:ascii="Times New Roman" w:hAnsi="Times New Roman" w:eastAsia="仿宋" w:cs="Times New Roman"/>
                      <w:b/>
                      <w:color w:val="auto"/>
                      <w:sz w:val="18"/>
                      <w:szCs w:val="18"/>
                    </w:rPr>
                  </w:pPr>
                </w:p>
              </w:tc>
              <w:tc>
                <w:tcPr>
                  <w:tcW w:w="258" w:type="pct"/>
                  <w:vAlign w:val="center"/>
                </w:tcPr>
                <w:p w14:paraId="09B793C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X</w:t>
                  </w:r>
                </w:p>
              </w:tc>
              <w:tc>
                <w:tcPr>
                  <w:tcW w:w="242" w:type="pct"/>
                  <w:vAlign w:val="center"/>
                </w:tcPr>
                <w:p w14:paraId="0496EB28">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Y</w:t>
                  </w:r>
                </w:p>
              </w:tc>
              <w:tc>
                <w:tcPr>
                  <w:tcW w:w="242" w:type="pct"/>
                  <w:vAlign w:val="center"/>
                </w:tcPr>
                <w:p w14:paraId="048EDEE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Z</w:t>
                  </w:r>
                </w:p>
              </w:tc>
              <w:tc>
                <w:tcPr>
                  <w:tcW w:w="353" w:type="pct"/>
                  <w:vMerge w:val="continue"/>
                  <w:vAlign w:val="center"/>
                </w:tcPr>
                <w:p w14:paraId="31A1FD0D">
                  <w:pPr>
                    <w:jc w:val="center"/>
                    <w:rPr>
                      <w:rFonts w:hint="default" w:ascii="Times New Roman" w:hAnsi="Times New Roman" w:eastAsia="仿宋" w:cs="Times New Roman"/>
                      <w:b/>
                      <w:color w:val="auto"/>
                      <w:sz w:val="18"/>
                      <w:szCs w:val="18"/>
                    </w:rPr>
                  </w:pPr>
                </w:p>
              </w:tc>
              <w:tc>
                <w:tcPr>
                  <w:tcW w:w="512" w:type="pct"/>
                  <w:vMerge w:val="continue"/>
                  <w:vAlign w:val="center"/>
                </w:tcPr>
                <w:p w14:paraId="2B39FAFA">
                  <w:pPr>
                    <w:jc w:val="center"/>
                    <w:rPr>
                      <w:rFonts w:hint="default" w:ascii="Times New Roman" w:hAnsi="Times New Roman" w:eastAsia="仿宋" w:cs="Times New Roman"/>
                      <w:b/>
                      <w:color w:val="auto"/>
                      <w:sz w:val="18"/>
                      <w:szCs w:val="18"/>
                    </w:rPr>
                  </w:pPr>
                </w:p>
              </w:tc>
              <w:tc>
                <w:tcPr>
                  <w:tcW w:w="465" w:type="pct"/>
                  <w:vMerge w:val="continue"/>
                  <w:vAlign w:val="center"/>
                </w:tcPr>
                <w:p w14:paraId="1A65237C">
                  <w:pPr>
                    <w:jc w:val="center"/>
                    <w:rPr>
                      <w:rFonts w:hint="default" w:ascii="Times New Roman" w:hAnsi="Times New Roman" w:eastAsia="仿宋" w:cs="Times New Roman"/>
                      <w:b/>
                      <w:color w:val="auto"/>
                      <w:sz w:val="18"/>
                      <w:szCs w:val="18"/>
                    </w:rPr>
                  </w:pPr>
                </w:p>
              </w:tc>
              <w:tc>
                <w:tcPr>
                  <w:tcW w:w="388" w:type="pct"/>
                  <w:vMerge w:val="continue"/>
                  <w:vAlign w:val="center"/>
                </w:tcPr>
                <w:p w14:paraId="68AAFBF6">
                  <w:pPr>
                    <w:jc w:val="center"/>
                    <w:rPr>
                      <w:rFonts w:hint="default" w:ascii="Times New Roman" w:hAnsi="Times New Roman" w:eastAsia="仿宋" w:cs="Times New Roman"/>
                      <w:b/>
                      <w:color w:val="auto"/>
                      <w:sz w:val="18"/>
                      <w:szCs w:val="18"/>
                    </w:rPr>
                  </w:pPr>
                </w:p>
              </w:tc>
              <w:tc>
                <w:tcPr>
                  <w:tcW w:w="428" w:type="pct"/>
                  <w:vMerge w:val="continue"/>
                  <w:vAlign w:val="center"/>
                </w:tcPr>
                <w:p w14:paraId="6D92E8C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sz w:val="18"/>
                      <w:szCs w:val="18"/>
                    </w:rPr>
                  </w:pPr>
                </w:p>
              </w:tc>
              <w:tc>
                <w:tcPr>
                  <w:tcW w:w="398" w:type="pct"/>
                  <w:vAlign w:val="center"/>
                </w:tcPr>
                <w:p w14:paraId="417A0C2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声压级/dB（A）</w:t>
                  </w:r>
                </w:p>
              </w:tc>
              <w:tc>
                <w:tcPr>
                  <w:tcW w:w="440" w:type="pct"/>
                  <w:vAlign w:val="center"/>
                </w:tcPr>
                <w:p w14:paraId="1F10CB1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建筑物外距离</w:t>
                  </w:r>
                </w:p>
              </w:tc>
            </w:tr>
            <w:tr w14:paraId="52EC9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78" w:type="pct"/>
                  <w:vMerge w:val="restart"/>
                  <w:vAlign w:val="center"/>
                </w:tcPr>
                <w:p w14:paraId="403976B1">
                  <w:pPr>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1#实验室</w:t>
                  </w:r>
                </w:p>
              </w:tc>
              <w:tc>
                <w:tcPr>
                  <w:tcW w:w="426" w:type="pct"/>
                  <w:vMerge w:val="restart"/>
                  <w:vAlign w:val="center"/>
                </w:tcPr>
                <w:p w14:paraId="0F06222B">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highlight w:val="none"/>
                      <w:lang w:val="en-US" w:eastAsia="zh-CN"/>
                    </w:rPr>
                    <w:t>研磨机</w:t>
                  </w:r>
                </w:p>
              </w:tc>
              <w:tc>
                <w:tcPr>
                  <w:tcW w:w="465" w:type="pct"/>
                  <w:vMerge w:val="restart"/>
                  <w:vAlign w:val="center"/>
                </w:tcPr>
                <w:p w14:paraId="61E3FDB9">
                  <w:pPr>
                    <w:jc w:val="center"/>
                    <w:rPr>
                      <w:rFonts w:hint="default" w:ascii="Times New Roman" w:hAnsi="Times New Roman" w:eastAsia="仿宋" w:cs="Times New Roman"/>
                      <w:color w:val="auto"/>
                      <w:kern w:val="0"/>
                      <w:sz w:val="18"/>
                      <w:szCs w:val="18"/>
                      <w:lang w:val="en-US" w:eastAsia="zh-CN"/>
                    </w:rPr>
                  </w:pPr>
                  <w:r>
                    <w:rPr>
                      <w:rFonts w:hint="default" w:ascii="Times New Roman" w:hAnsi="Times New Roman" w:eastAsia="仿宋" w:cs="Times New Roman"/>
                      <w:color w:val="auto"/>
                      <w:kern w:val="0"/>
                      <w:sz w:val="18"/>
                      <w:szCs w:val="18"/>
                      <w:lang w:val="en-US" w:eastAsia="zh-CN"/>
                    </w:rPr>
                    <w:t>80</w:t>
                  </w:r>
                </w:p>
              </w:tc>
              <w:tc>
                <w:tcPr>
                  <w:tcW w:w="258" w:type="pct"/>
                  <w:vMerge w:val="restart"/>
                  <w:vAlign w:val="center"/>
                </w:tcPr>
                <w:p w14:paraId="74D1FBE0">
                  <w:pPr>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-1</w:t>
                  </w:r>
                </w:p>
              </w:tc>
              <w:tc>
                <w:tcPr>
                  <w:tcW w:w="242" w:type="pct"/>
                  <w:vMerge w:val="restart"/>
                  <w:vAlign w:val="center"/>
                </w:tcPr>
                <w:p w14:paraId="7431E555">
                  <w:pPr>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22</w:t>
                  </w:r>
                </w:p>
              </w:tc>
              <w:tc>
                <w:tcPr>
                  <w:tcW w:w="242" w:type="pct"/>
                  <w:vMerge w:val="restart"/>
                  <w:vAlign w:val="center"/>
                </w:tcPr>
                <w:p w14:paraId="00239017">
                  <w:pPr>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9</w:t>
                  </w:r>
                </w:p>
              </w:tc>
              <w:tc>
                <w:tcPr>
                  <w:tcW w:w="353" w:type="pct"/>
                  <w:vMerge w:val="restart"/>
                  <w:vAlign w:val="center"/>
                </w:tcPr>
                <w:p w14:paraId="4AE06111">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减振、厂房隔声</w:t>
                  </w:r>
                </w:p>
              </w:tc>
              <w:tc>
                <w:tcPr>
                  <w:tcW w:w="512" w:type="pct"/>
                  <w:vAlign w:val="center"/>
                </w:tcPr>
                <w:p w14:paraId="535A8042">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rPr>
                    <w:t>东，</w:t>
                  </w:r>
                  <w:r>
                    <w:rPr>
                      <w:rFonts w:hint="eastAsia" w:eastAsia="仿宋" w:cs="Times New Roman"/>
                      <w:bCs/>
                      <w:color w:val="auto"/>
                      <w:sz w:val="18"/>
                      <w:szCs w:val="18"/>
                      <w:highlight w:val="none"/>
                      <w:lang w:val="en-US" w:eastAsia="zh-CN"/>
                    </w:rPr>
                    <w:t>58</w:t>
                  </w:r>
                </w:p>
              </w:tc>
              <w:tc>
                <w:tcPr>
                  <w:tcW w:w="465" w:type="pct"/>
                  <w:vAlign w:val="center"/>
                </w:tcPr>
                <w:p w14:paraId="260B1C7A">
                  <w:pPr>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75.6</w:t>
                  </w:r>
                </w:p>
              </w:tc>
              <w:tc>
                <w:tcPr>
                  <w:tcW w:w="388" w:type="pct"/>
                  <w:vMerge w:val="restart"/>
                  <w:vAlign w:val="center"/>
                </w:tcPr>
                <w:p w14:paraId="25BAD11A">
                  <w:pPr>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8</w:t>
                  </w:r>
                  <w:r>
                    <w:rPr>
                      <w:rFonts w:hint="default" w:ascii="Times New Roman" w:hAnsi="Times New Roman" w:eastAsia="仿宋" w:cs="Times New Roman"/>
                      <w:color w:val="auto"/>
                      <w:sz w:val="18"/>
                      <w:szCs w:val="18"/>
                      <w:highlight w:val="none"/>
                    </w:rPr>
                    <w:t>:00-</w:t>
                  </w:r>
                </w:p>
                <w:p w14:paraId="148288BE">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highlight w:val="none"/>
                      <w:lang w:val="en-US" w:eastAsia="zh-CN"/>
                    </w:rPr>
                    <w:t>20</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00</w:t>
                  </w:r>
                </w:p>
              </w:tc>
              <w:tc>
                <w:tcPr>
                  <w:tcW w:w="428" w:type="pct"/>
                  <w:vMerge w:val="restart"/>
                  <w:vAlign w:val="center"/>
                </w:tcPr>
                <w:p w14:paraId="19F2BE91">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31</w:t>
                  </w:r>
                </w:p>
              </w:tc>
              <w:tc>
                <w:tcPr>
                  <w:tcW w:w="398" w:type="pct"/>
                  <w:vAlign w:val="center"/>
                </w:tcPr>
                <w:p w14:paraId="5834357C">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44.6</w:t>
                  </w:r>
                </w:p>
              </w:tc>
              <w:tc>
                <w:tcPr>
                  <w:tcW w:w="440" w:type="pct"/>
                  <w:vAlign w:val="center"/>
                </w:tcPr>
                <w:p w14:paraId="2E51B45C">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bCs/>
                      <w:color w:val="auto"/>
                      <w:sz w:val="18"/>
                      <w:szCs w:val="18"/>
                    </w:rPr>
                    <w:t>1m</w:t>
                  </w:r>
                </w:p>
              </w:tc>
            </w:tr>
            <w:tr w14:paraId="48949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78" w:type="pct"/>
                  <w:vMerge w:val="continue"/>
                  <w:vAlign w:val="center"/>
                </w:tcPr>
                <w:p w14:paraId="451BD486">
                  <w:pPr>
                    <w:jc w:val="center"/>
                    <w:rPr>
                      <w:rFonts w:hint="default" w:ascii="Times New Roman" w:hAnsi="Times New Roman" w:eastAsia="仿宋" w:cs="Times New Roman"/>
                      <w:color w:val="auto"/>
                      <w:sz w:val="18"/>
                      <w:szCs w:val="18"/>
                    </w:rPr>
                  </w:pPr>
                </w:p>
              </w:tc>
              <w:tc>
                <w:tcPr>
                  <w:tcW w:w="426" w:type="pct"/>
                  <w:vMerge w:val="continue"/>
                  <w:vAlign w:val="center"/>
                </w:tcPr>
                <w:p w14:paraId="5E190998">
                  <w:pPr>
                    <w:jc w:val="center"/>
                    <w:rPr>
                      <w:rFonts w:hint="default" w:ascii="Times New Roman" w:hAnsi="Times New Roman" w:eastAsia="仿宋" w:cs="Times New Roman"/>
                      <w:color w:val="auto"/>
                      <w:sz w:val="18"/>
                      <w:szCs w:val="18"/>
                    </w:rPr>
                  </w:pPr>
                </w:p>
              </w:tc>
              <w:tc>
                <w:tcPr>
                  <w:tcW w:w="465" w:type="pct"/>
                  <w:vMerge w:val="continue"/>
                  <w:vAlign w:val="center"/>
                </w:tcPr>
                <w:p w14:paraId="73C58140">
                  <w:pPr>
                    <w:jc w:val="center"/>
                    <w:rPr>
                      <w:rFonts w:hint="default" w:ascii="Times New Roman" w:hAnsi="Times New Roman" w:eastAsia="仿宋" w:cs="Times New Roman"/>
                      <w:color w:val="auto"/>
                      <w:kern w:val="0"/>
                      <w:sz w:val="18"/>
                      <w:szCs w:val="18"/>
                    </w:rPr>
                  </w:pPr>
                </w:p>
              </w:tc>
              <w:tc>
                <w:tcPr>
                  <w:tcW w:w="258" w:type="pct"/>
                  <w:vMerge w:val="continue"/>
                  <w:vAlign w:val="center"/>
                </w:tcPr>
                <w:p w14:paraId="1EA4E6FE">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360DB3D9">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6831A6B9">
                  <w:pPr>
                    <w:jc w:val="center"/>
                    <w:rPr>
                      <w:rFonts w:hint="default" w:ascii="Times New Roman" w:hAnsi="Times New Roman" w:eastAsia="仿宋" w:cs="Times New Roman"/>
                      <w:color w:val="auto"/>
                      <w:sz w:val="18"/>
                      <w:szCs w:val="18"/>
                      <w:highlight w:val="yellow"/>
                    </w:rPr>
                  </w:pPr>
                </w:p>
              </w:tc>
              <w:tc>
                <w:tcPr>
                  <w:tcW w:w="353" w:type="pct"/>
                  <w:vMerge w:val="continue"/>
                  <w:vAlign w:val="center"/>
                </w:tcPr>
                <w:p w14:paraId="675CE950">
                  <w:pPr>
                    <w:jc w:val="center"/>
                    <w:rPr>
                      <w:rFonts w:hint="default" w:ascii="Times New Roman" w:hAnsi="Times New Roman" w:eastAsia="仿宋" w:cs="Times New Roman"/>
                      <w:color w:val="auto"/>
                      <w:sz w:val="18"/>
                      <w:szCs w:val="18"/>
                    </w:rPr>
                  </w:pPr>
                </w:p>
              </w:tc>
              <w:tc>
                <w:tcPr>
                  <w:tcW w:w="512" w:type="pct"/>
                  <w:vAlign w:val="center"/>
                </w:tcPr>
                <w:p w14:paraId="1D4F4FF1">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rPr>
                    <w:t>南，</w:t>
                  </w:r>
                  <w:r>
                    <w:rPr>
                      <w:rFonts w:hint="eastAsia" w:eastAsia="仿宋" w:cs="Times New Roman"/>
                      <w:bCs/>
                      <w:color w:val="auto"/>
                      <w:sz w:val="18"/>
                      <w:szCs w:val="18"/>
                      <w:highlight w:val="none"/>
                      <w:lang w:val="en-US" w:eastAsia="zh-CN"/>
                    </w:rPr>
                    <w:t>3</w:t>
                  </w:r>
                  <w:r>
                    <w:rPr>
                      <w:rFonts w:hint="default" w:ascii="Times New Roman" w:hAnsi="Times New Roman" w:eastAsia="仿宋" w:cs="Times New Roman"/>
                      <w:bCs/>
                      <w:color w:val="auto"/>
                      <w:sz w:val="18"/>
                      <w:szCs w:val="18"/>
                      <w:highlight w:val="none"/>
                      <w:lang w:val="en-US" w:eastAsia="zh-CN"/>
                    </w:rPr>
                    <w:t>4</w:t>
                  </w:r>
                </w:p>
              </w:tc>
              <w:tc>
                <w:tcPr>
                  <w:tcW w:w="465" w:type="pct"/>
                  <w:vAlign w:val="center"/>
                </w:tcPr>
                <w:p w14:paraId="22D6F757">
                  <w:pPr>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75.6</w:t>
                  </w:r>
                </w:p>
              </w:tc>
              <w:tc>
                <w:tcPr>
                  <w:tcW w:w="388" w:type="pct"/>
                  <w:vMerge w:val="continue"/>
                  <w:vAlign w:val="center"/>
                </w:tcPr>
                <w:p w14:paraId="1B993E14">
                  <w:pPr>
                    <w:jc w:val="center"/>
                    <w:rPr>
                      <w:rFonts w:hint="default" w:ascii="Times New Roman" w:hAnsi="Times New Roman" w:eastAsia="仿宋" w:cs="Times New Roman"/>
                      <w:color w:val="auto"/>
                      <w:sz w:val="18"/>
                      <w:szCs w:val="18"/>
                    </w:rPr>
                  </w:pPr>
                </w:p>
              </w:tc>
              <w:tc>
                <w:tcPr>
                  <w:tcW w:w="428" w:type="pct"/>
                  <w:vMerge w:val="continue"/>
                  <w:vAlign w:val="center"/>
                </w:tcPr>
                <w:p w14:paraId="26495B8D">
                  <w:pPr>
                    <w:jc w:val="center"/>
                    <w:rPr>
                      <w:rFonts w:hint="default" w:ascii="Times New Roman" w:hAnsi="Times New Roman" w:eastAsia="仿宋" w:cs="Times New Roman"/>
                      <w:color w:val="auto"/>
                      <w:sz w:val="18"/>
                      <w:szCs w:val="18"/>
                    </w:rPr>
                  </w:pPr>
                </w:p>
              </w:tc>
              <w:tc>
                <w:tcPr>
                  <w:tcW w:w="398" w:type="pct"/>
                  <w:vAlign w:val="center"/>
                </w:tcPr>
                <w:p w14:paraId="2E733B66">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44.6</w:t>
                  </w:r>
                </w:p>
              </w:tc>
              <w:tc>
                <w:tcPr>
                  <w:tcW w:w="440" w:type="pct"/>
                  <w:vAlign w:val="center"/>
                </w:tcPr>
                <w:p w14:paraId="34195098">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bCs/>
                      <w:color w:val="auto"/>
                      <w:sz w:val="18"/>
                      <w:szCs w:val="18"/>
                    </w:rPr>
                    <w:t>1m</w:t>
                  </w:r>
                </w:p>
              </w:tc>
            </w:tr>
            <w:tr w14:paraId="7BB19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78" w:type="pct"/>
                  <w:vMerge w:val="continue"/>
                  <w:vAlign w:val="center"/>
                </w:tcPr>
                <w:p w14:paraId="00120373">
                  <w:pPr>
                    <w:jc w:val="center"/>
                    <w:rPr>
                      <w:rFonts w:hint="default" w:ascii="Times New Roman" w:hAnsi="Times New Roman" w:eastAsia="仿宋" w:cs="Times New Roman"/>
                      <w:color w:val="auto"/>
                      <w:sz w:val="18"/>
                      <w:szCs w:val="18"/>
                    </w:rPr>
                  </w:pPr>
                </w:p>
              </w:tc>
              <w:tc>
                <w:tcPr>
                  <w:tcW w:w="426" w:type="pct"/>
                  <w:vMerge w:val="continue"/>
                  <w:vAlign w:val="center"/>
                </w:tcPr>
                <w:p w14:paraId="7FBBB8B9">
                  <w:pPr>
                    <w:jc w:val="center"/>
                    <w:rPr>
                      <w:rFonts w:hint="default" w:ascii="Times New Roman" w:hAnsi="Times New Roman" w:eastAsia="仿宋" w:cs="Times New Roman"/>
                      <w:color w:val="auto"/>
                      <w:sz w:val="18"/>
                      <w:szCs w:val="18"/>
                    </w:rPr>
                  </w:pPr>
                </w:p>
              </w:tc>
              <w:tc>
                <w:tcPr>
                  <w:tcW w:w="465" w:type="pct"/>
                  <w:vMerge w:val="continue"/>
                  <w:vAlign w:val="center"/>
                </w:tcPr>
                <w:p w14:paraId="5405833F">
                  <w:pPr>
                    <w:jc w:val="center"/>
                    <w:rPr>
                      <w:rFonts w:hint="default" w:ascii="Times New Roman" w:hAnsi="Times New Roman" w:eastAsia="仿宋" w:cs="Times New Roman"/>
                      <w:color w:val="auto"/>
                      <w:kern w:val="0"/>
                      <w:sz w:val="18"/>
                      <w:szCs w:val="18"/>
                    </w:rPr>
                  </w:pPr>
                </w:p>
              </w:tc>
              <w:tc>
                <w:tcPr>
                  <w:tcW w:w="258" w:type="pct"/>
                  <w:vMerge w:val="continue"/>
                  <w:vAlign w:val="center"/>
                </w:tcPr>
                <w:p w14:paraId="1EB0F15A">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0B04A3A9">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7EFAD4FE">
                  <w:pPr>
                    <w:jc w:val="center"/>
                    <w:rPr>
                      <w:rFonts w:hint="default" w:ascii="Times New Roman" w:hAnsi="Times New Roman" w:eastAsia="仿宋" w:cs="Times New Roman"/>
                      <w:color w:val="auto"/>
                      <w:sz w:val="18"/>
                      <w:szCs w:val="18"/>
                      <w:highlight w:val="yellow"/>
                    </w:rPr>
                  </w:pPr>
                </w:p>
              </w:tc>
              <w:tc>
                <w:tcPr>
                  <w:tcW w:w="353" w:type="pct"/>
                  <w:vMerge w:val="continue"/>
                  <w:vAlign w:val="center"/>
                </w:tcPr>
                <w:p w14:paraId="4CFB31B0">
                  <w:pPr>
                    <w:jc w:val="center"/>
                    <w:rPr>
                      <w:rFonts w:hint="default" w:ascii="Times New Roman" w:hAnsi="Times New Roman" w:eastAsia="仿宋" w:cs="Times New Roman"/>
                      <w:color w:val="auto"/>
                      <w:sz w:val="18"/>
                      <w:szCs w:val="18"/>
                    </w:rPr>
                  </w:pPr>
                </w:p>
              </w:tc>
              <w:tc>
                <w:tcPr>
                  <w:tcW w:w="512" w:type="pct"/>
                  <w:vAlign w:val="center"/>
                </w:tcPr>
                <w:p w14:paraId="1F9CFB16">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rPr>
                    <w:t>西，</w:t>
                  </w:r>
                  <w:r>
                    <w:rPr>
                      <w:rFonts w:hint="eastAsia" w:eastAsia="仿宋" w:cs="Times New Roman"/>
                      <w:bCs/>
                      <w:color w:val="auto"/>
                      <w:sz w:val="18"/>
                      <w:szCs w:val="18"/>
                      <w:highlight w:val="none"/>
                      <w:lang w:val="en-US" w:eastAsia="zh-CN"/>
                    </w:rPr>
                    <w:t>2</w:t>
                  </w:r>
                </w:p>
              </w:tc>
              <w:tc>
                <w:tcPr>
                  <w:tcW w:w="465" w:type="pct"/>
                  <w:vAlign w:val="center"/>
                </w:tcPr>
                <w:p w14:paraId="6E510D4F">
                  <w:pPr>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77.2</w:t>
                  </w:r>
                </w:p>
              </w:tc>
              <w:tc>
                <w:tcPr>
                  <w:tcW w:w="388" w:type="pct"/>
                  <w:vMerge w:val="continue"/>
                  <w:vAlign w:val="center"/>
                </w:tcPr>
                <w:p w14:paraId="1A75FA07">
                  <w:pPr>
                    <w:jc w:val="center"/>
                    <w:rPr>
                      <w:rFonts w:hint="default" w:ascii="Times New Roman" w:hAnsi="Times New Roman" w:eastAsia="仿宋" w:cs="Times New Roman"/>
                      <w:color w:val="auto"/>
                      <w:sz w:val="18"/>
                      <w:szCs w:val="18"/>
                    </w:rPr>
                  </w:pPr>
                </w:p>
              </w:tc>
              <w:tc>
                <w:tcPr>
                  <w:tcW w:w="428" w:type="pct"/>
                  <w:vMerge w:val="continue"/>
                  <w:vAlign w:val="center"/>
                </w:tcPr>
                <w:p w14:paraId="60F2B6E9">
                  <w:pPr>
                    <w:jc w:val="center"/>
                    <w:rPr>
                      <w:rFonts w:hint="default" w:ascii="Times New Roman" w:hAnsi="Times New Roman" w:eastAsia="仿宋" w:cs="Times New Roman"/>
                      <w:color w:val="auto"/>
                      <w:sz w:val="18"/>
                      <w:szCs w:val="18"/>
                    </w:rPr>
                  </w:pPr>
                </w:p>
              </w:tc>
              <w:tc>
                <w:tcPr>
                  <w:tcW w:w="398" w:type="pct"/>
                  <w:vAlign w:val="center"/>
                </w:tcPr>
                <w:p w14:paraId="1EE38554">
                  <w:pPr>
                    <w:jc w:val="center"/>
                    <w:rPr>
                      <w:rFonts w:hint="default" w:ascii="Times New Roman" w:hAnsi="Times New Roman" w:eastAsia="仿宋" w:cs="Times New Roman"/>
                      <w:bCs/>
                      <w:color w:val="auto"/>
                      <w:sz w:val="18"/>
                      <w:szCs w:val="18"/>
                      <w:highlight w:val="none"/>
                      <w:lang w:val="en-US" w:eastAsia="zh-CN"/>
                    </w:rPr>
                  </w:pPr>
                  <w:r>
                    <w:rPr>
                      <w:rFonts w:hint="eastAsia" w:eastAsia="仿宋" w:cs="Times New Roman"/>
                      <w:bCs/>
                      <w:color w:val="auto"/>
                      <w:sz w:val="18"/>
                      <w:szCs w:val="18"/>
                      <w:highlight w:val="none"/>
                      <w:lang w:val="en-US" w:eastAsia="zh-CN"/>
                    </w:rPr>
                    <w:t>46.2</w:t>
                  </w:r>
                </w:p>
              </w:tc>
              <w:tc>
                <w:tcPr>
                  <w:tcW w:w="440" w:type="pct"/>
                  <w:vAlign w:val="center"/>
                </w:tcPr>
                <w:p w14:paraId="60C7884B">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bCs/>
                      <w:color w:val="auto"/>
                      <w:sz w:val="18"/>
                      <w:szCs w:val="18"/>
                    </w:rPr>
                    <w:t>1m</w:t>
                  </w:r>
                </w:p>
              </w:tc>
            </w:tr>
            <w:tr w14:paraId="1C8B7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78" w:type="pct"/>
                  <w:vMerge w:val="continue"/>
                  <w:vAlign w:val="center"/>
                </w:tcPr>
                <w:p w14:paraId="68EC6AC9">
                  <w:pPr>
                    <w:jc w:val="center"/>
                    <w:rPr>
                      <w:rFonts w:hint="default" w:ascii="Times New Roman" w:hAnsi="Times New Roman" w:eastAsia="仿宋" w:cs="Times New Roman"/>
                      <w:color w:val="auto"/>
                      <w:sz w:val="18"/>
                      <w:szCs w:val="18"/>
                    </w:rPr>
                  </w:pPr>
                </w:p>
              </w:tc>
              <w:tc>
                <w:tcPr>
                  <w:tcW w:w="426" w:type="pct"/>
                  <w:vMerge w:val="continue"/>
                  <w:vAlign w:val="center"/>
                </w:tcPr>
                <w:p w14:paraId="53C13245">
                  <w:pPr>
                    <w:jc w:val="center"/>
                    <w:rPr>
                      <w:rFonts w:hint="default" w:ascii="Times New Roman" w:hAnsi="Times New Roman" w:eastAsia="仿宋" w:cs="Times New Roman"/>
                      <w:color w:val="auto"/>
                      <w:sz w:val="18"/>
                      <w:szCs w:val="18"/>
                    </w:rPr>
                  </w:pPr>
                </w:p>
              </w:tc>
              <w:tc>
                <w:tcPr>
                  <w:tcW w:w="465" w:type="pct"/>
                  <w:vMerge w:val="continue"/>
                  <w:vAlign w:val="center"/>
                </w:tcPr>
                <w:p w14:paraId="03007B3C">
                  <w:pPr>
                    <w:jc w:val="center"/>
                    <w:rPr>
                      <w:rFonts w:hint="default" w:ascii="Times New Roman" w:hAnsi="Times New Roman" w:eastAsia="仿宋" w:cs="Times New Roman"/>
                      <w:color w:val="auto"/>
                      <w:kern w:val="0"/>
                      <w:sz w:val="18"/>
                      <w:szCs w:val="18"/>
                    </w:rPr>
                  </w:pPr>
                </w:p>
              </w:tc>
              <w:tc>
                <w:tcPr>
                  <w:tcW w:w="258" w:type="pct"/>
                  <w:vMerge w:val="continue"/>
                  <w:vAlign w:val="center"/>
                </w:tcPr>
                <w:p w14:paraId="1E2D8DC9">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535A37B8">
                  <w:pPr>
                    <w:jc w:val="center"/>
                    <w:rPr>
                      <w:rFonts w:hint="default" w:ascii="Times New Roman" w:hAnsi="Times New Roman" w:eastAsia="仿宋" w:cs="Times New Roman"/>
                      <w:color w:val="auto"/>
                      <w:sz w:val="18"/>
                      <w:szCs w:val="18"/>
                      <w:highlight w:val="yellow"/>
                    </w:rPr>
                  </w:pPr>
                </w:p>
              </w:tc>
              <w:tc>
                <w:tcPr>
                  <w:tcW w:w="242" w:type="pct"/>
                  <w:vMerge w:val="continue"/>
                  <w:vAlign w:val="center"/>
                </w:tcPr>
                <w:p w14:paraId="5A43E44B">
                  <w:pPr>
                    <w:jc w:val="center"/>
                    <w:rPr>
                      <w:rFonts w:hint="default" w:ascii="Times New Roman" w:hAnsi="Times New Roman" w:eastAsia="仿宋" w:cs="Times New Roman"/>
                      <w:color w:val="auto"/>
                      <w:sz w:val="18"/>
                      <w:szCs w:val="18"/>
                      <w:highlight w:val="yellow"/>
                    </w:rPr>
                  </w:pPr>
                </w:p>
              </w:tc>
              <w:tc>
                <w:tcPr>
                  <w:tcW w:w="353" w:type="pct"/>
                  <w:vMerge w:val="continue"/>
                  <w:vAlign w:val="center"/>
                </w:tcPr>
                <w:p w14:paraId="31F225D5">
                  <w:pPr>
                    <w:jc w:val="center"/>
                    <w:rPr>
                      <w:rFonts w:hint="default" w:ascii="Times New Roman" w:hAnsi="Times New Roman" w:eastAsia="仿宋" w:cs="Times New Roman"/>
                      <w:color w:val="auto"/>
                      <w:sz w:val="18"/>
                      <w:szCs w:val="18"/>
                    </w:rPr>
                  </w:pPr>
                </w:p>
              </w:tc>
              <w:tc>
                <w:tcPr>
                  <w:tcW w:w="512" w:type="pct"/>
                  <w:vAlign w:val="center"/>
                </w:tcPr>
                <w:p w14:paraId="408548FC">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rPr>
                    <w:t>北，</w:t>
                  </w:r>
                  <w:r>
                    <w:rPr>
                      <w:rFonts w:hint="eastAsia" w:eastAsia="仿宋" w:cs="Times New Roman"/>
                      <w:bCs/>
                      <w:color w:val="auto"/>
                      <w:sz w:val="18"/>
                      <w:szCs w:val="18"/>
                      <w:highlight w:val="none"/>
                      <w:lang w:val="en-US" w:eastAsia="zh-CN"/>
                    </w:rPr>
                    <w:t>3</w:t>
                  </w:r>
                  <w:r>
                    <w:rPr>
                      <w:rFonts w:hint="default" w:ascii="Times New Roman" w:hAnsi="Times New Roman" w:eastAsia="仿宋" w:cs="Times New Roman"/>
                      <w:bCs/>
                      <w:color w:val="auto"/>
                      <w:sz w:val="18"/>
                      <w:szCs w:val="18"/>
                      <w:highlight w:val="none"/>
                      <w:lang w:val="en-US" w:eastAsia="zh-CN"/>
                    </w:rPr>
                    <w:t>7</w:t>
                  </w:r>
                </w:p>
              </w:tc>
              <w:tc>
                <w:tcPr>
                  <w:tcW w:w="465" w:type="pct"/>
                  <w:vAlign w:val="center"/>
                </w:tcPr>
                <w:p w14:paraId="73CFD337">
                  <w:pPr>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75.6</w:t>
                  </w:r>
                </w:p>
              </w:tc>
              <w:tc>
                <w:tcPr>
                  <w:tcW w:w="388" w:type="pct"/>
                  <w:vMerge w:val="continue"/>
                  <w:vAlign w:val="center"/>
                </w:tcPr>
                <w:p w14:paraId="2A9CEA52">
                  <w:pPr>
                    <w:jc w:val="center"/>
                    <w:rPr>
                      <w:rFonts w:hint="default" w:ascii="Times New Roman" w:hAnsi="Times New Roman" w:eastAsia="仿宋" w:cs="Times New Roman"/>
                      <w:color w:val="auto"/>
                      <w:sz w:val="18"/>
                      <w:szCs w:val="18"/>
                    </w:rPr>
                  </w:pPr>
                </w:p>
              </w:tc>
              <w:tc>
                <w:tcPr>
                  <w:tcW w:w="428" w:type="pct"/>
                  <w:vMerge w:val="continue"/>
                  <w:vAlign w:val="center"/>
                </w:tcPr>
                <w:p w14:paraId="54CB8BD3">
                  <w:pPr>
                    <w:jc w:val="center"/>
                    <w:rPr>
                      <w:rFonts w:hint="default" w:ascii="Times New Roman" w:hAnsi="Times New Roman" w:eastAsia="仿宋" w:cs="Times New Roman"/>
                      <w:color w:val="auto"/>
                      <w:sz w:val="18"/>
                      <w:szCs w:val="18"/>
                    </w:rPr>
                  </w:pPr>
                </w:p>
              </w:tc>
              <w:tc>
                <w:tcPr>
                  <w:tcW w:w="398" w:type="pct"/>
                  <w:vAlign w:val="center"/>
                </w:tcPr>
                <w:p w14:paraId="518B91AF">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44.6</w:t>
                  </w:r>
                </w:p>
              </w:tc>
              <w:tc>
                <w:tcPr>
                  <w:tcW w:w="440" w:type="pct"/>
                  <w:vAlign w:val="center"/>
                </w:tcPr>
                <w:p w14:paraId="2A858D7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bCs/>
                      <w:color w:val="auto"/>
                      <w:sz w:val="18"/>
                      <w:szCs w:val="18"/>
                    </w:rPr>
                    <w:t>1m</w:t>
                  </w:r>
                </w:p>
              </w:tc>
            </w:tr>
          </w:tbl>
          <w:p w14:paraId="391D6B8B">
            <w:pPr>
              <w:spacing w:line="300" w:lineRule="auto"/>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18"/>
                <w:szCs w:val="18"/>
              </w:rPr>
              <w:t>注：以</w:t>
            </w:r>
            <w:r>
              <w:rPr>
                <w:rFonts w:hint="eastAsia" w:eastAsia="仿宋" w:cs="Times New Roman"/>
                <w:bCs/>
                <w:color w:val="auto"/>
                <w:sz w:val="18"/>
                <w:szCs w:val="18"/>
                <w:lang w:val="en-US" w:eastAsia="zh-CN"/>
              </w:rPr>
              <w:t>生产车间</w:t>
            </w:r>
            <w:r>
              <w:rPr>
                <w:rFonts w:hint="default" w:ascii="Times New Roman" w:hAnsi="Times New Roman" w:eastAsia="仿宋" w:cs="Times New Roman"/>
                <w:bCs/>
                <w:color w:val="auto"/>
                <w:sz w:val="18"/>
                <w:szCs w:val="18"/>
                <w:lang w:val="en-US" w:eastAsia="zh-CN"/>
              </w:rPr>
              <w:t>的</w:t>
            </w:r>
            <w:r>
              <w:rPr>
                <w:rFonts w:hint="default" w:ascii="Times New Roman" w:hAnsi="Times New Roman" w:eastAsia="仿宋" w:cs="Times New Roman"/>
                <w:bCs/>
                <w:color w:val="auto"/>
                <w:sz w:val="18"/>
                <w:szCs w:val="18"/>
              </w:rPr>
              <w:t>西南角作为原点。</w:t>
            </w:r>
          </w:p>
          <w:p w14:paraId="35D03931">
            <w:pPr>
              <w:adjustRightInd w:val="0"/>
              <w:snapToGrid w:val="0"/>
              <w:spacing w:before="120" w:beforeLines="50"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2、噪声污染防治措施</w:t>
            </w:r>
          </w:p>
          <w:p w14:paraId="265BD2F7">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建设单位拟采取的降噪措施如下：</w:t>
            </w:r>
          </w:p>
          <w:p w14:paraId="525A3A46">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①设备减振</w:t>
            </w:r>
          </w:p>
          <w:p w14:paraId="557B46D5">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在高噪声设备与地基之间进行减振处理，噪声源强较高的安装减振底座。</w:t>
            </w:r>
          </w:p>
          <w:p w14:paraId="286321D0">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②加强建筑物隔声措施</w:t>
            </w:r>
          </w:p>
          <w:p w14:paraId="11252C31">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项目高噪声设备有效利用了建筑隔声，防止噪声的扩散和传播。</w:t>
            </w:r>
          </w:p>
          <w:p w14:paraId="4B922C8A">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③强化生产管理</w:t>
            </w:r>
          </w:p>
          <w:p w14:paraId="150805C3">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提高职工环保意识，规范职工操作；确保各类噪声防治措施有效运行，各设备均保持良好运行状态，防止突发噪声。</w:t>
            </w:r>
          </w:p>
          <w:p w14:paraId="0BE16A96">
            <w:pPr>
              <w:adjustRightInd w:val="0"/>
              <w:snapToGrid w:val="0"/>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室内高噪声设备经采取以上降噪措施并经过距离衰减后，预计降噪效果可达到25dB（A）左右。</w:t>
            </w:r>
          </w:p>
          <w:p w14:paraId="27DB563A">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3、噪声预测达标分析</w:t>
            </w:r>
          </w:p>
          <w:p w14:paraId="277ABD6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（1）预测模式</w:t>
            </w:r>
          </w:p>
          <w:p w14:paraId="504DC358">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本次预测将室内声源等效成室外声源，然后按室外声源方法计算预测点处的A声级。噪声预测采用HJ2.4-2021附录A.2基本公式及附录B工业噪声预测计算模型。</w:t>
            </w:r>
          </w:p>
          <w:p w14:paraId="331F0442">
            <w:pPr>
              <w:adjustRightInd w:val="0"/>
              <w:snapToGrid w:val="0"/>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①单个室外的点声源在预测点产生的声级计算基本公式</w:t>
            </w:r>
          </w:p>
          <w:p w14:paraId="7D11CDC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已知声源的倍频带声功率级，预测点位置的倍频带声压级</w:t>
            </w:r>
            <w:r>
              <w:rPr>
                <w:rFonts w:hint="default" w:ascii="Times New Roman" w:hAnsi="Times New Roman" w:eastAsia="仿宋" w:cs="Times New Roman"/>
                <w:color w:val="auto"/>
                <w:sz w:val="24"/>
              </w:rPr>
              <w:drawing>
                <wp:inline distT="0" distB="0" distL="0" distR="0">
                  <wp:extent cx="381000" cy="24765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1000" cy="247650"/>
                          </a:xfrm>
                          <a:prstGeom prst="rect">
                            <a:avLst/>
                          </a:prstGeom>
                          <a:noFill/>
                          <a:ln>
                            <a:noFill/>
                          </a:ln>
                        </pic:spPr>
                      </pic:pic>
                    </a:graphicData>
                  </a:graphic>
                </wp:inline>
              </w:drawing>
            </w:r>
            <w:r>
              <w:rPr>
                <w:rFonts w:hint="default" w:ascii="Times New Roman" w:hAnsi="Times New Roman" w:eastAsia="仿宋" w:cs="Times New Roman"/>
                <w:bCs/>
                <w:color w:val="auto"/>
                <w:sz w:val="24"/>
              </w:rPr>
              <w:t>可按下式计算：</w:t>
            </w:r>
          </w:p>
          <w:p w14:paraId="4828A32E">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3333750" cy="234950"/>
                  <wp:effectExtent l="0" t="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333750" cy="234950"/>
                          </a:xfrm>
                          <a:prstGeom prst="rect">
                            <a:avLst/>
                          </a:prstGeom>
                          <a:noFill/>
                          <a:ln>
                            <a:noFill/>
                          </a:ln>
                        </pic:spPr>
                      </pic:pic>
                    </a:graphicData>
                  </a:graphic>
                </wp:inline>
              </w:drawing>
            </w:r>
          </w:p>
          <w:p w14:paraId="33BFEC44">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式中：</w:t>
            </w:r>
          </w:p>
          <w:p w14:paraId="263185AF">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position w:val="-6"/>
                <w:sz w:val="24"/>
              </w:rPr>
              <w:drawing>
                <wp:inline distT="0" distB="0" distL="114300" distR="114300">
                  <wp:extent cx="238760" cy="182880"/>
                  <wp:effectExtent l="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7"/>
                          <a:stretch>
                            <a:fillRect/>
                          </a:stretch>
                        </pic:blipFill>
                        <pic:spPr>
                          <a:xfrm>
                            <a:off x="0" y="0"/>
                            <a:ext cx="238760" cy="18288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——由点声源产生的声功率级（A计权或倍频带），dB；</w:t>
            </w:r>
          </w:p>
          <w:p w14:paraId="0382E812">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position w:val="-6"/>
                <w:sz w:val="24"/>
              </w:rPr>
              <w:drawing>
                <wp:inline distT="0" distB="0" distL="114300" distR="114300">
                  <wp:extent cx="238760" cy="18288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8"/>
                          <a:stretch>
                            <a:fillRect/>
                          </a:stretch>
                        </pic:blipFill>
                        <pic:spPr>
                          <a:xfrm>
                            <a:off x="0" y="0"/>
                            <a:ext cx="238760" cy="18288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——指向性校正，dB，对辐射到自由空间的全向点声源，</w:t>
            </w:r>
            <w:r>
              <w:rPr>
                <w:rFonts w:hint="default" w:ascii="Times New Roman" w:hAnsi="Times New Roman" w:eastAsia="仿宋" w:cs="Times New Roman"/>
                <w:color w:val="auto"/>
                <w:kern w:val="0"/>
                <w:position w:val="-6"/>
                <w:sz w:val="24"/>
              </w:rPr>
              <w:drawing>
                <wp:inline distT="0" distB="0" distL="114300" distR="114300">
                  <wp:extent cx="238760" cy="18288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8"/>
                          <a:stretch>
                            <a:fillRect/>
                          </a:stretch>
                        </pic:blipFill>
                        <pic:spPr>
                          <a:xfrm>
                            <a:off x="0" y="0"/>
                            <a:ext cx="238760" cy="18288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=0dB；</w:t>
            </w:r>
          </w:p>
          <w:p w14:paraId="399A2AF3">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position w:val="-12"/>
                <w:sz w:val="24"/>
              </w:rPr>
              <w:drawing>
                <wp:inline distT="0" distB="0" distL="114300" distR="114300">
                  <wp:extent cx="254635" cy="230505"/>
                  <wp:effectExtent l="0" t="0" r="12065"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9"/>
                          <a:stretch>
                            <a:fillRect/>
                          </a:stretch>
                        </pic:blipFill>
                        <pic:spPr>
                          <a:xfrm>
                            <a:off x="0" y="0"/>
                            <a:ext cx="254635" cy="230505"/>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position w:val="-12"/>
                <w:sz w:val="24"/>
              </w:rPr>
              <w:drawing>
                <wp:inline distT="0" distB="0" distL="114300" distR="114300">
                  <wp:extent cx="286385" cy="230505"/>
                  <wp:effectExtent l="0" t="0" r="5715" b="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30"/>
                          <a:stretch>
                            <a:fillRect/>
                          </a:stretch>
                        </pic:blipFill>
                        <pic:spPr>
                          <a:xfrm>
                            <a:off x="0" y="0"/>
                            <a:ext cx="286385" cy="230505"/>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position w:val="-14"/>
                <w:sz w:val="24"/>
              </w:rPr>
              <w:drawing>
                <wp:inline distT="0" distB="0" distL="114300" distR="114300">
                  <wp:extent cx="230505" cy="238760"/>
                  <wp:effectExtent l="0" t="0" r="0" b="190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1"/>
                          <a:stretch>
                            <a:fillRect/>
                          </a:stretch>
                        </pic:blipFill>
                        <pic:spPr>
                          <a:xfrm>
                            <a:off x="0" y="0"/>
                            <a:ext cx="230505" cy="23876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position w:val="-12"/>
                <w:sz w:val="24"/>
              </w:rPr>
              <w:drawing>
                <wp:inline distT="0" distB="0" distL="114300" distR="114300">
                  <wp:extent cx="254635" cy="230505"/>
                  <wp:effectExtent l="0" t="0" r="12065"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2"/>
                          <a:stretch>
                            <a:fillRect/>
                          </a:stretch>
                        </pic:blipFill>
                        <pic:spPr>
                          <a:xfrm>
                            <a:off x="0" y="0"/>
                            <a:ext cx="254635" cy="230505"/>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position w:val="-12"/>
                <w:sz w:val="24"/>
              </w:rPr>
              <w:drawing>
                <wp:inline distT="0" distB="0" distL="114300" distR="114300">
                  <wp:extent cx="294005" cy="238760"/>
                  <wp:effectExtent l="0" t="0" r="10795" b="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33"/>
                          <a:stretch>
                            <a:fillRect/>
                          </a:stretch>
                        </pic:blipFill>
                        <pic:spPr>
                          <a:xfrm>
                            <a:off x="0" y="0"/>
                            <a:ext cx="294005" cy="23876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——分别指几何发散、大气吸收、地面效应、障碍物屏蔽、其他多方面引起的倍频带衰减量，dB，衰减项计算按《环境影响评价技术导则 声环境》（HJ2.4-2021）A.3相关模型计算。</w:t>
            </w:r>
          </w:p>
          <w:p w14:paraId="7E7F8392">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在不能取得声源倍频带声功率级或倍频带声压级，只能获得A声功率级或某点的A声级时，可按下式做近似计算：</w:t>
            </w:r>
          </w:p>
          <w:p w14:paraId="1FA957C6">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282700" cy="260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82700" cy="260350"/>
                          </a:xfrm>
                          <a:prstGeom prst="rect">
                            <a:avLst/>
                          </a:prstGeom>
                          <a:noFill/>
                          <a:ln>
                            <a:noFill/>
                          </a:ln>
                        </pic:spPr>
                      </pic:pic>
                    </a:graphicData>
                  </a:graphic>
                </wp:inline>
              </w:drawing>
            </w:r>
          </w:p>
          <w:p w14:paraId="1FA4AFE3">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46050" cy="171450"/>
                  <wp:effectExtent l="0" t="0" r="635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050" cy="1714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可选择对</w:t>
            </w:r>
            <w:r>
              <w:rPr>
                <w:rFonts w:hint="default" w:ascii="Times New Roman" w:hAnsi="Times New Roman" w:eastAsia="仿宋" w:cs="Times New Roman"/>
                <w:color w:val="auto"/>
                <w:kern w:val="0"/>
                <w:sz w:val="24"/>
              </w:rPr>
              <w:drawing>
                <wp:inline distT="0" distB="0" distL="0" distR="0">
                  <wp:extent cx="146050" cy="171450"/>
                  <wp:effectExtent l="0" t="0" r="635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050" cy="1714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声级影响最大的倍频带计算，一般可选中心频率为500Hz的倍频带</w:t>
            </w:r>
            <w:r>
              <w:rPr>
                <w:rFonts w:hint="eastAsia" w:eastAsia="仿宋" w:cs="Times New Roman"/>
                <w:color w:val="auto"/>
                <w:kern w:val="0"/>
                <w:sz w:val="24"/>
                <w:lang w:eastAsia="zh-CN"/>
              </w:rPr>
              <w:t>做</w:t>
            </w:r>
            <w:r>
              <w:rPr>
                <w:rFonts w:hint="default" w:ascii="Times New Roman" w:hAnsi="Times New Roman" w:eastAsia="仿宋" w:cs="Times New Roman"/>
                <w:color w:val="auto"/>
                <w:kern w:val="0"/>
                <w:sz w:val="24"/>
              </w:rPr>
              <w:t>估算。</w:t>
            </w:r>
          </w:p>
          <w:p w14:paraId="7DA75ECE">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②室内声源等效室外声源声功率级计算方法</w:t>
            </w:r>
          </w:p>
          <w:p w14:paraId="72E2B90B">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如图4-</w:t>
            </w:r>
            <w:r>
              <w:rPr>
                <w:rFonts w:hint="default" w:ascii="Times New Roman" w:hAnsi="Times New Roman" w:eastAsia="仿宋" w:cs="Times New Roman"/>
                <w:color w:val="auto"/>
                <w:kern w:val="0"/>
                <w:sz w:val="24"/>
                <w:lang w:val="en-US" w:eastAsia="zh-CN"/>
              </w:rPr>
              <w:t>8</w:t>
            </w:r>
            <w:r>
              <w:rPr>
                <w:rFonts w:hint="default" w:ascii="Times New Roman" w:hAnsi="Times New Roman" w:eastAsia="仿宋" w:cs="Times New Roman"/>
                <w:color w:val="auto"/>
                <w:kern w:val="0"/>
                <w:sz w:val="24"/>
              </w:rPr>
              <w:t>所示，声源位于室内，室内声源可采用等效室外声源声功率级法进行计算。设靠近开口处（或窗户）室内、室外某倍频带的声压级分别为</w:t>
            </w:r>
            <w:r>
              <w:rPr>
                <w:rFonts w:hint="default" w:ascii="Times New Roman" w:hAnsi="Times New Roman" w:eastAsia="仿宋" w:cs="Times New Roman"/>
                <w:color w:val="auto"/>
                <w:kern w:val="0"/>
                <w:sz w:val="24"/>
              </w:rPr>
              <w:drawing>
                <wp:inline distT="0" distB="0" distL="0" distR="0">
                  <wp:extent cx="234950" cy="24765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4950" cy="2476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rPr>
              <w:drawing>
                <wp:inline distT="0" distB="0" distL="0" distR="0">
                  <wp:extent cx="247650" cy="24765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。若声源所在室内声场为近似扩散声场，则室外的倍频带声压级可按下式近似求出：</w:t>
            </w:r>
          </w:p>
          <w:p w14:paraId="5B8642AD">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308100" cy="279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08100" cy="279400"/>
                          </a:xfrm>
                          <a:prstGeom prst="rect">
                            <a:avLst/>
                          </a:prstGeom>
                          <a:noFill/>
                          <a:ln>
                            <a:noFill/>
                          </a:ln>
                        </pic:spPr>
                      </pic:pic>
                    </a:graphicData>
                  </a:graphic>
                </wp:inline>
              </w:drawing>
            </w:r>
          </w:p>
          <w:p w14:paraId="6F3B721C">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式中：</w:t>
            </w:r>
          </w:p>
          <w:p w14:paraId="5C1F7BC4">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209550" cy="17145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——隔墙（或窗户）倍频带的隔声量，dB。</w:t>
            </w:r>
          </w:p>
          <w:p w14:paraId="3FEE4544">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2755900" cy="14922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55900" cy="1492779"/>
                          </a:xfrm>
                          <a:prstGeom prst="rect">
                            <a:avLst/>
                          </a:prstGeom>
                          <a:noFill/>
                          <a:ln>
                            <a:noFill/>
                          </a:ln>
                        </pic:spPr>
                      </pic:pic>
                    </a:graphicData>
                  </a:graphic>
                </wp:inline>
              </w:drawing>
            </w:r>
          </w:p>
          <w:p w14:paraId="41C83FEA">
            <w:pPr>
              <w:spacing w:line="360" w:lineRule="auto"/>
              <w:ind w:firstLine="482" w:firstLineChars="200"/>
              <w:jc w:val="center"/>
              <w:rPr>
                <w:rFonts w:hint="default" w:ascii="Times New Roman" w:hAnsi="Times New Roman" w:eastAsia="仿宋" w:cs="Times New Roman"/>
                <w:b/>
                <w:color w:val="auto"/>
                <w:kern w:val="0"/>
                <w:sz w:val="24"/>
              </w:rPr>
            </w:pPr>
            <w:r>
              <w:rPr>
                <w:rFonts w:hint="default" w:ascii="Times New Roman" w:hAnsi="Times New Roman" w:eastAsia="仿宋" w:cs="Times New Roman"/>
                <w:b/>
                <w:color w:val="auto"/>
                <w:kern w:val="0"/>
                <w:sz w:val="24"/>
              </w:rPr>
              <w:t>图4-</w:t>
            </w:r>
            <w:r>
              <w:rPr>
                <w:rFonts w:hint="default" w:ascii="Times New Roman" w:hAnsi="Times New Roman" w:eastAsia="仿宋" w:cs="Times New Roman"/>
                <w:b/>
                <w:color w:val="auto"/>
                <w:kern w:val="0"/>
                <w:sz w:val="24"/>
                <w:lang w:val="en-US" w:eastAsia="zh-CN"/>
              </w:rPr>
              <w:t>8</w:t>
            </w:r>
            <w:r>
              <w:rPr>
                <w:rFonts w:hint="default" w:ascii="Times New Roman" w:hAnsi="Times New Roman" w:eastAsia="仿宋" w:cs="Times New Roman"/>
                <w:b/>
                <w:color w:val="auto"/>
                <w:kern w:val="0"/>
                <w:sz w:val="24"/>
              </w:rPr>
              <w:t xml:space="preserve">  室内声源等效为室外声源图例</w:t>
            </w:r>
          </w:p>
          <w:p w14:paraId="5AE86D8A">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也可按下式计算某一室内声源靠近围护结构处产生的倍频带声压级：</w:t>
            </w:r>
          </w:p>
          <w:p w14:paraId="20AE4267">
            <w:pPr>
              <w:spacing w:line="360" w:lineRule="auto"/>
              <w:ind w:firstLine="42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rPr>
              <mc:AlternateContent>
                <mc:Choice Requires="wps">
                  <w:drawing>
                    <wp:anchor distT="0" distB="0" distL="114300" distR="114300" simplePos="0" relativeHeight="251660288" behindDoc="0" locked="0" layoutInCell="1" allowOverlap="1">
                      <wp:simplePos x="0" y="0"/>
                      <wp:positionH relativeFrom="column">
                        <wp:posOffset>1969770</wp:posOffset>
                      </wp:positionH>
                      <wp:positionV relativeFrom="paragraph">
                        <wp:posOffset>49530</wp:posOffset>
                      </wp:positionV>
                      <wp:extent cx="2103755" cy="572135"/>
                      <wp:effectExtent l="0" t="0" r="0" b="0"/>
                      <wp:wrapNone/>
                      <wp:docPr id="2509" name="文本框 2509"/>
                      <wp:cNvGraphicFramePr/>
                      <a:graphic xmlns:a="http://schemas.openxmlformats.org/drawingml/2006/main">
                        <a:graphicData uri="http://schemas.microsoft.com/office/word/2010/wordprocessingShape">
                          <wps:wsp>
                            <wps:cNvSpPr txBox="1">
                              <a:spLocks noChangeArrowheads="1"/>
                            </wps:cNvSpPr>
                            <wps:spPr bwMode="auto">
                              <a:xfrm>
                                <a:off x="0" y="0"/>
                                <a:ext cx="2103755" cy="572135"/>
                              </a:xfrm>
                              <a:prstGeom prst="rect">
                                <a:avLst/>
                              </a:prstGeom>
                              <a:noFill/>
                              <a:ln>
                                <a:noFill/>
                              </a:ln>
                            </wps:spPr>
                            <wps:txbx>
                              <w:txbxContent>
                                <w:p w14:paraId="5B204C5D">
                                  <w:pPr>
                                    <w:jc w:val="center"/>
                                  </w:pPr>
                                  <w:r>
                                    <w:rPr>
                                      <w:color w:val="0000FF"/>
                                      <w:szCs w:val="28"/>
                                    </w:rPr>
                                    <w:drawing>
                                      <wp:inline distT="0" distB="0" distL="0" distR="0">
                                        <wp:extent cx="1917700" cy="48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17700" cy="48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id="_x0000_s1026" o:spid="_x0000_s1026" o:spt="202" type="#_x0000_t202" style="position:absolute;left:0pt;margin-left:155.1pt;margin-top:3.9pt;height:45.05pt;width:165.65pt;mso-wrap-style:none;z-index:251660288;mso-width-relative:page;mso-height-relative:page;" filled="f" stroked="f" coordsize="21600,21600" o:gfxdata="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Yzck1QAAAAgBAAAPAAAA&#10;AAAAAAEAIAAAACIAAABkcnMvZG93bnJldi54bWxQSwECFAAUAAAACACHTuJA7KqeGBgCAAAZBAAA&#10;DgAAAAAAAAABACAAAAAkAQAAZHJzL2Uyb0RvYy54bWxQSwUGAAAAAAYABgBZAQAArgUAAAAA&#10;">
                      <v:fill on="f" focussize="0,0"/>
                      <v:stroke on="f"/>
                      <v:imagedata o:title=""/>
                      <o:lock v:ext="edit" aspectratio="f"/>
                      <v:textbox style="mso-fit-shape-to-text:t;">
                        <w:txbxContent>
                          <w:p w14:paraId="5B204C5D">
                            <w:pPr>
                              <w:jc w:val="center"/>
                            </w:pPr>
                            <w:r>
                              <w:rPr>
                                <w:color w:val="0000FF"/>
                                <w:szCs w:val="28"/>
                              </w:rPr>
                              <w:drawing>
                                <wp:inline distT="0" distB="0" distL="0" distR="0">
                                  <wp:extent cx="1917700" cy="48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17700" cy="482600"/>
                                          </a:xfrm>
                                          <a:prstGeom prst="rect">
                                            <a:avLst/>
                                          </a:prstGeom>
                                          <a:noFill/>
                                          <a:ln>
                                            <a:noFill/>
                                          </a:ln>
                                        </pic:spPr>
                                      </pic:pic>
                                    </a:graphicData>
                                  </a:graphic>
                                </wp:inline>
                              </w:drawing>
                            </w:r>
                          </w:p>
                        </w:txbxContent>
                      </v:textbox>
                    </v:shape>
                  </w:pict>
                </mc:Fallback>
              </mc:AlternateContent>
            </w:r>
          </w:p>
          <w:p w14:paraId="5B718A21">
            <w:pPr>
              <w:spacing w:line="360" w:lineRule="auto"/>
              <w:ind w:firstLine="480" w:firstLineChars="200"/>
              <w:rPr>
                <w:rFonts w:hint="default" w:ascii="Times New Roman" w:hAnsi="Times New Roman" w:eastAsia="仿宋" w:cs="Times New Roman"/>
                <w:color w:val="auto"/>
                <w:kern w:val="0"/>
                <w:sz w:val="24"/>
              </w:rPr>
            </w:pPr>
          </w:p>
          <w:p w14:paraId="66472DE7">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式中：</w:t>
            </w:r>
          </w:p>
          <w:p w14:paraId="3344316B">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46050" cy="203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050" cy="20320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——指向性因素；通常对无指向性声源，当声源放在房间中心时，Q=1；当放在一面墙的中心时，Q=2；当放在两面墙夹角处时，Q=4；当放在三面墙夹角处时，Q=8。</w:t>
            </w:r>
          </w:p>
          <w:p w14:paraId="6268D0ED">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114300" distR="114300">
                  <wp:extent cx="151130" cy="158750"/>
                  <wp:effectExtent l="0" t="0" r="0" b="508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43"/>
                          <a:stretch>
                            <a:fillRect/>
                          </a:stretch>
                        </pic:blipFill>
                        <pic:spPr>
                          <a:xfrm>
                            <a:off x="0" y="0"/>
                            <a:ext cx="151130" cy="1587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——房间常数；</w:t>
            </w:r>
            <w:r>
              <w:rPr>
                <w:rFonts w:hint="default" w:ascii="Times New Roman" w:hAnsi="Times New Roman" w:eastAsia="仿宋" w:cs="Times New Roman"/>
                <w:color w:val="auto"/>
                <w:kern w:val="0"/>
                <w:sz w:val="24"/>
              </w:rPr>
              <w:drawing>
                <wp:inline distT="0" distB="0" distL="114300" distR="114300">
                  <wp:extent cx="970280" cy="207010"/>
                  <wp:effectExtent l="0" t="0" r="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44"/>
                          <a:stretch>
                            <a:fillRect/>
                          </a:stretch>
                        </pic:blipFill>
                        <pic:spPr>
                          <a:xfrm>
                            <a:off x="0" y="0"/>
                            <a:ext cx="970280" cy="20701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rPr>
              <w:drawing>
                <wp:inline distT="0" distB="0" distL="114300" distR="114300">
                  <wp:extent cx="135255" cy="158750"/>
                  <wp:effectExtent l="0" t="0" r="4445" b="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45"/>
                          <a:stretch>
                            <a:fillRect/>
                          </a:stretch>
                        </pic:blipFill>
                        <pic:spPr>
                          <a:xfrm>
                            <a:off x="0" y="0"/>
                            <a:ext cx="135255" cy="1587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为房间内表面面积，m</w:t>
            </w:r>
            <w:r>
              <w:rPr>
                <w:rFonts w:hint="default" w:ascii="Times New Roman" w:hAnsi="Times New Roman" w:eastAsia="仿宋" w:cs="Times New Roman"/>
                <w:color w:val="auto"/>
                <w:kern w:val="0"/>
                <w:sz w:val="24"/>
                <w:vertAlign w:val="superscript"/>
              </w:rPr>
              <w:t>2</w:t>
            </w:r>
            <w:r>
              <w:rPr>
                <w:rFonts w:hint="default" w:ascii="Times New Roman" w:hAnsi="Times New Roman" w:eastAsia="仿宋" w:cs="Times New Roman"/>
                <w:color w:val="auto"/>
                <w:kern w:val="0"/>
                <w:sz w:val="24"/>
              </w:rPr>
              <w:t>；</w:t>
            </w:r>
            <w:r>
              <w:rPr>
                <w:rFonts w:hint="default" w:ascii="Times New Roman" w:hAnsi="Times New Roman" w:eastAsia="仿宋" w:cs="Times New Roman"/>
                <w:color w:val="auto"/>
                <w:kern w:val="0"/>
                <w:sz w:val="24"/>
              </w:rPr>
              <w:drawing>
                <wp:inline distT="0" distB="0" distL="114300" distR="114300">
                  <wp:extent cx="135255" cy="135255"/>
                  <wp:effectExtent l="0" t="0" r="4445" b="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46"/>
                          <a:stretch>
                            <a:fillRect/>
                          </a:stretch>
                        </pic:blipFill>
                        <pic:spPr>
                          <a:xfrm>
                            <a:off x="0" y="0"/>
                            <a:ext cx="135255" cy="135255"/>
                          </a:xfrm>
                          <a:prstGeom prst="rect">
                            <a:avLst/>
                          </a:prstGeom>
                          <a:noFill/>
                          <a:ln>
                            <a:noFill/>
                          </a:ln>
                        </pic:spPr>
                      </pic:pic>
                    </a:graphicData>
                  </a:graphic>
                </wp:inline>
              </w:drawing>
            </w:r>
            <w:r>
              <w:rPr>
                <w:rFonts w:hint="default" w:ascii="Times New Roman" w:hAnsi="Times New Roman" w:eastAsia="仿宋" w:cs="Times New Roman"/>
                <w:color w:val="auto"/>
                <w:kern w:val="0"/>
                <w:sz w:val="24"/>
              </w:rPr>
              <w:t>为平均吸声系数。</w:t>
            </w:r>
          </w:p>
          <w:p w14:paraId="5CE63E7B">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r——声源到靠近</w:t>
            </w:r>
            <w:r>
              <w:rPr>
                <w:rFonts w:hint="eastAsia" w:eastAsia="仿宋" w:cs="Times New Roman"/>
                <w:color w:val="auto"/>
                <w:kern w:val="0"/>
                <w:sz w:val="24"/>
                <w:lang w:val="en-US" w:eastAsia="zh-CN"/>
              </w:rPr>
              <w:t>围</w:t>
            </w:r>
            <w:r>
              <w:rPr>
                <w:rFonts w:hint="default" w:ascii="Times New Roman" w:hAnsi="Times New Roman" w:eastAsia="仿宋" w:cs="Times New Roman"/>
                <w:color w:val="auto"/>
                <w:kern w:val="0"/>
                <w:sz w:val="24"/>
              </w:rPr>
              <w:t>护结构某点处距离，m。</w:t>
            </w:r>
          </w:p>
          <w:p w14:paraId="52A45350">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然后按下式计算出所有室内声源在围护结构处产生的i倍频带叠加声压级：</w:t>
            </w:r>
          </w:p>
          <w:p w14:paraId="672552BD">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758950" cy="5016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58950" cy="501650"/>
                          </a:xfrm>
                          <a:prstGeom prst="rect">
                            <a:avLst/>
                          </a:prstGeom>
                          <a:noFill/>
                          <a:ln>
                            <a:noFill/>
                          </a:ln>
                        </pic:spPr>
                      </pic:pic>
                    </a:graphicData>
                  </a:graphic>
                </wp:inline>
              </w:drawing>
            </w:r>
          </w:p>
          <w:p w14:paraId="570AFCFD">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式中：</w:t>
            </w:r>
          </w:p>
          <w:p w14:paraId="4C7EF9D6">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469900" cy="24765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69900" cy="2476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——靠近围护结构处室内N个声源i倍频带的叠加声压级，dB；</w:t>
            </w:r>
          </w:p>
          <w:p w14:paraId="64310111">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311150" cy="247650"/>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11150" cy="2476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——室内j声源i倍频带的声压级，dB；</w:t>
            </w:r>
          </w:p>
          <w:p w14:paraId="0F885D0D">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84150" cy="18415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——室内声源总数。</w:t>
            </w:r>
          </w:p>
          <w:p w14:paraId="2AE9053F">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在室内近似为扩散声场时，按下式计算出靠近室外围护结构处的声压级：</w:t>
            </w:r>
          </w:p>
          <w:p w14:paraId="18728B84">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778000" cy="25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78000" cy="254000"/>
                          </a:xfrm>
                          <a:prstGeom prst="rect">
                            <a:avLst/>
                          </a:prstGeom>
                          <a:noFill/>
                          <a:ln>
                            <a:noFill/>
                          </a:ln>
                        </pic:spPr>
                      </pic:pic>
                    </a:graphicData>
                  </a:graphic>
                </wp:inline>
              </w:drawing>
            </w:r>
          </w:p>
          <w:p w14:paraId="4BF12CDA">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式中：</w:t>
            </w:r>
          </w:p>
          <w:p w14:paraId="52062656">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495300" cy="24765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495300" cy="2476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——靠近围护结构处室外N个声源i倍频带的叠加声压级，dB；</w:t>
            </w:r>
          </w:p>
          <w:p w14:paraId="5F67B8E9">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234950" cy="2349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34950" cy="234950"/>
                          </a:xfrm>
                          <a:prstGeom prst="rect">
                            <a:avLst/>
                          </a:prstGeom>
                          <a:noFill/>
                          <a:ln>
                            <a:noFill/>
                          </a:ln>
                        </pic:spPr>
                      </pic:pic>
                    </a:graphicData>
                  </a:graphic>
                </wp:inline>
              </w:drawing>
            </w:r>
            <w:r>
              <w:rPr>
                <w:rFonts w:hint="default" w:ascii="Times New Roman" w:hAnsi="Times New Roman" w:eastAsia="仿宋" w:cs="Times New Roman"/>
                <w:color w:val="auto"/>
                <w:kern w:val="0"/>
                <w:sz w:val="24"/>
              </w:rPr>
              <w:t>——围护结构i倍频带的隔声量，dB。</w:t>
            </w:r>
          </w:p>
          <w:p w14:paraId="0599E3AE">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然后按下式将室外声源的声压级和透过面积换算成等效的室外声源，计算出中心位置位于透声面积（S）处的等效声源的倍频带声功率级：</w:t>
            </w:r>
          </w:p>
          <w:p w14:paraId="3F024D4A">
            <w:pPr>
              <w:spacing w:line="360" w:lineRule="auto"/>
              <w:ind w:firstLine="480" w:firstLineChars="20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drawing>
                <wp:inline distT="0" distB="0" distL="0" distR="0">
                  <wp:extent cx="1517650" cy="285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517650" cy="285750"/>
                          </a:xfrm>
                          <a:prstGeom prst="rect">
                            <a:avLst/>
                          </a:prstGeom>
                          <a:noFill/>
                          <a:ln>
                            <a:noFill/>
                          </a:ln>
                        </pic:spPr>
                      </pic:pic>
                    </a:graphicData>
                  </a:graphic>
                </wp:inline>
              </w:drawing>
            </w:r>
          </w:p>
          <w:p w14:paraId="5B311352">
            <w:pPr>
              <w:tabs>
                <w:tab w:val="center" w:pos="4156"/>
                <w:tab w:val="left" w:pos="6375"/>
              </w:tabs>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然后按室外声源预测方法计算预测点处的A声级</w:t>
            </w:r>
            <w:r>
              <w:rPr>
                <w:rFonts w:hint="default" w:ascii="Times New Roman" w:hAnsi="Times New Roman" w:eastAsia="仿宋" w:cs="Times New Roman"/>
                <w:bCs/>
                <w:color w:val="auto"/>
                <w:sz w:val="24"/>
              </w:rPr>
              <w:t>。</w:t>
            </w:r>
          </w:p>
          <w:p w14:paraId="10562F2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（2）预测结果</w:t>
            </w:r>
          </w:p>
          <w:p w14:paraId="3FEAF8EF">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本项目仅昼间进行实验，</w:t>
            </w:r>
            <w:r>
              <w:rPr>
                <w:rFonts w:hint="default" w:ascii="Times New Roman" w:hAnsi="Times New Roman" w:eastAsia="仿宋" w:cs="Times New Roman"/>
                <w:bCs/>
                <w:color w:val="auto"/>
                <w:sz w:val="24"/>
              </w:rPr>
              <w:t>选择项目东、南、西、北四个厂界作为预测点进行噪声影响预测，预测结果见下表。</w:t>
            </w:r>
          </w:p>
          <w:p w14:paraId="0BC6DF97">
            <w:pPr>
              <w:adjustRightInd w:val="0"/>
              <w:snapToGrid w:val="0"/>
              <w:jc w:val="center"/>
              <w:rPr>
                <w:rFonts w:hint="default" w:ascii="Times New Roman" w:hAnsi="Times New Roman" w:eastAsia="仿宋" w:cs="Times New Roman"/>
                <w:b/>
                <w:bCs/>
                <w:color w:val="auto"/>
                <w:szCs w:val="28"/>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2</w:t>
            </w:r>
            <w:r>
              <w:rPr>
                <w:rFonts w:hint="eastAsia" w:eastAsia="仿宋" w:cs="Times New Roman"/>
                <w:b/>
                <w:bCs/>
                <w:color w:val="auto"/>
                <w:sz w:val="24"/>
                <w:highlight w:val="none"/>
                <w:lang w:val="en-US" w:eastAsia="zh-CN"/>
              </w:rPr>
              <w:t>1</w:t>
            </w:r>
            <w:r>
              <w:rPr>
                <w:rFonts w:hint="default" w:ascii="Times New Roman" w:hAnsi="Times New Roman" w:eastAsia="仿宋" w:cs="Times New Roman"/>
                <w:b/>
                <w:bCs/>
                <w:color w:val="auto"/>
                <w:sz w:val="24"/>
                <w:highlight w:val="none"/>
              </w:rPr>
              <w:t xml:space="preserve">  噪声影响预测结果表</w:t>
            </w:r>
            <w:r>
              <w:rPr>
                <w:rFonts w:hint="default" w:ascii="Times New Roman" w:hAnsi="Times New Roman" w:eastAsia="仿宋" w:cs="Times New Roman"/>
                <w:b/>
                <w:bCs/>
                <w:color w:val="auto"/>
                <w:sz w:val="28"/>
                <w:szCs w:val="28"/>
                <w:highlight w:val="none"/>
              </w:rPr>
              <w:t xml:space="preserve">  </w:t>
            </w:r>
            <w:r>
              <w:rPr>
                <w:rFonts w:hint="default" w:ascii="Times New Roman" w:hAnsi="Times New Roman" w:eastAsia="仿宋" w:cs="Times New Roman"/>
                <w:b/>
                <w:bCs/>
                <w:color w:val="auto"/>
                <w:szCs w:val="28"/>
                <w:highlight w:val="none"/>
              </w:rPr>
              <w:t>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32"/>
              <w:gridCol w:w="773"/>
              <w:gridCol w:w="779"/>
              <w:gridCol w:w="740"/>
              <w:gridCol w:w="752"/>
              <w:gridCol w:w="1136"/>
              <w:gridCol w:w="773"/>
              <w:gridCol w:w="690"/>
              <w:gridCol w:w="1191"/>
            </w:tblGrid>
            <w:tr w14:paraId="75B29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963" w:type="pct"/>
                  <w:vMerge w:val="restart"/>
                  <w:vAlign w:val="center"/>
                </w:tcPr>
                <w:p w14:paraId="7B21427A">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预测点</w:t>
                  </w:r>
                </w:p>
              </w:tc>
              <w:tc>
                <w:tcPr>
                  <w:tcW w:w="916" w:type="pct"/>
                  <w:gridSpan w:val="2"/>
                  <w:vAlign w:val="center"/>
                </w:tcPr>
                <w:p w14:paraId="08374383">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噪声背景值</w:t>
                  </w:r>
                </w:p>
              </w:tc>
              <w:tc>
                <w:tcPr>
                  <w:tcW w:w="881" w:type="pct"/>
                  <w:gridSpan w:val="2"/>
                  <w:vAlign w:val="center"/>
                </w:tcPr>
                <w:p w14:paraId="7D82ABB9">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kern w:val="0"/>
                      <w:szCs w:val="21"/>
                    </w:rPr>
                    <w:t>噪声标准</w:t>
                  </w:r>
                </w:p>
              </w:tc>
              <w:tc>
                <w:tcPr>
                  <w:tcW w:w="670" w:type="pct"/>
                  <w:vMerge w:val="restart"/>
                  <w:vAlign w:val="center"/>
                </w:tcPr>
                <w:p w14:paraId="189F046E">
                  <w:pPr>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lang w:val="en-US" w:eastAsia="zh-CN"/>
                    </w:rPr>
                    <w:t>昼间</w:t>
                  </w:r>
                  <w:r>
                    <w:rPr>
                      <w:rFonts w:hint="default" w:ascii="Times New Roman" w:hAnsi="Times New Roman" w:eastAsia="仿宋" w:cs="Times New Roman"/>
                      <w:b/>
                      <w:bCs/>
                      <w:color w:val="auto"/>
                      <w:kern w:val="0"/>
                      <w:szCs w:val="21"/>
                      <w:highlight w:val="none"/>
                    </w:rPr>
                    <w:t>噪声</w:t>
                  </w:r>
                </w:p>
                <w:p w14:paraId="541D8193">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bCs/>
                      <w:color w:val="auto"/>
                      <w:kern w:val="0"/>
                      <w:szCs w:val="21"/>
                      <w:highlight w:val="none"/>
                    </w:rPr>
                    <w:t>贡献值</w:t>
                  </w:r>
                </w:p>
              </w:tc>
              <w:tc>
                <w:tcPr>
                  <w:tcW w:w="864" w:type="pct"/>
                  <w:gridSpan w:val="2"/>
                  <w:vAlign w:val="center"/>
                </w:tcPr>
                <w:p w14:paraId="4D82C13A">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噪声预测值</w:t>
                  </w:r>
                </w:p>
              </w:tc>
              <w:tc>
                <w:tcPr>
                  <w:tcW w:w="703" w:type="pct"/>
                  <w:vMerge w:val="restart"/>
                  <w:vAlign w:val="center"/>
                </w:tcPr>
                <w:p w14:paraId="6B580A8A">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达标情况</w:t>
                  </w:r>
                </w:p>
              </w:tc>
            </w:tr>
            <w:tr w14:paraId="429EF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963" w:type="pct"/>
                  <w:vMerge w:val="continue"/>
                  <w:vAlign w:val="center"/>
                </w:tcPr>
                <w:p w14:paraId="05121369">
                  <w:pPr>
                    <w:jc w:val="center"/>
                    <w:rPr>
                      <w:rFonts w:hint="default" w:ascii="Times New Roman" w:hAnsi="Times New Roman" w:eastAsia="仿宋" w:cs="Times New Roman"/>
                      <w:b/>
                      <w:color w:val="auto"/>
                      <w:szCs w:val="21"/>
                    </w:rPr>
                  </w:pPr>
                </w:p>
              </w:tc>
              <w:tc>
                <w:tcPr>
                  <w:tcW w:w="456" w:type="pct"/>
                  <w:vAlign w:val="center"/>
                </w:tcPr>
                <w:p w14:paraId="4BB32C9B">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昼间</w:t>
                  </w:r>
                </w:p>
              </w:tc>
              <w:tc>
                <w:tcPr>
                  <w:tcW w:w="460" w:type="pct"/>
                  <w:vAlign w:val="center"/>
                </w:tcPr>
                <w:p w14:paraId="01DD5818">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夜间</w:t>
                  </w:r>
                </w:p>
              </w:tc>
              <w:tc>
                <w:tcPr>
                  <w:tcW w:w="437" w:type="pct"/>
                  <w:vAlign w:val="center"/>
                </w:tcPr>
                <w:p w14:paraId="0A1741ED">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昼间</w:t>
                  </w:r>
                </w:p>
              </w:tc>
              <w:tc>
                <w:tcPr>
                  <w:tcW w:w="444" w:type="pct"/>
                  <w:vAlign w:val="center"/>
                </w:tcPr>
                <w:p w14:paraId="0C165EAC">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夜间</w:t>
                  </w:r>
                </w:p>
              </w:tc>
              <w:tc>
                <w:tcPr>
                  <w:tcW w:w="670" w:type="pct"/>
                  <w:vMerge w:val="continue"/>
                  <w:vAlign w:val="center"/>
                </w:tcPr>
                <w:p w14:paraId="4D8B846A">
                  <w:pPr>
                    <w:jc w:val="center"/>
                    <w:rPr>
                      <w:rFonts w:hint="default" w:ascii="Times New Roman" w:hAnsi="Times New Roman" w:eastAsia="仿宋" w:cs="Times New Roman"/>
                      <w:b/>
                      <w:color w:val="auto"/>
                      <w:szCs w:val="21"/>
                      <w:highlight w:val="none"/>
                    </w:rPr>
                  </w:pPr>
                </w:p>
              </w:tc>
              <w:tc>
                <w:tcPr>
                  <w:tcW w:w="456" w:type="pct"/>
                  <w:vAlign w:val="center"/>
                </w:tcPr>
                <w:p w14:paraId="2137998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昼间</w:t>
                  </w:r>
                </w:p>
              </w:tc>
              <w:tc>
                <w:tcPr>
                  <w:tcW w:w="407" w:type="pct"/>
                  <w:vAlign w:val="center"/>
                </w:tcPr>
                <w:p w14:paraId="5CC0E1BF">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夜间</w:t>
                  </w:r>
                </w:p>
              </w:tc>
              <w:tc>
                <w:tcPr>
                  <w:tcW w:w="703" w:type="pct"/>
                  <w:vMerge w:val="continue"/>
                  <w:vAlign w:val="center"/>
                </w:tcPr>
                <w:p w14:paraId="3CF58EBC">
                  <w:pPr>
                    <w:jc w:val="center"/>
                    <w:rPr>
                      <w:rFonts w:hint="default" w:ascii="Times New Roman" w:hAnsi="Times New Roman" w:eastAsia="仿宋" w:cs="Times New Roman"/>
                      <w:b/>
                      <w:color w:val="auto"/>
                      <w:szCs w:val="21"/>
                    </w:rPr>
                  </w:pPr>
                </w:p>
              </w:tc>
            </w:tr>
            <w:tr w14:paraId="427D4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3" w:type="pct"/>
                  <w:vAlign w:val="center"/>
                </w:tcPr>
                <w:p w14:paraId="159E811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东厂界</w:t>
                  </w:r>
                </w:p>
              </w:tc>
              <w:tc>
                <w:tcPr>
                  <w:tcW w:w="456" w:type="pct"/>
                  <w:vAlign w:val="center"/>
                </w:tcPr>
                <w:p w14:paraId="64A1907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57</w:t>
                  </w:r>
                </w:p>
              </w:tc>
              <w:tc>
                <w:tcPr>
                  <w:tcW w:w="460" w:type="pct"/>
                  <w:vAlign w:val="center"/>
                </w:tcPr>
                <w:p w14:paraId="167892A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53</w:t>
                  </w:r>
                </w:p>
              </w:tc>
              <w:tc>
                <w:tcPr>
                  <w:tcW w:w="437" w:type="pct"/>
                  <w:vMerge w:val="restart"/>
                  <w:vAlign w:val="center"/>
                </w:tcPr>
                <w:p w14:paraId="531F1BF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65</w:t>
                  </w:r>
                </w:p>
              </w:tc>
              <w:tc>
                <w:tcPr>
                  <w:tcW w:w="444" w:type="pct"/>
                  <w:vMerge w:val="restart"/>
                  <w:vAlign w:val="center"/>
                </w:tcPr>
                <w:p w14:paraId="286DDF1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55</w:t>
                  </w:r>
                </w:p>
              </w:tc>
              <w:tc>
                <w:tcPr>
                  <w:tcW w:w="670" w:type="pct"/>
                  <w:shd w:val="clear" w:color="auto" w:fill="auto"/>
                  <w:vAlign w:val="center"/>
                </w:tcPr>
                <w:p w14:paraId="0464A7D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27</w:t>
                  </w:r>
                </w:p>
              </w:tc>
              <w:tc>
                <w:tcPr>
                  <w:tcW w:w="456" w:type="pct"/>
                  <w:vAlign w:val="center"/>
                </w:tcPr>
                <w:p w14:paraId="3C29646F">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57.00</w:t>
                  </w:r>
                </w:p>
              </w:tc>
              <w:tc>
                <w:tcPr>
                  <w:tcW w:w="407" w:type="pct"/>
                  <w:vAlign w:val="center"/>
                </w:tcPr>
                <w:p w14:paraId="6A81374D">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53</w:t>
                  </w:r>
                  <w:r>
                    <w:rPr>
                      <w:rFonts w:hint="eastAsia" w:eastAsia="仿宋" w:cs="Times New Roman"/>
                      <w:i w:val="0"/>
                      <w:iCs w:val="0"/>
                      <w:color w:val="auto"/>
                      <w:kern w:val="0"/>
                      <w:sz w:val="21"/>
                      <w:szCs w:val="21"/>
                      <w:u w:val="none"/>
                      <w:lang w:val="en-US" w:eastAsia="zh-CN" w:bidi="ar"/>
                    </w:rPr>
                    <w:t>.01</w:t>
                  </w:r>
                </w:p>
              </w:tc>
              <w:tc>
                <w:tcPr>
                  <w:tcW w:w="703" w:type="pct"/>
                  <w:vAlign w:val="center"/>
                </w:tcPr>
                <w:p w14:paraId="0AFCDCB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39AFC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3" w:type="pct"/>
                  <w:vAlign w:val="center"/>
                </w:tcPr>
                <w:p w14:paraId="5874234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南厂界</w:t>
                  </w:r>
                </w:p>
              </w:tc>
              <w:tc>
                <w:tcPr>
                  <w:tcW w:w="456" w:type="pct"/>
                  <w:vAlign w:val="center"/>
                </w:tcPr>
                <w:p w14:paraId="0D184B9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59</w:t>
                  </w:r>
                </w:p>
              </w:tc>
              <w:tc>
                <w:tcPr>
                  <w:tcW w:w="460" w:type="pct"/>
                  <w:vAlign w:val="center"/>
                </w:tcPr>
                <w:p w14:paraId="488B3B9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49</w:t>
                  </w:r>
                </w:p>
              </w:tc>
              <w:tc>
                <w:tcPr>
                  <w:tcW w:w="437" w:type="pct"/>
                  <w:vMerge w:val="continue"/>
                  <w:vAlign w:val="center"/>
                </w:tcPr>
                <w:p w14:paraId="1137D8D8">
                  <w:pPr>
                    <w:jc w:val="center"/>
                    <w:rPr>
                      <w:rFonts w:hint="default" w:ascii="Times New Roman" w:hAnsi="Times New Roman" w:eastAsia="仿宋" w:cs="Times New Roman"/>
                      <w:color w:val="auto"/>
                      <w:szCs w:val="21"/>
                    </w:rPr>
                  </w:pPr>
                </w:p>
              </w:tc>
              <w:tc>
                <w:tcPr>
                  <w:tcW w:w="444" w:type="pct"/>
                  <w:vMerge w:val="continue"/>
                  <w:vAlign w:val="center"/>
                </w:tcPr>
                <w:p w14:paraId="50FDDD6A">
                  <w:pPr>
                    <w:jc w:val="center"/>
                    <w:rPr>
                      <w:rFonts w:hint="default" w:ascii="Times New Roman" w:hAnsi="Times New Roman" w:eastAsia="仿宋" w:cs="Times New Roman"/>
                      <w:color w:val="auto"/>
                      <w:szCs w:val="21"/>
                    </w:rPr>
                  </w:pPr>
                </w:p>
              </w:tc>
              <w:tc>
                <w:tcPr>
                  <w:tcW w:w="670" w:type="pct"/>
                  <w:shd w:val="clear" w:color="auto" w:fill="auto"/>
                  <w:vAlign w:val="center"/>
                </w:tcPr>
                <w:p w14:paraId="514B725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31.8</w:t>
                  </w:r>
                </w:p>
              </w:tc>
              <w:tc>
                <w:tcPr>
                  <w:tcW w:w="456" w:type="pct"/>
                  <w:vAlign w:val="center"/>
                </w:tcPr>
                <w:p w14:paraId="483225A1">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59.01</w:t>
                  </w:r>
                </w:p>
              </w:tc>
              <w:tc>
                <w:tcPr>
                  <w:tcW w:w="407" w:type="pct"/>
                  <w:vAlign w:val="center"/>
                </w:tcPr>
                <w:p w14:paraId="43ED840A">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49</w:t>
                  </w:r>
                  <w:r>
                    <w:rPr>
                      <w:rFonts w:hint="eastAsia" w:eastAsia="仿宋" w:cs="Times New Roman"/>
                      <w:i w:val="0"/>
                      <w:iCs w:val="0"/>
                      <w:color w:val="auto"/>
                      <w:kern w:val="0"/>
                      <w:sz w:val="21"/>
                      <w:szCs w:val="21"/>
                      <w:u w:val="none"/>
                      <w:lang w:val="en-US" w:eastAsia="zh-CN" w:bidi="ar"/>
                    </w:rPr>
                    <w:t>.08</w:t>
                  </w:r>
                </w:p>
              </w:tc>
              <w:tc>
                <w:tcPr>
                  <w:tcW w:w="703" w:type="pct"/>
                  <w:vAlign w:val="center"/>
                </w:tcPr>
                <w:p w14:paraId="7D5C4FE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473EE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3" w:type="pct"/>
                  <w:vAlign w:val="center"/>
                </w:tcPr>
                <w:p w14:paraId="0B5ABA8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西厂界</w:t>
                  </w:r>
                </w:p>
              </w:tc>
              <w:tc>
                <w:tcPr>
                  <w:tcW w:w="456" w:type="pct"/>
                  <w:vAlign w:val="center"/>
                </w:tcPr>
                <w:p w14:paraId="6F75592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57</w:t>
                  </w:r>
                </w:p>
              </w:tc>
              <w:tc>
                <w:tcPr>
                  <w:tcW w:w="460" w:type="pct"/>
                  <w:vAlign w:val="center"/>
                </w:tcPr>
                <w:p w14:paraId="1808EF9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52</w:t>
                  </w:r>
                </w:p>
              </w:tc>
              <w:tc>
                <w:tcPr>
                  <w:tcW w:w="437" w:type="pct"/>
                  <w:vMerge w:val="continue"/>
                  <w:vAlign w:val="center"/>
                </w:tcPr>
                <w:p w14:paraId="16616A3B">
                  <w:pPr>
                    <w:jc w:val="center"/>
                    <w:rPr>
                      <w:rFonts w:hint="default" w:ascii="Times New Roman" w:hAnsi="Times New Roman" w:eastAsia="仿宋" w:cs="Times New Roman"/>
                      <w:color w:val="auto"/>
                      <w:szCs w:val="21"/>
                    </w:rPr>
                  </w:pPr>
                </w:p>
              </w:tc>
              <w:tc>
                <w:tcPr>
                  <w:tcW w:w="444" w:type="pct"/>
                  <w:vMerge w:val="continue"/>
                  <w:vAlign w:val="center"/>
                </w:tcPr>
                <w:p w14:paraId="35F6C699">
                  <w:pPr>
                    <w:jc w:val="center"/>
                    <w:rPr>
                      <w:rFonts w:hint="default" w:ascii="Times New Roman" w:hAnsi="Times New Roman" w:eastAsia="仿宋" w:cs="Times New Roman"/>
                      <w:color w:val="auto"/>
                      <w:szCs w:val="21"/>
                    </w:rPr>
                  </w:pPr>
                </w:p>
              </w:tc>
              <w:tc>
                <w:tcPr>
                  <w:tcW w:w="670" w:type="pct"/>
                  <w:shd w:val="clear" w:color="auto" w:fill="auto"/>
                  <w:vAlign w:val="center"/>
                </w:tcPr>
                <w:p w14:paraId="3E7A551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36.1</w:t>
                  </w:r>
                </w:p>
              </w:tc>
              <w:tc>
                <w:tcPr>
                  <w:tcW w:w="456" w:type="pct"/>
                  <w:vAlign w:val="center"/>
                </w:tcPr>
                <w:p w14:paraId="327122AF">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57.0</w:t>
                  </w:r>
                  <w:r>
                    <w:rPr>
                      <w:rFonts w:hint="eastAsia" w:eastAsia="仿宋" w:cs="Times New Roman"/>
                      <w:i w:val="0"/>
                      <w:iCs w:val="0"/>
                      <w:color w:val="auto"/>
                      <w:kern w:val="0"/>
                      <w:sz w:val="21"/>
                      <w:szCs w:val="21"/>
                      <w:u w:val="none"/>
                      <w:lang w:val="en-US" w:eastAsia="zh-CN" w:bidi="ar"/>
                    </w:rPr>
                    <w:t>4</w:t>
                  </w:r>
                </w:p>
              </w:tc>
              <w:tc>
                <w:tcPr>
                  <w:tcW w:w="407" w:type="pct"/>
                  <w:vAlign w:val="center"/>
                </w:tcPr>
                <w:p w14:paraId="4F7E0FE6">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52</w:t>
                  </w:r>
                  <w:r>
                    <w:rPr>
                      <w:rFonts w:hint="eastAsia" w:eastAsia="仿宋" w:cs="Times New Roman"/>
                      <w:i w:val="0"/>
                      <w:iCs w:val="0"/>
                      <w:color w:val="auto"/>
                      <w:kern w:val="0"/>
                      <w:sz w:val="21"/>
                      <w:szCs w:val="21"/>
                      <w:u w:val="none"/>
                      <w:lang w:val="en-US" w:eastAsia="zh-CN" w:bidi="ar"/>
                    </w:rPr>
                    <w:t>.11</w:t>
                  </w:r>
                </w:p>
              </w:tc>
              <w:tc>
                <w:tcPr>
                  <w:tcW w:w="703" w:type="pct"/>
                  <w:vAlign w:val="center"/>
                </w:tcPr>
                <w:p w14:paraId="44A53FF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6F28A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63" w:type="pct"/>
                  <w:vAlign w:val="center"/>
                </w:tcPr>
                <w:p w14:paraId="55F2BD1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北厂界</w:t>
                  </w:r>
                </w:p>
              </w:tc>
              <w:tc>
                <w:tcPr>
                  <w:tcW w:w="456" w:type="pct"/>
                  <w:vAlign w:val="center"/>
                </w:tcPr>
                <w:p w14:paraId="0401D80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59</w:t>
                  </w:r>
                </w:p>
              </w:tc>
              <w:tc>
                <w:tcPr>
                  <w:tcW w:w="460" w:type="pct"/>
                  <w:vAlign w:val="center"/>
                </w:tcPr>
                <w:p w14:paraId="2921B73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52</w:t>
                  </w:r>
                </w:p>
              </w:tc>
              <w:tc>
                <w:tcPr>
                  <w:tcW w:w="437" w:type="pct"/>
                  <w:vMerge w:val="continue"/>
                  <w:vAlign w:val="center"/>
                </w:tcPr>
                <w:p w14:paraId="308BD1E4">
                  <w:pPr>
                    <w:jc w:val="center"/>
                    <w:rPr>
                      <w:rFonts w:hint="default" w:ascii="Times New Roman" w:hAnsi="Times New Roman" w:eastAsia="仿宋" w:cs="Times New Roman"/>
                      <w:color w:val="auto"/>
                      <w:szCs w:val="21"/>
                    </w:rPr>
                  </w:pPr>
                </w:p>
              </w:tc>
              <w:tc>
                <w:tcPr>
                  <w:tcW w:w="444" w:type="pct"/>
                  <w:vMerge w:val="continue"/>
                  <w:vAlign w:val="center"/>
                </w:tcPr>
                <w:p w14:paraId="483A5DAE">
                  <w:pPr>
                    <w:jc w:val="center"/>
                    <w:rPr>
                      <w:rFonts w:hint="default" w:ascii="Times New Roman" w:hAnsi="Times New Roman" w:eastAsia="仿宋" w:cs="Times New Roman"/>
                      <w:color w:val="auto"/>
                      <w:szCs w:val="21"/>
                    </w:rPr>
                  </w:pPr>
                </w:p>
              </w:tc>
              <w:tc>
                <w:tcPr>
                  <w:tcW w:w="670" w:type="pct"/>
                  <w:shd w:val="clear" w:color="auto" w:fill="auto"/>
                  <w:vAlign w:val="center"/>
                </w:tcPr>
                <w:p w14:paraId="384F9F3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31</w:t>
                  </w:r>
                </w:p>
              </w:tc>
              <w:tc>
                <w:tcPr>
                  <w:tcW w:w="456" w:type="pct"/>
                  <w:vAlign w:val="center"/>
                </w:tcPr>
                <w:p w14:paraId="1E92131C">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59.01</w:t>
                  </w:r>
                </w:p>
              </w:tc>
              <w:tc>
                <w:tcPr>
                  <w:tcW w:w="407" w:type="pct"/>
                  <w:vAlign w:val="center"/>
                </w:tcPr>
                <w:p w14:paraId="68A97E6D">
                  <w:pPr>
                    <w:keepNext w:val="0"/>
                    <w:keepLines w:val="0"/>
                    <w:widowControl/>
                    <w:suppressLineNumbers w:val="0"/>
                    <w:jc w:val="center"/>
                    <w:textAlignment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i w:val="0"/>
                      <w:iCs w:val="0"/>
                      <w:color w:val="auto"/>
                      <w:kern w:val="0"/>
                      <w:sz w:val="21"/>
                      <w:szCs w:val="21"/>
                      <w:u w:val="none"/>
                      <w:lang w:val="en-US" w:eastAsia="zh-CN" w:bidi="ar"/>
                    </w:rPr>
                    <w:t>52</w:t>
                  </w:r>
                  <w:r>
                    <w:rPr>
                      <w:rFonts w:hint="eastAsia" w:eastAsia="仿宋" w:cs="Times New Roman"/>
                      <w:i w:val="0"/>
                      <w:iCs w:val="0"/>
                      <w:color w:val="auto"/>
                      <w:kern w:val="0"/>
                      <w:sz w:val="21"/>
                      <w:szCs w:val="21"/>
                      <w:u w:val="none"/>
                      <w:lang w:val="en-US" w:eastAsia="zh-CN" w:bidi="ar"/>
                    </w:rPr>
                    <w:t>.03</w:t>
                  </w:r>
                </w:p>
              </w:tc>
              <w:tc>
                <w:tcPr>
                  <w:tcW w:w="703" w:type="pct"/>
                  <w:vAlign w:val="center"/>
                </w:tcPr>
                <w:p w14:paraId="276E08F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bl>
          <w:p w14:paraId="24BDA808">
            <w:pPr>
              <w:widowControl/>
              <w:wordWrap w:val="0"/>
              <w:spacing w:before="120" w:beforeLines="50"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由预测结果可见，建设项目高噪声设备经合理布局、消声、减振、厂房隔声及距离衰减后，</w:t>
            </w:r>
            <w:r>
              <w:rPr>
                <w:rFonts w:hint="default" w:ascii="Times New Roman" w:hAnsi="Times New Roman" w:eastAsia="仿宋" w:cs="Times New Roman"/>
                <w:color w:val="auto"/>
                <w:sz w:val="24"/>
                <w:lang w:val="en-US" w:eastAsia="zh-CN"/>
              </w:rPr>
              <w:t>各</w:t>
            </w:r>
            <w:r>
              <w:rPr>
                <w:rFonts w:hint="default" w:ascii="Times New Roman" w:hAnsi="Times New Roman" w:eastAsia="仿宋" w:cs="Times New Roman"/>
                <w:color w:val="auto"/>
                <w:sz w:val="24"/>
              </w:rPr>
              <w:t>厂界噪声均达到《工业企业厂界环境噪声排放标准》（GB12348-2008）表1中</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类声环境功能区环境噪声限值，即：昼间噪声值≤6</w:t>
            </w:r>
            <w:r>
              <w:rPr>
                <w:rFonts w:hint="default"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rPr>
              <w:t>dB（A）、夜间噪声值≤5</w:t>
            </w:r>
            <w:r>
              <w:rPr>
                <w:rFonts w:hint="default" w:ascii="Times New Roman" w:hAnsi="Times New Roman" w:eastAsia="仿宋" w:cs="Times New Roman"/>
                <w:color w:val="auto"/>
                <w:sz w:val="24"/>
                <w:lang w:val="en-US" w:eastAsia="zh-CN"/>
              </w:rPr>
              <w:t>5</w:t>
            </w:r>
            <w:r>
              <w:rPr>
                <w:rFonts w:hint="default" w:ascii="Times New Roman" w:hAnsi="Times New Roman" w:eastAsia="仿宋" w:cs="Times New Roman"/>
                <w:color w:val="auto"/>
                <w:sz w:val="24"/>
              </w:rPr>
              <w:t>B（A），对周围环境影响较小。</w:t>
            </w:r>
          </w:p>
          <w:p w14:paraId="0DFF411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4、监测计划</w:t>
            </w:r>
          </w:p>
          <w:p w14:paraId="4DD22C5A">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w:t>
            </w:r>
            <w:r>
              <w:rPr>
                <w:rFonts w:hint="eastAsia" w:eastAsia="仿宋" w:cs="Times New Roman"/>
                <w:bCs/>
                <w:color w:val="auto"/>
                <w:sz w:val="24"/>
                <w:lang w:val="en-US" w:eastAsia="zh-CN"/>
              </w:rPr>
              <w:t>《排污单位自行监测技术指南 电子工业》（HJ1253-2022）</w:t>
            </w:r>
            <w:r>
              <w:rPr>
                <w:rFonts w:hint="default" w:ascii="Times New Roman" w:hAnsi="Times New Roman" w:eastAsia="仿宋" w:cs="Times New Roman"/>
                <w:color w:val="auto"/>
                <w:sz w:val="24"/>
              </w:rPr>
              <w:t>，项目营运期噪声监测计划见下表。</w:t>
            </w:r>
          </w:p>
          <w:p w14:paraId="3DA0A4ED">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22</w:t>
            </w:r>
            <w:r>
              <w:rPr>
                <w:rFonts w:hint="default" w:ascii="Times New Roman" w:hAnsi="Times New Roman" w:eastAsia="仿宋" w:cs="Times New Roman"/>
                <w:b/>
                <w:bCs/>
                <w:color w:val="auto"/>
                <w:sz w:val="24"/>
              </w:rPr>
              <w:t xml:space="preserve">  建设项目运营期噪声监测计划表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63"/>
              <w:gridCol w:w="1278"/>
              <w:gridCol w:w="1305"/>
              <w:gridCol w:w="1222"/>
              <w:gridCol w:w="1980"/>
              <w:gridCol w:w="1119"/>
            </w:tblGrid>
            <w:tr w14:paraId="538D0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14" w:type="pct"/>
                  <w:vAlign w:val="center"/>
                </w:tcPr>
                <w:p w14:paraId="55B62F7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时段</w:t>
                  </w:r>
                </w:p>
              </w:tc>
              <w:tc>
                <w:tcPr>
                  <w:tcW w:w="509" w:type="pct"/>
                  <w:vAlign w:val="center"/>
                </w:tcPr>
                <w:p w14:paraId="6F4EB424">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类别</w:t>
                  </w:r>
                </w:p>
              </w:tc>
              <w:tc>
                <w:tcPr>
                  <w:tcW w:w="754" w:type="pct"/>
                  <w:vAlign w:val="center"/>
                </w:tcPr>
                <w:p w14:paraId="4C0DDF9D">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监测位置</w:t>
                  </w:r>
                </w:p>
              </w:tc>
              <w:tc>
                <w:tcPr>
                  <w:tcW w:w="770" w:type="pct"/>
                  <w:vAlign w:val="center"/>
                </w:tcPr>
                <w:p w14:paraId="5923D399">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监测因子</w:t>
                  </w:r>
                </w:p>
              </w:tc>
              <w:tc>
                <w:tcPr>
                  <w:tcW w:w="721" w:type="pct"/>
                  <w:vAlign w:val="center"/>
                </w:tcPr>
                <w:p w14:paraId="72C770E6">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监测频次</w:t>
                  </w:r>
                </w:p>
              </w:tc>
              <w:tc>
                <w:tcPr>
                  <w:tcW w:w="1168" w:type="pct"/>
                  <w:vAlign w:val="center"/>
                </w:tcPr>
                <w:p w14:paraId="36CDB1DC">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执行标准</w:t>
                  </w:r>
                </w:p>
              </w:tc>
              <w:tc>
                <w:tcPr>
                  <w:tcW w:w="660" w:type="pct"/>
                  <w:vAlign w:val="center"/>
                </w:tcPr>
                <w:p w14:paraId="086394D9">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监测单位</w:t>
                  </w:r>
                </w:p>
              </w:tc>
            </w:tr>
            <w:tr w14:paraId="6A754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414" w:type="pct"/>
                  <w:vAlign w:val="center"/>
                </w:tcPr>
                <w:p w14:paraId="525B831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营运期</w:t>
                  </w:r>
                </w:p>
              </w:tc>
              <w:tc>
                <w:tcPr>
                  <w:tcW w:w="509" w:type="pct"/>
                  <w:vAlign w:val="center"/>
                </w:tcPr>
                <w:p w14:paraId="2F69DD0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w:t>
                  </w:r>
                </w:p>
              </w:tc>
              <w:tc>
                <w:tcPr>
                  <w:tcW w:w="754" w:type="pct"/>
                  <w:vAlign w:val="center"/>
                </w:tcPr>
                <w:p w14:paraId="7AC9898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厂界外1米</w:t>
                  </w:r>
                </w:p>
              </w:tc>
              <w:tc>
                <w:tcPr>
                  <w:tcW w:w="770" w:type="pct"/>
                  <w:vAlign w:val="center"/>
                </w:tcPr>
                <w:p w14:paraId="31CBA05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连续等效A声级</w:t>
                  </w:r>
                </w:p>
              </w:tc>
              <w:tc>
                <w:tcPr>
                  <w:tcW w:w="721" w:type="pct"/>
                  <w:vAlign w:val="center"/>
                </w:tcPr>
                <w:p w14:paraId="2A82061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1次/季度（昼、夜间各一次）</w:t>
                  </w:r>
                </w:p>
              </w:tc>
              <w:tc>
                <w:tcPr>
                  <w:tcW w:w="1168" w:type="pct"/>
                  <w:vAlign w:val="center"/>
                </w:tcPr>
                <w:p w14:paraId="1EEC4DB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《工业企业厂界环境噪声排放标准》（GB12348-2008）表1中</w:t>
                  </w:r>
                  <w:r>
                    <w:rPr>
                      <w:rFonts w:hint="eastAsia" w:eastAsia="仿宋" w:cs="Times New Roman"/>
                      <w:color w:val="auto"/>
                      <w:szCs w:val="21"/>
                      <w:lang w:val="en-US" w:eastAsia="zh-CN"/>
                    </w:rPr>
                    <w:t>3</w:t>
                  </w:r>
                  <w:r>
                    <w:rPr>
                      <w:rFonts w:hint="default" w:ascii="Times New Roman" w:hAnsi="Times New Roman" w:eastAsia="仿宋" w:cs="Times New Roman"/>
                      <w:color w:val="auto"/>
                      <w:szCs w:val="21"/>
                    </w:rPr>
                    <w:t>类功能区对应标准限值</w:t>
                  </w:r>
                </w:p>
              </w:tc>
              <w:tc>
                <w:tcPr>
                  <w:tcW w:w="660" w:type="pct"/>
                  <w:vAlign w:val="center"/>
                </w:tcPr>
                <w:p w14:paraId="02A243D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有资质的环境监测机构</w:t>
                  </w:r>
                </w:p>
              </w:tc>
            </w:tr>
          </w:tbl>
          <w:p w14:paraId="4ED17E7C">
            <w:pPr>
              <w:adjustRightInd w:val="0"/>
              <w:snapToGrid w:val="0"/>
              <w:spacing w:before="120" w:beforeLines="50"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四、固废</w:t>
            </w:r>
          </w:p>
          <w:p w14:paraId="2E335D3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1、本项目固废产生量核算</w:t>
            </w:r>
          </w:p>
          <w:p w14:paraId="3AB62C29">
            <w:pPr>
              <w:adjustRightInd w:val="0"/>
              <w:snapToGrid w:val="0"/>
              <w:spacing w:line="360" w:lineRule="auto"/>
              <w:ind w:firstLine="480" w:firstLineChars="200"/>
              <w:jc w:val="both"/>
              <w:rPr>
                <w:rFonts w:hint="eastAsia"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（1）</w:t>
            </w:r>
            <w:r>
              <w:rPr>
                <w:rFonts w:hint="default" w:ascii="Times New Roman" w:hAnsi="Times New Roman" w:eastAsia="仿宋" w:cs="Times New Roman"/>
                <w:b w:val="0"/>
                <w:bCs/>
                <w:color w:val="auto"/>
                <w:sz w:val="24"/>
                <w:highlight w:val="none"/>
                <w:lang w:val="en-US" w:eastAsia="zh-CN"/>
              </w:rPr>
              <w:t>实验室废液</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S1、S2、S4、S5、S6、S10</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清洗液检测完毕后有废液产生</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根据药剂使用量计算，废液</w:t>
            </w:r>
            <w:r>
              <w:rPr>
                <w:rFonts w:hint="default" w:ascii="Times New Roman" w:hAnsi="Times New Roman" w:eastAsia="仿宋" w:cs="Times New Roman"/>
                <w:bCs/>
                <w:color w:val="auto"/>
                <w:sz w:val="24"/>
                <w:highlight w:val="none"/>
              </w:rPr>
              <w:t>产生量约0.</w:t>
            </w:r>
            <w:r>
              <w:rPr>
                <w:rFonts w:hint="default" w:ascii="Times New Roman" w:hAnsi="Times New Roman" w:eastAsia="仿宋" w:cs="Times New Roman"/>
                <w:bCs/>
                <w:color w:val="auto"/>
                <w:sz w:val="24"/>
                <w:highlight w:val="none"/>
                <w:lang w:val="en-US" w:eastAsia="zh-CN"/>
              </w:rPr>
              <w:t>3</w:t>
            </w:r>
            <w:r>
              <w:rPr>
                <w:rFonts w:hint="eastAsia" w:eastAsia="仿宋" w:cs="Times New Roman"/>
                <w:bCs/>
                <w:color w:val="auto"/>
                <w:sz w:val="24"/>
                <w:highlight w:val="none"/>
                <w:lang w:val="en-US" w:eastAsia="zh-CN"/>
              </w:rPr>
              <w:t>24</w:t>
            </w:r>
            <w:r>
              <w:rPr>
                <w:rFonts w:hint="default" w:ascii="Times New Roman" w:hAnsi="Times New Roman" w:eastAsia="仿宋" w:cs="Times New Roman"/>
                <w:bCs/>
                <w:color w:val="auto"/>
                <w:sz w:val="24"/>
                <w:highlight w:val="none"/>
              </w:rPr>
              <w:t>t/a</w:t>
            </w:r>
            <w:r>
              <w:rPr>
                <w:rFonts w:hint="default" w:ascii="Times New Roman" w:hAnsi="Times New Roman" w:eastAsia="仿宋" w:cs="Times New Roman"/>
                <w:bCs/>
                <w:color w:val="auto"/>
                <w:sz w:val="24"/>
                <w:highlight w:val="none"/>
                <w:lang w:eastAsia="zh-CN"/>
              </w:rPr>
              <w:t>；</w:t>
            </w:r>
            <w:r>
              <w:rPr>
                <w:rFonts w:hint="eastAsia" w:eastAsia="仿宋" w:cs="Times New Roman"/>
                <w:bCs/>
                <w:color w:val="auto"/>
                <w:sz w:val="24"/>
                <w:highlight w:val="none"/>
                <w:lang w:val="en-US" w:eastAsia="zh-CN"/>
              </w:rPr>
              <w:t>生产配套化学检测</w:t>
            </w:r>
            <w:r>
              <w:rPr>
                <w:rFonts w:hint="default" w:ascii="Times New Roman" w:hAnsi="Times New Roman" w:eastAsia="仿宋" w:cs="Times New Roman"/>
                <w:bCs/>
                <w:color w:val="auto"/>
                <w:sz w:val="24"/>
                <w:highlight w:val="none"/>
                <w:lang w:val="en-US" w:eastAsia="zh-CN"/>
              </w:rPr>
              <w:t>的各类仪器定期使用纯水冲洗，纯水用量2.2t/a，损耗约10%，则废液产生量为2t/a；可焊性测试使用酒石酸或ZESTRON FA+清洗剂常温冲洗PCB板样品的表面，废液产生量约0.03t/a</w:t>
            </w:r>
            <w:r>
              <w:rPr>
                <w:rFonts w:hint="eastAsia" w:eastAsia="仿宋" w:cs="Times New Roman"/>
                <w:bCs/>
                <w:color w:val="auto"/>
                <w:sz w:val="24"/>
                <w:highlight w:val="none"/>
                <w:lang w:val="en-US" w:eastAsia="zh-CN"/>
              </w:rPr>
              <w:t>；样品质量检测</w:t>
            </w:r>
            <w:r>
              <w:rPr>
                <w:rFonts w:hint="default" w:ascii="Times New Roman" w:hAnsi="Times New Roman" w:eastAsia="仿宋" w:cs="Times New Roman"/>
                <w:bCs/>
                <w:color w:val="auto"/>
                <w:sz w:val="24"/>
                <w:highlight w:val="none"/>
                <w:lang w:val="en-US" w:eastAsia="zh-CN"/>
              </w:rPr>
              <w:t>研磨</w:t>
            </w:r>
            <w:r>
              <w:rPr>
                <w:rFonts w:hint="default" w:ascii="Times New Roman" w:hAnsi="Times New Roman" w:eastAsia="仿宋" w:cs="Times New Roman"/>
                <w:bCs/>
                <w:color w:val="auto"/>
                <w:sz w:val="24"/>
                <w:highlight w:val="none"/>
              </w:rPr>
              <w:t>过程会产生</w:t>
            </w:r>
            <w:r>
              <w:rPr>
                <w:rFonts w:hint="default" w:ascii="Times New Roman" w:hAnsi="Times New Roman" w:eastAsia="仿宋" w:cs="Times New Roman"/>
                <w:bCs/>
                <w:color w:val="auto"/>
                <w:sz w:val="24"/>
                <w:highlight w:val="none"/>
                <w:lang w:val="en-US" w:eastAsia="zh-CN"/>
              </w:rPr>
              <w:t>废液</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本项目研磨液用量为</w:t>
            </w:r>
            <w:r>
              <w:rPr>
                <w:rFonts w:hint="eastAsia" w:eastAsia="仿宋" w:cs="Times New Roman"/>
                <w:bCs/>
                <w:color w:val="auto"/>
                <w:sz w:val="24"/>
                <w:highlight w:val="none"/>
                <w:lang w:val="en-US" w:eastAsia="zh-CN"/>
              </w:rPr>
              <w:t>5kg/a</w:t>
            </w:r>
            <w:r>
              <w:rPr>
                <w:rFonts w:hint="default"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rPr>
              <w:t>考虑到蒸发损失及工件带走的影响，损耗率约10%</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则废液</w:t>
            </w:r>
            <w:r>
              <w:rPr>
                <w:rFonts w:hint="default" w:ascii="Times New Roman" w:hAnsi="Times New Roman" w:eastAsia="仿宋" w:cs="Times New Roman"/>
                <w:bCs/>
                <w:color w:val="auto"/>
                <w:sz w:val="24"/>
                <w:highlight w:val="none"/>
              </w:rPr>
              <w:t>产生量约</w:t>
            </w:r>
            <w:r>
              <w:rPr>
                <w:rFonts w:hint="default" w:ascii="Times New Roman" w:hAnsi="Times New Roman" w:eastAsia="仿宋" w:cs="Times New Roman"/>
                <w:bCs/>
                <w:color w:val="auto"/>
                <w:sz w:val="24"/>
                <w:highlight w:val="none"/>
                <w:lang w:val="en-US" w:eastAsia="zh-CN"/>
              </w:rPr>
              <w:t>0.0045t</w:t>
            </w:r>
            <w:r>
              <w:rPr>
                <w:rFonts w:hint="default" w:ascii="Times New Roman" w:hAnsi="Times New Roman" w:eastAsia="仿宋" w:cs="Times New Roman"/>
                <w:bCs/>
                <w:color w:val="auto"/>
                <w:sz w:val="24"/>
                <w:highlight w:val="none"/>
              </w:rPr>
              <w:t>/a</w:t>
            </w:r>
            <w:r>
              <w:rPr>
                <w:rFonts w:hint="default" w:ascii="Times New Roman" w:hAnsi="Times New Roman" w:eastAsia="仿宋" w:cs="Times New Roman"/>
                <w:bCs/>
                <w:color w:val="auto"/>
                <w:sz w:val="24"/>
                <w:highlight w:val="none"/>
                <w:lang w:val="en-US" w:eastAsia="zh-CN"/>
              </w:rPr>
              <w:t>。综上实验室废液产生量</w:t>
            </w:r>
            <w:r>
              <w:rPr>
                <w:rFonts w:hint="eastAsia" w:eastAsia="仿宋" w:cs="Times New Roman"/>
                <w:bCs/>
                <w:color w:val="auto"/>
                <w:sz w:val="24"/>
                <w:highlight w:val="none"/>
                <w:lang w:val="en-US" w:eastAsia="zh-CN"/>
              </w:rPr>
              <w:t>约</w:t>
            </w:r>
            <w:r>
              <w:rPr>
                <w:rFonts w:hint="default" w:ascii="Times New Roman" w:hAnsi="Times New Roman" w:eastAsia="仿宋" w:cs="Times New Roman"/>
                <w:bCs/>
                <w:color w:val="auto"/>
                <w:sz w:val="24"/>
                <w:highlight w:val="none"/>
                <w:lang w:val="en-US" w:eastAsia="zh-CN"/>
              </w:rPr>
              <w:t>2.</w:t>
            </w:r>
            <w:r>
              <w:rPr>
                <w:rFonts w:hint="eastAsia"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lang w:val="en-US" w:eastAsia="zh-CN"/>
              </w:rPr>
              <w:t>t/a。</w:t>
            </w:r>
            <w:r>
              <w:rPr>
                <w:rFonts w:hint="eastAsia" w:ascii="仿宋" w:hAnsi="仿宋" w:eastAsia="仿宋" w:cs="宋体"/>
                <w:bCs/>
                <w:color w:val="auto"/>
                <w:sz w:val="24"/>
                <w:highlight w:val="none"/>
              </w:rPr>
              <w:t>根据《江苏省实验室危险废物环境管理指南》</w:t>
            </w:r>
            <w:r>
              <w:rPr>
                <w:rFonts w:hint="eastAsia" w:ascii="仿宋" w:hAnsi="仿宋" w:eastAsia="仿宋"/>
                <w:bCs/>
                <w:color w:val="auto"/>
                <w:sz w:val="24"/>
                <w:highlight w:val="none"/>
              </w:rPr>
              <w:t>（苏环办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w:t>
            </w:r>
            <w:r>
              <w:rPr>
                <w:rFonts w:hint="eastAsia" w:ascii="仿宋" w:hAnsi="仿宋" w:eastAsia="仿宋"/>
                <w:bCs/>
                <w:color w:val="auto"/>
                <w:sz w:val="24"/>
                <w:highlight w:val="none"/>
                <w:lang w:eastAsia="zh-CN"/>
              </w:rPr>
              <w:t>，</w:t>
            </w:r>
            <w:r>
              <w:rPr>
                <w:rFonts w:hint="eastAsia" w:ascii="仿宋" w:hAnsi="仿宋" w:eastAsia="仿宋" w:cs="宋体"/>
                <w:bCs/>
                <w:color w:val="auto"/>
                <w:sz w:val="24"/>
                <w:highlight w:val="none"/>
                <w:lang w:val="en-US" w:eastAsia="zh-CN"/>
              </w:rPr>
              <w:t>其类别确定为其他无机废液：900-047-49。</w:t>
            </w:r>
          </w:p>
          <w:p w14:paraId="5D1D08DD">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w:t>
            </w:r>
            <w:r>
              <w:rPr>
                <w:rFonts w:hint="default" w:ascii="Times New Roman" w:hAnsi="Times New Roman" w:eastAsia="仿宋" w:cs="Times New Roman"/>
                <w:bCs/>
                <w:color w:val="auto"/>
                <w:sz w:val="24"/>
                <w:highlight w:val="none"/>
                <w:lang w:val="en-US" w:eastAsia="zh-CN"/>
              </w:rPr>
              <w:t>废样品</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S3、S8、S9、S11、S12</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检测完毕后有废样品产生，产生量约2.1t/a</w:t>
            </w:r>
            <w:r>
              <w:rPr>
                <w:rFonts w:hint="default" w:ascii="Times New Roman" w:hAnsi="Times New Roman" w:eastAsia="仿宋" w:cs="Times New Roman"/>
                <w:bCs/>
                <w:color w:val="auto"/>
                <w:sz w:val="24"/>
                <w:highlight w:val="none"/>
              </w:rPr>
              <w:t>。</w:t>
            </w:r>
          </w:p>
          <w:p w14:paraId="7E1313F7">
            <w:pPr>
              <w:adjustRightInd w:val="0"/>
              <w:snapToGrid w:val="0"/>
              <w:spacing w:line="360" w:lineRule="auto"/>
              <w:ind w:firstLine="480" w:firstLineChars="200"/>
              <w:jc w:val="left"/>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highlight w:val="none"/>
              </w:rPr>
              <w:t>（3）</w:t>
            </w:r>
            <w:r>
              <w:rPr>
                <w:rFonts w:hint="default" w:ascii="Times New Roman" w:hAnsi="Times New Roman" w:eastAsia="仿宋" w:cs="Times New Roman"/>
                <w:bCs/>
                <w:color w:val="auto"/>
                <w:sz w:val="24"/>
                <w:szCs w:val="24"/>
                <w:highlight w:val="none"/>
              </w:rPr>
              <w:t>废</w:t>
            </w:r>
            <w:r>
              <w:rPr>
                <w:rFonts w:hint="default" w:ascii="Times New Roman" w:hAnsi="Times New Roman" w:eastAsia="仿宋" w:cs="Times New Roman"/>
                <w:bCs/>
                <w:color w:val="auto"/>
                <w:sz w:val="24"/>
                <w:szCs w:val="24"/>
                <w:highlight w:val="none"/>
                <w:lang w:val="en-US" w:eastAsia="zh-CN"/>
              </w:rPr>
              <w:t>包装物</w:t>
            </w:r>
            <w:r>
              <w:rPr>
                <w:rFonts w:hint="default" w:ascii="Times New Roman" w:hAnsi="Times New Roman" w:eastAsia="仿宋" w:cs="Times New Roman"/>
                <w:bCs/>
                <w:color w:val="auto"/>
                <w:sz w:val="24"/>
                <w:szCs w:val="24"/>
                <w:highlight w:val="none"/>
              </w:rPr>
              <w:t>（</w:t>
            </w:r>
            <w:r>
              <w:rPr>
                <w:rFonts w:hint="default" w:ascii="Times New Roman" w:hAnsi="Times New Roman" w:eastAsia="仿宋" w:cs="Times New Roman"/>
                <w:bCs/>
                <w:color w:val="auto"/>
                <w:sz w:val="24"/>
                <w:szCs w:val="24"/>
                <w:highlight w:val="none"/>
                <w:lang w:val="en-US" w:eastAsia="zh-CN"/>
              </w:rPr>
              <w:t>S14</w:t>
            </w:r>
            <w:r>
              <w:rPr>
                <w:rFonts w:hint="default" w:ascii="Times New Roman" w:hAnsi="Times New Roman" w:eastAsia="仿宋" w:cs="Times New Roman"/>
                <w:bCs/>
                <w:color w:val="auto"/>
                <w:sz w:val="24"/>
                <w:szCs w:val="24"/>
                <w:highlight w:val="none"/>
              </w:rPr>
              <w:t>）：</w:t>
            </w:r>
            <w:r>
              <w:rPr>
                <w:rFonts w:hint="default" w:ascii="Times New Roman" w:hAnsi="Times New Roman" w:eastAsia="仿宋" w:cs="Times New Roman"/>
                <w:bCs/>
                <w:color w:val="auto"/>
                <w:sz w:val="24"/>
                <w:szCs w:val="24"/>
                <w:highlight w:val="none"/>
                <w:lang w:val="en-US" w:eastAsia="zh-CN"/>
              </w:rPr>
              <w:t>本项目各类药剂使用完后会产生废包装物，其中盐酸、氢氧化钠、氯化钾、</w:t>
            </w:r>
            <w:r>
              <w:rPr>
                <w:rFonts w:hint="default" w:ascii="Times New Roman" w:hAnsi="Times New Roman" w:eastAsia="仿宋" w:cs="Times New Roman"/>
                <w:color w:val="auto"/>
                <w:sz w:val="24"/>
                <w:szCs w:val="24"/>
                <w:highlight w:val="none"/>
              </w:rPr>
              <w:t>Technovit 4006 Liquid</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乙醇氯化铁、乙醇、助焊剂</w:t>
            </w:r>
            <w:r>
              <w:rPr>
                <w:rFonts w:hint="default" w:ascii="Times New Roman" w:hAnsi="Times New Roman" w:eastAsia="仿宋" w:cs="Times New Roman"/>
                <w:bCs/>
                <w:color w:val="auto"/>
                <w:sz w:val="24"/>
                <w:szCs w:val="24"/>
                <w:highlight w:val="none"/>
                <w:lang w:val="en-US" w:eastAsia="zh-CN"/>
              </w:rPr>
              <w:t>包装规格为1L/瓶；铜、镍试剂包装规格为2.5g/支；pH校准溶液、金刚石悬浮研磨液包装规格为500ml/瓶；Technovit 4006 Powder包装规格为10kg/瓶；锡焊膏包装规格为500g/罐；</w:t>
            </w:r>
            <w:r>
              <w:rPr>
                <w:rFonts w:hint="default" w:ascii="Times New Roman" w:hAnsi="Times New Roman" w:eastAsia="仿宋" w:cs="Times New Roman"/>
                <w:color w:val="auto"/>
                <w:sz w:val="24"/>
                <w:szCs w:val="24"/>
                <w:highlight w:val="none"/>
                <w:lang w:val="en-US" w:eastAsia="zh-CN"/>
              </w:rPr>
              <w:t>酒石酸包装规格为1kg/瓶；ZESTRON FA+清洗剂包装规格为25L/瓶；碱性清洗剂、切削液包装规格为20L/桶；设备润滑剂包装规格为2.5L/桶。</w:t>
            </w:r>
            <w:r>
              <w:rPr>
                <w:rFonts w:hint="default" w:ascii="Times New Roman" w:hAnsi="Times New Roman" w:eastAsia="仿宋" w:cs="Times New Roman"/>
                <w:bCs/>
                <w:color w:val="auto"/>
                <w:sz w:val="24"/>
                <w:szCs w:val="24"/>
                <w:highlight w:val="none"/>
              </w:rPr>
              <w:t>单个包装桶重量分别以</w:t>
            </w:r>
            <w:r>
              <w:rPr>
                <w:rFonts w:hint="default" w:ascii="Times New Roman" w:hAnsi="Times New Roman" w:eastAsia="仿宋" w:cs="Times New Roman"/>
                <w:bCs/>
                <w:color w:val="auto"/>
                <w:sz w:val="24"/>
                <w:szCs w:val="24"/>
                <w:highlight w:val="none"/>
                <w:lang w:val="en-US" w:eastAsia="zh-CN"/>
              </w:rPr>
              <w:t>0.5kg、0.1g、0.2kg、3kg、0.25kg、0.08kg、5kg、2kg、0.2kg</w:t>
            </w:r>
            <w:r>
              <w:rPr>
                <w:rFonts w:hint="default" w:ascii="Times New Roman" w:hAnsi="Times New Roman" w:eastAsia="仿宋" w:cs="Times New Roman"/>
                <w:bCs/>
                <w:color w:val="auto"/>
                <w:sz w:val="24"/>
                <w:szCs w:val="24"/>
                <w:highlight w:val="none"/>
              </w:rPr>
              <w:t>计</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lang w:val="en-US" w:eastAsia="zh-CN"/>
              </w:rPr>
              <w:t>则本项目废包装物产生量约0.06t/a。</w:t>
            </w:r>
            <w:r>
              <w:rPr>
                <w:rFonts w:hint="eastAsia" w:ascii="仿宋" w:hAnsi="仿宋" w:eastAsia="仿宋" w:cs="宋体"/>
                <w:bCs/>
                <w:color w:val="auto"/>
                <w:sz w:val="24"/>
                <w:highlight w:val="none"/>
              </w:rPr>
              <w:t>根据《江苏省实验室危险废物环境管理指南》</w:t>
            </w:r>
            <w:r>
              <w:rPr>
                <w:rFonts w:hint="eastAsia" w:ascii="仿宋" w:hAnsi="仿宋" w:eastAsia="仿宋"/>
                <w:bCs/>
                <w:color w:val="auto"/>
                <w:sz w:val="24"/>
                <w:highlight w:val="none"/>
              </w:rPr>
              <w:t>（苏环办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w:t>
            </w:r>
            <w:r>
              <w:rPr>
                <w:rFonts w:hint="eastAsia" w:ascii="仿宋" w:hAnsi="仿宋" w:eastAsia="仿宋"/>
                <w:bCs/>
                <w:color w:val="auto"/>
                <w:sz w:val="24"/>
                <w:highlight w:val="none"/>
                <w:lang w:eastAsia="zh-CN"/>
              </w:rPr>
              <w:t>，</w:t>
            </w:r>
            <w:r>
              <w:rPr>
                <w:rFonts w:hint="eastAsia" w:ascii="仿宋" w:hAnsi="仿宋" w:eastAsia="仿宋" w:cs="宋体"/>
                <w:bCs/>
                <w:color w:val="auto"/>
                <w:sz w:val="24"/>
                <w:highlight w:val="none"/>
                <w:lang w:val="en-US" w:eastAsia="zh-CN"/>
              </w:rPr>
              <w:t>其类别确定为</w:t>
            </w:r>
            <w:r>
              <w:rPr>
                <w:rFonts w:hint="default" w:ascii="Times New Roman" w:hAnsi="Times New Roman" w:eastAsia="仿宋" w:cs="Times New Roman"/>
                <w:bCs/>
                <w:color w:val="auto"/>
                <w:sz w:val="24"/>
                <w:szCs w:val="24"/>
                <w:highlight w:val="none"/>
                <w:lang w:val="en-US" w:eastAsia="zh-CN"/>
              </w:rPr>
              <w:t>废弃包装物及包装容器：900-047-49</w:t>
            </w:r>
            <w:r>
              <w:rPr>
                <w:rFonts w:hint="eastAsia" w:eastAsia="仿宋" w:cs="Times New Roman"/>
                <w:bCs/>
                <w:color w:val="auto"/>
                <w:sz w:val="24"/>
                <w:szCs w:val="24"/>
                <w:highlight w:val="none"/>
                <w:lang w:val="en-US" w:eastAsia="zh-CN"/>
              </w:rPr>
              <w:t>。</w:t>
            </w:r>
          </w:p>
          <w:p w14:paraId="122FC6F1">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yellow"/>
                <w:lang w:val="en-US" w:eastAsia="zh-CN"/>
              </w:rPr>
            </w:pP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废劳保用品及抹布</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S7、S13</w:t>
            </w:r>
            <w:r>
              <w:rPr>
                <w:rFonts w:hint="default" w:ascii="Times New Roman" w:hAnsi="Times New Roman" w:eastAsia="仿宋" w:cs="Times New Roman"/>
                <w:bCs/>
                <w:color w:val="auto"/>
                <w:sz w:val="24"/>
              </w:rPr>
              <w:t>）：本项目</w:t>
            </w:r>
            <w:r>
              <w:rPr>
                <w:rFonts w:hint="default" w:ascii="Times New Roman" w:hAnsi="Times New Roman" w:eastAsia="仿宋" w:cs="Times New Roman"/>
                <w:bCs/>
                <w:color w:val="auto"/>
                <w:sz w:val="24"/>
                <w:lang w:val="en-US" w:eastAsia="zh-CN"/>
              </w:rPr>
              <w:t>实验</w:t>
            </w:r>
            <w:r>
              <w:rPr>
                <w:rFonts w:hint="eastAsia" w:eastAsia="仿宋" w:cs="Times New Roman"/>
                <w:bCs/>
                <w:color w:val="auto"/>
                <w:sz w:val="24"/>
                <w:lang w:val="en-US" w:eastAsia="zh-CN"/>
              </w:rPr>
              <w:t>及设备维修保养</w:t>
            </w:r>
            <w:r>
              <w:rPr>
                <w:rFonts w:hint="default" w:ascii="Times New Roman" w:hAnsi="Times New Roman" w:eastAsia="仿宋" w:cs="Times New Roman"/>
                <w:bCs/>
                <w:color w:val="auto"/>
                <w:sz w:val="24"/>
                <w:lang w:val="en-US" w:eastAsia="zh-CN"/>
              </w:rPr>
              <w:t>过程会产生废劳保用品及抹布</w:t>
            </w:r>
            <w:r>
              <w:rPr>
                <w:rFonts w:hint="default" w:ascii="Times New Roman" w:hAnsi="Times New Roman" w:eastAsia="仿宋" w:cs="Times New Roman"/>
                <w:bCs/>
                <w:color w:val="auto"/>
                <w:sz w:val="24"/>
              </w:rPr>
              <w:t>，产生量约0.</w:t>
            </w:r>
            <w:r>
              <w:rPr>
                <w:rFonts w:hint="default" w:ascii="Times New Roman" w:hAnsi="Times New Roman" w:eastAsia="仿宋" w:cs="Times New Roman"/>
                <w:bCs/>
                <w:color w:val="auto"/>
                <w:sz w:val="24"/>
                <w:lang w:val="en-US" w:eastAsia="zh-CN"/>
              </w:rPr>
              <w:t>05</w:t>
            </w:r>
            <w:r>
              <w:rPr>
                <w:rFonts w:hint="default" w:ascii="Times New Roman" w:hAnsi="Times New Roman" w:eastAsia="仿宋" w:cs="Times New Roman"/>
                <w:bCs/>
                <w:color w:val="auto"/>
                <w:sz w:val="24"/>
              </w:rPr>
              <w:t>t/a。</w:t>
            </w:r>
            <w:r>
              <w:rPr>
                <w:rFonts w:hint="eastAsia" w:ascii="仿宋" w:hAnsi="仿宋" w:eastAsia="仿宋" w:cs="宋体"/>
                <w:bCs/>
                <w:color w:val="auto"/>
                <w:sz w:val="24"/>
                <w:highlight w:val="none"/>
              </w:rPr>
              <w:t>据《江苏省实验室危险废物环境管理指南》</w:t>
            </w:r>
            <w:r>
              <w:rPr>
                <w:rFonts w:hint="eastAsia" w:ascii="仿宋" w:hAnsi="仿宋" w:eastAsia="仿宋"/>
                <w:bCs/>
                <w:color w:val="auto"/>
                <w:sz w:val="24"/>
                <w:highlight w:val="none"/>
              </w:rPr>
              <w:t>（苏环办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w:t>
            </w:r>
            <w:r>
              <w:rPr>
                <w:rFonts w:hint="eastAsia" w:ascii="仿宋" w:hAnsi="仿宋" w:eastAsia="仿宋"/>
                <w:bCs/>
                <w:color w:val="auto"/>
                <w:sz w:val="24"/>
                <w:highlight w:val="none"/>
                <w:lang w:eastAsia="zh-CN"/>
              </w:rPr>
              <w:t>，</w:t>
            </w:r>
            <w:r>
              <w:rPr>
                <w:rFonts w:hint="eastAsia" w:ascii="仿宋" w:hAnsi="仿宋" w:eastAsia="仿宋" w:cs="宋体"/>
                <w:bCs/>
                <w:color w:val="auto"/>
                <w:sz w:val="24"/>
                <w:highlight w:val="none"/>
                <w:lang w:val="en-US" w:eastAsia="zh-CN"/>
              </w:rPr>
              <w:t>其类别确定为其他固态废物（含实验中使用的手套、利器）：900-047-49。</w:t>
            </w:r>
          </w:p>
          <w:p w14:paraId="479E8C6C">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5</w:t>
            </w:r>
            <w:r>
              <w:rPr>
                <w:rFonts w:hint="default" w:ascii="Times New Roman" w:hAnsi="Times New Roman" w:eastAsia="仿宋" w:cs="Times New Roman"/>
                <w:bCs/>
                <w:color w:val="auto"/>
                <w:sz w:val="24"/>
              </w:rPr>
              <w:t>）废活性炭（S</w:t>
            </w:r>
            <w:r>
              <w:rPr>
                <w:rFonts w:hint="default" w:ascii="Times New Roman" w:hAnsi="Times New Roman" w:eastAsia="仿宋" w:cs="Times New Roman"/>
                <w:bCs/>
                <w:color w:val="auto"/>
                <w:sz w:val="24"/>
                <w:lang w:val="en-US" w:eastAsia="zh-CN"/>
              </w:rPr>
              <w:t>1</w:t>
            </w:r>
            <w:r>
              <w:rPr>
                <w:rFonts w:hint="eastAsia" w:eastAsia="仿宋" w:cs="Times New Roman"/>
                <w:bCs/>
                <w:color w:val="auto"/>
                <w:sz w:val="24"/>
                <w:lang w:val="en-US" w:eastAsia="zh-CN"/>
              </w:rPr>
              <w:t>6</w:t>
            </w:r>
            <w:r>
              <w:rPr>
                <w:rFonts w:hint="default" w:ascii="Times New Roman" w:hAnsi="Times New Roman" w:eastAsia="仿宋" w:cs="Times New Roman"/>
                <w:bCs/>
                <w:color w:val="auto"/>
                <w:sz w:val="24"/>
              </w:rPr>
              <w:t>）</w:t>
            </w:r>
            <w:r>
              <w:rPr>
                <w:rFonts w:hint="eastAsia" w:eastAsia="仿宋" w:cs="Times New Roman"/>
                <w:bCs/>
                <w:color w:val="auto"/>
                <w:sz w:val="24"/>
                <w:lang w:eastAsia="zh-CN"/>
              </w:rPr>
              <w:t>：</w:t>
            </w:r>
            <w:r>
              <w:rPr>
                <w:rFonts w:hint="default" w:ascii="Times New Roman" w:hAnsi="Times New Roman" w:eastAsia="仿宋" w:cs="Times New Roman"/>
                <w:color w:val="auto"/>
                <w:sz w:val="24"/>
              </w:rPr>
              <w:t>本项目</w:t>
            </w:r>
            <w:r>
              <w:rPr>
                <w:rFonts w:hint="default" w:ascii="Times New Roman" w:hAnsi="Times New Roman" w:eastAsia="仿宋" w:cs="Times New Roman"/>
                <w:color w:val="auto"/>
                <w:sz w:val="24"/>
                <w:lang w:val="en-US" w:eastAsia="zh-CN"/>
              </w:rPr>
              <w:t>废气依托现有</w:t>
            </w:r>
            <w:r>
              <w:rPr>
                <w:rFonts w:hint="default" w:ascii="Times New Roman" w:hAnsi="Times New Roman" w:eastAsia="仿宋" w:cs="Times New Roman"/>
                <w:bCs/>
                <w:color w:val="auto"/>
                <w:sz w:val="24"/>
                <w:highlight w:val="none"/>
              </w:rPr>
              <w:t>一套碱液喷淋塔</w:t>
            </w:r>
            <w:r>
              <w:rPr>
                <w:rFonts w:hint="default" w:ascii="Times New Roman" w:hAnsi="Times New Roman" w:eastAsia="仿宋" w:cs="Times New Roman"/>
                <w:bCs/>
                <w:color w:val="FF0000"/>
                <w:sz w:val="24"/>
                <w:highlight w:val="none"/>
                <w:lang w:eastAsia="zh-CN"/>
              </w:rPr>
              <w:t>（</w:t>
            </w:r>
            <w:r>
              <w:rPr>
                <w:rFonts w:hint="default" w:ascii="Times New Roman" w:hAnsi="Times New Roman" w:eastAsia="仿宋" w:cs="Times New Roman"/>
                <w:bCs/>
                <w:color w:val="FF0000"/>
                <w:sz w:val="24"/>
                <w:highlight w:val="none"/>
                <w:lang w:val="en-US" w:eastAsia="zh-CN"/>
              </w:rPr>
              <w:t>含吸水填料</w:t>
            </w:r>
            <w:r>
              <w:rPr>
                <w:rFonts w:hint="default" w:ascii="Times New Roman" w:hAnsi="Times New Roman" w:eastAsia="仿宋" w:cs="Times New Roman"/>
                <w:bCs/>
                <w:color w:val="FF0000"/>
                <w:sz w:val="24"/>
                <w:highlight w:val="none"/>
                <w:lang w:eastAsia="zh-CN"/>
              </w:rPr>
              <w:t>）</w:t>
            </w:r>
            <w:r>
              <w:rPr>
                <w:rFonts w:hint="default" w:ascii="Times New Roman" w:hAnsi="Times New Roman" w:eastAsia="仿宋" w:cs="Times New Roman"/>
                <w:bCs/>
                <w:color w:val="auto"/>
                <w:sz w:val="24"/>
                <w:highlight w:val="none"/>
              </w:rPr>
              <w:t>+3#</w:t>
            </w:r>
            <w:r>
              <w:rPr>
                <w:rFonts w:hint="default" w:ascii="Times New Roman" w:hAnsi="Times New Roman" w:eastAsia="仿宋" w:cs="Times New Roman"/>
                <w:bCs/>
                <w:color w:val="auto"/>
                <w:sz w:val="24"/>
                <w:highlight w:val="none"/>
                <w:lang w:eastAsia="zh-CN"/>
              </w:rPr>
              <w:t>两级活性炭</w:t>
            </w:r>
            <w:r>
              <w:rPr>
                <w:rFonts w:hint="default" w:ascii="Times New Roman" w:hAnsi="Times New Roman" w:eastAsia="仿宋" w:cs="Times New Roman"/>
                <w:bCs/>
                <w:color w:val="auto"/>
                <w:sz w:val="24"/>
                <w:highlight w:val="none"/>
              </w:rPr>
              <w:t>吸附装置</w:t>
            </w:r>
            <w:r>
              <w:rPr>
                <w:rFonts w:hint="default" w:ascii="Times New Roman" w:hAnsi="Times New Roman" w:eastAsia="仿宋" w:cs="Times New Roman"/>
                <w:bCs/>
                <w:color w:val="auto"/>
                <w:sz w:val="24"/>
                <w:highlight w:val="none"/>
                <w:lang w:val="en-US" w:eastAsia="zh-CN"/>
              </w:rPr>
              <w:t>处理，项目建成后该</w:t>
            </w:r>
            <w:r>
              <w:rPr>
                <w:rFonts w:hint="default" w:ascii="Times New Roman" w:hAnsi="Times New Roman" w:eastAsia="仿宋" w:cs="Times New Roman"/>
                <w:color w:val="auto"/>
                <w:sz w:val="24"/>
              </w:rPr>
              <w:t>活性炭更换周期见下表。</w:t>
            </w:r>
          </w:p>
          <w:p w14:paraId="0DA8DD67">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根据活性炭更换周期计算公式：</w:t>
            </w:r>
          </w:p>
          <w:p w14:paraId="26E17CBD">
            <w:pPr>
              <w:spacing w:line="348" w:lineRule="auto"/>
              <w:ind w:firstLine="480" w:firstLineChars="20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w:t>
            </w:r>
            <w:r>
              <w:rPr>
                <w:rFonts w:hint="default" w:ascii="Times New Roman" w:hAnsi="Times New Roman" w:eastAsia="仿宋" w:cs="Times New Roman"/>
                <w:bCs/>
                <w:color w:val="auto"/>
                <w:sz w:val="24"/>
              </w:rPr>
              <w:t>m×s÷</w:t>
            </w:r>
            <w:r>
              <w:rPr>
                <w:rFonts w:hint="default" w:ascii="Times New Roman" w:hAnsi="Times New Roman" w:eastAsia="仿宋" w:cs="Times New Roman"/>
                <w:color w:val="auto"/>
                <w:sz w:val="24"/>
              </w:rPr>
              <w:t>（c×10</w:t>
            </w:r>
            <w:r>
              <w:rPr>
                <w:rFonts w:hint="default" w:ascii="Times New Roman" w:hAnsi="Times New Roman" w:eastAsia="仿宋" w:cs="Times New Roman"/>
                <w:color w:val="auto"/>
                <w:sz w:val="24"/>
                <w:vertAlign w:val="superscript"/>
              </w:rPr>
              <w:t>-6</w:t>
            </w:r>
            <w:r>
              <w:rPr>
                <w:rFonts w:hint="default" w:ascii="Times New Roman" w:hAnsi="Times New Roman" w:eastAsia="仿宋" w:cs="Times New Roman"/>
                <w:color w:val="auto"/>
                <w:sz w:val="24"/>
              </w:rPr>
              <w:t>×Q×t）</w:t>
            </w:r>
          </w:p>
          <w:p w14:paraId="1DCA2FA4">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w:t>
            </w:r>
          </w:p>
          <w:p w14:paraId="1CB1C374">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T—更换周期，天；</w:t>
            </w:r>
          </w:p>
          <w:p w14:paraId="0687A07F">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m—活性炭的用量，kg；</w:t>
            </w:r>
          </w:p>
          <w:p w14:paraId="20D43E1F">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s—动态吸附量，%；（一般取值10%）；</w:t>
            </w:r>
          </w:p>
          <w:p w14:paraId="5E987980">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c—活性炭削减的VOCs浓度，mg/m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p>
          <w:p w14:paraId="2BA4D870">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Q—风量，单位m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/h；</w:t>
            </w:r>
          </w:p>
          <w:p w14:paraId="63B4B371">
            <w:pPr>
              <w:spacing w:line="348"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t—运行时间，单位h/d。</w:t>
            </w:r>
          </w:p>
          <w:p w14:paraId="767908A7">
            <w:pPr>
              <w:adjustRightIn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2</w:t>
            </w:r>
            <w:r>
              <w:rPr>
                <w:rFonts w:hint="eastAsia" w:eastAsia="仿宋" w:cs="Times New Roman"/>
                <w:b/>
                <w:color w:val="auto"/>
                <w:sz w:val="24"/>
                <w:lang w:val="en-US" w:eastAsia="zh-CN"/>
              </w:rPr>
              <w:t>3</w:t>
            </w:r>
            <w:r>
              <w:rPr>
                <w:rFonts w:hint="default" w:ascii="Times New Roman" w:hAnsi="Times New Roman" w:eastAsia="仿宋" w:cs="Times New Roman"/>
                <w:b/>
                <w:color w:val="auto"/>
                <w:sz w:val="24"/>
              </w:rPr>
              <w:t xml:space="preserve">  活性炭更换周期表</w:t>
            </w:r>
          </w:p>
          <w:tbl>
            <w:tblPr>
              <w:tblStyle w:val="26"/>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22"/>
              <w:gridCol w:w="814"/>
              <w:gridCol w:w="724"/>
              <w:gridCol w:w="1204"/>
              <w:gridCol w:w="771"/>
              <w:gridCol w:w="867"/>
              <w:gridCol w:w="823"/>
              <w:gridCol w:w="791"/>
              <w:gridCol w:w="680"/>
            </w:tblGrid>
            <w:tr w14:paraId="61765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 w:type="pct"/>
                  <w:vAlign w:val="center"/>
                </w:tcPr>
                <w:p w14:paraId="0E23DF42">
                  <w:pPr>
                    <w:ind w:left="-105" w:leftChars="-50" w:right="-105" w:rightChars="-50"/>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排气筒编号</w:t>
                  </w:r>
                </w:p>
              </w:tc>
              <w:tc>
                <w:tcPr>
                  <w:tcW w:w="667" w:type="pct"/>
                  <w:vAlign w:val="center"/>
                </w:tcPr>
                <w:p w14:paraId="1834EF1E">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废气产生</w:t>
                  </w:r>
                </w:p>
                <w:p w14:paraId="7F27A30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环节</w:t>
                  </w:r>
                </w:p>
              </w:tc>
              <w:tc>
                <w:tcPr>
                  <w:tcW w:w="483" w:type="pct"/>
                  <w:vAlign w:val="center"/>
                </w:tcPr>
                <w:p w14:paraId="26A3725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活性炭用量(kg)</w:t>
                  </w:r>
                </w:p>
              </w:tc>
              <w:tc>
                <w:tcPr>
                  <w:tcW w:w="430" w:type="pct"/>
                  <w:vAlign w:val="center"/>
                </w:tcPr>
                <w:p w14:paraId="4EBCBBB1">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动态吸附量(%)</w:t>
                  </w:r>
                </w:p>
              </w:tc>
              <w:tc>
                <w:tcPr>
                  <w:tcW w:w="715" w:type="pct"/>
                  <w:vAlign w:val="center"/>
                </w:tcPr>
                <w:p w14:paraId="760879C6">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活性炭削减VOCs浓度(mg/m</w:t>
                  </w:r>
                  <w:r>
                    <w:rPr>
                      <w:rFonts w:hint="default" w:ascii="Times New Roman" w:hAnsi="Times New Roman" w:eastAsia="仿宋" w:cs="Times New Roman"/>
                      <w:b/>
                      <w:color w:val="auto"/>
                      <w:sz w:val="18"/>
                      <w:szCs w:val="18"/>
                      <w:vertAlign w:val="superscript"/>
                    </w:rPr>
                    <w:t>3</w:t>
                  </w:r>
                  <w:r>
                    <w:rPr>
                      <w:rFonts w:hint="default" w:ascii="Times New Roman" w:hAnsi="Times New Roman" w:eastAsia="仿宋" w:cs="Times New Roman"/>
                      <w:b/>
                      <w:color w:val="auto"/>
                      <w:sz w:val="18"/>
                      <w:szCs w:val="18"/>
                    </w:rPr>
                    <w:t>)</w:t>
                  </w:r>
                </w:p>
              </w:tc>
              <w:tc>
                <w:tcPr>
                  <w:tcW w:w="458" w:type="pct"/>
                  <w:vAlign w:val="center"/>
                </w:tcPr>
                <w:p w14:paraId="600366D2">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风量(m</w:t>
                  </w:r>
                  <w:r>
                    <w:rPr>
                      <w:rFonts w:hint="default" w:ascii="Times New Roman" w:hAnsi="Times New Roman" w:eastAsia="仿宋" w:cs="Times New Roman"/>
                      <w:b/>
                      <w:color w:val="auto"/>
                      <w:sz w:val="18"/>
                      <w:szCs w:val="18"/>
                      <w:vertAlign w:val="superscript"/>
                    </w:rPr>
                    <w:t>3</w:t>
                  </w:r>
                  <w:r>
                    <w:rPr>
                      <w:rFonts w:hint="default" w:ascii="Times New Roman" w:hAnsi="Times New Roman" w:eastAsia="仿宋" w:cs="Times New Roman"/>
                      <w:b/>
                      <w:color w:val="auto"/>
                      <w:sz w:val="18"/>
                      <w:szCs w:val="18"/>
                    </w:rPr>
                    <w:t>/h)</w:t>
                  </w:r>
                </w:p>
              </w:tc>
              <w:tc>
                <w:tcPr>
                  <w:tcW w:w="515" w:type="pct"/>
                  <w:vAlign w:val="center"/>
                </w:tcPr>
                <w:p w14:paraId="6E0375B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运行时间(h/d)</w:t>
                  </w:r>
                </w:p>
              </w:tc>
              <w:tc>
                <w:tcPr>
                  <w:tcW w:w="489" w:type="pct"/>
                  <w:vAlign w:val="center"/>
                </w:tcPr>
                <w:p w14:paraId="12BD387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计算结果(天)</w:t>
                  </w:r>
                </w:p>
              </w:tc>
              <w:tc>
                <w:tcPr>
                  <w:tcW w:w="470" w:type="pct"/>
                  <w:vAlign w:val="center"/>
                </w:tcPr>
                <w:p w14:paraId="5F59CCF6">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设计方案要求(天)</w:t>
                  </w:r>
                </w:p>
              </w:tc>
              <w:tc>
                <w:tcPr>
                  <w:tcW w:w="404" w:type="pct"/>
                  <w:vAlign w:val="center"/>
                </w:tcPr>
                <w:p w14:paraId="4B0BD26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更换周期(天)</w:t>
                  </w:r>
                </w:p>
              </w:tc>
            </w:tr>
            <w:tr w14:paraId="50A7B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65" w:type="pct"/>
                  <w:vAlign w:val="center"/>
                </w:tcPr>
                <w:p w14:paraId="519D583A">
                  <w:pPr>
                    <w:jc w:val="center"/>
                    <w:rPr>
                      <w:rFonts w:hint="eastAsia" w:ascii="Times New Roman" w:hAnsi="Times New Roman" w:eastAsia="仿宋" w:cs="Times New Roman"/>
                      <w:bCs/>
                      <w:color w:val="auto"/>
                      <w:sz w:val="18"/>
                      <w:szCs w:val="18"/>
                      <w:lang w:val="en-US" w:eastAsia="zh-CN"/>
                    </w:rPr>
                  </w:pPr>
                  <w:r>
                    <w:rPr>
                      <w:rFonts w:hint="default" w:ascii="Times New Roman" w:hAnsi="Times New Roman" w:eastAsia="仿宋" w:cs="Times New Roman"/>
                      <w:bCs/>
                      <w:color w:val="auto"/>
                      <w:sz w:val="18"/>
                      <w:szCs w:val="18"/>
                    </w:rPr>
                    <w:t>3#</w:t>
                  </w:r>
                  <w:r>
                    <w:rPr>
                      <w:rFonts w:hint="eastAsia" w:eastAsia="仿宋" w:cs="Times New Roman"/>
                      <w:bCs/>
                      <w:color w:val="auto"/>
                      <w:sz w:val="18"/>
                      <w:szCs w:val="18"/>
                      <w:lang w:val="en-US" w:eastAsia="zh-CN"/>
                    </w:rPr>
                    <w:t>排气筒</w:t>
                  </w:r>
                </w:p>
              </w:tc>
              <w:tc>
                <w:tcPr>
                  <w:tcW w:w="667" w:type="pct"/>
                  <w:vAlign w:val="center"/>
                </w:tcPr>
                <w:p w14:paraId="15656441">
                  <w:pPr>
                    <w:jc w:val="center"/>
                    <w:rPr>
                      <w:rFonts w:hint="default" w:ascii="Times New Roman" w:hAnsi="Times New Roman" w:eastAsia="仿宋" w:cs="Times New Roman"/>
                      <w:bCs/>
                      <w:color w:val="auto"/>
                      <w:sz w:val="18"/>
                      <w:szCs w:val="18"/>
                      <w:lang w:val="en-US" w:eastAsia="zh-CN"/>
                    </w:rPr>
                  </w:pPr>
                  <w:r>
                    <w:rPr>
                      <w:rFonts w:hint="default" w:ascii="Times New Roman" w:hAnsi="Times New Roman" w:eastAsia="仿宋" w:cs="Times New Roman"/>
                      <w:bCs/>
                      <w:color w:val="auto"/>
                      <w:sz w:val="18"/>
                      <w:szCs w:val="18"/>
                      <w:lang w:val="en-US" w:eastAsia="zh-CN"/>
                    </w:rPr>
                    <w:t>本项目实验室、现有</w:t>
                  </w:r>
                  <w:r>
                    <w:rPr>
                      <w:rFonts w:hint="default" w:ascii="Times New Roman" w:hAnsi="Times New Roman" w:eastAsia="仿宋" w:cs="Times New Roman"/>
                      <w:bCs/>
                      <w:color w:val="auto"/>
                      <w:sz w:val="18"/>
                      <w:szCs w:val="18"/>
                    </w:rPr>
                    <w:t>酸洗、防氧化、危废仓库</w:t>
                  </w:r>
                </w:p>
              </w:tc>
              <w:tc>
                <w:tcPr>
                  <w:tcW w:w="483" w:type="pct"/>
                  <w:vAlign w:val="center"/>
                </w:tcPr>
                <w:p w14:paraId="7F77BE04">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900</w:t>
                  </w:r>
                </w:p>
              </w:tc>
              <w:tc>
                <w:tcPr>
                  <w:tcW w:w="430" w:type="pct"/>
                  <w:vAlign w:val="center"/>
                </w:tcPr>
                <w:p w14:paraId="12C6065D">
                  <w:pPr>
                    <w:jc w:val="center"/>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rPr>
                    <w:t>10%</w:t>
                  </w:r>
                </w:p>
              </w:tc>
              <w:tc>
                <w:tcPr>
                  <w:tcW w:w="715" w:type="pct"/>
                  <w:vAlign w:val="center"/>
                </w:tcPr>
                <w:p w14:paraId="0709D7AF">
                  <w:pPr>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rPr>
                    <w:t>22.</w:t>
                  </w:r>
                  <w:r>
                    <w:rPr>
                      <w:rFonts w:hint="default" w:ascii="Times New Roman" w:hAnsi="Times New Roman" w:eastAsia="仿宋" w:cs="Times New Roman"/>
                      <w:bCs/>
                      <w:color w:val="auto"/>
                      <w:sz w:val="18"/>
                      <w:szCs w:val="18"/>
                      <w:highlight w:val="none"/>
                      <w:lang w:val="en-US" w:eastAsia="zh-CN"/>
                    </w:rPr>
                    <w:t>16</w:t>
                  </w:r>
                </w:p>
              </w:tc>
              <w:tc>
                <w:tcPr>
                  <w:tcW w:w="458" w:type="pct"/>
                  <w:vAlign w:val="center"/>
                </w:tcPr>
                <w:p w14:paraId="78AAB55B">
                  <w:pPr>
                    <w:jc w:val="center"/>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rPr>
                    <w:t>6000</w:t>
                  </w:r>
                </w:p>
              </w:tc>
              <w:tc>
                <w:tcPr>
                  <w:tcW w:w="515" w:type="pct"/>
                  <w:vAlign w:val="center"/>
                </w:tcPr>
                <w:p w14:paraId="12A2B0B5">
                  <w:pPr>
                    <w:jc w:val="center"/>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rPr>
                    <w:t>16</w:t>
                  </w:r>
                </w:p>
              </w:tc>
              <w:tc>
                <w:tcPr>
                  <w:tcW w:w="489" w:type="pct"/>
                  <w:vAlign w:val="center"/>
                </w:tcPr>
                <w:p w14:paraId="5154E04E">
                  <w:pPr>
                    <w:jc w:val="center"/>
                    <w:rPr>
                      <w:rFonts w:hint="default" w:ascii="Times New Roman" w:hAnsi="Times New Roman" w:eastAsia="仿宋" w:cs="Times New Roman"/>
                      <w:bCs/>
                      <w:color w:val="auto"/>
                      <w:sz w:val="18"/>
                      <w:szCs w:val="18"/>
                      <w:lang w:val="en-US" w:eastAsia="zh-CN"/>
                    </w:rPr>
                  </w:pPr>
                  <w:r>
                    <w:rPr>
                      <w:rFonts w:hint="default" w:ascii="Times New Roman" w:hAnsi="Times New Roman" w:eastAsia="仿宋" w:cs="Times New Roman"/>
                      <w:bCs/>
                      <w:color w:val="auto"/>
                      <w:sz w:val="18"/>
                      <w:szCs w:val="18"/>
                      <w:lang w:val="en-US" w:eastAsia="zh-CN"/>
                    </w:rPr>
                    <w:t>42.3</w:t>
                  </w:r>
                </w:p>
              </w:tc>
              <w:tc>
                <w:tcPr>
                  <w:tcW w:w="470" w:type="pct"/>
                  <w:vAlign w:val="center"/>
                </w:tcPr>
                <w:p w14:paraId="7ABF6C88">
                  <w:pPr>
                    <w:jc w:val="center"/>
                    <w:rPr>
                      <w:rFonts w:hint="default" w:ascii="Times New Roman" w:hAnsi="Times New Roman" w:eastAsia="仿宋" w:cs="Times New Roman"/>
                      <w:bCs/>
                      <w:color w:val="auto"/>
                      <w:sz w:val="18"/>
                      <w:szCs w:val="18"/>
                    </w:rPr>
                  </w:pPr>
                  <w:r>
                    <w:rPr>
                      <w:rFonts w:hint="default" w:ascii="Times New Roman" w:hAnsi="Times New Roman" w:eastAsia="仿宋" w:cs="Times New Roman"/>
                      <w:bCs/>
                      <w:color w:val="auto"/>
                      <w:sz w:val="18"/>
                      <w:szCs w:val="18"/>
                    </w:rPr>
                    <w:t>/</w:t>
                  </w:r>
                </w:p>
              </w:tc>
              <w:tc>
                <w:tcPr>
                  <w:tcW w:w="404" w:type="pct"/>
                  <w:vAlign w:val="center"/>
                </w:tcPr>
                <w:p w14:paraId="259370A1">
                  <w:pPr>
                    <w:jc w:val="center"/>
                    <w:rPr>
                      <w:rFonts w:hint="default" w:ascii="Times New Roman" w:hAnsi="Times New Roman" w:eastAsia="仿宋" w:cs="Times New Roman"/>
                      <w:bCs/>
                      <w:color w:val="auto"/>
                      <w:sz w:val="18"/>
                      <w:szCs w:val="18"/>
                    </w:rPr>
                  </w:pPr>
                  <w:r>
                    <w:rPr>
                      <w:rFonts w:hint="default" w:ascii="Times New Roman" w:hAnsi="Times New Roman" w:eastAsia="仿宋" w:cs="Times New Roman"/>
                      <w:bCs/>
                      <w:color w:val="auto"/>
                      <w:sz w:val="18"/>
                      <w:szCs w:val="18"/>
                    </w:rPr>
                    <w:t>42</w:t>
                  </w:r>
                </w:p>
              </w:tc>
            </w:tr>
          </w:tbl>
          <w:p w14:paraId="3ED5F38A">
            <w:pPr>
              <w:spacing w:before="120" w:beforeLines="50"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lang w:val="en-US" w:eastAsia="zh-CN"/>
              </w:rPr>
              <w:t>本项目实验有机废气产生量较小，</w:t>
            </w:r>
            <w:r>
              <w:rPr>
                <w:rFonts w:hint="default" w:ascii="Times New Roman" w:hAnsi="Times New Roman" w:eastAsia="仿宋" w:cs="Times New Roman"/>
                <w:color w:val="auto"/>
                <w:sz w:val="24"/>
              </w:rPr>
              <w:t>根据上表</w:t>
            </w:r>
            <w:r>
              <w:rPr>
                <w:rFonts w:hint="default" w:ascii="Times New Roman" w:hAnsi="Times New Roman" w:eastAsia="仿宋" w:cs="Times New Roman"/>
                <w:color w:val="auto"/>
                <w:sz w:val="24"/>
                <w:lang w:val="en-US" w:eastAsia="zh-CN"/>
              </w:rPr>
              <w:t>本项目建成后</w:t>
            </w:r>
            <w:r>
              <w:rPr>
                <w:rFonts w:hint="default" w:ascii="Times New Roman" w:hAnsi="Times New Roman" w:eastAsia="仿宋" w:cs="Times New Roman"/>
                <w:color w:val="auto"/>
                <w:sz w:val="24"/>
              </w:rPr>
              <w:t>3#两级活性炭吸附装置的活性炭更换周期</w:t>
            </w:r>
            <w:r>
              <w:rPr>
                <w:rFonts w:hint="default" w:ascii="Times New Roman" w:hAnsi="Times New Roman" w:eastAsia="仿宋" w:cs="Times New Roman"/>
                <w:color w:val="auto"/>
                <w:sz w:val="24"/>
                <w:lang w:val="en-US" w:eastAsia="zh-CN"/>
              </w:rPr>
              <w:t>不变仍为</w:t>
            </w:r>
            <w:r>
              <w:rPr>
                <w:rFonts w:hint="default" w:ascii="Times New Roman" w:hAnsi="Times New Roman" w:eastAsia="仿宋" w:cs="Times New Roman"/>
                <w:color w:val="auto"/>
                <w:sz w:val="24"/>
              </w:rPr>
              <w:t>42天</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本项目</w:t>
            </w:r>
            <w:r>
              <w:rPr>
                <w:rFonts w:hint="default" w:ascii="Times New Roman" w:hAnsi="Times New Roman" w:eastAsia="仿宋" w:cs="Times New Roman"/>
                <w:color w:val="auto"/>
                <w:sz w:val="24"/>
                <w:highlight w:val="none"/>
              </w:rPr>
              <w:t>活性炭吸附装置吸附有机废气约</w:t>
            </w:r>
            <w:r>
              <w:rPr>
                <w:rFonts w:hint="default" w:ascii="Times New Roman" w:hAnsi="Times New Roman" w:eastAsia="仿宋" w:cs="Times New Roman"/>
                <w:color w:val="auto"/>
                <w:sz w:val="24"/>
                <w:highlight w:val="none"/>
                <w:lang w:val="en-US" w:eastAsia="zh-CN"/>
              </w:rPr>
              <w:t>0.0083</w:t>
            </w:r>
            <w:r>
              <w:rPr>
                <w:rFonts w:hint="default" w:ascii="Times New Roman" w:hAnsi="Times New Roman" w:eastAsia="仿宋" w:cs="Times New Roman"/>
                <w:color w:val="auto"/>
                <w:sz w:val="24"/>
                <w:highlight w:val="none"/>
              </w:rPr>
              <w:t>t/a，故废活性炭</w:t>
            </w:r>
            <w:r>
              <w:rPr>
                <w:rFonts w:hint="default" w:ascii="Times New Roman" w:hAnsi="Times New Roman" w:eastAsia="仿宋" w:cs="Times New Roman"/>
                <w:color w:val="auto"/>
                <w:sz w:val="24"/>
                <w:highlight w:val="none"/>
                <w:lang w:val="en-US" w:eastAsia="zh-CN"/>
              </w:rPr>
              <w:t>产生量增加0.0083</w:t>
            </w:r>
            <w:r>
              <w:rPr>
                <w:rFonts w:hint="default" w:ascii="Times New Roman" w:hAnsi="Times New Roman" w:eastAsia="仿宋" w:cs="Times New Roman"/>
                <w:color w:val="auto"/>
                <w:sz w:val="24"/>
                <w:highlight w:val="none"/>
              </w:rPr>
              <w:t>t/a。</w:t>
            </w:r>
          </w:p>
          <w:p w14:paraId="66BD43E6">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6</w:t>
            </w:r>
            <w:r>
              <w:rPr>
                <w:rFonts w:hint="default" w:ascii="Times New Roman" w:hAnsi="Times New Roman" w:eastAsia="仿宋" w:cs="Times New Roman"/>
                <w:bCs/>
                <w:color w:val="auto"/>
                <w:sz w:val="24"/>
              </w:rPr>
              <w:t>）</w:t>
            </w:r>
            <w:r>
              <w:rPr>
                <w:rFonts w:hint="eastAsia" w:eastAsia="仿宋" w:cs="Times New Roman"/>
                <w:bCs/>
                <w:color w:val="auto"/>
                <w:sz w:val="24"/>
                <w:lang w:val="en-US" w:eastAsia="zh-CN"/>
              </w:rPr>
              <w:t>废过滤材料（S15）：本项目新增的纯水制备机有废过滤材料产生，产生量约0.15t/a</w:t>
            </w:r>
            <w:r>
              <w:rPr>
                <w:rFonts w:hint="default" w:ascii="Times New Roman" w:hAnsi="Times New Roman" w:eastAsia="仿宋" w:cs="Times New Roman"/>
                <w:bCs/>
                <w:color w:val="auto"/>
                <w:sz w:val="24"/>
                <w:highlight w:val="none"/>
              </w:rPr>
              <w:t>。</w:t>
            </w:r>
          </w:p>
          <w:p w14:paraId="7D62850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2、固体废物属性判定</w:t>
            </w:r>
          </w:p>
          <w:p w14:paraId="7595C7A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根据《中华人民共和国固体废物污染环境防治法》、《固体废物鉴别标准 通则》（GB</w:t>
            </w:r>
            <w:r>
              <w:rPr>
                <w:rFonts w:hint="eastAsia" w:eastAsia="仿宋" w:cs="Times New Roman"/>
                <w:bCs/>
                <w:color w:val="auto"/>
                <w:sz w:val="24"/>
                <w:lang w:val="en-US" w:eastAsia="zh-CN"/>
              </w:rPr>
              <w:t xml:space="preserve"> </w:t>
            </w:r>
            <w:r>
              <w:rPr>
                <w:rFonts w:hint="default" w:ascii="Times New Roman" w:hAnsi="Times New Roman" w:eastAsia="仿宋" w:cs="Times New Roman"/>
                <w:bCs/>
                <w:color w:val="auto"/>
                <w:sz w:val="24"/>
              </w:rPr>
              <w:t>34330</w:t>
            </w:r>
            <w:r>
              <w:rPr>
                <w:rFonts w:hint="eastAsia" w:eastAsia="仿宋" w:cs="Times New Roman"/>
                <w:bCs/>
                <w:color w:val="auto"/>
                <w:sz w:val="24"/>
                <w:lang w:val="en-US" w:eastAsia="zh-CN"/>
              </w:rPr>
              <w:t>-2025</w:t>
            </w:r>
            <w:r>
              <w:rPr>
                <w:rFonts w:hint="default" w:ascii="Times New Roman" w:hAnsi="Times New Roman" w:eastAsia="仿宋" w:cs="Times New Roman"/>
                <w:bCs/>
                <w:color w:val="auto"/>
                <w:sz w:val="24"/>
              </w:rPr>
              <w:t>）、《建设项目危险废物环境影响评价指南》（公告2017年第43号）和《关于贯彻落实建设项目危险废物环境影响评价指南要求的通知》（苏环办</w:t>
            </w:r>
            <w:r>
              <w:rPr>
                <w:rFonts w:hint="default" w:ascii="Times New Roman" w:hAnsi="Times New Roman" w:eastAsia="仿宋" w:cs="Times New Roman"/>
                <w:bCs/>
                <w:color w:val="auto"/>
                <w:sz w:val="24"/>
                <w:lang w:eastAsia="zh-CN"/>
              </w:rPr>
              <w:t>〔2018〕18号</w:t>
            </w:r>
            <w:r>
              <w:rPr>
                <w:rFonts w:hint="default" w:ascii="Times New Roman" w:hAnsi="Times New Roman" w:eastAsia="仿宋" w:cs="Times New Roman"/>
                <w:bCs/>
                <w:color w:val="auto"/>
                <w:sz w:val="24"/>
              </w:rPr>
              <w:t>）的规定，判断项目生产过程中产生的副产物是否属于固体废物，判定依据及结果见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5298CBAE">
            <w:pPr>
              <w:adjustRightInd w:val="0"/>
              <w:snapToGrid w:val="0"/>
              <w:jc w:val="center"/>
              <w:rPr>
                <w:rFonts w:hint="default" w:ascii="Times New Roman" w:hAnsi="Times New Roman" w:eastAsia="仿宋" w:cs="Times New Roman"/>
                <w:b/>
                <w:bCs/>
                <w:color w:val="auto"/>
                <w:sz w:val="24"/>
              </w:rPr>
            </w:pPr>
          </w:p>
          <w:p w14:paraId="58E58F05">
            <w:pPr>
              <w:adjustRightInd w:val="0"/>
              <w:snapToGrid w:val="0"/>
              <w:jc w:val="center"/>
              <w:rPr>
                <w:rFonts w:hint="default" w:ascii="Times New Roman" w:hAnsi="Times New Roman" w:eastAsia="仿宋" w:cs="Times New Roman"/>
                <w:b/>
                <w:bCs/>
                <w:color w:val="auto"/>
                <w:sz w:val="24"/>
              </w:rPr>
            </w:pPr>
          </w:p>
          <w:p w14:paraId="07099143">
            <w:pPr>
              <w:adjustRightInd w:val="0"/>
              <w:snapToGrid w:val="0"/>
              <w:jc w:val="center"/>
              <w:rPr>
                <w:rFonts w:hint="default" w:ascii="Times New Roman" w:hAnsi="Times New Roman" w:eastAsia="仿宋" w:cs="Times New Roman"/>
                <w:b/>
                <w:bCs/>
                <w:color w:val="auto"/>
                <w:sz w:val="24"/>
              </w:rPr>
            </w:pPr>
          </w:p>
          <w:p w14:paraId="3FBD1C53">
            <w:pPr>
              <w:adjustRightInd w:val="0"/>
              <w:snapToGrid w:val="0"/>
              <w:jc w:val="center"/>
              <w:rPr>
                <w:rFonts w:hint="default" w:ascii="Times New Roman" w:hAnsi="Times New Roman" w:eastAsia="仿宋" w:cs="Times New Roman"/>
                <w:b/>
                <w:bCs/>
                <w:color w:val="auto"/>
                <w:sz w:val="24"/>
              </w:rPr>
            </w:pPr>
          </w:p>
          <w:p w14:paraId="6D8356B4">
            <w:pPr>
              <w:adjustRightInd w:val="0"/>
              <w:snapToGrid w:val="0"/>
              <w:jc w:val="center"/>
              <w:rPr>
                <w:rFonts w:hint="default" w:ascii="Times New Roman" w:hAnsi="Times New Roman" w:eastAsia="仿宋" w:cs="Times New Roman"/>
                <w:b/>
                <w:bCs/>
                <w:color w:val="auto"/>
                <w:sz w:val="24"/>
              </w:rPr>
            </w:pPr>
          </w:p>
          <w:p w14:paraId="302AAA2F">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2</w:t>
            </w:r>
            <w:r>
              <w:rPr>
                <w:rFonts w:hint="eastAsia" w:eastAsia="仿宋" w:cs="Times New Roman"/>
                <w:b/>
                <w:bCs/>
                <w:color w:val="auto"/>
                <w:sz w:val="24"/>
                <w:lang w:val="en-US" w:eastAsia="zh-CN"/>
              </w:rPr>
              <w:t>4</w:t>
            </w:r>
            <w:r>
              <w:rPr>
                <w:rFonts w:hint="default" w:ascii="Times New Roman" w:hAnsi="Times New Roman" w:eastAsia="仿宋" w:cs="Times New Roman"/>
                <w:b/>
                <w:bCs/>
                <w:color w:val="auto"/>
                <w:sz w:val="24"/>
              </w:rPr>
              <w:t xml:space="preserve">  本项目副产物产生情况汇总表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61"/>
              <w:gridCol w:w="1508"/>
              <w:gridCol w:w="878"/>
              <w:gridCol w:w="665"/>
              <w:gridCol w:w="1318"/>
              <w:gridCol w:w="1000"/>
              <w:gridCol w:w="859"/>
              <w:gridCol w:w="686"/>
              <w:gridCol w:w="1093"/>
            </w:tblGrid>
            <w:tr w14:paraId="3DD28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Merge w:val="restart"/>
                  <w:vAlign w:val="center"/>
                </w:tcPr>
                <w:p w14:paraId="30CC4ED9">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890" w:type="pct"/>
                  <w:vMerge w:val="restart"/>
                  <w:vAlign w:val="center"/>
                </w:tcPr>
                <w:p w14:paraId="3C5187EE">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副产物名称</w:t>
                  </w:r>
                </w:p>
              </w:tc>
              <w:tc>
                <w:tcPr>
                  <w:tcW w:w="518" w:type="pct"/>
                  <w:vMerge w:val="restart"/>
                  <w:vAlign w:val="center"/>
                </w:tcPr>
                <w:p w14:paraId="028DF388">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产生来源</w:t>
                  </w:r>
                </w:p>
              </w:tc>
              <w:tc>
                <w:tcPr>
                  <w:tcW w:w="392" w:type="pct"/>
                  <w:vMerge w:val="restart"/>
                  <w:vAlign w:val="center"/>
                </w:tcPr>
                <w:p w14:paraId="5EAF01FA">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形态</w:t>
                  </w:r>
                </w:p>
              </w:tc>
              <w:tc>
                <w:tcPr>
                  <w:tcW w:w="778" w:type="pct"/>
                  <w:vMerge w:val="restart"/>
                  <w:vAlign w:val="center"/>
                </w:tcPr>
                <w:p w14:paraId="6492C2EC">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主要成分</w:t>
                  </w:r>
                </w:p>
              </w:tc>
              <w:tc>
                <w:tcPr>
                  <w:tcW w:w="590" w:type="pct"/>
                  <w:vMerge w:val="restart"/>
                  <w:vAlign w:val="center"/>
                </w:tcPr>
                <w:p w14:paraId="24C00C5B">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预测产生量（t/a）</w:t>
                  </w:r>
                </w:p>
              </w:tc>
              <w:tc>
                <w:tcPr>
                  <w:tcW w:w="1557" w:type="pct"/>
                  <w:gridSpan w:val="3"/>
                  <w:vAlign w:val="center"/>
                </w:tcPr>
                <w:p w14:paraId="52D763A9">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种类判断*</w:t>
                  </w:r>
                </w:p>
              </w:tc>
            </w:tr>
            <w:tr w14:paraId="4A27C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Merge w:val="continue"/>
                  <w:vAlign w:val="center"/>
                </w:tcPr>
                <w:p w14:paraId="0C9BE343">
                  <w:pPr>
                    <w:jc w:val="center"/>
                    <w:rPr>
                      <w:rFonts w:hint="default" w:ascii="Times New Roman" w:hAnsi="Times New Roman" w:eastAsia="仿宋" w:cs="Times New Roman"/>
                      <w:b/>
                      <w:color w:val="auto"/>
                      <w:sz w:val="21"/>
                      <w:szCs w:val="21"/>
                    </w:rPr>
                  </w:pPr>
                </w:p>
              </w:tc>
              <w:tc>
                <w:tcPr>
                  <w:tcW w:w="890" w:type="pct"/>
                  <w:vMerge w:val="continue"/>
                  <w:vAlign w:val="center"/>
                </w:tcPr>
                <w:p w14:paraId="4BD38D90">
                  <w:pPr>
                    <w:jc w:val="center"/>
                    <w:rPr>
                      <w:rFonts w:hint="default" w:ascii="Times New Roman" w:hAnsi="Times New Roman" w:eastAsia="仿宋" w:cs="Times New Roman"/>
                      <w:b/>
                      <w:color w:val="auto"/>
                      <w:sz w:val="21"/>
                      <w:szCs w:val="21"/>
                    </w:rPr>
                  </w:pPr>
                </w:p>
              </w:tc>
              <w:tc>
                <w:tcPr>
                  <w:tcW w:w="518" w:type="pct"/>
                  <w:vMerge w:val="continue"/>
                  <w:vAlign w:val="center"/>
                </w:tcPr>
                <w:p w14:paraId="27964489">
                  <w:pPr>
                    <w:jc w:val="center"/>
                    <w:rPr>
                      <w:rFonts w:hint="default" w:ascii="Times New Roman" w:hAnsi="Times New Roman" w:eastAsia="仿宋" w:cs="Times New Roman"/>
                      <w:b/>
                      <w:color w:val="auto"/>
                      <w:sz w:val="21"/>
                      <w:szCs w:val="21"/>
                    </w:rPr>
                  </w:pPr>
                </w:p>
              </w:tc>
              <w:tc>
                <w:tcPr>
                  <w:tcW w:w="392" w:type="pct"/>
                  <w:vMerge w:val="continue"/>
                  <w:vAlign w:val="center"/>
                </w:tcPr>
                <w:p w14:paraId="0E63C6DF">
                  <w:pPr>
                    <w:jc w:val="center"/>
                    <w:rPr>
                      <w:rFonts w:hint="default" w:ascii="Times New Roman" w:hAnsi="Times New Roman" w:eastAsia="仿宋" w:cs="Times New Roman"/>
                      <w:b/>
                      <w:color w:val="auto"/>
                      <w:sz w:val="21"/>
                      <w:szCs w:val="21"/>
                    </w:rPr>
                  </w:pPr>
                </w:p>
              </w:tc>
              <w:tc>
                <w:tcPr>
                  <w:tcW w:w="778" w:type="pct"/>
                  <w:vMerge w:val="continue"/>
                  <w:vAlign w:val="center"/>
                </w:tcPr>
                <w:p w14:paraId="7012D618">
                  <w:pPr>
                    <w:jc w:val="center"/>
                    <w:rPr>
                      <w:rFonts w:hint="default" w:ascii="Times New Roman" w:hAnsi="Times New Roman" w:eastAsia="仿宋" w:cs="Times New Roman"/>
                      <w:b/>
                      <w:color w:val="auto"/>
                      <w:sz w:val="21"/>
                      <w:szCs w:val="21"/>
                    </w:rPr>
                  </w:pPr>
                </w:p>
              </w:tc>
              <w:tc>
                <w:tcPr>
                  <w:tcW w:w="590" w:type="pct"/>
                  <w:vMerge w:val="continue"/>
                  <w:vAlign w:val="center"/>
                </w:tcPr>
                <w:p w14:paraId="2EFD27B5">
                  <w:pPr>
                    <w:jc w:val="center"/>
                    <w:rPr>
                      <w:rFonts w:hint="default" w:ascii="Times New Roman" w:hAnsi="Times New Roman" w:eastAsia="仿宋" w:cs="Times New Roman"/>
                      <w:b/>
                      <w:color w:val="auto"/>
                      <w:sz w:val="21"/>
                      <w:szCs w:val="21"/>
                    </w:rPr>
                  </w:pPr>
                </w:p>
              </w:tc>
              <w:tc>
                <w:tcPr>
                  <w:tcW w:w="507" w:type="pct"/>
                  <w:vAlign w:val="center"/>
                </w:tcPr>
                <w:p w14:paraId="2597CBA1">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固体废物</w:t>
                  </w:r>
                </w:p>
              </w:tc>
              <w:tc>
                <w:tcPr>
                  <w:tcW w:w="405" w:type="pct"/>
                  <w:vAlign w:val="center"/>
                </w:tcPr>
                <w:p w14:paraId="2D0DC11D">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副产品</w:t>
                  </w:r>
                </w:p>
              </w:tc>
              <w:tc>
                <w:tcPr>
                  <w:tcW w:w="645" w:type="pct"/>
                  <w:vAlign w:val="center"/>
                </w:tcPr>
                <w:p w14:paraId="56940E1A">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判定依据</w:t>
                  </w:r>
                </w:p>
              </w:tc>
            </w:tr>
            <w:tr w14:paraId="059B0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Align w:val="center"/>
                </w:tcPr>
                <w:p w14:paraId="755A6ED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890" w:type="pct"/>
                  <w:vAlign w:val="center"/>
                </w:tcPr>
                <w:p w14:paraId="54839CD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实验室废液</w:t>
                  </w:r>
                </w:p>
              </w:tc>
              <w:tc>
                <w:tcPr>
                  <w:tcW w:w="518" w:type="pct"/>
                  <w:vAlign w:val="center"/>
                </w:tcPr>
                <w:p w14:paraId="0539509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w:t>
                  </w:r>
                </w:p>
              </w:tc>
              <w:tc>
                <w:tcPr>
                  <w:tcW w:w="392" w:type="pct"/>
                  <w:vAlign w:val="center"/>
                </w:tcPr>
                <w:p w14:paraId="1E42A35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液态</w:t>
                  </w:r>
                </w:p>
              </w:tc>
              <w:tc>
                <w:tcPr>
                  <w:tcW w:w="778" w:type="pct"/>
                  <w:vAlign w:val="center"/>
                </w:tcPr>
                <w:p w14:paraId="09E165D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盐酸、氢氧化钠、酒石酸、清洗剂等</w:t>
                  </w:r>
                </w:p>
              </w:tc>
              <w:tc>
                <w:tcPr>
                  <w:tcW w:w="590" w:type="pct"/>
                  <w:vAlign w:val="center"/>
                </w:tcPr>
                <w:p w14:paraId="0F4119E9">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2.4</w:t>
                  </w:r>
                </w:p>
              </w:tc>
              <w:tc>
                <w:tcPr>
                  <w:tcW w:w="507" w:type="pct"/>
                  <w:vAlign w:val="center"/>
                </w:tcPr>
                <w:p w14:paraId="20AE1A7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405" w:type="pct"/>
                  <w:vAlign w:val="center"/>
                </w:tcPr>
                <w:p w14:paraId="435567E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645" w:type="pct"/>
                  <w:vMerge w:val="restart"/>
                  <w:vAlign w:val="center"/>
                </w:tcPr>
                <w:p w14:paraId="7D649991">
                  <w:pPr>
                    <w:wordWrap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《固体废物鉴别标准通则》（GB</w:t>
                  </w:r>
                  <w:r>
                    <w:rPr>
                      <w:rFonts w:hint="eastAsia" w:eastAsia="仿宋" w:cs="Times New Roman"/>
                      <w:color w:val="auto"/>
                      <w:sz w:val="21"/>
                      <w:szCs w:val="21"/>
                      <w:lang w:val="en-US" w:eastAsia="zh-CN"/>
                    </w:rPr>
                    <w:t xml:space="preserve"> </w:t>
                  </w:r>
                  <w:r>
                    <w:rPr>
                      <w:rFonts w:hint="default" w:ascii="Times New Roman" w:hAnsi="Times New Roman" w:eastAsia="仿宋" w:cs="Times New Roman"/>
                      <w:color w:val="auto"/>
                      <w:sz w:val="21"/>
                      <w:szCs w:val="21"/>
                    </w:rPr>
                    <w:t>34330-20</w:t>
                  </w:r>
                  <w:r>
                    <w:rPr>
                      <w:rFonts w:hint="eastAsia" w:eastAsia="仿宋" w:cs="Times New Roman"/>
                      <w:color w:val="auto"/>
                      <w:sz w:val="21"/>
                      <w:szCs w:val="21"/>
                      <w:lang w:val="en-US" w:eastAsia="zh-CN"/>
                    </w:rPr>
                    <w:t>25</w:t>
                  </w:r>
                  <w:r>
                    <w:rPr>
                      <w:rFonts w:hint="default" w:ascii="Times New Roman" w:hAnsi="Times New Roman" w:eastAsia="仿宋" w:cs="Times New Roman"/>
                      <w:color w:val="auto"/>
                      <w:sz w:val="21"/>
                      <w:szCs w:val="21"/>
                    </w:rPr>
                    <w:t>）</w:t>
                  </w:r>
                </w:p>
              </w:tc>
            </w:tr>
            <w:tr w14:paraId="0C51E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Align w:val="center"/>
                </w:tcPr>
                <w:p w14:paraId="7E9FBFA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890" w:type="pct"/>
                  <w:vAlign w:val="center"/>
                </w:tcPr>
                <w:p w14:paraId="635D6D4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废样品</w:t>
                  </w:r>
                </w:p>
              </w:tc>
              <w:tc>
                <w:tcPr>
                  <w:tcW w:w="518" w:type="pct"/>
                  <w:vAlign w:val="center"/>
                </w:tcPr>
                <w:p w14:paraId="347F80E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w:t>
                  </w:r>
                </w:p>
              </w:tc>
              <w:tc>
                <w:tcPr>
                  <w:tcW w:w="392" w:type="pct"/>
                  <w:vAlign w:val="center"/>
                </w:tcPr>
                <w:p w14:paraId="5F1F33C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固态</w:t>
                  </w:r>
                </w:p>
              </w:tc>
              <w:tc>
                <w:tcPr>
                  <w:tcW w:w="778" w:type="pct"/>
                  <w:vAlign w:val="center"/>
                </w:tcPr>
                <w:p w14:paraId="0E91656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rPr>
                    <w:t>片式元器件</w:t>
                  </w:r>
                  <w:r>
                    <w:rPr>
                      <w:rFonts w:hint="eastAsia" w:eastAsia="仿宋" w:cs="Times New Roman"/>
                      <w:color w:val="auto"/>
                      <w:szCs w:val="21"/>
                      <w:lang w:eastAsia="zh-CN"/>
                    </w:rPr>
                    <w:t>、</w:t>
                  </w:r>
                  <w:r>
                    <w:rPr>
                      <w:rFonts w:hint="default" w:ascii="Times New Roman" w:hAnsi="Times New Roman" w:eastAsia="仿宋" w:cs="Times New Roman"/>
                      <w:color w:val="auto"/>
                      <w:sz w:val="21"/>
                      <w:szCs w:val="21"/>
                      <w:lang w:val="en-US" w:eastAsia="zh-CN"/>
                    </w:rPr>
                    <w:t>铜分流器、固化树脂等</w:t>
                  </w:r>
                </w:p>
              </w:tc>
              <w:tc>
                <w:tcPr>
                  <w:tcW w:w="590" w:type="pct"/>
                  <w:vAlign w:val="center"/>
                </w:tcPr>
                <w:p w14:paraId="1CBD8ED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2.1</w:t>
                  </w:r>
                </w:p>
              </w:tc>
              <w:tc>
                <w:tcPr>
                  <w:tcW w:w="507" w:type="pct"/>
                  <w:vAlign w:val="center"/>
                </w:tcPr>
                <w:p w14:paraId="5EFCA84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405" w:type="pct"/>
                  <w:vAlign w:val="center"/>
                </w:tcPr>
                <w:p w14:paraId="49FF5E8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645" w:type="pct"/>
                  <w:vMerge w:val="continue"/>
                  <w:vAlign w:val="center"/>
                </w:tcPr>
                <w:p w14:paraId="73954DE1">
                  <w:pPr>
                    <w:wordWrap w:val="0"/>
                    <w:jc w:val="center"/>
                    <w:rPr>
                      <w:rFonts w:hint="default" w:ascii="Times New Roman" w:hAnsi="Times New Roman" w:eastAsia="仿宋" w:cs="Times New Roman"/>
                      <w:color w:val="auto"/>
                      <w:sz w:val="21"/>
                      <w:szCs w:val="21"/>
                    </w:rPr>
                  </w:pPr>
                </w:p>
              </w:tc>
            </w:tr>
            <w:tr w14:paraId="4820F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Align w:val="center"/>
                </w:tcPr>
                <w:p w14:paraId="1AE1913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890" w:type="pct"/>
                  <w:shd w:val="clear" w:color="auto" w:fill="auto"/>
                  <w:vAlign w:val="center"/>
                </w:tcPr>
                <w:p w14:paraId="2BBCE6E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废包装物</w:t>
                  </w:r>
                </w:p>
              </w:tc>
              <w:tc>
                <w:tcPr>
                  <w:tcW w:w="518" w:type="pct"/>
                  <w:shd w:val="clear" w:color="auto" w:fill="auto"/>
                  <w:vAlign w:val="center"/>
                </w:tcPr>
                <w:p w14:paraId="0D9621D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原辅材料使用</w:t>
                  </w:r>
                </w:p>
              </w:tc>
              <w:tc>
                <w:tcPr>
                  <w:tcW w:w="392" w:type="pct"/>
                  <w:shd w:val="clear" w:color="auto" w:fill="auto"/>
                  <w:vAlign w:val="center"/>
                </w:tcPr>
                <w:p w14:paraId="67DBE37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78" w:type="pct"/>
                  <w:shd w:val="clear" w:color="auto" w:fill="auto"/>
                  <w:vAlign w:val="center"/>
                </w:tcPr>
                <w:p w14:paraId="2F0E509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盐酸、氢氧化钠、酒石酸、清洗剂、塑料等</w:t>
                  </w:r>
                </w:p>
              </w:tc>
              <w:tc>
                <w:tcPr>
                  <w:tcW w:w="590" w:type="pct"/>
                  <w:shd w:val="clear" w:color="auto" w:fill="auto"/>
                  <w:vAlign w:val="center"/>
                </w:tcPr>
                <w:p w14:paraId="3AAE232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0.06</w:t>
                  </w:r>
                </w:p>
              </w:tc>
              <w:tc>
                <w:tcPr>
                  <w:tcW w:w="507" w:type="pct"/>
                  <w:shd w:val="clear" w:color="auto" w:fill="auto"/>
                  <w:vAlign w:val="center"/>
                </w:tcPr>
                <w:p w14:paraId="75D695A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405" w:type="pct"/>
                  <w:shd w:val="clear" w:color="auto" w:fill="auto"/>
                  <w:vAlign w:val="center"/>
                </w:tcPr>
                <w:p w14:paraId="5EC387B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645" w:type="pct"/>
                  <w:vMerge w:val="continue"/>
                  <w:vAlign w:val="center"/>
                </w:tcPr>
                <w:p w14:paraId="4E8468CB">
                  <w:pPr>
                    <w:wordWrap w:val="0"/>
                    <w:jc w:val="center"/>
                    <w:rPr>
                      <w:rFonts w:hint="default" w:ascii="Times New Roman" w:hAnsi="Times New Roman" w:eastAsia="仿宋" w:cs="Times New Roman"/>
                      <w:color w:val="auto"/>
                      <w:sz w:val="21"/>
                      <w:szCs w:val="21"/>
                    </w:rPr>
                  </w:pPr>
                </w:p>
              </w:tc>
            </w:tr>
            <w:tr w14:paraId="789F3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Align w:val="center"/>
                </w:tcPr>
                <w:p w14:paraId="0128E81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890" w:type="pct"/>
                  <w:shd w:val="clear" w:color="auto" w:fill="auto"/>
                  <w:vAlign w:val="center"/>
                </w:tcPr>
                <w:p w14:paraId="00F83D0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废劳保用品及抹布</w:t>
                  </w:r>
                </w:p>
              </w:tc>
              <w:tc>
                <w:tcPr>
                  <w:tcW w:w="518" w:type="pct"/>
                  <w:shd w:val="clear" w:color="auto" w:fill="auto"/>
                  <w:vAlign w:val="center"/>
                </w:tcPr>
                <w:p w14:paraId="0CC39E6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实验</w:t>
                  </w:r>
                </w:p>
              </w:tc>
              <w:tc>
                <w:tcPr>
                  <w:tcW w:w="392" w:type="pct"/>
                  <w:shd w:val="clear" w:color="auto" w:fill="auto"/>
                  <w:vAlign w:val="center"/>
                </w:tcPr>
                <w:p w14:paraId="2D4555E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78" w:type="pct"/>
                  <w:shd w:val="clear" w:color="auto" w:fill="auto"/>
                  <w:vAlign w:val="center"/>
                </w:tcPr>
                <w:p w14:paraId="5AFE67F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乙醇氯化铁、乙醇、棉布</w:t>
                  </w:r>
                </w:p>
              </w:tc>
              <w:tc>
                <w:tcPr>
                  <w:tcW w:w="590" w:type="pct"/>
                  <w:shd w:val="clear" w:color="auto" w:fill="auto"/>
                  <w:vAlign w:val="center"/>
                </w:tcPr>
                <w:p w14:paraId="2965262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0.05</w:t>
                  </w:r>
                </w:p>
              </w:tc>
              <w:tc>
                <w:tcPr>
                  <w:tcW w:w="507" w:type="pct"/>
                  <w:shd w:val="clear" w:color="auto" w:fill="auto"/>
                  <w:vAlign w:val="center"/>
                </w:tcPr>
                <w:p w14:paraId="35DC045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405" w:type="pct"/>
                  <w:shd w:val="clear" w:color="auto" w:fill="auto"/>
                  <w:vAlign w:val="center"/>
                </w:tcPr>
                <w:p w14:paraId="4F751B9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645" w:type="pct"/>
                  <w:vMerge w:val="continue"/>
                  <w:vAlign w:val="center"/>
                </w:tcPr>
                <w:p w14:paraId="746127D7">
                  <w:pPr>
                    <w:wordWrap w:val="0"/>
                    <w:jc w:val="center"/>
                    <w:rPr>
                      <w:rFonts w:hint="default" w:ascii="Times New Roman" w:hAnsi="Times New Roman" w:eastAsia="仿宋" w:cs="Times New Roman"/>
                      <w:color w:val="auto"/>
                      <w:sz w:val="21"/>
                      <w:szCs w:val="21"/>
                    </w:rPr>
                  </w:pPr>
                </w:p>
              </w:tc>
            </w:tr>
            <w:tr w14:paraId="1A8D5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vAlign w:val="center"/>
                </w:tcPr>
                <w:p w14:paraId="66E21DCB">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890" w:type="pct"/>
                  <w:shd w:val="clear" w:color="auto" w:fill="auto"/>
                  <w:vAlign w:val="center"/>
                </w:tcPr>
                <w:p w14:paraId="410EDFF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废活性炭</w:t>
                  </w:r>
                </w:p>
              </w:tc>
              <w:tc>
                <w:tcPr>
                  <w:tcW w:w="518" w:type="pct"/>
                  <w:shd w:val="clear" w:color="auto" w:fill="auto"/>
                  <w:vAlign w:val="center"/>
                </w:tcPr>
                <w:p w14:paraId="6FDA520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废气治理</w:t>
                  </w:r>
                </w:p>
              </w:tc>
              <w:tc>
                <w:tcPr>
                  <w:tcW w:w="392" w:type="pct"/>
                  <w:shd w:val="clear" w:color="auto" w:fill="auto"/>
                  <w:vAlign w:val="center"/>
                </w:tcPr>
                <w:p w14:paraId="4C14E85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78" w:type="pct"/>
                  <w:shd w:val="clear" w:color="auto" w:fill="auto"/>
                  <w:vAlign w:val="center"/>
                </w:tcPr>
                <w:p w14:paraId="5CB8CD6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活性炭、有机废气</w:t>
                  </w:r>
                </w:p>
              </w:tc>
              <w:tc>
                <w:tcPr>
                  <w:tcW w:w="590" w:type="pct"/>
                  <w:shd w:val="clear" w:color="auto" w:fill="auto"/>
                  <w:vAlign w:val="center"/>
                </w:tcPr>
                <w:p w14:paraId="2AB9E00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0.0083</w:t>
                  </w:r>
                </w:p>
              </w:tc>
              <w:tc>
                <w:tcPr>
                  <w:tcW w:w="507" w:type="pct"/>
                  <w:shd w:val="clear" w:color="auto" w:fill="auto"/>
                  <w:vAlign w:val="center"/>
                </w:tcPr>
                <w:p w14:paraId="0283722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405" w:type="pct"/>
                  <w:shd w:val="clear" w:color="auto" w:fill="auto"/>
                  <w:vAlign w:val="center"/>
                </w:tcPr>
                <w:p w14:paraId="4015075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645" w:type="pct"/>
                  <w:vMerge w:val="continue"/>
                  <w:vAlign w:val="center"/>
                </w:tcPr>
                <w:p w14:paraId="494F3014">
                  <w:pPr>
                    <w:wordWrap w:val="0"/>
                    <w:jc w:val="center"/>
                    <w:rPr>
                      <w:rFonts w:hint="default" w:ascii="Times New Roman" w:hAnsi="Times New Roman" w:eastAsia="仿宋" w:cs="Times New Roman"/>
                      <w:color w:val="auto"/>
                      <w:sz w:val="21"/>
                      <w:szCs w:val="21"/>
                    </w:rPr>
                  </w:pPr>
                </w:p>
              </w:tc>
            </w:tr>
            <w:tr w14:paraId="6F086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2" w:type="pct"/>
                  <w:shd w:val="clear" w:color="auto" w:fill="auto"/>
                  <w:vAlign w:val="center"/>
                </w:tcPr>
                <w:p w14:paraId="04CED3F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6</w:t>
                  </w:r>
                </w:p>
              </w:tc>
              <w:tc>
                <w:tcPr>
                  <w:tcW w:w="890" w:type="pct"/>
                  <w:shd w:val="clear" w:color="auto" w:fill="auto"/>
                  <w:vAlign w:val="center"/>
                </w:tcPr>
                <w:p w14:paraId="219906A2">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废过滤材料</w:t>
                  </w:r>
                </w:p>
              </w:tc>
              <w:tc>
                <w:tcPr>
                  <w:tcW w:w="518" w:type="pct"/>
                  <w:shd w:val="clear" w:color="auto" w:fill="auto"/>
                  <w:vAlign w:val="center"/>
                </w:tcPr>
                <w:p w14:paraId="0A728EDA">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制纯水</w:t>
                  </w:r>
                </w:p>
              </w:tc>
              <w:tc>
                <w:tcPr>
                  <w:tcW w:w="392" w:type="pct"/>
                  <w:shd w:val="clear" w:color="auto" w:fill="auto"/>
                  <w:vAlign w:val="center"/>
                </w:tcPr>
                <w:p w14:paraId="44D3887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固态</w:t>
                  </w:r>
                </w:p>
              </w:tc>
              <w:tc>
                <w:tcPr>
                  <w:tcW w:w="778" w:type="pct"/>
                  <w:shd w:val="clear" w:color="auto" w:fill="auto"/>
                  <w:vAlign w:val="center"/>
                </w:tcPr>
                <w:p w14:paraId="1A0C99F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杂质、水</w:t>
                  </w:r>
                </w:p>
              </w:tc>
              <w:tc>
                <w:tcPr>
                  <w:tcW w:w="590" w:type="pct"/>
                  <w:shd w:val="clear" w:color="auto" w:fill="auto"/>
                  <w:vAlign w:val="center"/>
                </w:tcPr>
                <w:p w14:paraId="66ABFF6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0.15</w:t>
                  </w:r>
                </w:p>
              </w:tc>
              <w:tc>
                <w:tcPr>
                  <w:tcW w:w="507" w:type="pct"/>
                  <w:shd w:val="clear" w:color="auto" w:fill="auto"/>
                  <w:vAlign w:val="center"/>
                </w:tcPr>
                <w:p w14:paraId="5757F16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405" w:type="pct"/>
                  <w:shd w:val="clear" w:color="auto" w:fill="auto"/>
                  <w:vAlign w:val="center"/>
                </w:tcPr>
                <w:p w14:paraId="18B4EC3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w:t>
                  </w:r>
                </w:p>
              </w:tc>
              <w:tc>
                <w:tcPr>
                  <w:tcW w:w="645" w:type="pct"/>
                  <w:vMerge w:val="continue"/>
                  <w:vAlign w:val="center"/>
                </w:tcPr>
                <w:p w14:paraId="747B83BB">
                  <w:pPr>
                    <w:wordWrap w:val="0"/>
                    <w:jc w:val="center"/>
                    <w:rPr>
                      <w:rFonts w:hint="default" w:ascii="Times New Roman" w:hAnsi="Times New Roman" w:eastAsia="仿宋" w:cs="Times New Roman"/>
                      <w:color w:val="auto"/>
                      <w:sz w:val="21"/>
                      <w:szCs w:val="21"/>
                    </w:rPr>
                  </w:pPr>
                </w:p>
              </w:tc>
            </w:tr>
          </w:tbl>
          <w:p w14:paraId="4A19D734">
            <w:pPr>
              <w:adjustRightInd w:val="0"/>
              <w:snapToGrid w:val="0"/>
              <w:ind w:firstLine="200" w:firstLineChars="200"/>
              <w:jc w:val="left"/>
              <w:rPr>
                <w:rFonts w:hint="default" w:ascii="Times New Roman" w:hAnsi="Times New Roman" w:eastAsia="仿宋" w:cs="Times New Roman"/>
                <w:bCs/>
                <w:color w:val="auto"/>
                <w:sz w:val="10"/>
                <w:szCs w:val="10"/>
              </w:rPr>
            </w:pPr>
          </w:p>
          <w:p w14:paraId="2ED1F6BD">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3、固体废物产生情况汇总</w:t>
            </w:r>
          </w:p>
          <w:p w14:paraId="27ADE251">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根据《国家危险废物名录》（202</w:t>
            </w:r>
            <w:r>
              <w:rPr>
                <w:rFonts w:hint="default" w:ascii="Times New Roman" w:hAnsi="Times New Roman" w:eastAsia="仿宋" w:cs="Times New Roman"/>
                <w:bCs/>
                <w:color w:val="auto"/>
                <w:sz w:val="24"/>
                <w:lang w:val="en-US" w:eastAsia="zh-CN"/>
              </w:rPr>
              <w:t>5</w:t>
            </w:r>
            <w:r>
              <w:rPr>
                <w:rFonts w:hint="default" w:ascii="Times New Roman" w:hAnsi="Times New Roman" w:eastAsia="仿宋" w:cs="Times New Roman"/>
                <w:bCs/>
                <w:color w:val="auto"/>
                <w:sz w:val="24"/>
              </w:rPr>
              <w:t>年版），判定建设项目固体废物是否属于危险固废。本项目固体废物产生情况汇总见表4-</w:t>
            </w:r>
            <w:r>
              <w:rPr>
                <w:rFonts w:hint="default" w:ascii="Times New Roman" w:hAnsi="Times New Roman" w:eastAsia="仿宋" w:cs="Times New Roman"/>
                <w:bCs/>
                <w:color w:val="auto"/>
                <w:sz w:val="24"/>
                <w:lang w:val="en-US" w:eastAsia="zh-CN"/>
              </w:rPr>
              <w:t>2</w:t>
            </w:r>
            <w:r>
              <w:rPr>
                <w:rFonts w:hint="eastAsia" w:eastAsia="仿宋" w:cs="Times New Roman"/>
                <w:bCs/>
                <w:color w:val="auto"/>
                <w:sz w:val="24"/>
                <w:lang w:val="en-US" w:eastAsia="zh-CN"/>
              </w:rPr>
              <w:t>5</w:t>
            </w:r>
            <w:r>
              <w:rPr>
                <w:rFonts w:hint="default" w:ascii="Times New Roman" w:hAnsi="Times New Roman" w:eastAsia="仿宋" w:cs="Times New Roman"/>
                <w:bCs/>
                <w:color w:val="auto"/>
                <w:sz w:val="24"/>
              </w:rPr>
              <w:t>，危险废物汇总表见表4-</w:t>
            </w:r>
            <w:r>
              <w:rPr>
                <w:rFonts w:hint="default" w:ascii="Times New Roman" w:hAnsi="Times New Roman" w:eastAsia="仿宋" w:cs="Times New Roman"/>
                <w:bCs/>
                <w:color w:val="auto"/>
                <w:sz w:val="24"/>
                <w:lang w:val="en-US" w:eastAsia="zh-CN"/>
              </w:rPr>
              <w:t>2</w:t>
            </w:r>
            <w:r>
              <w:rPr>
                <w:rFonts w:hint="eastAsia" w:eastAsia="仿宋" w:cs="Times New Roman"/>
                <w:bCs/>
                <w:color w:val="auto"/>
                <w:sz w:val="24"/>
                <w:lang w:val="en-US" w:eastAsia="zh-CN"/>
              </w:rPr>
              <w:t>6</w:t>
            </w:r>
            <w:r>
              <w:rPr>
                <w:rFonts w:hint="default" w:ascii="Times New Roman" w:hAnsi="Times New Roman" w:eastAsia="仿宋" w:cs="Times New Roman"/>
                <w:bCs/>
                <w:color w:val="auto"/>
                <w:sz w:val="24"/>
              </w:rPr>
              <w:t>。</w:t>
            </w:r>
          </w:p>
          <w:p w14:paraId="4A815DB5">
            <w:pPr>
              <w:snapToGri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2</w:t>
            </w:r>
            <w:r>
              <w:rPr>
                <w:rFonts w:hint="eastAsia" w:eastAsia="仿宋" w:cs="Times New Roman"/>
                <w:b/>
                <w:color w:val="auto"/>
                <w:sz w:val="24"/>
                <w:lang w:val="en-US" w:eastAsia="zh-CN"/>
              </w:rPr>
              <w:t>5</w:t>
            </w:r>
            <w:r>
              <w:rPr>
                <w:rFonts w:hint="default" w:ascii="Times New Roman" w:hAnsi="Times New Roman" w:eastAsia="仿宋" w:cs="Times New Roman"/>
                <w:b/>
                <w:color w:val="auto"/>
                <w:sz w:val="24"/>
              </w:rPr>
              <w:t xml:space="preserve">  本项目固体废物产生情况汇总表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8"/>
              <w:gridCol w:w="969"/>
              <w:gridCol w:w="1159"/>
              <w:gridCol w:w="705"/>
              <w:gridCol w:w="459"/>
              <w:gridCol w:w="844"/>
              <w:gridCol w:w="719"/>
              <w:gridCol w:w="650"/>
              <w:gridCol w:w="851"/>
              <w:gridCol w:w="994"/>
              <w:gridCol w:w="720"/>
            </w:tblGrid>
            <w:tr w14:paraId="4FFD4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5" w:type="pct"/>
                  <w:vAlign w:val="center"/>
                </w:tcPr>
                <w:p w14:paraId="7731028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序号</w:t>
                  </w:r>
                </w:p>
              </w:tc>
              <w:tc>
                <w:tcPr>
                  <w:tcW w:w="572" w:type="pct"/>
                  <w:vAlign w:val="center"/>
                </w:tcPr>
                <w:p w14:paraId="6D5B83CF">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固废</w:t>
                  </w:r>
                </w:p>
                <w:p w14:paraId="7760067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名称</w:t>
                  </w:r>
                </w:p>
              </w:tc>
              <w:tc>
                <w:tcPr>
                  <w:tcW w:w="684" w:type="pct"/>
                  <w:vAlign w:val="center"/>
                </w:tcPr>
                <w:p w14:paraId="18F379E2">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属性（危险废物、一般工业固体废物或待鉴别）</w:t>
                  </w:r>
                </w:p>
              </w:tc>
              <w:tc>
                <w:tcPr>
                  <w:tcW w:w="416" w:type="pct"/>
                  <w:vAlign w:val="center"/>
                </w:tcPr>
                <w:p w14:paraId="3CD1D92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产生</w:t>
                  </w:r>
                </w:p>
                <w:p w14:paraId="7B98CBA2">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来源</w:t>
                  </w:r>
                </w:p>
              </w:tc>
              <w:tc>
                <w:tcPr>
                  <w:tcW w:w="271" w:type="pct"/>
                  <w:vAlign w:val="center"/>
                </w:tcPr>
                <w:p w14:paraId="38FE1EA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形态</w:t>
                  </w:r>
                </w:p>
              </w:tc>
              <w:tc>
                <w:tcPr>
                  <w:tcW w:w="498" w:type="pct"/>
                  <w:vAlign w:val="center"/>
                </w:tcPr>
                <w:p w14:paraId="2F6DD67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主要</w:t>
                  </w:r>
                </w:p>
                <w:p w14:paraId="68E9C68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成分</w:t>
                  </w:r>
                </w:p>
              </w:tc>
              <w:tc>
                <w:tcPr>
                  <w:tcW w:w="424" w:type="pct"/>
                  <w:vAlign w:val="center"/>
                </w:tcPr>
                <w:p w14:paraId="63831918">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危险特性鉴别方法</w:t>
                  </w:r>
                </w:p>
              </w:tc>
              <w:tc>
                <w:tcPr>
                  <w:tcW w:w="383" w:type="pct"/>
                  <w:vAlign w:val="center"/>
                </w:tcPr>
                <w:p w14:paraId="3BEB1D4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w:t>
                  </w:r>
                </w:p>
                <w:p w14:paraId="53B6B1C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特性</w:t>
                  </w:r>
                </w:p>
              </w:tc>
              <w:tc>
                <w:tcPr>
                  <w:tcW w:w="502" w:type="pct"/>
                  <w:vAlign w:val="center"/>
                </w:tcPr>
                <w:p w14:paraId="77F88B73">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w:t>
                  </w:r>
                </w:p>
                <w:p w14:paraId="2EFB80A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类别</w:t>
                  </w:r>
                </w:p>
              </w:tc>
              <w:tc>
                <w:tcPr>
                  <w:tcW w:w="586" w:type="pct"/>
                  <w:vAlign w:val="center"/>
                </w:tcPr>
                <w:p w14:paraId="182A7EA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w:t>
                  </w:r>
                </w:p>
                <w:p w14:paraId="2D39EB93">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代码</w:t>
                  </w:r>
                </w:p>
              </w:tc>
              <w:tc>
                <w:tcPr>
                  <w:tcW w:w="425" w:type="pct"/>
                  <w:vAlign w:val="center"/>
                </w:tcPr>
                <w:p w14:paraId="70D19110">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估算</w:t>
                  </w:r>
                </w:p>
                <w:p w14:paraId="12C0DD7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产生量（t/a）</w:t>
                  </w:r>
                </w:p>
              </w:tc>
            </w:tr>
            <w:tr w14:paraId="4F284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235" w:type="pct"/>
                  <w:vAlign w:val="center"/>
                </w:tcPr>
                <w:p w14:paraId="332F6098">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1</w:t>
                  </w:r>
                </w:p>
              </w:tc>
              <w:tc>
                <w:tcPr>
                  <w:tcW w:w="572" w:type="pct"/>
                  <w:vAlign w:val="center"/>
                </w:tcPr>
                <w:p w14:paraId="34A54935">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废样品</w:t>
                  </w:r>
                </w:p>
              </w:tc>
              <w:tc>
                <w:tcPr>
                  <w:tcW w:w="684" w:type="pct"/>
                  <w:vMerge w:val="restart"/>
                  <w:vAlign w:val="center"/>
                </w:tcPr>
                <w:p w14:paraId="68F87B87">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一般工业固体废物</w:t>
                  </w:r>
                </w:p>
              </w:tc>
              <w:tc>
                <w:tcPr>
                  <w:tcW w:w="416" w:type="pct"/>
                  <w:vAlign w:val="center"/>
                </w:tcPr>
                <w:p w14:paraId="1D75B05E">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实验</w:t>
                  </w:r>
                </w:p>
              </w:tc>
              <w:tc>
                <w:tcPr>
                  <w:tcW w:w="271" w:type="pct"/>
                  <w:vAlign w:val="center"/>
                </w:tcPr>
                <w:p w14:paraId="5B2D4945">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固态</w:t>
                  </w:r>
                </w:p>
              </w:tc>
              <w:tc>
                <w:tcPr>
                  <w:tcW w:w="498" w:type="pct"/>
                  <w:vAlign w:val="center"/>
                </w:tcPr>
                <w:p w14:paraId="4CA12664">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rPr>
                    <w:t>片式元器件</w:t>
                  </w:r>
                  <w:r>
                    <w:rPr>
                      <w:rFonts w:hint="eastAsia" w:eastAsia="仿宋" w:cs="Times New Roman"/>
                      <w:color w:val="auto"/>
                      <w:sz w:val="18"/>
                      <w:szCs w:val="18"/>
                      <w:lang w:eastAsia="zh-CN"/>
                    </w:rPr>
                    <w:t>、</w:t>
                  </w:r>
                  <w:r>
                    <w:rPr>
                      <w:rFonts w:hint="default" w:ascii="Times New Roman" w:hAnsi="Times New Roman" w:eastAsia="仿宋" w:cs="Times New Roman"/>
                      <w:color w:val="auto"/>
                      <w:sz w:val="18"/>
                      <w:szCs w:val="18"/>
                      <w:lang w:val="en-US" w:eastAsia="zh-CN"/>
                    </w:rPr>
                    <w:t>铜分流器、固化树脂等</w:t>
                  </w:r>
                </w:p>
              </w:tc>
              <w:tc>
                <w:tcPr>
                  <w:tcW w:w="424" w:type="pct"/>
                  <w:vMerge w:val="restart"/>
                  <w:vAlign w:val="center"/>
                </w:tcPr>
                <w:p w14:paraId="500CE213">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根据《国家危险废物名录》（2025年版）进行鉴别，不需要进一步开展危险废物特性鉴别</w:t>
                  </w:r>
                </w:p>
              </w:tc>
              <w:tc>
                <w:tcPr>
                  <w:tcW w:w="383" w:type="pct"/>
                  <w:vAlign w:val="center"/>
                </w:tcPr>
                <w:p w14:paraId="65EC0213">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w:t>
                  </w:r>
                </w:p>
              </w:tc>
              <w:tc>
                <w:tcPr>
                  <w:tcW w:w="502" w:type="pct"/>
                  <w:vAlign w:val="center"/>
                </w:tcPr>
                <w:p w14:paraId="29F966FB">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SW17可再生类废物</w:t>
                  </w:r>
                </w:p>
              </w:tc>
              <w:tc>
                <w:tcPr>
                  <w:tcW w:w="586" w:type="pct"/>
                  <w:vAlign w:val="center"/>
                </w:tcPr>
                <w:p w14:paraId="2B17F183">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900-099-S17</w:t>
                  </w:r>
                </w:p>
              </w:tc>
              <w:tc>
                <w:tcPr>
                  <w:tcW w:w="425" w:type="pct"/>
                  <w:vAlign w:val="center"/>
                </w:tcPr>
                <w:p w14:paraId="3CDB6D80">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2.1</w:t>
                  </w:r>
                </w:p>
              </w:tc>
            </w:tr>
            <w:tr w14:paraId="5E5B6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235" w:type="pct"/>
                  <w:shd w:val="clear" w:color="auto" w:fill="auto"/>
                  <w:vAlign w:val="center"/>
                </w:tcPr>
                <w:p w14:paraId="7A288D47">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2</w:t>
                  </w:r>
                </w:p>
              </w:tc>
              <w:tc>
                <w:tcPr>
                  <w:tcW w:w="572" w:type="pct"/>
                  <w:vAlign w:val="center"/>
                </w:tcPr>
                <w:p w14:paraId="2441601E">
                  <w:pPr>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废过滤材料</w:t>
                  </w:r>
                </w:p>
              </w:tc>
              <w:tc>
                <w:tcPr>
                  <w:tcW w:w="684" w:type="pct"/>
                  <w:vMerge w:val="continue"/>
                  <w:vAlign w:val="center"/>
                </w:tcPr>
                <w:p w14:paraId="049CE498">
                  <w:pPr>
                    <w:jc w:val="center"/>
                    <w:rPr>
                      <w:rFonts w:hint="default" w:ascii="Times New Roman" w:hAnsi="Times New Roman" w:eastAsia="仿宋" w:cs="Times New Roman"/>
                      <w:color w:val="auto"/>
                      <w:sz w:val="18"/>
                      <w:szCs w:val="18"/>
                      <w:lang w:val="en-US" w:eastAsia="zh-CN"/>
                    </w:rPr>
                  </w:pPr>
                </w:p>
              </w:tc>
              <w:tc>
                <w:tcPr>
                  <w:tcW w:w="416" w:type="pct"/>
                  <w:vAlign w:val="center"/>
                </w:tcPr>
                <w:p w14:paraId="79EC4A7B">
                  <w:pPr>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制纯水</w:t>
                  </w:r>
                </w:p>
              </w:tc>
              <w:tc>
                <w:tcPr>
                  <w:tcW w:w="271" w:type="pct"/>
                  <w:vAlign w:val="center"/>
                </w:tcPr>
                <w:p w14:paraId="7246EF1D">
                  <w:pPr>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固态</w:t>
                  </w:r>
                </w:p>
              </w:tc>
              <w:tc>
                <w:tcPr>
                  <w:tcW w:w="498" w:type="pct"/>
                  <w:vAlign w:val="center"/>
                </w:tcPr>
                <w:p w14:paraId="70E00D2A">
                  <w:pPr>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杂质、水</w:t>
                  </w:r>
                </w:p>
              </w:tc>
              <w:tc>
                <w:tcPr>
                  <w:tcW w:w="424" w:type="pct"/>
                  <w:vMerge w:val="continue"/>
                  <w:vAlign w:val="center"/>
                </w:tcPr>
                <w:p w14:paraId="1520B7D2">
                  <w:pPr>
                    <w:jc w:val="center"/>
                    <w:rPr>
                      <w:rFonts w:hint="default" w:ascii="Times New Roman" w:hAnsi="Times New Roman" w:eastAsia="仿宋" w:cs="Times New Roman"/>
                      <w:color w:val="auto"/>
                      <w:sz w:val="18"/>
                      <w:szCs w:val="18"/>
                      <w:lang w:val="en-US" w:eastAsia="zh-CN"/>
                    </w:rPr>
                  </w:pPr>
                </w:p>
              </w:tc>
              <w:tc>
                <w:tcPr>
                  <w:tcW w:w="383" w:type="pct"/>
                  <w:vAlign w:val="center"/>
                </w:tcPr>
                <w:p w14:paraId="60321E1A">
                  <w:pPr>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w:t>
                  </w:r>
                </w:p>
              </w:tc>
              <w:tc>
                <w:tcPr>
                  <w:tcW w:w="502" w:type="pct"/>
                  <w:vAlign w:val="center"/>
                </w:tcPr>
                <w:p w14:paraId="755F57F1">
                  <w:pPr>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SW59其他工业固体废物</w:t>
                  </w:r>
                </w:p>
              </w:tc>
              <w:tc>
                <w:tcPr>
                  <w:tcW w:w="586" w:type="pct"/>
                  <w:vAlign w:val="center"/>
                </w:tcPr>
                <w:p w14:paraId="46282DAE">
                  <w:pPr>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900-009-S59</w:t>
                  </w:r>
                </w:p>
              </w:tc>
              <w:tc>
                <w:tcPr>
                  <w:tcW w:w="425" w:type="pct"/>
                  <w:vAlign w:val="center"/>
                </w:tcPr>
                <w:p w14:paraId="6676665E">
                  <w:pPr>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0.15</w:t>
                  </w:r>
                </w:p>
              </w:tc>
            </w:tr>
            <w:tr w14:paraId="4B899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235" w:type="pct"/>
                  <w:shd w:val="clear" w:color="auto" w:fill="auto"/>
                  <w:vAlign w:val="center"/>
                </w:tcPr>
                <w:p w14:paraId="2D0136B4">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3</w:t>
                  </w:r>
                </w:p>
              </w:tc>
              <w:tc>
                <w:tcPr>
                  <w:tcW w:w="572" w:type="pct"/>
                  <w:vAlign w:val="center"/>
                </w:tcPr>
                <w:p w14:paraId="21B6E5B8">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实验室废液</w:t>
                  </w:r>
                </w:p>
              </w:tc>
              <w:tc>
                <w:tcPr>
                  <w:tcW w:w="684" w:type="pct"/>
                  <w:vMerge w:val="restart"/>
                  <w:vAlign w:val="center"/>
                </w:tcPr>
                <w:p w14:paraId="2DB8C0C2">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危险废物</w:t>
                  </w:r>
                </w:p>
                <w:p w14:paraId="56229E72">
                  <w:pPr>
                    <w:jc w:val="center"/>
                    <w:rPr>
                      <w:rFonts w:hint="default" w:ascii="Times New Roman" w:hAnsi="Times New Roman" w:eastAsia="仿宋" w:cs="Times New Roman"/>
                      <w:color w:val="auto"/>
                      <w:sz w:val="18"/>
                      <w:szCs w:val="18"/>
                    </w:rPr>
                  </w:pPr>
                </w:p>
              </w:tc>
              <w:tc>
                <w:tcPr>
                  <w:tcW w:w="416" w:type="pct"/>
                  <w:vAlign w:val="center"/>
                </w:tcPr>
                <w:p w14:paraId="2AC61D99">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实验</w:t>
                  </w:r>
                </w:p>
              </w:tc>
              <w:tc>
                <w:tcPr>
                  <w:tcW w:w="271" w:type="pct"/>
                  <w:vAlign w:val="center"/>
                </w:tcPr>
                <w:p w14:paraId="72AAC3C3">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液态</w:t>
                  </w:r>
                </w:p>
              </w:tc>
              <w:tc>
                <w:tcPr>
                  <w:tcW w:w="498" w:type="pct"/>
                  <w:vAlign w:val="center"/>
                </w:tcPr>
                <w:p w14:paraId="2799400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盐酸、氢氧化钠、酒石酸、清洗剂等</w:t>
                  </w:r>
                </w:p>
              </w:tc>
              <w:tc>
                <w:tcPr>
                  <w:tcW w:w="424" w:type="pct"/>
                  <w:vMerge w:val="continue"/>
                  <w:vAlign w:val="center"/>
                </w:tcPr>
                <w:p w14:paraId="078CF77C">
                  <w:pPr>
                    <w:jc w:val="center"/>
                    <w:rPr>
                      <w:rFonts w:hint="default" w:ascii="Times New Roman" w:hAnsi="Times New Roman" w:eastAsia="仿宋" w:cs="Times New Roman"/>
                      <w:color w:val="auto"/>
                      <w:sz w:val="18"/>
                      <w:szCs w:val="18"/>
                    </w:rPr>
                  </w:pPr>
                </w:p>
              </w:tc>
              <w:tc>
                <w:tcPr>
                  <w:tcW w:w="383" w:type="pct"/>
                  <w:vAlign w:val="center"/>
                </w:tcPr>
                <w:p w14:paraId="27B95E12">
                  <w:pPr>
                    <w:adjustRightInd w:val="0"/>
                    <w:snapToGrid w:val="0"/>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T/C/I/R</w:t>
                  </w:r>
                </w:p>
              </w:tc>
              <w:tc>
                <w:tcPr>
                  <w:tcW w:w="502" w:type="pct"/>
                  <w:vAlign w:val="center"/>
                </w:tcPr>
                <w:p w14:paraId="0E9AC19F">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5B715DE5">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其他废物</w:t>
                  </w:r>
                </w:p>
              </w:tc>
              <w:tc>
                <w:tcPr>
                  <w:tcW w:w="586" w:type="pct"/>
                  <w:vAlign w:val="center"/>
                </w:tcPr>
                <w:p w14:paraId="5894FE33">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900-047-49</w:t>
                  </w:r>
                </w:p>
              </w:tc>
              <w:tc>
                <w:tcPr>
                  <w:tcW w:w="425" w:type="pct"/>
                  <w:vAlign w:val="center"/>
                </w:tcPr>
                <w:p w14:paraId="77792933">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2.</w:t>
                  </w:r>
                  <w:r>
                    <w:rPr>
                      <w:rFonts w:hint="eastAsia" w:eastAsia="仿宋" w:cs="Times New Roman"/>
                      <w:color w:val="auto"/>
                      <w:sz w:val="18"/>
                      <w:szCs w:val="18"/>
                      <w:lang w:val="en-US" w:eastAsia="zh-CN"/>
                    </w:rPr>
                    <w:t>4</w:t>
                  </w:r>
                </w:p>
              </w:tc>
            </w:tr>
            <w:tr w14:paraId="01598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5" w:type="pct"/>
                  <w:vAlign w:val="center"/>
                </w:tcPr>
                <w:p w14:paraId="0D9D1F56">
                  <w:pPr>
                    <w:jc w:val="center"/>
                    <w:rPr>
                      <w:rFonts w:hint="eastAsia"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4</w:t>
                  </w:r>
                </w:p>
              </w:tc>
              <w:tc>
                <w:tcPr>
                  <w:tcW w:w="572" w:type="pct"/>
                  <w:shd w:val="clear" w:color="auto" w:fill="auto"/>
                  <w:vAlign w:val="center"/>
                </w:tcPr>
                <w:p w14:paraId="477D6309">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废包装物</w:t>
                  </w:r>
                </w:p>
              </w:tc>
              <w:tc>
                <w:tcPr>
                  <w:tcW w:w="684" w:type="pct"/>
                  <w:vMerge w:val="continue"/>
                  <w:shd w:val="clear" w:color="auto" w:fill="auto"/>
                  <w:vAlign w:val="center"/>
                </w:tcPr>
                <w:p w14:paraId="33184471">
                  <w:pPr>
                    <w:jc w:val="center"/>
                    <w:rPr>
                      <w:rFonts w:hint="default" w:ascii="Times New Roman" w:hAnsi="Times New Roman" w:eastAsia="仿宋" w:cs="Times New Roman"/>
                      <w:color w:val="auto"/>
                      <w:kern w:val="2"/>
                      <w:sz w:val="18"/>
                      <w:szCs w:val="18"/>
                      <w:lang w:val="en-US" w:eastAsia="zh-CN" w:bidi="ar-SA"/>
                    </w:rPr>
                  </w:pPr>
                </w:p>
              </w:tc>
              <w:tc>
                <w:tcPr>
                  <w:tcW w:w="416" w:type="pct"/>
                  <w:shd w:val="clear" w:color="auto" w:fill="auto"/>
                  <w:vAlign w:val="center"/>
                </w:tcPr>
                <w:p w14:paraId="6701C73F">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原辅材料使用</w:t>
                  </w:r>
                </w:p>
              </w:tc>
              <w:tc>
                <w:tcPr>
                  <w:tcW w:w="271" w:type="pct"/>
                  <w:shd w:val="clear" w:color="auto" w:fill="auto"/>
                  <w:vAlign w:val="center"/>
                </w:tcPr>
                <w:p w14:paraId="2A3EC153">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固态</w:t>
                  </w:r>
                </w:p>
              </w:tc>
              <w:tc>
                <w:tcPr>
                  <w:tcW w:w="498" w:type="pct"/>
                  <w:shd w:val="clear" w:color="auto" w:fill="auto"/>
                  <w:vAlign w:val="center"/>
                </w:tcPr>
                <w:p w14:paraId="445C7427">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盐酸、氢氧化钠、酒石酸、清洗剂、塑料等</w:t>
                  </w:r>
                </w:p>
              </w:tc>
              <w:tc>
                <w:tcPr>
                  <w:tcW w:w="424" w:type="pct"/>
                  <w:vMerge w:val="continue"/>
                  <w:shd w:val="clear" w:color="auto" w:fill="auto"/>
                  <w:vAlign w:val="center"/>
                </w:tcPr>
                <w:p w14:paraId="537B4909">
                  <w:pPr>
                    <w:jc w:val="center"/>
                    <w:rPr>
                      <w:rFonts w:hint="default" w:ascii="Times New Roman" w:hAnsi="Times New Roman" w:eastAsia="仿宋" w:cs="Times New Roman"/>
                      <w:color w:val="auto"/>
                      <w:kern w:val="2"/>
                      <w:sz w:val="18"/>
                      <w:szCs w:val="18"/>
                      <w:lang w:val="en-US" w:eastAsia="zh-CN" w:bidi="ar-SA"/>
                    </w:rPr>
                  </w:pPr>
                </w:p>
              </w:tc>
              <w:tc>
                <w:tcPr>
                  <w:tcW w:w="650" w:type="dxa"/>
                  <w:shd w:val="clear" w:color="auto" w:fill="auto"/>
                  <w:vAlign w:val="center"/>
                </w:tcPr>
                <w:p w14:paraId="791BCEB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T/C/I/R</w:t>
                  </w:r>
                </w:p>
              </w:tc>
              <w:tc>
                <w:tcPr>
                  <w:tcW w:w="851" w:type="dxa"/>
                  <w:shd w:val="clear" w:color="auto" w:fill="auto"/>
                  <w:vAlign w:val="center"/>
                </w:tcPr>
                <w:p w14:paraId="7EEC68EE">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60EBAE33">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994" w:type="dxa"/>
                  <w:shd w:val="clear" w:color="auto" w:fill="auto"/>
                  <w:vAlign w:val="center"/>
                </w:tcPr>
                <w:p w14:paraId="0C59AC20">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425" w:type="pct"/>
                  <w:shd w:val="clear" w:color="auto" w:fill="auto"/>
                  <w:vAlign w:val="center"/>
                </w:tcPr>
                <w:p w14:paraId="6B604A82">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0.06</w:t>
                  </w:r>
                </w:p>
              </w:tc>
            </w:tr>
            <w:tr w14:paraId="1F667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5" w:type="pct"/>
                  <w:vAlign w:val="center"/>
                </w:tcPr>
                <w:p w14:paraId="3F59E935">
                  <w:pPr>
                    <w:jc w:val="center"/>
                    <w:rPr>
                      <w:rFonts w:hint="eastAsia" w:ascii="Times New Roman" w:hAnsi="Times New Roman" w:eastAsia="仿宋" w:cs="Times New Roman"/>
                      <w:color w:val="auto"/>
                      <w:sz w:val="18"/>
                      <w:szCs w:val="18"/>
                      <w:lang w:eastAsia="zh-CN"/>
                    </w:rPr>
                  </w:pPr>
                  <w:r>
                    <w:rPr>
                      <w:rFonts w:hint="eastAsia" w:eastAsia="仿宋" w:cs="Times New Roman"/>
                      <w:color w:val="auto"/>
                      <w:sz w:val="18"/>
                      <w:szCs w:val="18"/>
                      <w:lang w:val="en-US" w:eastAsia="zh-CN"/>
                    </w:rPr>
                    <w:t>5</w:t>
                  </w:r>
                </w:p>
              </w:tc>
              <w:tc>
                <w:tcPr>
                  <w:tcW w:w="572" w:type="pct"/>
                  <w:shd w:val="clear" w:color="auto" w:fill="auto"/>
                  <w:vAlign w:val="center"/>
                </w:tcPr>
                <w:p w14:paraId="2E2BDB4B">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废劳保用品及抹布</w:t>
                  </w:r>
                </w:p>
              </w:tc>
              <w:tc>
                <w:tcPr>
                  <w:tcW w:w="684" w:type="pct"/>
                  <w:vMerge w:val="continue"/>
                  <w:shd w:val="clear" w:color="auto" w:fill="auto"/>
                  <w:vAlign w:val="center"/>
                </w:tcPr>
                <w:p w14:paraId="72429CBE">
                  <w:pPr>
                    <w:jc w:val="center"/>
                    <w:rPr>
                      <w:rFonts w:hint="default" w:ascii="Times New Roman" w:hAnsi="Times New Roman" w:eastAsia="仿宋" w:cs="Times New Roman"/>
                      <w:color w:val="auto"/>
                      <w:sz w:val="18"/>
                      <w:szCs w:val="18"/>
                    </w:rPr>
                  </w:pPr>
                </w:p>
              </w:tc>
              <w:tc>
                <w:tcPr>
                  <w:tcW w:w="416" w:type="pct"/>
                  <w:shd w:val="clear" w:color="auto" w:fill="auto"/>
                  <w:vAlign w:val="center"/>
                </w:tcPr>
                <w:p w14:paraId="738D6229">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实验</w:t>
                  </w:r>
                </w:p>
              </w:tc>
              <w:tc>
                <w:tcPr>
                  <w:tcW w:w="271" w:type="pct"/>
                  <w:shd w:val="clear" w:color="auto" w:fill="auto"/>
                  <w:vAlign w:val="center"/>
                </w:tcPr>
                <w:p w14:paraId="76DEA32F">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固态</w:t>
                  </w:r>
                </w:p>
              </w:tc>
              <w:tc>
                <w:tcPr>
                  <w:tcW w:w="498" w:type="pct"/>
                  <w:shd w:val="clear" w:color="auto" w:fill="auto"/>
                  <w:vAlign w:val="center"/>
                </w:tcPr>
                <w:p w14:paraId="0DE83F4F">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乙醇氯化铁、乙醇、棉布</w:t>
                  </w:r>
                </w:p>
              </w:tc>
              <w:tc>
                <w:tcPr>
                  <w:tcW w:w="424" w:type="pct"/>
                  <w:vMerge w:val="continue"/>
                  <w:shd w:val="clear" w:color="auto" w:fill="auto"/>
                  <w:vAlign w:val="center"/>
                </w:tcPr>
                <w:p w14:paraId="1E001497">
                  <w:pPr>
                    <w:jc w:val="center"/>
                    <w:rPr>
                      <w:rFonts w:hint="default" w:ascii="Times New Roman" w:hAnsi="Times New Roman" w:eastAsia="仿宋" w:cs="Times New Roman"/>
                      <w:color w:val="auto"/>
                      <w:sz w:val="18"/>
                      <w:szCs w:val="18"/>
                    </w:rPr>
                  </w:pPr>
                </w:p>
              </w:tc>
              <w:tc>
                <w:tcPr>
                  <w:tcW w:w="650" w:type="dxa"/>
                  <w:shd w:val="clear" w:color="auto" w:fill="auto"/>
                  <w:vAlign w:val="center"/>
                </w:tcPr>
                <w:p w14:paraId="3A7A84AD">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T/C/I/R</w:t>
                  </w:r>
                </w:p>
              </w:tc>
              <w:tc>
                <w:tcPr>
                  <w:tcW w:w="851" w:type="dxa"/>
                  <w:shd w:val="clear" w:color="auto" w:fill="auto"/>
                  <w:vAlign w:val="center"/>
                </w:tcPr>
                <w:p w14:paraId="3EB3A0D9">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53BE2C67">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994" w:type="dxa"/>
                  <w:shd w:val="clear" w:color="auto" w:fill="auto"/>
                  <w:vAlign w:val="center"/>
                </w:tcPr>
                <w:p w14:paraId="50F5A57D">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425" w:type="pct"/>
                  <w:shd w:val="clear" w:color="auto" w:fill="auto"/>
                  <w:vAlign w:val="center"/>
                </w:tcPr>
                <w:p w14:paraId="239D2C74">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0.05</w:t>
                  </w:r>
                </w:p>
              </w:tc>
            </w:tr>
            <w:tr w14:paraId="61773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5" w:type="pct"/>
                  <w:vAlign w:val="center"/>
                </w:tcPr>
                <w:p w14:paraId="415F1300">
                  <w:pPr>
                    <w:jc w:val="center"/>
                    <w:rPr>
                      <w:rFonts w:hint="eastAsia" w:ascii="Times New Roman" w:hAnsi="Times New Roman" w:eastAsia="仿宋" w:cs="Times New Roman"/>
                      <w:color w:val="auto"/>
                      <w:sz w:val="18"/>
                      <w:szCs w:val="18"/>
                      <w:lang w:eastAsia="zh-CN"/>
                    </w:rPr>
                  </w:pPr>
                  <w:r>
                    <w:rPr>
                      <w:rFonts w:hint="eastAsia" w:eastAsia="仿宋" w:cs="Times New Roman"/>
                      <w:color w:val="auto"/>
                      <w:sz w:val="18"/>
                      <w:szCs w:val="18"/>
                      <w:lang w:val="en-US" w:eastAsia="zh-CN"/>
                    </w:rPr>
                    <w:t>6</w:t>
                  </w:r>
                </w:p>
              </w:tc>
              <w:tc>
                <w:tcPr>
                  <w:tcW w:w="572" w:type="pct"/>
                  <w:shd w:val="clear" w:color="auto" w:fill="auto"/>
                  <w:vAlign w:val="center"/>
                </w:tcPr>
                <w:p w14:paraId="4A4D703B">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废活性炭</w:t>
                  </w:r>
                </w:p>
              </w:tc>
              <w:tc>
                <w:tcPr>
                  <w:tcW w:w="684" w:type="pct"/>
                  <w:vMerge w:val="continue"/>
                  <w:vAlign w:val="center"/>
                </w:tcPr>
                <w:p w14:paraId="62EACB62">
                  <w:pPr>
                    <w:jc w:val="center"/>
                    <w:rPr>
                      <w:rFonts w:hint="default" w:ascii="Times New Roman" w:hAnsi="Times New Roman" w:eastAsia="仿宋" w:cs="Times New Roman"/>
                      <w:color w:val="auto"/>
                      <w:sz w:val="18"/>
                      <w:szCs w:val="18"/>
                    </w:rPr>
                  </w:pPr>
                </w:p>
              </w:tc>
              <w:tc>
                <w:tcPr>
                  <w:tcW w:w="416" w:type="pct"/>
                  <w:shd w:val="clear" w:color="auto" w:fill="auto"/>
                  <w:vAlign w:val="center"/>
                </w:tcPr>
                <w:p w14:paraId="46903B5A">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废气治理</w:t>
                  </w:r>
                </w:p>
              </w:tc>
              <w:tc>
                <w:tcPr>
                  <w:tcW w:w="271" w:type="pct"/>
                  <w:shd w:val="clear" w:color="auto" w:fill="auto"/>
                  <w:vAlign w:val="center"/>
                </w:tcPr>
                <w:p w14:paraId="09ABB058">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固态</w:t>
                  </w:r>
                </w:p>
              </w:tc>
              <w:tc>
                <w:tcPr>
                  <w:tcW w:w="498" w:type="pct"/>
                  <w:shd w:val="clear" w:color="auto" w:fill="auto"/>
                  <w:vAlign w:val="center"/>
                </w:tcPr>
                <w:p w14:paraId="504C238E">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活性炭、有机废气</w:t>
                  </w:r>
                </w:p>
              </w:tc>
              <w:tc>
                <w:tcPr>
                  <w:tcW w:w="424" w:type="pct"/>
                  <w:vMerge w:val="continue"/>
                  <w:vAlign w:val="center"/>
                </w:tcPr>
                <w:p w14:paraId="501CF8E6">
                  <w:pPr>
                    <w:jc w:val="center"/>
                    <w:rPr>
                      <w:rFonts w:hint="default" w:ascii="Times New Roman" w:hAnsi="Times New Roman" w:eastAsia="仿宋" w:cs="Times New Roman"/>
                      <w:color w:val="auto"/>
                      <w:sz w:val="18"/>
                      <w:szCs w:val="18"/>
                    </w:rPr>
                  </w:pPr>
                </w:p>
              </w:tc>
              <w:tc>
                <w:tcPr>
                  <w:tcW w:w="383" w:type="pct"/>
                  <w:shd w:val="clear" w:color="auto" w:fill="auto"/>
                  <w:vAlign w:val="center"/>
                </w:tcPr>
                <w:p w14:paraId="4659EDFE">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T</w:t>
                  </w:r>
                </w:p>
              </w:tc>
              <w:tc>
                <w:tcPr>
                  <w:tcW w:w="502" w:type="pct"/>
                  <w:shd w:val="clear" w:color="auto" w:fill="auto"/>
                  <w:vAlign w:val="center"/>
                </w:tcPr>
                <w:p w14:paraId="5D459326">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35718F61">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586" w:type="pct"/>
                  <w:shd w:val="clear" w:color="auto" w:fill="auto"/>
                  <w:vAlign w:val="center"/>
                </w:tcPr>
                <w:p w14:paraId="1D69DF60">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900-039-49</w:t>
                  </w:r>
                </w:p>
              </w:tc>
              <w:tc>
                <w:tcPr>
                  <w:tcW w:w="425" w:type="pct"/>
                  <w:shd w:val="clear" w:color="auto" w:fill="auto"/>
                  <w:vAlign w:val="center"/>
                </w:tcPr>
                <w:p w14:paraId="104D9C34">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0.0083</w:t>
                  </w:r>
                </w:p>
              </w:tc>
            </w:tr>
          </w:tbl>
          <w:p w14:paraId="0CC345D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注：T表示毒性、In表示感染性、I表示易燃性、C表示腐蚀性、R表示反应性。</w:t>
            </w:r>
          </w:p>
          <w:p w14:paraId="4F751905">
            <w:pPr>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default" w:ascii="Times New Roman" w:hAnsi="Times New Roman" w:eastAsia="仿宋" w:cs="Times New Roman"/>
                <w:b/>
                <w:color w:val="auto"/>
                <w:sz w:val="24"/>
                <w:lang w:val="en-US" w:eastAsia="zh-CN"/>
              </w:rPr>
              <w:t>2</w:t>
            </w:r>
            <w:r>
              <w:rPr>
                <w:rFonts w:hint="eastAsia" w:eastAsia="仿宋" w:cs="Times New Roman"/>
                <w:b/>
                <w:color w:val="auto"/>
                <w:sz w:val="24"/>
                <w:lang w:val="en-US" w:eastAsia="zh-CN"/>
              </w:rPr>
              <w:t>6</w:t>
            </w:r>
            <w:r>
              <w:rPr>
                <w:rFonts w:hint="default" w:ascii="Times New Roman" w:hAnsi="Times New Roman" w:eastAsia="仿宋" w:cs="Times New Roman"/>
                <w:b/>
                <w:color w:val="auto"/>
                <w:sz w:val="24"/>
              </w:rPr>
              <w:t xml:space="preserve">  本项目危险废物汇总表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88"/>
              <w:gridCol w:w="648"/>
              <w:gridCol w:w="799"/>
              <w:gridCol w:w="1099"/>
              <w:gridCol w:w="773"/>
              <w:gridCol w:w="719"/>
              <w:gridCol w:w="577"/>
              <w:gridCol w:w="948"/>
              <w:gridCol w:w="743"/>
              <w:gridCol w:w="588"/>
              <w:gridCol w:w="687"/>
              <w:gridCol w:w="599"/>
            </w:tblGrid>
            <w:tr w14:paraId="40053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70" w:type="pct"/>
                  <w:vAlign w:val="center"/>
                </w:tcPr>
                <w:p w14:paraId="23C25BD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序号</w:t>
                  </w:r>
                </w:p>
              </w:tc>
              <w:tc>
                <w:tcPr>
                  <w:tcW w:w="382" w:type="pct"/>
                  <w:vAlign w:val="center"/>
                </w:tcPr>
                <w:p w14:paraId="34B32C9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危险废物名称</w:t>
                  </w:r>
                </w:p>
              </w:tc>
              <w:tc>
                <w:tcPr>
                  <w:tcW w:w="471" w:type="pct"/>
                  <w:vAlign w:val="center"/>
                </w:tcPr>
                <w:p w14:paraId="686D90A2">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危险废物</w:t>
                  </w:r>
                </w:p>
                <w:p w14:paraId="22485F06">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类别</w:t>
                  </w:r>
                </w:p>
              </w:tc>
              <w:tc>
                <w:tcPr>
                  <w:tcW w:w="648" w:type="pct"/>
                  <w:vAlign w:val="center"/>
                </w:tcPr>
                <w:p w14:paraId="7F97CA7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危险废</w:t>
                  </w:r>
                </w:p>
                <w:p w14:paraId="2417556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物代码</w:t>
                  </w:r>
                </w:p>
              </w:tc>
              <w:tc>
                <w:tcPr>
                  <w:tcW w:w="456" w:type="pct"/>
                  <w:vAlign w:val="center"/>
                </w:tcPr>
                <w:p w14:paraId="5C25AC1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估算产生量（t/a）</w:t>
                  </w:r>
                </w:p>
              </w:tc>
              <w:tc>
                <w:tcPr>
                  <w:tcW w:w="424" w:type="pct"/>
                  <w:vAlign w:val="center"/>
                </w:tcPr>
                <w:p w14:paraId="1B63FBDF">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产生工序及装置</w:t>
                  </w:r>
                </w:p>
              </w:tc>
              <w:tc>
                <w:tcPr>
                  <w:tcW w:w="340" w:type="pct"/>
                  <w:vAlign w:val="center"/>
                </w:tcPr>
                <w:p w14:paraId="3693B81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形态</w:t>
                  </w:r>
                </w:p>
              </w:tc>
              <w:tc>
                <w:tcPr>
                  <w:tcW w:w="559" w:type="pct"/>
                  <w:vAlign w:val="center"/>
                </w:tcPr>
                <w:p w14:paraId="666553C7">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主要</w:t>
                  </w:r>
                </w:p>
                <w:p w14:paraId="05D407D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成分</w:t>
                  </w:r>
                </w:p>
              </w:tc>
              <w:tc>
                <w:tcPr>
                  <w:tcW w:w="438" w:type="pct"/>
                  <w:vAlign w:val="center"/>
                </w:tcPr>
                <w:p w14:paraId="5AD18D98">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有害</w:t>
                  </w:r>
                </w:p>
                <w:p w14:paraId="40B3DF4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成分</w:t>
                  </w:r>
                </w:p>
              </w:tc>
              <w:tc>
                <w:tcPr>
                  <w:tcW w:w="347" w:type="pct"/>
                  <w:vAlign w:val="center"/>
                </w:tcPr>
                <w:p w14:paraId="4F10C5FA">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产废</w:t>
                  </w:r>
                </w:p>
                <w:p w14:paraId="37E5C6F5">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周期</w:t>
                  </w:r>
                </w:p>
              </w:tc>
              <w:tc>
                <w:tcPr>
                  <w:tcW w:w="405" w:type="pct"/>
                  <w:vAlign w:val="center"/>
                </w:tcPr>
                <w:p w14:paraId="0FF65399">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危险</w:t>
                  </w:r>
                </w:p>
                <w:p w14:paraId="242F13E1">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特性</w:t>
                  </w:r>
                </w:p>
              </w:tc>
              <w:tc>
                <w:tcPr>
                  <w:tcW w:w="353" w:type="pct"/>
                  <w:vAlign w:val="center"/>
                </w:tcPr>
                <w:p w14:paraId="46A2759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污染防</w:t>
                  </w:r>
                </w:p>
                <w:p w14:paraId="19297DE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治措施</w:t>
                  </w:r>
                </w:p>
              </w:tc>
            </w:tr>
            <w:tr w14:paraId="5527D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70" w:type="pct"/>
                  <w:vAlign w:val="center"/>
                </w:tcPr>
                <w:p w14:paraId="2EB9FE73">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1</w:t>
                  </w:r>
                </w:p>
              </w:tc>
              <w:tc>
                <w:tcPr>
                  <w:tcW w:w="382" w:type="pct"/>
                  <w:vAlign w:val="center"/>
                </w:tcPr>
                <w:p w14:paraId="3ACBA776">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实验室废液</w:t>
                  </w:r>
                </w:p>
              </w:tc>
              <w:tc>
                <w:tcPr>
                  <w:tcW w:w="471" w:type="pct"/>
                  <w:vAlign w:val="center"/>
                </w:tcPr>
                <w:p w14:paraId="6BAD355D">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39437B8F">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其他废物</w:t>
                  </w:r>
                </w:p>
              </w:tc>
              <w:tc>
                <w:tcPr>
                  <w:tcW w:w="648" w:type="pct"/>
                  <w:vAlign w:val="center"/>
                </w:tcPr>
                <w:p w14:paraId="74641BCB">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900-047-49</w:t>
                  </w:r>
                </w:p>
              </w:tc>
              <w:tc>
                <w:tcPr>
                  <w:tcW w:w="456" w:type="pct"/>
                  <w:vAlign w:val="center"/>
                </w:tcPr>
                <w:p w14:paraId="13CD1E0F">
                  <w:pPr>
                    <w:adjustRightInd w:val="0"/>
                    <w:snapToGrid w:val="0"/>
                    <w:jc w:val="center"/>
                    <w:rPr>
                      <w:rFonts w:hint="default" w:ascii="Times New Roman" w:hAnsi="Times New Roman" w:eastAsia="仿宋" w:cs="Times New Roman"/>
                      <w:color w:val="auto"/>
                      <w:sz w:val="18"/>
                      <w:szCs w:val="18"/>
                      <w:lang w:val="en-US"/>
                    </w:rPr>
                  </w:pPr>
                  <w:r>
                    <w:rPr>
                      <w:rFonts w:hint="default" w:ascii="Times New Roman" w:hAnsi="Times New Roman" w:eastAsia="仿宋" w:cs="Times New Roman"/>
                      <w:color w:val="auto"/>
                      <w:sz w:val="18"/>
                      <w:szCs w:val="18"/>
                      <w:lang w:val="en-US" w:eastAsia="zh-CN"/>
                    </w:rPr>
                    <w:t>2</w:t>
                  </w:r>
                  <w:r>
                    <w:rPr>
                      <w:rFonts w:hint="eastAsia" w:eastAsia="仿宋" w:cs="Times New Roman"/>
                      <w:color w:val="auto"/>
                      <w:sz w:val="18"/>
                      <w:szCs w:val="18"/>
                      <w:lang w:val="en-US" w:eastAsia="zh-CN"/>
                    </w:rPr>
                    <w:t>.4</w:t>
                  </w:r>
                </w:p>
              </w:tc>
              <w:tc>
                <w:tcPr>
                  <w:tcW w:w="424" w:type="pct"/>
                  <w:vAlign w:val="center"/>
                </w:tcPr>
                <w:p w14:paraId="5A9EFA58">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实验</w:t>
                  </w:r>
                </w:p>
              </w:tc>
              <w:tc>
                <w:tcPr>
                  <w:tcW w:w="340" w:type="pct"/>
                  <w:vAlign w:val="center"/>
                </w:tcPr>
                <w:p w14:paraId="1884A902">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液态</w:t>
                  </w:r>
                </w:p>
              </w:tc>
              <w:tc>
                <w:tcPr>
                  <w:tcW w:w="559" w:type="pct"/>
                  <w:vAlign w:val="center"/>
                </w:tcPr>
                <w:p w14:paraId="6F3941AA">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盐酸、氢氧化钠、酒石酸、清洗剂等</w:t>
                  </w:r>
                </w:p>
              </w:tc>
              <w:tc>
                <w:tcPr>
                  <w:tcW w:w="438" w:type="pct"/>
                  <w:vAlign w:val="center"/>
                </w:tcPr>
                <w:p w14:paraId="4F29025D">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盐酸、氢氧化钠、酒石酸、清洗剂等</w:t>
                  </w:r>
                </w:p>
              </w:tc>
              <w:tc>
                <w:tcPr>
                  <w:tcW w:w="347" w:type="pct"/>
                  <w:vAlign w:val="center"/>
                </w:tcPr>
                <w:p w14:paraId="63E9EE6C">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间歇，每天</w:t>
                  </w:r>
                </w:p>
              </w:tc>
              <w:tc>
                <w:tcPr>
                  <w:tcW w:w="405" w:type="pct"/>
                  <w:vAlign w:val="center"/>
                </w:tcPr>
                <w:p w14:paraId="09726281">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T/C/I/R</w:t>
                  </w:r>
                </w:p>
              </w:tc>
              <w:tc>
                <w:tcPr>
                  <w:tcW w:w="353" w:type="pct"/>
                  <w:vMerge w:val="restart"/>
                  <w:vAlign w:val="center"/>
                </w:tcPr>
                <w:p w14:paraId="3CE0D66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分类收集后暂存于</w:t>
                  </w:r>
                  <w:r>
                    <w:rPr>
                      <w:rFonts w:hint="default" w:ascii="Times New Roman" w:hAnsi="Times New Roman" w:eastAsia="仿宋" w:cs="Times New Roman"/>
                      <w:color w:val="auto"/>
                      <w:sz w:val="18"/>
                      <w:szCs w:val="18"/>
                      <w:lang w:val="en-US" w:eastAsia="zh-CN"/>
                    </w:rPr>
                    <w:t>危废仓库</w:t>
                  </w:r>
                  <w:r>
                    <w:rPr>
                      <w:rFonts w:hint="default" w:ascii="Times New Roman" w:hAnsi="Times New Roman" w:eastAsia="仿宋" w:cs="Times New Roman"/>
                      <w:color w:val="auto"/>
                      <w:sz w:val="18"/>
                      <w:szCs w:val="18"/>
                    </w:rPr>
                    <w:t>，委托有资质单位无害化处置</w:t>
                  </w:r>
                </w:p>
              </w:tc>
            </w:tr>
            <w:tr w14:paraId="4656F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70" w:type="pct"/>
                  <w:vAlign w:val="center"/>
                </w:tcPr>
                <w:p w14:paraId="0E0B3BFB">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2</w:t>
                  </w:r>
                </w:p>
              </w:tc>
              <w:tc>
                <w:tcPr>
                  <w:tcW w:w="382" w:type="pct"/>
                  <w:shd w:val="clear" w:color="auto" w:fill="auto"/>
                  <w:vAlign w:val="center"/>
                </w:tcPr>
                <w:p w14:paraId="41D75F00">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废包装物</w:t>
                  </w:r>
                </w:p>
              </w:tc>
              <w:tc>
                <w:tcPr>
                  <w:tcW w:w="471" w:type="pct"/>
                  <w:shd w:val="clear" w:color="auto" w:fill="auto"/>
                  <w:vAlign w:val="center"/>
                </w:tcPr>
                <w:p w14:paraId="397557E7">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0E8BE6EE">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648" w:type="pct"/>
                  <w:shd w:val="clear" w:color="auto" w:fill="auto"/>
                  <w:vAlign w:val="center"/>
                </w:tcPr>
                <w:p w14:paraId="0928BBB0">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456" w:type="pct"/>
                  <w:shd w:val="clear" w:color="auto" w:fill="auto"/>
                  <w:vAlign w:val="center"/>
                </w:tcPr>
                <w:p w14:paraId="09814321">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0.06</w:t>
                  </w:r>
                </w:p>
              </w:tc>
              <w:tc>
                <w:tcPr>
                  <w:tcW w:w="424" w:type="pct"/>
                  <w:shd w:val="clear" w:color="auto" w:fill="auto"/>
                  <w:vAlign w:val="center"/>
                </w:tcPr>
                <w:p w14:paraId="608A7B5F">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原辅材料使用</w:t>
                  </w:r>
                </w:p>
              </w:tc>
              <w:tc>
                <w:tcPr>
                  <w:tcW w:w="340" w:type="pct"/>
                  <w:shd w:val="clear" w:color="auto" w:fill="auto"/>
                  <w:vAlign w:val="center"/>
                </w:tcPr>
                <w:p w14:paraId="4FBE6ADD">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固态</w:t>
                  </w:r>
                </w:p>
              </w:tc>
              <w:tc>
                <w:tcPr>
                  <w:tcW w:w="559" w:type="pct"/>
                  <w:shd w:val="clear" w:color="auto" w:fill="auto"/>
                  <w:vAlign w:val="center"/>
                </w:tcPr>
                <w:p w14:paraId="13E0C0A2">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盐酸、氢氧化钠、酒石酸、清洗剂、塑料等</w:t>
                  </w:r>
                </w:p>
              </w:tc>
              <w:tc>
                <w:tcPr>
                  <w:tcW w:w="438" w:type="pct"/>
                  <w:shd w:val="clear" w:color="auto" w:fill="auto"/>
                  <w:vAlign w:val="center"/>
                </w:tcPr>
                <w:p w14:paraId="315FFFCA">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盐酸、氢氧化钠、酒石酸、清洗剂等</w:t>
                  </w:r>
                </w:p>
              </w:tc>
              <w:tc>
                <w:tcPr>
                  <w:tcW w:w="347" w:type="pct"/>
                  <w:shd w:val="clear" w:color="auto" w:fill="auto"/>
                  <w:vAlign w:val="center"/>
                </w:tcPr>
                <w:p w14:paraId="08A872BD">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间歇，每天</w:t>
                  </w:r>
                </w:p>
              </w:tc>
              <w:tc>
                <w:tcPr>
                  <w:tcW w:w="405" w:type="pct"/>
                  <w:shd w:val="clear" w:color="auto" w:fill="auto"/>
                  <w:vAlign w:val="center"/>
                </w:tcPr>
                <w:p w14:paraId="39979CDA">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T/C/I/R</w:t>
                  </w:r>
                </w:p>
              </w:tc>
              <w:tc>
                <w:tcPr>
                  <w:tcW w:w="353" w:type="pct"/>
                  <w:vMerge w:val="continue"/>
                  <w:vAlign w:val="center"/>
                </w:tcPr>
                <w:p w14:paraId="77DB9FA0">
                  <w:pPr>
                    <w:jc w:val="center"/>
                    <w:rPr>
                      <w:rFonts w:hint="default" w:ascii="Times New Roman" w:hAnsi="Times New Roman" w:eastAsia="仿宋" w:cs="Times New Roman"/>
                      <w:color w:val="auto"/>
                      <w:sz w:val="18"/>
                      <w:szCs w:val="18"/>
                    </w:rPr>
                  </w:pPr>
                </w:p>
              </w:tc>
            </w:tr>
            <w:tr w14:paraId="10A42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70" w:type="pct"/>
                  <w:vAlign w:val="center"/>
                </w:tcPr>
                <w:p w14:paraId="45F322B5">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3</w:t>
                  </w:r>
                </w:p>
              </w:tc>
              <w:tc>
                <w:tcPr>
                  <w:tcW w:w="382" w:type="pct"/>
                  <w:shd w:val="clear" w:color="auto" w:fill="auto"/>
                  <w:vAlign w:val="center"/>
                </w:tcPr>
                <w:p w14:paraId="36BC2018">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废劳保用品及抹布</w:t>
                  </w:r>
                </w:p>
              </w:tc>
              <w:tc>
                <w:tcPr>
                  <w:tcW w:w="471" w:type="pct"/>
                  <w:shd w:val="clear" w:color="auto" w:fill="auto"/>
                  <w:vAlign w:val="center"/>
                </w:tcPr>
                <w:p w14:paraId="11A462CE">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5EFA8DAD">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648" w:type="pct"/>
                  <w:shd w:val="clear" w:color="auto" w:fill="auto"/>
                  <w:vAlign w:val="center"/>
                </w:tcPr>
                <w:p w14:paraId="026194E7">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456" w:type="pct"/>
                  <w:shd w:val="clear" w:color="auto" w:fill="auto"/>
                  <w:vAlign w:val="center"/>
                </w:tcPr>
                <w:p w14:paraId="54B0073B">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0.05</w:t>
                  </w:r>
                </w:p>
              </w:tc>
              <w:tc>
                <w:tcPr>
                  <w:tcW w:w="424" w:type="pct"/>
                  <w:shd w:val="clear" w:color="auto" w:fill="auto"/>
                  <w:vAlign w:val="center"/>
                </w:tcPr>
                <w:p w14:paraId="253B19D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实验</w:t>
                  </w:r>
                </w:p>
              </w:tc>
              <w:tc>
                <w:tcPr>
                  <w:tcW w:w="340" w:type="pct"/>
                  <w:shd w:val="clear" w:color="auto" w:fill="auto"/>
                  <w:vAlign w:val="center"/>
                </w:tcPr>
                <w:p w14:paraId="36694FCA">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固态</w:t>
                  </w:r>
                </w:p>
              </w:tc>
              <w:tc>
                <w:tcPr>
                  <w:tcW w:w="559" w:type="pct"/>
                  <w:shd w:val="clear" w:color="auto" w:fill="auto"/>
                  <w:vAlign w:val="center"/>
                </w:tcPr>
                <w:p w14:paraId="4F4E162C">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乙醇氯化铁、乙醇、棉布</w:t>
                  </w:r>
                </w:p>
              </w:tc>
              <w:tc>
                <w:tcPr>
                  <w:tcW w:w="438" w:type="pct"/>
                  <w:shd w:val="clear" w:color="auto" w:fill="auto"/>
                  <w:vAlign w:val="center"/>
                </w:tcPr>
                <w:p w14:paraId="4BEAB437">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乙醇氯化铁、乙醇</w:t>
                  </w:r>
                </w:p>
              </w:tc>
              <w:tc>
                <w:tcPr>
                  <w:tcW w:w="347" w:type="pct"/>
                  <w:shd w:val="clear" w:color="auto" w:fill="auto"/>
                  <w:vAlign w:val="center"/>
                </w:tcPr>
                <w:p w14:paraId="20300957">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间歇，每天</w:t>
                  </w:r>
                </w:p>
              </w:tc>
              <w:tc>
                <w:tcPr>
                  <w:tcW w:w="405" w:type="pct"/>
                  <w:shd w:val="clear" w:color="auto" w:fill="auto"/>
                  <w:vAlign w:val="center"/>
                </w:tcPr>
                <w:p w14:paraId="09111BE4">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T/C/I/R</w:t>
                  </w:r>
                </w:p>
              </w:tc>
              <w:tc>
                <w:tcPr>
                  <w:tcW w:w="353" w:type="pct"/>
                  <w:vMerge w:val="continue"/>
                  <w:vAlign w:val="center"/>
                </w:tcPr>
                <w:p w14:paraId="290A3D6F">
                  <w:pPr>
                    <w:jc w:val="center"/>
                    <w:rPr>
                      <w:rFonts w:hint="default" w:ascii="Times New Roman" w:hAnsi="Times New Roman" w:eastAsia="仿宋" w:cs="Times New Roman"/>
                      <w:color w:val="auto"/>
                      <w:sz w:val="18"/>
                      <w:szCs w:val="18"/>
                    </w:rPr>
                  </w:pPr>
                </w:p>
              </w:tc>
            </w:tr>
            <w:tr w14:paraId="71E86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70" w:type="pct"/>
                  <w:vAlign w:val="center"/>
                </w:tcPr>
                <w:p w14:paraId="7072D346">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4</w:t>
                  </w:r>
                </w:p>
              </w:tc>
              <w:tc>
                <w:tcPr>
                  <w:tcW w:w="382" w:type="pct"/>
                  <w:shd w:val="clear" w:color="auto" w:fill="auto"/>
                  <w:vAlign w:val="center"/>
                </w:tcPr>
                <w:p w14:paraId="066348A4">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废活性炭</w:t>
                  </w:r>
                </w:p>
              </w:tc>
              <w:tc>
                <w:tcPr>
                  <w:tcW w:w="471" w:type="pct"/>
                  <w:shd w:val="clear" w:color="auto" w:fill="auto"/>
                  <w:vAlign w:val="center"/>
                </w:tcPr>
                <w:p w14:paraId="0A02E2EF">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HW49</w:t>
                  </w:r>
                </w:p>
                <w:p w14:paraId="6D2CEE0E">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其他废物</w:t>
                  </w:r>
                </w:p>
              </w:tc>
              <w:tc>
                <w:tcPr>
                  <w:tcW w:w="648" w:type="pct"/>
                  <w:shd w:val="clear" w:color="auto" w:fill="auto"/>
                  <w:vAlign w:val="center"/>
                </w:tcPr>
                <w:p w14:paraId="304E73D1">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900-039-49</w:t>
                  </w:r>
                </w:p>
              </w:tc>
              <w:tc>
                <w:tcPr>
                  <w:tcW w:w="456" w:type="pct"/>
                  <w:shd w:val="clear" w:color="auto" w:fill="auto"/>
                  <w:vAlign w:val="center"/>
                </w:tcPr>
                <w:p w14:paraId="2025BF91">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0.0083</w:t>
                  </w:r>
                </w:p>
              </w:tc>
              <w:tc>
                <w:tcPr>
                  <w:tcW w:w="424" w:type="pct"/>
                  <w:shd w:val="clear" w:color="auto" w:fill="auto"/>
                  <w:vAlign w:val="center"/>
                </w:tcPr>
                <w:p w14:paraId="553915F7">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废气处理</w:t>
                  </w:r>
                </w:p>
              </w:tc>
              <w:tc>
                <w:tcPr>
                  <w:tcW w:w="340" w:type="pct"/>
                  <w:shd w:val="clear" w:color="auto" w:fill="auto"/>
                  <w:vAlign w:val="center"/>
                </w:tcPr>
                <w:p w14:paraId="5B9D1071">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固态</w:t>
                  </w:r>
                </w:p>
              </w:tc>
              <w:tc>
                <w:tcPr>
                  <w:tcW w:w="559" w:type="pct"/>
                  <w:shd w:val="clear" w:color="auto" w:fill="auto"/>
                  <w:vAlign w:val="center"/>
                </w:tcPr>
                <w:p w14:paraId="63117780">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活性炭、有机废气</w:t>
                  </w:r>
                </w:p>
              </w:tc>
              <w:tc>
                <w:tcPr>
                  <w:tcW w:w="438" w:type="pct"/>
                  <w:shd w:val="clear" w:color="auto" w:fill="auto"/>
                  <w:vAlign w:val="center"/>
                </w:tcPr>
                <w:p w14:paraId="5668FD29">
                  <w:pPr>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有机废气</w:t>
                  </w:r>
                </w:p>
              </w:tc>
              <w:tc>
                <w:tcPr>
                  <w:tcW w:w="347" w:type="pct"/>
                  <w:shd w:val="clear" w:color="auto" w:fill="auto"/>
                  <w:vAlign w:val="center"/>
                </w:tcPr>
                <w:p w14:paraId="0C743249">
                  <w:pPr>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间歇，每42天</w:t>
                  </w:r>
                </w:p>
              </w:tc>
              <w:tc>
                <w:tcPr>
                  <w:tcW w:w="405" w:type="pct"/>
                  <w:shd w:val="clear" w:color="auto" w:fill="auto"/>
                  <w:vAlign w:val="center"/>
                </w:tcPr>
                <w:p w14:paraId="5A67ADA8">
                  <w:pPr>
                    <w:adjustRightInd w:val="0"/>
                    <w:snapToGrid w:val="0"/>
                    <w:jc w:val="center"/>
                    <w:rPr>
                      <w:rFonts w:hint="default" w:ascii="Times New Roman" w:hAnsi="Times New Roman" w:eastAsia="仿宋" w:cs="Times New Roman"/>
                      <w:color w:val="auto"/>
                      <w:kern w:val="0"/>
                      <w:sz w:val="18"/>
                      <w:szCs w:val="18"/>
                      <w:lang w:val="en-US" w:eastAsia="zh-CN" w:bidi="ar-SA"/>
                    </w:rPr>
                  </w:pPr>
                  <w:r>
                    <w:rPr>
                      <w:rFonts w:hint="default" w:ascii="Times New Roman" w:hAnsi="Times New Roman" w:eastAsia="仿宋" w:cs="Times New Roman"/>
                      <w:color w:val="auto"/>
                      <w:sz w:val="18"/>
                      <w:szCs w:val="18"/>
                    </w:rPr>
                    <w:t>T</w:t>
                  </w:r>
                </w:p>
              </w:tc>
              <w:tc>
                <w:tcPr>
                  <w:tcW w:w="353" w:type="pct"/>
                  <w:vMerge w:val="continue"/>
                  <w:vAlign w:val="center"/>
                </w:tcPr>
                <w:p w14:paraId="3F053388">
                  <w:pPr>
                    <w:jc w:val="center"/>
                    <w:rPr>
                      <w:rFonts w:hint="default" w:ascii="Times New Roman" w:hAnsi="Times New Roman" w:eastAsia="仿宋" w:cs="Times New Roman"/>
                      <w:color w:val="auto"/>
                      <w:sz w:val="18"/>
                      <w:szCs w:val="18"/>
                    </w:rPr>
                  </w:pPr>
                </w:p>
              </w:tc>
            </w:tr>
          </w:tbl>
          <w:p w14:paraId="561EE68C">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4、固体废物利用及处置方式</w:t>
            </w:r>
          </w:p>
          <w:p w14:paraId="109E6DA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本项目固体废物利用及处置方式具体见表4-</w:t>
            </w:r>
            <w:r>
              <w:rPr>
                <w:rFonts w:hint="default" w:ascii="Times New Roman" w:hAnsi="Times New Roman" w:eastAsia="仿宋" w:cs="Times New Roman"/>
                <w:bCs/>
                <w:color w:val="auto"/>
                <w:sz w:val="24"/>
                <w:lang w:val="en-US" w:eastAsia="zh-CN"/>
              </w:rPr>
              <w:t>2</w:t>
            </w:r>
            <w:r>
              <w:rPr>
                <w:rFonts w:hint="eastAsia" w:eastAsia="仿宋" w:cs="Times New Roman"/>
                <w:bCs/>
                <w:color w:val="auto"/>
                <w:sz w:val="24"/>
                <w:lang w:val="en-US" w:eastAsia="zh-CN"/>
              </w:rPr>
              <w:t>7</w:t>
            </w:r>
            <w:r>
              <w:rPr>
                <w:rFonts w:hint="default" w:ascii="Times New Roman" w:hAnsi="Times New Roman" w:eastAsia="仿宋" w:cs="Times New Roman"/>
                <w:bCs/>
                <w:color w:val="auto"/>
                <w:sz w:val="24"/>
                <w:lang w:val="en-US" w:eastAsia="zh-CN"/>
              </w:rPr>
              <w:t>，全厂</w:t>
            </w:r>
            <w:r>
              <w:rPr>
                <w:rFonts w:hint="default" w:ascii="Times New Roman" w:hAnsi="Times New Roman" w:eastAsia="仿宋" w:cs="Times New Roman"/>
                <w:bCs/>
                <w:color w:val="auto"/>
                <w:sz w:val="24"/>
              </w:rPr>
              <w:t>固体废物利用及处置方式具体见表4-</w:t>
            </w:r>
            <w:r>
              <w:rPr>
                <w:rFonts w:hint="eastAsia" w:eastAsia="仿宋" w:cs="Times New Roman"/>
                <w:bCs/>
                <w:color w:val="auto"/>
                <w:sz w:val="24"/>
                <w:lang w:val="en-US" w:eastAsia="zh-CN"/>
              </w:rPr>
              <w:t>28</w:t>
            </w:r>
            <w:r>
              <w:rPr>
                <w:rFonts w:hint="default" w:ascii="Times New Roman" w:hAnsi="Times New Roman" w:eastAsia="仿宋" w:cs="Times New Roman"/>
                <w:bCs/>
                <w:color w:val="auto"/>
                <w:sz w:val="24"/>
              </w:rPr>
              <w:t>。</w:t>
            </w:r>
          </w:p>
          <w:p w14:paraId="575A3E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2</w:t>
            </w:r>
            <w:r>
              <w:rPr>
                <w:rFonts w:hint="eastAsia" w:eastAsia="仿宋" w:cs="Times New Roman"/>
                <w:b/>
                <w:bCs/>
                <w:color w:val="auto"/>
                <w:sz w:val="24"/>
                <w:lang w:val="en-US" w:eastAsia="zh-CN"/>
              </w:rPr>
              <w:t>7</w:t>
            </w:r>
            <w:r>
              <w:rPr>
                <w:rFonts w:hint="default" w:ascii="Times New Roman" w:hAnsi="Times New Roman" w:eastAsia="仿宋" w:cs="Times New Roman"/>
                <w:b/>
                <w:bCs/>
                <w:color w:val="auto"/>
                <w:sz w:val="24"/>
              </w:rPr>
              <w:t xml:space="preserve">  本项目固体废物具体处置方式表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1"/>
              <w:gridCol w:w="1195"/>
              <w:gridCol w:w="1094"/>
              <w:gridCol w:w="1425"/>
              <w:gridCol w:w="1764"/>
              <w:gridCol w:w="727"/>
              <w:gridCol w:w="867"/>
              <w:gridCol w:w="925"/>
            </w:tblGrid>
            <w:tr w14:paraId="1F878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511D4928">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705" w:type="pct"/>
                  <w:vAlign w:val="center"/>
                </w:tcPr>
                <w:p w14:paraId="38E389B0">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固体废物名称</w:t>
                  </w:r>
                </w:p>
              </w:tc>
              <w:tc>
                <w:tcPr>
                  <w:tcW w:w="645" w:type="pct"/>
                  <w:vAlign w:val="center"/>
                </w:tcPr>
                <w:p w14:paraId="512E391A">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产生来源</w:t>
                  </w:r>
                </w:p>
              </w:tc>
              <w:tc>
                <w:tcPr>
                  <w:tcW w:w="841" w:type="pct"/>
                  <w:vAlign w:val="center"/>
                </w:tcPr>
                <w:p w14:paraId="7DAE77F3">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属性（危险废物、一般工业固体废物或待鉴别）</w:t>
                  </w:r>
                </w:p>
              </w:tc>
              <w:tc>
                <w:tcPr>
                  <w:tcW w:w="1041" w:type="pct"/>
                  <w:vAlign w:val="center"/>
                </w:tcPr>
                <w:p w14:paraId="4F60E38F">
                  <w:pPr>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废物类别</w:t>
                  </w:r>
                  <w:r>
                    <w:rPr>
                      <w:rFonts w:hint="default" w:ascii="Times New Roman" w:hAnsi="Times New Roman" w:eastAsia="仿宋" w:cs="Times New Roman"/>
                      <w:b/>
                      <w:color w:val="auto"/>
                      <w:sz w:val="21"/>
                      <w:szCs w:val="21"/>
                      <w:lang w:val="en-US" w:eastAsia="zh-CN"/>
                    </w:rPr>
                    <w:t>及代码</w:t>
                  </w:r>
                </w:p>
              </w:tc>
              <w:tc>
                <w:tcPr>
                  <w:tcW w:w="429" w:type="pct"/>
                  <w:vAlign w:val="center"/>
                </w:tcPr>
                <w:p w14:paraId="5A9F4D50">
                  <w:pPr>
                    <w:jc w:val="center"/>
                    <w:rPr>
                      <w:rFonts w:hint="default" w:ascii="Times New Roman" w:hAnsi="Times New Roman" w:eastAsia="仿宋" w:cs="Times New Roman"/>
                      <w:b/>
                      <w:color w:val="auto"/>
                      <w:spacing w:val="-10"/>
                      <w:sz w:val="21"/>
                      <w:szCs w:val="21"/>
                    </w:rPr>
                  </w:pPr>
                  <w:r>
                    <w:rPr>
                      <w:rFonts w:hint="default" w:ascii="Times New Roman" w:hAnsi="Times New Roman" w:eastAsia="仿宋" w:cs="Times New Roman"/>
                      <w:b/>
                      <w:color w:val="auto"/>
                      <w:spacing w:val="-10"/>
                      <w:sz w:val="21"/>
                      <w:szCs w:val="21"/>
                    </w:rPr>
                    <w:t>产生量</w:t>
                  </w:r>
                </w:p>
                <w:p w14:paraId="734DACF7">
                  <w:pPr>
                    <w:jc w:val="center"/>
                    <w:rPr>
                      <w:rFonts w:hint="default" w:ascii="Times New Roman" w:hAnsi="Times New Roman" w:eastAsia="仿宋" w:cs="Times New Roman"/>
                      <w:b/>
                      <w:color w:val="auto"/>
                      <w:spacing w:val="-10"/>
                      <w:sz w:val="21"/>
                      <w:szCs w:val="21"/>
                    </w:rPr>
                  </w:pPr>
                  <w:r>
                    <w:rPr>
                      <w:rFonts w:hint="default" w:ascii="Times New Roman" w:hAnsi="Times New Roman" w:eastAsia="仿宋" w:cs="Times New Roman"/>
                      <w:b/>
                      <w:color w:val="auto"/>
                      <w:spacing w:val="-10"/>
                      <w:sz w:val="21"/>
                      <w:szCs w:val="21"/>
                    </w:rPr>
                    <w:t>(吨/年)</w:t>
                  </w:r>
                </w:p>
              </w:tc>
              <w:tc>
                <w:tcPr>
                  <w:tcW w:w="511" w:type="pct"/>
                  <w:vAlign w:val="center"/>
                </w:tcPr>
                <w:p w14:paraId="634AED7C">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利用处置方式</w:t>
                  </w:r>
                </w:p>
              </w:tc>
              <w:tc>
                <w:tcPr>
                  <w:tcW w:w="546" w:type="pct"/>
                  <w:vAlign w:val="center"/>
                </w:tcPr>
                <w:p w14:paraId="7C170829">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利用处置单位</w:t>
                  </w:r>
                </w:p>
              </w:tc>
            </w:tr>
            <w:tr w14:paraId="3E72E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 w:hRule="atLeast"/>
                <w:jc w:val="center"/>
              </w:trPr>
              <w:tc>
                <w:tcPr>
                  <w:tcW w:w="278" w:type="pct"/>
                  <w:vAlign w:val="center"/>
                </w:tcPr>
                <w:p w14:paraId="7C3315A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705" w:type="pct"/>
                  <w:vAlign w:val="center"/>
                </w:tcPr>
                <w:p w14:paraId="175593D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废样品</w:t>
                  </w:r>
                </w:p>
              </w:tc>
              <w:tc>
                <w:tcPr>
                  <w:tcW w:w="645" w:type="pct"/>
                  <w:vAlign w:val="center"/>
                </w:tcPr>
                <w:p w14:paraId="7574218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841" w:type="pct"/>
                  <w:vMerge w:val="restart"/>
                  <w:vAlign w:val="center"/>
                </w:tcPr>
                <w:p w14:paraId="77EE595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w:t>
                  </w:r>
                </w:p>
                <w:p w14:paraId="6DFC5E5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废物</w:t>
                  </w:r>
                </w:p>
              </w:tc>
              <w:tc>
                <w:tcPr>
                  <w:tcW w:w="1041" w:type="pct"/>
                  <w:vAlign w:val="center"/>
                </w:tcPr>
                <w:p w14:paraId="52E71D4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SW17可再生类废物</w:t>
                  </w:r>
                  <w:r>
                    <w:rPr>
                      <w:rFonts w:hint="default" w:ascii="Times New Roman" w:hAnsi="Times New Roman" w:eastAsia="仿宋" w:cs="Times New Roman"/>
                      <w:color w:val="auto"/>
                      <w:sz w:val="21"/>
                      <w:szCs w:val="21"/>
                      <w:lang w:val="en-US" w:eastAsia="zh-CN"/>
                    </w:rPr>
                    <w:t>900-099-S17</w:t>
                  </w:r>
                </w:p>
              </w:tc>
              <w:tc>
                <w:tcPr>
                  <w:tcW w:w="429" w:type="pct"/>
                  <w:vAlign w:val="center"/>
                </w:tcPr>
                <w:p w14:paraId="7A07E05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2.1</w:t>
                  </w:r>
                </w:p>
              </w:tc>
              <w:tc>
                <w:tcPr>
                  <w:tcW w:w="511" w:type="pct"/>
                  <w:vMerge w:val="restart"/>
                  <w:vAlign w:val="center"/>
                </w:tcPr>
                <w:p w14:paraId="532F884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外售</w:t>
                  </w:r>
                  <w:r>
                    <w:rPr>
                      <w:rFonts w:hint="default" w:ascii="Times New Roman" w:hAnsi="Times New Roman" w:eastAsia="仿宋" w:cs="Times New Roman"/>
                      <w:color w:val="auto"/>
                      <w:sz w:val="21"/>
                      <w:szCs w:val="21"/>
                    </w:rPr>
                    <w:t>综合利用</w:t>
                  </w:r>
                </w:p>
              </w:tc>
              <w:tc>
                <w:tcPr>
                  <w:tcW w:w="546" w:type="pct"/>
                  <w:vMerge w:val="restart"/>
                  <w:vAlign w:val="center"/>
                </w:tcPr>
                <w:p w14:paraId="44B3E05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6B3B6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 w:hRule="atLeast"/>
                <w:jc w:val="center"/>
              </w:trPr>
              <w:tc>
                <w:tcPr>
                  <w:tcW w:w="278" w:type="pct"/>
                  <w:shd w:val="clear" w:color="auto" w:fill="auto"/>
                  <w:vAlign w:val="center"/>
                </w:tcPr>
                <w:p w14:paraId="4C5CC31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705" w:type="pct"/>
                  <w:vAlign w:val="center"/>
                </w:tcPr>
                <w:p w14:paraId="5EFB69AA">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废过滤材料</w:t>
                  </w:r>
                </w:p>
              </w:tc>
              <w:tc>
                <w:tcPr>
                  <w:tcW w:w="645" w:type="pct"/>
                  <w:vAlign w:val="center"/>
                </w:tcPr>
                <w:p w14:paraId="3B860DD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制纯水</w:t>
                  </w:r>
                </w:p>
              </w:tc>
              <w:tc>
                <w:tcPr>
                  <w:tcW w:w="841" w:type="pct"/>
                  <w:vMerge w:val="continue"/>
                  <w:vAlign w:val="center"/>
                </w:tcPr>
                <w:p w14:paraId="0A1A6AA0">
                  <w:pPr>
                    <w:jc w:val="center"/>
                    <w:rPr>
                      <w:rFonts w:hint="default" w:ascii="Times New Roman" w:hAnsi="Times New Roman" w:eastAsia="仿宋" w:cs="Times New Roman"/>
                      <w:color w:val="auto"/>
                      <w:sz w:val="21"/>
                      <w:szCs w:val="21"/>
                    </w:rPr>
                  </w:pPr>
                </w:p>
              </w:tc>
              <w:tc>
                <w:tcPr>
                  <w:tcW w:w="1041" w:type="pct"/>
                  <w:vAlign w:val="center"/>
                </w:tcPr>
                <w:p w14:paraId="71D5E0EA">
                  <w:pPr>
                    <w:adjustRightInd w:val="0"/>
                    <w:snapToGrid w:val="0"/>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SW59其他工业固体废物900-009-S59</w:t>
                  </w:r>
                </w:p>
              </w:tc>
              <w:tc>
                <w:tcPr>
                  <w:tcW w:w="429" w:type="pct"/>
                  <w:vAlign w:val="center"/>
                </w:tcPr>
                <w:p w14:paraId="75D24056">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0.15</w:t>
                  </w:r>
                </w:p>
              </w:tc>
              <w:tc>
                <w:tcPr>
                  <w:tcW w:w="511" w:type="pct"/>
                  <w:vMerge w:val="continue"/>
                  <w:vAlign w:val="center"/>
                </w:tcPr>
                <w:p w14:paraId="5C527898">
                  <w:pPr>
                    <w:jc w:val="center"/>
                    <w:rPr>
                      <w:rFonts w:hint="default" w:ascii="Times New Roman" w:hAnsi="Times New Roman" w:eastAsia="仿宋" w:cs="Times New Roman"/>
                      <w:color w:val="auto"/>
                      <w:sz w:val="21"/>
                      <w:szCs w:val="21"/>
                      <w:lang w:val="en-US" w:eastAsia="zh-CN"/>
                    </w:rPr>
                  </w:pPr>
                </w:p>
              </w:tc>
              <w:tc>
                <w:tcPr>
                  <w:tcW w:w="546" w:type="pct"/>
                  <w:vMerge w:val="continue"/>
                  <w:vAlign w:val="center"/>
                </w:tcPr>
                <w:p w14:paraId="51D8E99C">
                  <w:pPr>
                    <w:jc w:val="center"/>
                    <w:rPr>
                      <w:rFonts w:hint="default" w:ascii="Times New Roman" w:hAnsi="Times New Roman" w:eastAsia="仿宋" w:cs="Times New Roman"/>
                      <w:color w:val="auto"/>
                      <w:sz w:val="21"/>
                      <w:szCs w:val="21"/>
                    </w:rPr>
                  </w:pPr>
                </w:p>
              </w:tc>
            </w:tr>
            <w:tr w14:paraId="723AF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29230F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705" w:type="pct"/>
                  <w:vAlign w:val="center"/>
                </w:tcPr>
                <w:p w14:paraId="63EE7AF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实验室废液</w:t>
                  </w:r>
                </w:p>
              </w:tc>
              <w:tc>
                <w:tcPr>
                  <w:tcW w:w="645" w:type="pct"/>
                  <w:vAlign w:val="center"/>
                </w:tcPr>
                <w:p w14:paraId="718FD15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841" w:type="pct"/>
                  <w:vMerge w:val="restart"/>
                  <w:vAlign w:val="center"/>
                </w:tcPr>
                <w:p w14:paraId="7CB4A73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w:t>
                  </w:r>
                </w:p>
              </w:tc>
              <w:tc>
                <w:tcPr>
                  <w:tcW w:w="1041" w:type="pct"/>
                  <w:vAlign w:val="center"/>
                </w:tcPr>
                <w:p w14:paraId="1EA4AE7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HW49其他废物900-047-49</w:t>
                  </w:r>
                </w:p>
              </w:tc>
              <w:tc>
                <w:tcPr>
                  <w:tcW w:w="429" w:type="pct"/>
                  <w:vAlign w:val="center"/>
                </w:tcPr>
                <w:p w14:paraId="0DD4E7D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r>
                    <w:rPr>
                      <w:rFonts w:hint="eastAsia" w:eastAsia="仿宋" w:cs="Times New Roman"/>
                      <w:color w:val="auto"/>
                      <w:sz w:val="21"/>
                      <w:szCs w:val="21"/>
                      <w:lang w:val="en-US" w:eastAsia="zh-CN"/>
                    </w:rPr>
                    <w:t>4</w:t>
                  </w:r>
                </w:p>
              </w:tc>
              <w:tc>
                <w:tcPr>
                  <w:tcW w:w="511" w:type="pct"/>
                  <w:vMerge w:val="restart"/>
                  <w:vAlign w:val="center"/>
                </w:tcPr>
                <w:p w14:paraId="64F56A05">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委托处置</w:t>
                  </w:r>
                </w:p>
              </w:tc>
              <w:tc>
                <w:tcPr>
                  <w:tcW w:w="546" w:type="pct"/>
                  <w:vMerge w:val="restart"/>
                  <w:vAlign w:val="center"/>
                </w:tcPr>
                <w:p w14:paraId="229A5FF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具备处置资质和处置能力的单位</w:t>
                  </w:r>
                </w:p>
              </w:tc>
            </w:tr>
            <w:tr w14:paraId="1F90D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894D5A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w:t>
                  </w:r>
                </w:p>
              </w:tc>
              <w:tc>
                <w:tcPr>
                  <w:tcW w:w="705" w:type="pct"/>
                  <w:shd w:val="clear" w:color="auto" w:fill="auto"/>
                  <w:vAlign w:val="center"/>
                </w:tcPr>
                <w:p w14:paraId="12F9489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废包装物</w:t>
                  </w:r>
                </w:p>
              </w:tc>
              <w:tc>
                <w:tcPr>
                  <w:tcW w:w="645" w:type="pct"/>
                  <w:shd w:val="clear" w:color="auto" w:fill="auto"/>
                  <w:vAlign w:val="center"/>
                </w:tcPr>
                <w:p w14:paraId="459C31C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原辅材料使用</w:t>
                  </w:r>
                </w:p>
              </w:tc>
              <w:tc>
                <w:tcPr>
                  <w:tcW w:w="841" w:type="pct"/>
                  <w:vMerge w:val="continue"/>
                  <w:vAlign w:val="center"/>
                </w:tcPr>
                <w:p w14:paraId="7BFE3522">
                  <w:pPr>
                    <w:jc w:val="center"/>
                    <w:rPr>
                      <w:rFonts w:hint="default" w:ascii="Times New Roman" w:hAnsi="Times New Roman" w:eastAsia="仿宋" w:cs="Times New Roman"/>
                      <w:color w:val="auto"/>
                      <w:sz w:val="21"/>
                      <w:szCs w:val="21"/>
                    </w:rPr>
                  </w:pPr>
                </w:p>
              </w:tc>
              <w:tc>
                <w:tcPr>
                  <w:tcW w:w="1041" w:type="pct"/>
                  <w:shd w:val="clear" w:color="auto" w:fill="auto"/>
                  <w:vAlign w:val="center"/>
                </w:tcPr>
                <w:p w14:paraId="56303BC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HW49其他废物900-047-49</w:t>
                  </w:r>
                </w:p>
              </w:tc>
              <w:tc>
                <w:tcPr>
                  <w:tcW w:w="429" w:type="pct"/>
                  <w:shd w:val="clear" w:color="auto" w:fill="auto"/>
                  <w:vAlign w:val="center"/>
                </w:tcPr>
                <w:p w14:paraId="52BF9FB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0.06</w:t>
                  </w:r>
                </w:p>
              </w:tc>
              <w:tc>
                <w:tcPr>
                  <w:tcW w:w="511" w:type="pct"/>
                  <w:vMerge w:val="continue"/>
                  <w:vAlign w:val="center"/>
                </w:tcPr>
                <w:p w14:paraId="4A4144A9">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4A0F7FCB">
                  <w:pPr>
                    <w:jc w:val="center"/>
                    <w:rPr>
                      <w:rFonts w:hint="default" w:ascii="Times New Roman" w:hAnsi="Times New Roman" w:eastAsia="仿宋" w:cs="Times New Roman"/>
                      <w:color w:val="auto"/>
                      <w:sz w:val="21"/>
                      <w:szCs w:val="21"/>
                    </w:rPr>
                  </w:pPr>
                </w:p>
              </w:tc>
            </w:tr>
            <w:tr w14:paraId="3E151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4C03985A">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w:t>
                  </w:r>
                </w:p>
              </w:tc>
              <w:tc>
                <w:tcPr>
                  <w:tcW w:w="705" w:type="pct"/>
                  <w:shd w:val="clear" w:color="auto" w:fill="auto"/>
                  <w:vAlign w:val="center"/>
                </w:tcPr>
                <w:p w14:paraId="2F48B9E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废劳保用品及抹布</w:t>
                  </w:r>
                </w:p>
              </w:tc>
              <w:tc>
                <w:tcPr>
                  <w:tcW w:w="645" w:type="pct"/>
                  <w:shd w:val="clear" w:color="auto" w:fill="auto"/>
                  <w:vAlign w:val="center"/>
                </w:tcPr>
                <w:p w14:paraId="3F547B3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实验</w:t>
                  </w:r>
                </w:p>
              </w:tc>
              <w:tc>
                <w:tcPr>
                  <w:tcW w:w="841" w:type="pct"/>
                  <w:vMerge w:val="continue"/>
                  <w:vAlign w:val="center"/>
                </w:tcPr>
                <w:p w14:paraId="66B3EB48">
                  <w:pPr>
                    <w:jc w:val="center"/>
                    <w:rPr>
                      <w:rFonts w:hint="default" w:ascii="Times New Roman" w:hAnsi="Times New Roman" w:eastAsia="仿宋" w:cs="Times New Roman"/>
                      <w:color w:val="auto"/>
                      <w:sz w:val="21"/>
                      <w:szCs w:val="21"/>
                    </w:rPr>
                  </w:pPr>
                </w:p>
              </w:tc>
              <w:tc>
                <w:tcPr>
                  <w:tcW w:w="1041" w:type="pct"/>
                  <w:shd w:val="clear" w:color="auto" w:fill="auto"/>
                  <w:vAlign w:val="center"/>
                </w:tcPr>
                <w:p w14:paraId="105D13E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HW49其他废物900-047-49</w:t>
                  </w:r>
                </w:p>
              </w:tc>
              <w:tc>
                <w:tcPr>
                  <w:tcW w:w="429" w:type="pct"/>
                  <w:shd w:val="clear" w:color="auto" w:fill="auto"/>
                  <w:vAlign w:val="center"/>
                </w:tcPr>
                <w:p w14:paraId="3D2D86D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0.05</w:t>
                  </w:r>
                </w:p>
              </w:tc>
              <w:tc>
                <w:tcPr>
                  <w:tcW w:w="511" w:type="pct"/>
                  <w:vMerge w:val="continue"/>
                  <w:vAlign w:val="center"/>
                </w:tcPr>
                <w:p w14:paraId="30D59A1A">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56E96124">
                  <w:pPr>
                    <w:jc w:val="center"/>
                    <w:rPr>
                      <w:rFonts w:hint="default" w:ascii="Times New Roman" w:hAnsi="Times New Roman" w:eastAsia="仿宋" w:cs="Times New Roman"/>
                      <w:color w:val="auto"/>
                      <w:sz w:val="21"/>
                      <w:szCs w:val="21"/>
                    </w:rPr>
                  </w:pPr>
                </w:p>
              </w:tc>
            </w:tr>
            <w:tr w14:paraId="1F1DE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0FE8FD71">
                  <w:pPr>
                    <w:jc w:val="center"/>
                    <w:rPr>
                      <w:rFonts w:hint="eastAsia" w:ascii="Times New Roman" w:hAnsi="Times New Roman" w:eastAsia="仿宋" w:cs="Times New Roman"/>
                      <w:color w:val="auto"/>
                      <w:sz w:val="21"/>
                      <w:szCs w:val="21"/>
                      <w:lang w:eastAsia="zh-CN"/>
                    </w:rPr>
                  </w:pPr>
                  <w:r>
                    <w:rPr>
                      <w:rFonts w:hint="eastAsia" w:eastAsia="仿宋" w:cs="Times New Roman"/>
                      <w:color w:val="auto"/>
                      <w:sz w:val="21"/>
                      <w:szCs w:val="21"/>
                      <w:lang w:val="en-US" w:eastAsia="zh-CN"/>
                    </w:rPr>
                    <w:t>6</w:t>
                  </w:r>
                </w:p>
              </w:tc>
              <w:tc>
                <w:tcPr>
                  <w:tcW w:w="705" w:type="pct"/>
                  <w:shd w:val="clear" w:color="auto" w:fill="auto"/>
                  <w:vAlign w:val="center"/>
                </w:tcPr>
                <w:p w14:paraId="4B2A6C2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废活性炭</w:t>
                  </w:r>
                </w:p>
              </w:tc>
              <w:tc>
                <w:tcPr>
                  <w:tcW w:w="645" w:type="pct"/>
                  <w:shd w:val="clear" w:color="auto" w:fill="auto"/>
                  <w:vAlign w:val="center"/>
                </w:tcPr>
                <w:p w14:paraId="0C646B8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废气处理</w:t>
                  </w:r>
                </w:p>
              </w:tc>
              <w:tc>
                <w:tcPr>
                  <w:tcW w:w="841" w:type="pct"/>
                  <w:vMerge w:val="continue"/>
                  <w:vAlign w:val="center"/>
                </w:tcPr>
                <w:p w14:paraId="7E6E02E4">
                  <w:pPr>
                    <w:jc w:val="center"/>
                    <w:rPr>
                      <w:rFonts w:hint="default" w:ascii="Times New Roman" w:hAnsi="Times New Roman" w:eastAsia="仿宋" w:cs="Times New Roman"/>
                      <w:color w:val="auto"/>
                      <w:sz w:val="21"/>
                      <w:szCs w:val="21"/>
                    </w:rPr>
                  </w:pPr>
                </w:p>
              </w:tc>
              <w:tc>
                <w:tcPr>
                  <w:tcW w:w="1041" w:type="pct"/>
                  <w:shd w:val="clear" w:color="auto" w:fill="auto"/>
                  <w:vAlign w:val="center"/>
                </w:tcPr>
                <w:p w14:paraId="248D91C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06F0B56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900-039-49</w:t>
                  </w:r>
                </w:p>
              </w:tc>
              <w:tc>
                <w:tcPr>
                  <w:tcW w:w="429" w:type="pct"/>
                  <w:shd w:val="clear" w:color="auto" w:fill="auto"/>
                  <w:vAlign w:val="center"/>
                </w:tcPr>
                <w:p w14:paraId="30304F2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0.0083</w:t>
                  </w:r>
                </w:p>
              </w:tc>
              <w:tc>
                <w:tcPr>
                  <w:tcW w:w="511" w:type="pct"/>
                  <w:vMerge w:val="continue"/>
                  <w:vAlign w:val="center"/>
                </w:tcPr>
                <w:p w14:paraId="5DDB092A">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1796C886">
                  <w:pPr>
                    <w:jc w:val="center"/>
                    <w:rPr>
                      <w:rFonts w:hint="default" w:ascii="Times New Roman" w:hAnsi="Times New Roman" w:eastAsia="仿宋" w:cs="Times New Roman"/>
                      <w:color w:val="auto"/>
                      <w:sz w:val="21"/>
                      <w:szCs w:val="21"/>
                    </w:rPr>
                  </w:pPr>
                </w:p>
              </w:tc>
            </w:tr>
          </w:tbl>
          <w:p w14:paraId="12387570">
            <w:pPr>
              <w:adjustRightInd w:val="0"/>
              <w:snapToGrid w:val="0"/>
              <w:ind w:firstLine="200" w:firstLineChars="200"/>
              <w:jc w:val="left"/>
              <w:rPr>
                <w:rFonts w:hint="default" w:ascii="Times New Roman" w:hAnsi="Times New Roman" w:eastAsia="仿宋" w:cs="Times New Roman"/>
                <w:bCs/>
                <w:color w:val="auto"/>
                <w:sz w:val="10"/>
                <w:szCs w:val="10"/>
              </w:rPr>
            </w:pPr>
          </w:p>
          <w:p w14:paraId="40F79A05">
            <w:pPr>
              <w:adjustRightInd w:val="0"/>
              <w:snapToGrid w:val="0"/>
              <w:jc w:val="center"/>
              <w:rPr>
                <w:rFonts w:hint="default" w:ascii="Times New Roman" w:hAnsi="Times New Roman" w:eastAsia="仿宋" w:cs="Times New Roman"/>
                <w:b/>
                <w:bCs/>
                <w:color w:val="auto"/>
                <w:sz w:val="24"/>
              </w:rPr>
            </w:pPr>
          </w:p>
          <w:p w14:paraId="7DD37E70">
            <w:pPr>
              <w:adjustRightInd w:val="0"/>
              <w:snapToGrid w:val="0"/>
              <w:jc w:val="center"/>
              <w:rPr>
                <w:rFonts w:hint="default" w:ascii="Times New Roman" w:hAnsi="Times New Roman" w:eastAsia="仿宋" w:cs="Times New Roman"/>
                <w:b/>
                <w:bCs/>
                <w:color w:val="auto"/>
                <w:sz w:val="24"/>
              </w:rPr>
            </w:pPr>
          </w:p>
          <w:p w14:paraId="7C9ED78F">
            <w:pPr>
              <w:adjustRightInd w:val="0"/>
              <w:snapToGrid w:val="0"/>
              <w:jc w:val="center"/>
              <w:rPr>
                <w:rFonts w:hint="default" w:ascii="Times New Roman" w:hAnsi="Times New Roman" w:eastAsia="仿宋" w:cs="Times New Roman"/>
                <w:b/>
                <w:bCs/>
                <w:color w:val="auto"/>
                <w:sz w:val="24"/>
              </w:rPr>
            </w:pPr>
          </w:p>
          <w:p w14:paraId="6E1B4A69">
            <w:pPr>
              <w:adjustRightInd w:val="0"/>
              <w:snapToGrid w:val="0"/>
              <w:jc w:val="center"/>
              <w:rPr>
                <w:rFonts w:hint="default" w:ascii="Times New Roman" w:hAnsi="Times New Roman" w:eastAsia="仿宋" w:cs="Times New Roman"/>
                <w:b/>
                <w:bCs/>
                <w:color w:val="auto"/>
                <w:sz w:val="24"/>
              </w:rPr>
            </w:pPr>
          </w:p>
          <w:p w14:paraId="3F8FF49F">
            <w:pPr>
              <w:adjustRightInd w:val="0"/>
              <w:snapToGrid w:val="0"/>
              <w:jc w:val="center"/>
              <w:rPr>
                <w:rFonts w:hint="default" w:ascii="Times New Roman" w:hAnsi="Times New Roman" w:eastAsia="仿宋" w:cs="Times New Roman"/>
                <w:b/>
                <w:bCs/>
                <w:color w:val="auto"/>
                <w:sz w:val="24"/>
              </w:rPr>
            </w:pPr>
          </w:p>
          <w:p w14:paraId="59954926">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28</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全厂</w:t>
            </w:r>
            <w:r>
              <w:rPr>
                <w:rFonts w:hint="default" w:ascii="Times New Roman" w:hAnsi="Times New Roman" w:eastAsia="仿宋" w:cs="Times New Roman"/>
                <w:b/>
                <w:bCs/>
                <w:color w:val="auto"/>
                <w:sz w:val="24"/>
              </w:rPr>
              <w:t>固体废物具体处置方式表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1"/>
              <w:gridCol w:w="1147"/>
              <w:gridCol w:w="1142"/>
              <w:gridCol w:w="1425"/>
              <w:gridCol w:w="1687"/>
              <w:gridCol w:w="804"/>
              <w:gridCol w:w="867"/>
              <w:gridCol w:w="925"/>
            </w:tblGrid>
            <w:tr w14:paraId="178B9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625F00EE">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677" w:type="pct"/>
                  <w:vAlign w:val="center"/>
                </w:tcPr>
                <w:p w14:paraId="3FFB7D7D">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固体废物名称</w:t>
                  </w:r>
                </w:p>
              </w:tc>
              <w:tc>
                <w:tcPr>
                  <w:tcW w:w="674" w:type="pct"/>
                  <w:vAlign w:val="center"/>
                </w:tcPr>
                <w:p w14:paraId="55033323">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产生来源</w:t>
                  </w:r>
                </w:p>
              </w:tc>
              <w:tc>
                <w:tcPr>
                  <w:tcW w:w="841" w:type="pct"/>
                  <w:vAlign w:val="center"/>
                </w:tcPr>
                <w:p w14:paraId="64FAC47A">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属性（危险废物、一般工业固体废物或待鉴别）</w:t>
                  </w:r>
                </w:p>
              </w:tc>
              <w:tc>
                <w:tcPr>
                  <w:tcW w:w="996" w:type="pct"/>
                  <w:vAlign w:val="center"/>
                </w:tcPr>
                <w:p w14:paraId="17E7180C">
                  <w:pPr>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废物类别</w:t>
                  </w:r>
                  <w:r>
                    <w:rPr>
                      <w:rFonts w:hint="default" w:ascii="Times New Roman" w:hAnsi="Times New Roman" w:eastAsia="仿宋" w:cs="Times New Roman"/>
                      <w:b/>
                      <w:color w:val="auto"/>
                      <w:sz w:val="21"/>
                      <w:szCs w:val="21"/>
                      <w:lang w:val="en-US" w:eastAsia="zh-CN"/>
                    </w:rPr>
                    <w:t>及代码</w:t>
                  </w:r>
                </w:p>
              </w:tc>
              <w:tc>
                <w:tcPr>
                  <w:tcW w:w="474" w:type="pct"/>
                  <w:vAlign w:val="center"/>
                </w:tcPr>
                <w:p w14:paraId="2B3C07BF">
                  <w:pPr>
                    <w:jc w:val="center"/>
                    <w:rPr>
                      <w:rFonts w:hint="default" w:ascii="Times New Roman" w:hAnsi="Times New Roman" w:eastAsia="仿宋" w:cs="Times New Roman"/>
                      <w:b/>
                      <w:color w:val="auto"/>
                      <w:spacing w:val="-10"/>
                      <w:sz w:val="21"/>
                      <w:szCs w:val="21"/>
                    </w:rPr>
                  </w:pPr>
                  <w:r>
                    <w:rPr>
                      <w:rFonts w:hint="default" w:ascii="Times New Roman" w:hAnsi="Times New Roman" w:eastAsia="仿宋" w:cs="Times New Roman"/>
                      <w:b/>
                      <w:color w:val="auto"/>
                      <w:spacing w:val="-10"/>
                      <w:sz w:val="21"/>
                      <w:szCs w:val="21"/>
                    </w:rPr>
                    <w:t>产生量</w:t>
                  </w:r>
                </w:p>
                <w:p w14:paraId="68F0CAF6">
                  <w:pPr>
                    <w:jc w:val="center"/>
                    <w:rPr>
                      <w:rFonts w:hint="default" w:ascii="Times New Roman" w:hAnsi="Times New Roman" w:eastAsia="仿宋" w:cs="Times New Roman"/>
                      <w:b/>
                      <w:color w:val="auto"/>
                      <w:spacing w:val="-10"/>
                      <w:sz w:val="21"/>
                      <w:szCs w:val="21"/>
                    </w:rPr>
                  </w:pPr>
                  <w:r>
                    <w:rPr>
                      <w:rFonts w:hint="default" w:ascii="Times New Roman" w:hAnsi="Times New Roman" w:eastAsia="仿宋" w:cs="Times New Roman"/>
                      <w:b/>
                      <w:color w:val="auto"/>
                      <w:spacing w:val="-10"/>
                      <w:sz w:val="21"/>
                      <w:szCs w:val="21"/>
                    </w:rPr>
                    <w:t>(吨/年)</w:t>
                  </w:r>
                </w:p>
              </w:tc>
              <w:tc>
                <w:tcPr>
                  <w:tcW w:w="511" w:type="pct"/>
                  <w:vAlign w:val="center"/>
                </w:tcPr>
                <w:p w14:paraId="03ED4F07">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利用处置方式</w:t>
                  </w:r>
                </w:p>
              </w:tc>
              <w:tc>
                <w:tcPr>
                  <w:tcW w:w="546" w:type="pct"/>
                  <w:vAlign w:val="center"/>
                </w:tcPr>
                <w:p w14:paraId="45B5C755">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利用处置单位</w:t>
                  </w:r>
                </w:p>
              </w:tc>
            </w:tr>
            <w:tr w14:paraId="646F7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 w:hRule="atLeast"/>
                <w:jc w:val="center"/>
              </w:trPr>
              <w:tc>
                <w:tcPr>
                  <w:tcW w:w="278" w:type="pct"/>
                  <w:vAlign w:val="center"/>
                </w:tcPr>
                <w:p w14:paraId="6A5CC96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677" w:type="pct"/>
                  <w:vAlign w:val="center"/>
                </w:tcPr>
                <w:p w14:paraId="5BAEADF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不合格品</w:t>
                  </w:r>
                </w:p>
              </w:tc>
              <w:tc>
                <w:tcPr>
                  <w:tcW w:w="674" w:type="pct"/>
                  <w:vAlign w:val="center"/>
                </w:tcPr>
                <w:p w14:paraId="4C9FADD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检验、终检、测试</w:t>
                  </w:r>
                </w:p>
              </w:tc>
              <w:tc>
                <w:tcPr>
                  <w:tcW w:w="841" w:type="pct"/>
                  <w:vMerge w:val="restart"/>
                  <w:vAlign w:val="center"/>
                </w:tcPr>
                <w:p w14:paraId="727840F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w:t>
                  </w:r>
                </w:p>
                <w:p w14:paraId="655A27A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废物</w:t>
                  </w:r>
                </w:p>
              </w:tc>
              <w:tc>
                <w:tcPr>
                  <w:tcW w:w="996" w:type="pct"/>
                  <w:vAlign w:val="center"/>
                </w:tcPr>
                <w:p w14:paraId="6D1BFF1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SW17可再生类废物</w:t>
                  </w:r>
                  <w:r>
                    <w:rPr>
                      <w:rFonts w:hint="default" w:ascii="Times New Roman" w:hAnsi="Times New Roman" w:eastAsia="仿宋" w:cs="Times New Roman"/>
                      <w:color w:val="auto"/>
                      <w:sz w:val="21"/>
                      <w:szCs w:val="21"/>
                      <w:lang w:val="en-US" w:eastAsia="zh-CN"/>
                    </w:rPr>
                    <w:t>900-008-S17</w:t>
                  </w:r>
                </w:p>
              </w:tc>
              <w:tc>
                <w:tcPr>
                  <w:tcW w:w="474" w:type="pct"/>
                  <w:vAlign w:val="center"/>
                </w:tcPr>
                <w:p w14:paraId="1A87D6B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511" w:type="pct"/>
                  <w:vMerge w:val="restart"/>
                  <w:vAlign w:val="center"/>
                </w:tcPr>
                <w:p w14:paraId="6AF3E88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外售</w:t>
                  </w:r>
                  <w:r>
                    <w:rPr>
                      <w:rFonts w:hint="default" w:ascii="Times New Roman" w:hAnsi="Times New Roman" w:eastAsia="仿宋" w:cs="Times New Roman"/>
                      <w:color w:val="auto"/>
                      <w:sz w:val="21"/>
                      <w:szCs w:val="21"/>
                    </w:rPr>
                    <w:t>综合利用</w:t>
                  </w:r>
                </w:p>
              </w:tc>
              <w:tc>
                <w:tcPr>
                  <w:tcW w:w="546" w:type="pct"/>
                  <w:vMerge w:val="restart"/>
                  <w:vAlign w:val="center"/>
                </w:tcPr>
                <w:p w14:paraId="7EADDEE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7B897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2C62EBB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677" w:type="pct"/>
                  <w:vAlign w:val="center"/>
                </w:tcPr>
                <w:p w14:paraId="6E18CDB1">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边角料</w:t>
                  </w:r>
                </w:p>
              </w:tc>
              <w:tc>
                <w:tcPr>
                  <w:tcW w:w="674" w:type="pct"/>
                  <w:vAlign w:val="center"/>
                </w:tcPr>
                <w:p w14:paraId="27AACA5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打孔</w:t>
                  </w:r>
                </w:p>
              </w:tc>
              <w:tc>
                <w:tcPr>
                  <w:tcW w:w="841" w:type="pct"/>
                  <w:vMerge w:val="continue"/>
                  <w:vAlign w:val="center"/>
                </w:tcPr>
                <w:p w14:paraId="6682CB63">
                  <w:pPr>
                    <w:jc w:val="center"/>
                    <w:rPr>
                      <w:rFonts w:hint="default" w:ascii="Times New Roman" w:hAnsi="Times New Roman" w:eastAsia="仿宋" w:cs="Times New Roman"/>
                      <w:color w:val="auto"/>
                      <w:sz w:val="21"/>
                      <w:szCs w:val="21"/>
                    </w:rPr>
                  </w:pPr>
                </w:p>
              </w:tc>
              <w:tc>
                <w:tcPr>
                  <w:tcW w:w="996" w:type="pct"/>
                  <w:vAlign w:val="center"/>
                </w:tcPr>
                <w:p w14:paraId="02D066A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SW17可再生类废物</w:t>
                  </w:r>
                  <w:r>
                    <w:rPr>
                      <w:rFonts w:hint="default" w:ascii="Times New Roman" w:hAnsi="Times New Roman" w:eastAsia="仿宋" w:cs="Times New Roman"/>
                      <w:color w:val="auto"/>
                      <w:sz w:val="21"/>
                      <w:szCs w:val="21"/>
                      <w:lang w:val="en-US" w:eastAsia="zh-CN"/>
                    </w:rPr>
                    <w:t>900-002-S17</w:t>
                  </w:r>
                </w:p>
              </w:tc>
              <w:tc>
                <w:tcPr>
                  <w:tcW w:w="474" w:type="pct"/>
                  <w:vAlign w:val="center"/>
                </w:tcPr>
                <w:p w14:paraId="10EF2AA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44</w:t>
                  </w:r>
                </w:p>
              </w:tc>
              <w:tc>
                <w:tcPr>
                  <w:tcW w:w="511" w:type="pct"/>
                  <w:vMerge w:val="continue"/>
                  <w:vAlign w:val="center"/>
                </w:tcPr>
                <w:p w14:paraId="57402F05">
                  <w:pPr>
                    <w:jc w:val="center"/>
                    <w:rPr>
                      <w:rFonts w:hint="default" w:ascii="Times New Roman" w:hAnsi="Times New Roman" w:eastAsia="仿宋" w:cs="Times New Roman"/>
                      <w:color w:val="auto"/>
                      <w:sz w:val="21"/>
                      <w:szCs w:val="21"/>
                    </w:rPr>
                  </w:pPr>
                </w:p>
              </w:tc>
              <w:tc>
                <w:tcPr>
                  <w:tcW w:w="546" w:type="pct"/>
                  <w:vMerge w:val="continue"/>
                  <w:vAlign w:val="center"/>
                </w:tcPr>
                <w:p w14:paraId="58054430">
                  <w:pPr>
                    <w:jc w:val="center"/>
                    <w:rPr>
                      <w:rFonts w:hint="default" w:ascii="Times New Roman" w:hAnsi="Times New Roman" w:eastAsia="仿宋" w:cs="Times New Roman"/>
                      <w:color w:val="auto"/>
                      <w:sz w:val="21"/>
                      <w:szCs w:val="21"/>
                    </w:rPr>
                  </w:pPr>
                </w:p>
              </w:tc>
            </w:tr>
            <w:tr w14:paraId="67446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459F47D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77" w:type="pct"/>
                  <w:vAlign w:val="center"/>
                </w:tcPr>
                <w:p w14:paraId="60BB96E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废样品</w:t>
                  </w:r>
                </w:p>
              </w:tc>
              <w:tc>
                <w:tcPr>
                  <w:tcW w:w="674" w:type="pct"/>
                  <w:vAlign w:val="center"/>
                </w:tcPr>
                <w:p w14:paraId="5D05F9D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841" w:type="pct"/>
                  <w:vMerge w:val="continue"/>
                  <w:vAlign w:val="center"/>
                </w:tcPr>
                <w:p w14:paraId="0F98C679">
                  <w:pPr>
                    <w:jc w:val="center"/>
                    <w:rPr>
                      <w:rFonts w:hint="default" w:ascii="Times New Roman" w:hAnsi="Times New Roman" w:eastAsia="仿宋" w:cs="Times New Roman"/>
                      <w:color w:val="auto"/>
                      <w:sz w:val="21"/>
                      <w:szCs w:val="21"/>
                    </w:rPr>
                  </w:pPr>
                </w:p>
              </w:tc>
              <w:tc>
                <w:tcPr>
                  <w:tcW w:w="996" w:type="pct"/>
                  <w:vAlign w:val="center"/>
                </w:tcPr>
                <w:p w14:paraId="1DC0FDE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SW17可再生类废物</w:t>
                  </w:r>
                  <w:r>
                    <w:rPr>
                      <w:rFonts w:hint="default" w:ascii="Times New Roman" w:hAnsi="Times New Roman" w:eastAsia="仿宋" w:cs="Times New Roman"/>
                      <w:color w:val="auto"/>
                      <w:sz w:val="21"/>
                      <w:szCs w:val="21"/>
                      <w:lang w:val="en-US" w:eastAsia="zh-CN"/>
                    </w:rPr>
                    <w:t>900-099-S17</w:t>
                  </w:r>
                </w:p>
              </w:tc>
              <w:tc>
                <w:tcPr>
                  <w:tcW w:w="474" w:type="pct"/>
                  <w:vAlign w:val="center"/>
                </w:tcPr>
                <w:p w14:paraId="3A4AC5B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2.1</w:t>
                  </w:r>
                </w:p>
              </w:tc>
              <w:tc>
                <w:tcPr>
                  <w:tcW w:w="511" w:type="pct"/>
                  <w:vMerge w:val="continue"/>
                  <w:vAlign w:val="center"/>
                </w:tcPr>
                <w:p w14:paraId="3F697B49">
                  <w:pPr>
                    <w:jc w:val="center"/>
                    <w:rPr>
                      <w:rFonts w:hint="default" w:ascii="Times New Roman" w:hAnsi="Times New Roman" w:eastAsia="仿宋" w:cs="Times New Roman"/>
                      <w:color w:val="auto"/>
                      <w:sz w:val="21"/>
                      <w:szCs w:val="21"/>
                    </w:rPr>
                  </w:pPr>
                </w:p>
              </w:tc>
              <w:tc>
                <w:tcPr>
                  <w:tcW w:w="546" w:type="pct"/>
                  <w:vMerge w:val="continue"/>
                  <w:vAlign w:val="center"/>
                </w:tcPr>
                <w:p w14:paraId="080CEEB3">
                  <w:pPr>
                    <w:jc w:val="center"/>
                    <w:rPr>
                      <w:rFonts w:hint="default" w:ascii="Times New Roman" w:hAnsi="Times New Roman" w:eastAsia="仿宋" w:cs="Times New Roman"/>
                      <w:color w:val="auto"/>
                      <w:sz w:val="21"/>
                      <w:szCs w:val="21"/>
                    </w:rPr>
                  </w:pPr>
                </w:p>
              </w:tc>
            </w:tr>
            <w:tr w14:paraId="4EE37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8" w:type="pct"/>
                  <w:vAlign w:val="center"/>
                </w:tcPr>
                <w:p w14:paraId="4232547A">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4</w:t>
                  </w:r>
                </w:p>
              </w:tc>
              <w:tc>
                <w:tcPr>
                  <w:tcW w:w="677" w:type="pct"/>
                  <w:vAlign w:val="center"/>
                </w:tcPr>
                <w:p w14:paraId="34083A63">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2#、3#反渗透系统废过滤</w:t>
                  </w:r>
                  <w:r>
                    <w:rPr>
                      <w:rFonts w:hint="eastAsia" w:eastAsia="仿宋" w:cs="Times New Roman"/>
                      <w:color w:val="auto"/>
                      <w:sz w:val="21"/>
                      <w:szCs w:val="21"/>
                      <w:lang w:val="en-US" w:eastAsia="zh-CN"/>
                    </w:rPr>
                    <w:t>杂质</w:t>
                  </w:r>
                </w:p>
              </w:tc>
              <w:tc>
                <w:tcPr>
                  <w:tcW w:w="674" w:type="pct"/>
                  <w:vAlign w:val="center"/>
                </w:tcPr>
                <w:p w14:paraId="13424C86">
                  <w:pPr>
                    <w:jc w:val="center"/>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纯水制备</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生产</w:t>
                  </w:r>
                  <w:r>
                    <w:rPr>
                      <w:rFonts w:hint="eastAsia" w:eastAsia="仿宋" w:cs="Times New Roman"/>
                      <w:color w:val="auto"/>
                      <w:sz w:val="21"/>
                      <w:szCs w:val="21"/>
                      <w:lang w:eastAsia="zh-CN"/>
                    </w:rPr>
                    <w:t>）</w:t>
                  </w:r>
                </w:p>
              </w:tc>
              <w:tc>
                <w:tcPr>
                  <w:tcW w:w="841" w:type="pct"/>
                  <w:vMerge w:val="continue"/>
                  <w:vAlign w:val="center"/>
                </w:tcPr>
                <w:p w14:paraId="6ACDEECE">
                  <w:pPr>
                    <w:jc w:val="center"/>
                    <w:rPr>
                      <w:rFonts w:hint="default" w:ascii="Times New Roman" w:hAnsi="Times New Roman" w:eastAsia="仿宋" w:cs="Times New Roman"/>
                      <w:color w:val="auto"/>
                      <w:sz w:val="21"/>
                      <w:szCs w:val="21"/>
                    </w:rPr>
                  </w:pPr>
                </w:p>
              </w:tc>
              <w:tc>
                <w:tcPr>
                  <w:tcW w:w="996" w:type="pct"/>
                  <w:vAlign w:val="center"/>
                </w:tcPr>
                <w:p w14:paraId="1629CE9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SW59其他工业固体废物</w:t>
                  </w:r>
                  <w:r>
                    <w:rPr>
                      <w:rFonts w:hint="default" w:ascii="Times New Roman" w:hAnsi="Times New Roman" w:eastAsia="仿宋" w:cs="Times New Roman"/>
                      <w:color w:val="auto"/>
                      <w:sz w:val="21"/>
                      <w:szCs w:val="21"/>
                      <w:lang w:val="en-US" w:eastAsia="zh-CN"/>
                    </w:rPr>
                    <w:t>900-009-S59</w:t>
                  </w:r>
                </w:p>
              </w:tc>
              <w:tc>
                <w:tcPr>
                  <w:tcW w:w="474" w:type="pct"/>
                  <w:vAlign w:val="center"/>
                </w:tcPr>
                <w:p w14:paraId="6E82A0F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0.15</w:t>
                  </w:r>
                </w:p>
              </w:tc>
              <w:tc>
                <w:tcPr>
                  <w:tcW w:w="511" w:type="pct"/>
                  <w:vMerge w:val="continue"/>
                  <w:vAlign w:val="center"/>
                </w:tcPr>
                <w:p w14:paraId="14D77909">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9286AE5">
                  <w:pPr>
                    <w:jc w:val="center"/>
                    <w:rPr>
                      <w:rFonts w:hint="default" w:ascii="Times New Roman" w:hAnsi="Times New Roman" w:eastAsia="仿宋" w:cs="Times New Roman"/>
                      <w:color w:val="auto"/>
                      <w:sz w:val="21"/>
                      <w:szCs w:val="21"/>
                    </w:rPr>
                  </w:pPr>
                </w:p>
              </w:tc>
            </w:tr>
            <w:tr w14:paraId="68003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8" w:type="pct"/>
                  <w:shd w:val="clear" w:color="auto" w:fill="auto"/>
                  <w:vAlign w:val="center"/>
                </w:tcPr>
                <w:p w14:paraId="396A525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677" w:type="pct"/>
                  <w:vAlign w:val="center"/>
                </w:tcPr>
                <w:p w14:paraId="2087A5FB">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废过滤材料</w:t>
                  </w:r>
                </w:p>
              </w:tc>
              <w:tc>
                <w:tcPr>
                  <w:tcW w:w="674" w:type="pct"/>
                  <w:vAlign w:val="center"/>
                </w:tcPr>
                <w:p w14:paraId="7A8234BE">
                  <w:pPr>
                    <w:jc w:val="center"/>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纯水制备（实验室）</w:t>
                  </w:r>
                </w:p>
              </w:tc>
              <w:tc>
                <w:tcPr>
                  <w:tcW w:w="841" w:type="pct"/>
                  <w:vMerge w:val="continue"/>
                  <w:vAlign w:val="center"/>
                </w:tcPr>
                <w:p w14:paraId="4D13E93C">
                  <w:pPr>
                    <w:jc w:val="center"/>
                    <w:rPr>
                      <w:rFonts w:hint="default" w:ascii="Times New Roman" w:hAnsi="Times New Roman" w:eastAsia="仿宋" w:cs="Times New Roman"/>
                      <w:color w:val="auto"/>
                      <w:sz w:val="21"/>
                      <w:szCs w:val="21"/>
                    </w:rPr>
                  </w:pPr>
                </w:p>
              </w:tc>
              <w:tc>
                <w:tcPr>
                  <w:tcW w:w="996" w:type="pct"/>
                  <w:vAlign w:val="center"/>
                </w:tcPr>
                <w:p w14:paraId="2FE950D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SW59其他工业固体废物</w:t>
                  </w:r>
                  <w:r>
                    <w:rPr>
                      <w:rFonts w:hint="default" w:ascii="Times New Roman" w:hAnsi="Times New Roman" w:eastAsia="仿宋" w:cs="Times New Roman"/>
                      <w:color w:val="auto"/>
                      <w:sz w:val="21"/>
                      <w:szCs w:val="21"/>
                      <w:lang w:val="en-US" w:eastAsia="zh-CN"/>
                    </w:rPr>
                    <w:t>900-009-S59</w:t>
                  </w:r>
                </w:p>
              </w:tc>
              <w:tc>
                <w:tcPr>
                  <w:tcW w:w="474" w:type="pct"/>
                  <w:vAlign w:val="center"/>
                </w:tcPr>
                <w:p w14:paraId="1D0552A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0.15</w:t>
                  </w:r>
                </w:p>
              </w:tc>
              <w:tc>
                <w:tcPr>
                  <w:tcW w:w="511" w:type="pct"/>
                  <w:vMerge w:val="continue"/>
                  <w:vAlign w:val="center"/>
                </w:tcPr>
                <w:p w14:paraId="4E567BDC">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640C371">
                  <w:pPr>
                    <w:jc w:val="center"/>
                    <w:rPr>
                      <w:rFonts w:hint="default" w:ascii="Times New Roman" w:hAnsi="Times New Roman" w:eastAsia="仿宋" w:cs="Times New Roman"/>
                      <w:color w:val="auto"/>
                      <w:sz w:val="21"/>
                      <w:szCs w:val="21"/>
                    </w:rPr>
                  </w:pPr>
                </w:p>
              </w:tc>
            </w:tr>
            <w:tr w14:paraId="1FA3C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7CD00E4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6</w:t>
                  </w:r>
                </w:p>
              </w:tc>
              <w:tc>
                <w:tcPr>
                  <w:tcW w:w="677" w:type="pct"/>
                  <w:vAlign w:val="center"/>
                </w:tcPr>
                <w:p w14:paraId="6AC1192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废锡膏</w:t>
                  </w:r>
                </w:p>
              </w:tc>
              <w:tc>
                <w:tcPr>
                  <w:tcW w:w="674" w:type="pct"/>
                  <w:vAlign w:val="center"/>
                </w:tcPr>
                <w:p w14:paraId="04741DC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锡膏印刷</w:t>
                  </w:r>
                </w:p>
              </w:tc>
              <w:tc>
                <w:tcPr>
                  <w:tcW w:w="841" w:type="pct"/>
                  <w:vMerge w:val="restart"/>
                  <w:vAlign w:val="center"/>
                </w:tcPr>
                <w:p w14:paraId="449DEF6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w:t>
                  </w:r>
                </w:p>
              </w:tc>
              <w:tc>
                <w:tcPr>
                  <w:tcW w:w="996" w:type="pct"/>
                  <w:vAlign w:val="center"/>
                </w:tcPr>
                <w:p w14:paraId="351785E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5445C20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12E36BA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0.9</w:t>
                  </w:r>
                </w:p>
              </w:tc>
              <w:tc>
                <w:tcPr>
                  <w:tcW w:w="511" w:type="pct"/>
                  <w:vMerge w:val="restart"/>
                  <w:vAlign w:val="center"/>
                </w:tcPr>
                <w:p w14:paraId="49B7111F">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委托处置</w:t>
                  </w:r>
                </w:p>
              </w:tc>
              <w:tc>
                <w:tcPr>
                  <w:tcW w:w="546" w:type="pct"/>
                  <w:vMerge w:val="restart"/>
                  <w:vAlign w:val="center"/>
                </w:tcPr>
                <w:p w14:paraId="12E0133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具备处置资质和处置能力的单位</w:t>
                  </w:r>
                </w:p>
              </w:tc>
            </w:tr>
            <w:tr w14:paraId="44891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3594F6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w:t>
                  </w:r>
                </w:p>
              </w:tc>
              <w:tc>
                <w:tcPr>
                  <w:tcW w:w="677" w:type="pct"/>
                  <w:vAlign w:val="center"/>
                </w:tcPr>
                <w:p w14:paraId="0417927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超声波清洗废液</w:t>
                  </w:r>
                </w:p>
              </w:tc>
              <w:tc>
                <w:tcPr>
                  <w:tcW w:w="674" w:type="pct"/>
                  <w:vAlign w:val="center"/>
                </w:tcPr>
                <w:p w14:paraId="08A000E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超声波清洗</w:t>
                  </w:r>
                </w:p>
              </w:tc>
              <w:tc>
                <w:tcPr>
                  <w:tcW w:w="841" w:type="pct"/>
                  <w:vMerge w:val="continue"/>
                  <w:vAlign w:val="center"/>
                </w:tcPr>
                <w:p w14:paraId="0CCBCD18">
                  <w:pPr>
                    <w:jc w:val="center"/>
                    <w:rPr>
                      <w:rFonts w:hint="default" w:ascii="Times New Roman" w:hAnsi="Times New Roman" w:eastAsia="仿宋" w:cs="Times New Roman"/>
                      <w:color w:val="auto"/>
                      <w:sz w:val="21"/>
                      <w:szCs w:val="21"/>
                    </w:rPr>
                  </w:pPr>
                </w:p>
              </w:tc>
              <w:tc>
                <w:tcPr>
                  <w:tcW w:w="996" w:type="pct"/>
                  <w:vAlign w:val="center"/>
                </w:tcPr>
                <w:p w14:paraId="56A847A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HW17表面处理废物</w:t>
                  </w:r>
                  <w:r>
                    <w:rPr>
                      <w:rFonts w:hint="default" w:ascii="Times New Roman" w:hAnsi="Times New Roman" w:eastAsia="仿宋" w:cs="Times New Roman"/>
                      <w:color w:val="auto"/>
                      <w:sz w:val="21"/>
                      <w:szCs w:val="21"/>
                      <w:lang w:val="en-US" w:eastAsia="zh-CN"/>
                    </w:rPr>
                    <w:t>336-064-17</w:t>
                  </w:r>
                </w:p>
              </w:tc>
              <w:tc>
                <w:tcPr>
                  <w:tcW w:w="474" w:type="pct"/>
                  <w:vAlign w:val="center"/>
                </w:tcPr>
                <w:p w14:paraId="258964E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110</w:t>
                  </w:r>
                </w:p>
              </w:tc>
              <w:tc>
                <w:tcPr>
                  <w:tcW w:w="511" w:type="pct"/>
                  <w:vMerge w:val="continue"/>
                  <w:vAlign w:val="center"/>
                </w:tcPr>
                <w:p w14:paraId="4C465D71">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69D421FD">
                  <w:pPr>
                    <w:jc w:val="center"/>
                    <w:rPr>
                      <w:rFonts w:hint="default" w:ascii="Times New Roman" w:hAnsi="Times New Roman" w:eastAsia="仿宋" w:cs="Times New Roman"/>
                      <w:color w:val="auto"/>
                      <w:sz w:val="21"/>
                      <w:szCs w:val="21"/>
                    </w:rPr>
                  </w:pPr>
                </w:p>
              </w:tc>
            </w:tr>
            <w:tr w14:paraId="0D7B6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0820552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8</w:t>
                  </w:r>
                </w:p>
              </w:tc>
              <w:tc>
                <w:tcPr>
                  <w:tcW w:w="677" w:type="pct"/>
                  <w:vAlign w:val="center"/>
                </w:tcPr>
                <w:p w14:paraId="5A61E5A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废涂料</w:t>
                  </w:r>
                </w:p>
              </w:tc>
              <w:tc>
                <w:tcPr>
                  <w:tcW w:w="674" w:type="pct"/>
                  <w:vAlign w:val="center"/>
                </w:tcPr>
                <w:p w14:paraId="22A6BB6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点漆</w:t>
                  </w:r>
                </w:p>
              </w:tc>
              <w:tc>
                <w:tcPr>
                  <w:tcW w:w="841" w:type="pct"/>
                  <w:vMerge w:val="continue"/>
                  <w:vAlign w:val="center"/>
                </w:tcPr>
                <w:p w14:paraId="19789EBB">
                  <w:pPr>
                    <w:jc w:val="center"/>
                    <w:rPr>
                      <w:rFonts w:hint="default" w:ascii="Times New Roman" w:hAnsi="Times New Roman" w:eastAsia="仿宋" w:cs="Times New Roman"/>
                      <w:color w:val="auto"/>
                      <w:sz w:val="21"/>
                      <w:szCs w:val="21"/>
                    </w:rPr>
                  </w:pPr>
                </w:p>
              </w:tc>
              <w:tc>
                <w:tcPr>
                  <w:tcW w:w="996" w:type="pct"/>
                  <w:vAlign w:val="center"/>
                </w:tcPr>
                <w:p w14:paraId="46CAEF2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HW12染料、涂料废物</w:t>
                  </w:r>
                  <w:r>
                    <w:rPr>
                      <w:rFonts w:hint="default" w:ascii="Times New Roman" w:hAnsi="Times New Roman" w:eastAsia="仿宋" w:cs="Times New Roman"/>
                      <w:color w:val="auto"/>
                      <w:sz w:val="21"/>
                      <w:szCs w:val="21"/>
                      <w:lang w:val="en-US" w:eastAsia="zh-CN"/>
                    </w:rPr>
                    <w:t>900-299-12</w:t>
                  </w:r>
                </w:p>
              </w:tc>
              <w:tc>
                <w:tcPr>
                  <w:tcW w:w="474" w:type="pct"/>
                  <w:vAlign w:val="center"/>
                </w:tcPr>
                <w:p w14:paraId="1C7D563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0.7</w:t>
                  </w:r>
                </w:p>
              </w:tc>
              <w:tc>
                <w:tcPr>
                  <w:tcW w:w="511" w:type="pct"/>
                  <w:vMerge w:val="continue"/>
                  <w:vAlign w:val="center"/>
                </w:tcPr>
                <w:p w14:paraId="71D3C560">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1840EDC8">
                  <w:pPr>
                    <w:jc w:val="center"/>
                    <w:rPr>
                      <w:rFonts w:hint="default" w:ascii="Times New Roman" w:hAnsi="Times New Roman" w:eastAsia="仿宋" w:cs="Times New Roman"/>
                      <w:color w:val="auto"/>
                      <w:sz w:val="21"/>
                      <w:szCs w:val="21"/>
                    </w:rPr>
                  </w:pPr>
                </w:p>
              </w:tc>
            </w:tr>
            <w:tr w14:paraId="30FDF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48B59B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w:t>
                  </w:r>
                </w:p>
              </w:tc>
              <w:tc>
                <w:tcPr>
                  <w:tcW w:w="677" w:type="pct"/>
                  <w:vAlign w:val="center"/>
                </w:tcPr>
                <w:p w14:paraId="555C132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废胶</w:t>
                  </w:r>
                </w:p>
              </w:tc>
              <w:tc>
                <w:tcPr>
                  <w:tcW w:w="674" w:type="pct"/>
                  <w:vAlign w:val="center"/>
                </w:tcPr>
                <w:p w14:paraId="01AF73B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点胶</w:t>
                  </w:r>
                </w:p>
              </w:tc>
              <w:tc>
                <w:tcPr>
                  <w:tcW w:w="841" w:type="pct"/>
                  <w:vMerge w:val="continue"/>
                  <w:vAlign w:val="center"/>
                </w:tcPr>
                <w:p w14:paraId="3AB36645">
                  <w:pPr>
                    <w:jc w:val="center"/>
                    <w:rPr>
                      <w:rFonts w:hint="default" w:ascii="Times New Roman" w:hAnsi="Times New Roman" w:eastAsia="仿宋" w:cs="Times New Roman"/>
                      <w:color w:val="auto"/>
                      <w:sz w:val="21"/>
                      <w:szCs w:val="21"/>
                    </w:rPr>
                  </w:pPr>
                </w:p>
              </w:tc>
              <w:tc>
                <w:tcPr>
                  <w:tcW w:w="996" w:type="pct"/>
                  <w:vAlign w:val="center"/>
                </w:tcPr>
                <w:p w14:paraId="7692B789">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HW13有机树脂类废物</w:t>
                  </w:r>
                  <w:r>
                    <w:rPr>
                      <w:rFonts w:hint="default" w:ascii="Times New Roman" w:hAnsi="Times New Roman" w:eastAsia="仿宋" w:cs="Times New Roman"/>
                      <w:color w:val="auto"/>
                      <w:sz w:val="21"/>
                      <w:szCs w:val="21"/>
                      <w:lang w:val="en-US" w:eastAsia="zh-CN"/>
                    </w:rPr>
                    <w:t>900-014-13</w:t>
                  </w:r>
                </w:p>
              </w:tc>
              <w:tc>
                <w:tcPr>
                  <w:tcW w:w="474" w:type="pct"/>
                  <w:vAlign w:val="center"/>
                </w:tcPr>
                <w:p w14:paraId="609E096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0.01</w:t>
                  </w:r>
                </w:p>
              </w:tc>
              <w:tc>
                <w:tcPr>
                  <w:tcW w:w="511" w:type="pct"/>
                  <w:vMerge w:val="continue"/>
                  <w:vAlign w:val="center"/>
                </w:tcPr>
                <w:p w14:paraId="436DE908">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5E4CAACA">
                  <w:pPr>
                    <w:jc w:val="center"/>
                    <w:rPr>
                      <w:rFonts w:hint="default" w:ascii="Times New Roman" w:hAnsi="Times New Roman" w:eastAsia="仿宋" w:cs="Times New Roman"/>
                      <w:color w:val="auto"/>
                      <w:sz w:val="21"/>
                      <w:szCs w:val="21"/>
                    </w:rPr>
                  </w:pPr>
                </w:p>
              </w:tc>
            </w:tr>
            <w:tr w14:paraId="4A360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04BA003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10</w:t>
                  </w:r>
                </w:p>
              </w:tc>
              <w:tc>
                <w:tcPr>
                  <w:tcW w:w="677" w:type="pct"/>
                  <w:vAlign w:val="center"/>
                </w:tcPr>
                <w:p w14:paraId="1C223EA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废冲压油</w:t>
                  </w:r>
                </w:p>
              </w:tc>
              <w:tc>
                <w:tcPr>
                  <w:tcW w:w="674" w:type="pct"/>
                  <w:vAlign w:val="center"/>
                </w:tcPr>
                <w:p w14:paraId="470DE5D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打孔</w:t>
                  </w:r>
                </w:p>
              </w:tc>
              <w:tc>
                <w:tcPr>
                  <w:tcW w:w="841" w:type="pct"/>
                  <w:vMerge w:val="continue"/>
                  <w:vAlign w:val="center"/>
                </w:tcPr>
                <w:p w14:paraId="0BFEB5E7">
                  <w:pPr>
                    <w:jc w:val="center"/>
                    <w:rPr>
                      <w:rFonts w:hint="default" w:ascii="Times New Roman" w:hAnsi="Times New Roman" w:eastAsia="仿宋" w:cs="Times New Roman"/>
                      <w:color w:val="auto"/>
                      <w:sz w:val="21"/>
                      <w:szCs w:val="21"/>
                    </w:rPr>
                  </w:pPr>
                </w:p>
              </w:tc>
              <w:tc>
                <w:tcPr>
                  <w:tcW w:w="996" w:type="pct"/>
                  <w:vAlign w:val="center"/>
                </w:tcPr>
                <w:p w14:paraId="7A66002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HW08废矿物油与含矿物油废物</w:t>
                  </w:r>
                  <w:r>
                    <w:rPr>
                      <w:rFonts w:hint="default" w:ascii="Times New Roman" w:hAnsi="Times New Roman" w:eastAsia="仿宋" w:cs="Times New Roman"/>
                      <w:color w:val="auto"/>
                      <w:sz w:val="21"/>
                      <w:szCs w:val="21"/>
                      <w:lang w:val="en-US" w:eastAsia="zh-CN"/>
                    </w:rPr>
                    <w:t>900-249-08</w:t>
                  </w:r>
                </w:p>
              </w:tc>
              <w:tc>
                <w:tcPr>
                  <w:tcW w:w="474" w:type="pct"/>
                  <w:vAlign w:val="center"/>
                </w:tcPr>
                <w:p w14:paraId="007751D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0.36</w:t>
                  </w:r>
                </w:p>
              </w:tc>
              <w:tc>
                <w:tcPr>
                  <w:tcW w:w="511" w:type="pct"/>
                  <w:vMerge w:val="continue"/>
                  <w:vAlign w:val="center"/>
                </w:tcPr>
                <w:p w14:paraId="654CBBE3">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E849020">
                  <w:pPr>
                    <w:jc w:val="center"/>
                    <w:rPr>
                      <w:rFonts w:hint="default" w:ascii="Times New Roman" w:hAnsi="Times New Roman" w:eastAsia="仿宋" w:cs="Times New Roman"/>
                      <w:color w:val="auto"/>
                      <w:sz w:val="21"/>
                      <w:szCs w:val="21"/>
                    </w:rPr>
                  </w:pPr>
                </w:p>
              </w:tc>
            </w:tr>
            <w:tr w14:paraId="15B39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59E44BE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11</w:t>
                  </w:r>
                </w:p>
              </w:tc>
              <w:tc>
                <w:tcPr>
                  <w:tcW w:w="677" w:type="pct"/>
                  <w:vAlign w:val="center"/>
                </w:tcPr>
                <w:p w14:paraId="6C4CB54F">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预清洗废液</w:t>
                  </w:r>
                </w:p>
              </w:tc>
              <w:tc>
                <w:tcPr>
                  <w:tcW w:w="674" w:type="pct"/>
                  <w:vAlign w:val="center"/>
                </w:tcPr>
                <w:p w14:paraId="10F0C8A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预清洗</w:t>
                  </w:r>
                </w:p>
              </w:tc>
              <w:tc>
                <w:tcPr>
                  <w:tcW w:w="841" w:type="pct"/>
                  <w:vMerge w:val="continue"/>
                  <w:vAlign w:val="center"/>
                </w:tcPr>
                <w:p w14:paraId="5C5C7878">
                  <w:pPr>
                    <w:jc w:val="center"/>
                    <w:rPr>
                      <w:rFonts w:hint="default" w:ascii="Times New Roman" w:hAnsi="Times New Roman" w:eastAsia="仿宋" w:cs="Times New Roman"/>
                      <w:color w:val="auto"/>
                      <w:sz w:val="21"/>
                      <w:szCs w:val="21"/>
                    </w:rPr>
                  </w:pPr>
                </w:p>
              </w:tc>
              <w:tc>
                <w:tcPr>
                  <w:tcW w:w="996" w:type="pct"/>
                  <w:vAlign w:val="center"/>
                </w:tcPr>
                <w:p w14:paraId="358F11D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HW17表面处理废物</w:t>
                  </w:r>
                  <w:r>
                    <w:rPr>
                      <w:rFonts w:hint="default" w:ascii="Times New Roman" w:hAnsi="Times New Roman" w:eastAsia="仿宋" w:cs="Times New Roman"/>
                      <w:color w:val="auto"/>
                      <w:sz w:val="21"/>
                      <w:szCs w:val="21"/>
                      <w:lang w:val="en-US" w:eastAsia="zh-CN"/>
                    </w:rPr>
                    <w:t>336-064-17</w:t>
                  </w:r>
                </w:p>
              </w:tc>
              <w:tc>
                <w:tcPr>
                  <w:tcW w:w="474" w:type="pct"/>
                  <w:vAlign w:val="center"/>
                </w:tcPr>
                <w:p w14:paraId="2C15E88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63</w:t>
                  </w:r>
                </w:p>
              </w:tc>
              <w:tc>
                <w:tcPr>
                  <w:tcW w:w="511" w:type="pct"/>
                  <w:vMerge w:val="continue"/>
                  <w:vAlign w:val="center"/>
                </w:tcPr>
                <w:p w14:paraId="4596F68C">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4176AF54">
                  <w:pPr>
                    <w:jc w:val="center"/>
                    <w:rPr>
                      <w:rFonts w:hint="default" w:ascii="Times New Roman" w:hAnsi="Times New Roman" w:eastAsia="仿宋" w:cs="Times New Roman"/>
                      <w:color w:val="auto"/>
                      <w:sz w:val="21"/>
                      <w:szCs w:val="21"/>
                    </w:rPr>
                  </w:pPr>
                </w:p>
              </w:tc>
            </w:tr>
            <w:tr w14:paraId="36123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1F80ED6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12</w:t>
                  </w:r>
                </w:p>
              </w:tc>
              <w:tc>
                <w:tcPr>
                  <w:tcW w:w="677" w:type="pct"/>
                  <w:vAlign w:val="center"/>
                </w:tcPr>
                <w:p w14:paraId="1764E03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废真空油</w:t>
                  </w:r>
                </w:p>
              </w:tc>
              <w:tc>
                <w:tcPr>
                  <w:tcW w:w="674" w:type="pct"/>
                  <w:vAlign w:val="center"/>
                </w:tcPr>
                <w:p w14:paraId="774E21D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真空泵运行</w:t>
                  </w:r>
                </w:p>
              </w:tc>
              <w:tc>
                <w:tcPr>
                  <w:tcW w:w="841" w:type="pct"/>
                  <w:vMerge w:val="continue"/>
                  <w:vAlign w:val="center"/>
                </w:tcPr>
                <w:p w14:paraId="1CBA5FF6">
                  <w:pPr>
                    <w:jc w:val="center"/>
                    <w:rPr>
                      <w:rFonts w:hint="default" w:ascii="Times New Roman" w:hAnsi="Times New Roman" w:eastAsia="仿宋" w:cs="Times New Roman"/>
                      <w:color w:val="auto"/>
                      <w:sz w:val="21"/>
                      <w:szCs w:val="21"/>
                    </w:rPr>
                  </w:pPr>
                </w:p>
              </w:tc>
              <w:tc>
                <w:tcPr>
                  <w:tcW w:w="996" w:type="pct"/>
                  <w:vAlign w:val="center"/>
                </w:tcPr>
                <w:p w14:paraId="1E58A24F">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HW08废矿物油与含矿物油废物</w:t>
                  </w:r>
                  <w:r>
                    <w:rPr>
                      <w:rFonts w:hint="default" w:ascii="Times New Roman" w:hAnsi="Times New Roman" w:eastAsia="仿宋" w:cs="Times New Roman"/>
                      <w:color w:val="auto"/>
                      <w:sz w:val="21"/>
                      <w:szCs w:val="21"/>
                      <w:lang w:val="en-US" w:eastAsia="zh-CN"/>
                    </w:rPr>
                    <w:t>900-249-08</w:t>
                  </w:r>
                </w:p>
              </w:tc>
              <w:tc>
                <w:tcPr>
                  <w:tcW w:w="474" w:type="pct"/>
                  <w:vAlign w:val="center"/>
                </w:tcPr>
                <w:p w14:paraId="78E4AF4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0.045</w:t>
                  </w:r>
                </w:p>
              </w:tc>
              <w:tc>
                <w:tcPr>
                  <w:tcW w:w="511" w:type="pct"/>
                  <w:vMerge w:val="continue"/>
                  <w:vAlign w:val="center"/>
                </w:tcPr>
                <w:p w14:paraId="28DA8B3B">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002604FC">
                  <w:pPr>
                    <w:jc w:val="center"/>
                    <w:rPr>
                      <w:rFonts w:hint="default" w:ascii="Times New Roman" w:hAnsi="Times New Roman" w:eastAsia="仿宋" w:cs="Times New Roman"/>
                      <w:color w:val="auto"/>
                      <w:sz w:val="21"/>
                      <w:szCs w:val="21"/>
                    </w:rPr>
                  </w:pPr>
                </w:p>
              </w:tc>
            </w:tr>
            <w:tr w14:paraId="2D932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19ED0B8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13</w:t>
                  </w:r>
                </w:p>
              </w:tc>
              <w:tc>
                <w:tcPr>
                  <w:tcW w:w="677" w:type="pct"/>
                  <w:vAlign w:val="center"/>
                </w:tcPr>
                <w:p w14:paraId="33921BC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酸洗废液</w:t>
                  </w:r>
                </w:p>
              </w:tc>
              <w:tc>
                <w:tcPr>
                  <w:tcW w:w="674" w:type="pct"/>
                  <w:vAlign w:val="center"/>
                </w:tcPr>
                <w:p w14:paraId="7F62FCB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酸洗</w:t>
                  </w:r>
                </w:p>
              </w:tc>
              <w:tc>
                <w:tcPr>
                  <w:tcW w:w="841" w:type="pct"/>
                  <w:vMerge w:val="continue"/>
                  <w:vAlign w:val="center"/>
                </w:tcPr>
                <w:p w14:paraId="6EACB6C9">
                  <w:pPr>
                    <w:jc w:val="center"/>
                    <w:rPr>
                      <w:rFonts w:hint="default" w:ascii="Times New Roman" w:hAnsi="Times New Roman" w:eastAsia="仿宋" w:cs="Times New Roman"/>
                      <w:color w:val="auto"/>
                      <w:sz w:val="21"/>
                      <w:szCs w:val="21"/>
                    </w:rPr>
                  </w:pPr>
                </w:p>
              </w:tc>
              <w:tc>
                <w:tcPr>
                  <w:tcW w:w="996" w:type="pct"/>
                  <w:vAlign w:val="center"/>
                </w:tcPr>
                <w:p w14:paraId="51BC51D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HW34废酸</w:t>
                  </w:r>
                </w:p>
                <w:p w14:paraId="4945F464">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398-005-34</w:t>
                  </w:r>
                </w:p>
              </w:tc>
              <w:tc>
                <w:tcPr>
                  <w:tcW w:w="474" w:type="pct"/>
                  <w:vAlign w:val="center"/>
                </w:tcPr>
                <w:p w14:paraId="609EFCF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31.5</w:t>
                  </w:r>
                </w:p>
              </w:tc>
              <w:tc>
                <w:tcPr>
                  <w:tcW w:w="511" w:type="pct"/>
                  <w:vMerge w:val="continue"/>
                  <w:vAlign w:val="center"/>
                </w:tcPr>
                <w:p w14:paraId="738B9E1D">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642AAD31">
                  <w:pPr>
                    <w:jc w:val="center"/>
                    <w:rPr>
                      <w:rFonts w:hint="default" w:ascii="Times New Roman" w:hAnsi="Times New Roman" w:eastAsia="仿宋" w:cs="Times New Roman"/>
                      <w:color w:val="auto"/>
                      <w:sz w:val="21"/>
                      <w:szCs w:val="21"/>
                    </w:rPr>
                  </w:pPr>
                </w:p>
              </w:tc>
            </w:tr>
            <w:tr w14:paraId="48AB3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2F4A359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14</w:t>
                  </w:r>
                </w:p>
              </w:tc>
              <w:tc>
                <w:tcPr>
                  <w:tcW w:w="677" w:type="pct"/>
                  <w:vAlign w:val="center"/>
                </w:tcPr>
                <w:p w14:paraId="5E3064F7">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测试废渣</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实验室废液</w:t>
                  </w:r>
                </w:p>
              </w:tc>
              <w:tc>
                <w:tcPr>
                  <w:tcW w:w="674" w:type="pct"/>
                  <w:vAlign w:val="center"/>
                </w:tcPr>
                <w:p w14:paraId="4FCFAF1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测试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实验</w:t>
                  </w:r>
                </w:p>
              </w:tc>
              <w:tc>
                <w:tcPr>
                  <w:tcW w:w="841" w:type="pct"/>
                  <w:vMerge w:val="continue"/>
                  <w:vAlign w:val="center"/>
                </w:tcPr>
                <w:p w14:paraId="1DAED3F0">
                  <w:pPr>
                    <w:jc w:val="center"/>
                    <w:rPr>
                      <w:rFonts w:hint="default" w:ascii="Times New Roman" w:hAnsi="Times New Roman" w:eastAsia="仿宋" w:cs="Times New Roman"/>
                      <w:color w:val="auto"/>
                      <w:sz w:val="21"/>
                      <w:szCs w:val="21"/>
                    </w:rPr>
                  </w:pPr>
                </w:p>
              </w:tc>
              <w:tc>
                <w:tcPr>
                  <w:tcW w:w="996" w:type="pct"/>
                  <w:vAlign w:val="center"/>
                </w:tcPr>
                <w:p w14:paraId="5EA7D4B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1EE1994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900-047-49</w:t>
                  </w:r>
                </w:p>
              </w:tc>
              <w:tc>
                <w:tcPr>
                  <w:tcW w:w="474" w:type="pct"/>
                  <w:vAlign w:val="center"/>
                </w:tcPr>
                <w:p w14:paraId="1DF63308">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2.41</w:t>
                  </w:r>
                </w:p>
              </w:tc>
              <w:tc>
                <w:tcPr>
                  <w:tcW w:w="511" w:type="pct"/>
                  <w:vMerge w:val="continue"/>
                  <w:vAlign w:val="center"/>
                </w:tcPr>
                <w:p w14:paraId="6DF21B2D">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0B39C434">
                  <w:pPr>
                    <w:jc w:val="center"/>
                    <w:rPr>
                      <w:rFonts w:hint="default" w:ascii="Times New Roman" w:hAnsi="Times New Roman" w:eastAsia="仿宋" w:cs="Times New Roman"/>
                      <w:color w:val="auto"/>
                      <w:sz w:val="21"/>
                      <w:szCs w:val="21"/>
                    </w:rPr>
                  </w:pPr>
                </w:p>
              </w:tc>
            </w:tr>
            <w:tr w14:paraId="6533B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A6C80D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15</w:t>
                  </w:r>
                </w:p>
              </w:tc>
              <w:tc>
                <w:tcPr>
                  <w:tcW w:w="677" w:type="pct"/>
                  <w:vAlign w:val="center"/>
                </w:tcPr>
                <w:p w14:paraId="7BDBCBC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沾染清洗</w:t>
                  </w:r>
                </w:p>
                <w:p w14:paraId="3DE541F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剂废抹布</w:t>
                  </w:r>
                </w:p>
              </w:tc>
              <w:tc>
                <w:tcPr>
                  <w:tcW w:w="674" w:type="pct"/>
                  <w:vAlign w:val="center"/>
                </w:tcPr>
                <w:p w14:paraId="3F1B73D7">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设备擦拭</w:t>
                  </w:r>
                </w:p>
              </w:tc>
              <w:tc>
                <w:tcPr>
                  <w:tcW w:w="841" w:type="pct"/>
                  <w:vMerge w:val="continue"/>
                  <w:vAlign w:val="center"/>
                </w:tcPr>
                <w:p w14:paraId="1EB7E6D5">
                  <w:pPr>
                    <w:jc w:val="center"/>
                    <w:rPr>
                      <w:rFonts w:hint="default" w:ascii="Times New Roman" w:hAnsi="Times New Roman" w:eastAsia="仿宋" w:cs="Times New Roman"/>
                      <w:color w:val="auto"/>
                      <w:sz w:val="21"/>
                      <w:szCs w:val="21"/>
                    </w:rPr>
                  </w:pPr>
                </w:p>
              </w:tc>
              <w:tc>
                <w:tcPr>
                  <w:tcW w:w="996" w:type="pct"/>
                  <w:vAlign w:val="center"/>
                </w:tcPr>
                <w:p w14:paraId="0BDC832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HW49其他废物900-041-49</w:t>
                  </w:r>
                </w:p>
              </w:tc>
              <w:tc>
                <w:tcPr>
                  <w:tcW w:w="474" w:type="pct"/>
                  <w:vAlign w:val="center"/>
                </w:tcPr>
                <w:p w14:paraId="3787D1D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0.2</w:t>
                  </w:r>
                </w:p>
              </w:tc>
              <w:tc>
                <w:tcPr>
                  <w:tcW w:w="511" w:type="pct"/>
                  <w:vMerge w:val="continue"/>
                  <w:vAlign w:val="center"/>
                </w:tcPr>
                <w:p w14:paraId="6611DBC9">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3A1C7D7">
                  <w:pPr>
                    <w:jc w:val="center"/>
                    <w:rPr>
                      <w:rFonts w:hint="default" w:ascii="Times New Roman" w:hAnsi="Times New Roman" w:eastAsia="仿宋" w:cs="Times New Roman"/>
                      <w:color w:val="auto"/>
                      <w:sz w:val="21"/>
                      <w:szCs w:val="21"/>
                    </w:rPr>
                  </w:pPr>
                </w:p>
              </w:tc>
            </w:tr>
            <w:tr w14:paraId="50997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93FAFA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16</w:t>
                  </w:r>
                </w:p>
              </w:tc>
              <w:tc>
                <w:tcPr>
                  <w:tcW w:w="677" w:type="pct"/>
                  <w:vAlign w:val="center"/>
                </w:tcPr>
                <w:p w14:paraId="3AB5B92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喷头清洗废液</w:t>
                  </w:r>
                </w:p>
              </w:tc>
              <w:tc>
                <w:tcPr>
                  <w:tcW w:w="674" w:type="pct"/>
                  <w:vAlign w:val="center"/>
                </w:tcPr>
                <w:p w14:paraId="0F644A6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点漆喷头清洗</w:t>
                  </w:r>
                </w:p>
              </w:tc>
              <w:tc>
                <w:tcPr>
                  <w:tcW w:w="841" w:type="pct"/>
                  <w:vMerge w:val="continue"/>
                  <w:vAlign w:val="center"/>
                </w:tcPr>
                <w:p w14:paraId="0EB5B29B">
                  <w:pPr>
                    <w:jc w:val="center"/>
                    <w:rPr>
                      <w:rFonts w:hint="default" w:ascii="Times New Roman" w:hAnsi="Times New Roman" w:eastAsia="仿宋" w:cs="Times New Roman"/>
                      <w:color w:val="auto"/>
                      <w:sz w:val="21"/>
                      <w:szCs w:val="21"/>
                    </w:rPr>
                  </w:pPr>
                </w:p>
              </w:tc>
              <w:tc>
                <w:tcPr>
                  <w:tcW w:w="996" w:type="pct"/>
                  <w:vAlign w:val="center"/>
                </w:tcPr>
                <w:p w14:paraId="1BDCF2C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HW12染料、涂料废物</w:t>
                  </w:r>
                  <w:r>
                    <w:rPr>
                      <w:rFonts w:hint="default" w:ascii="Times New Roman" w:hAnsi="Times New Roman" w:eastAsia="仿宋" w:cs="Times New Roman"/>
                      <w:color w:val="auto"/>
                      <w:sz w:val="21"/>
                      <w:szCs w:val="21"/>
                      <w:lang w:val="en-US" w:eastAsia="zh-CN"/>
                    </w:rPr>
                    <w:t>900-256-12</w:t>
                  </w:r>
                </w:p>
              </w:tc>
              <w:tc>
                <w:tcPr>
                  <w:tcW w:w="474" w:type="pct"/>
                  <w:vAlign w:val="center"/>
                </w:tcPr>
                <w:p w14:paraId="7260C43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0.14</w:t>
                  </w:r>
                </w:p>
              </w:tc>
              <w:tc>
                <w:tcPr>
                  <w:tcW w:w="511" w:type="pct"/>
                  <w:vMerge w:val="continue"/>
                  <w:vAlign w:val="center"/>
                </w:tcPr>
                <w:p w14:paraId="2B4FAD41">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0CCEEE41">
                  <w:pPr>
                    <w:jc w:val="center"/>
                    <w:rPr>
                      <w:rFonts w:hint="default" w:ascii="Times New Roman" w:hAnsi="Times New Roman" w:eastAsia="仿宋" w:cs="Times New Roman"/>
                      <w:color w:val="auto"/>
                      <w:sz w:val="21"/>
                      <w:szCs w:val="21"/>
                    </w:rPr>
                  </w:pPr>
                </w:p>
              </w:tc>
            </w:tr>
            <w:tr w14:paraId="05ED4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BF2886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17</w:t>
                  </w:r>
                </w:p>
              </w:tc>
              <w:tc>
                <w:tcPr>
                  <w:tcW w:w="677" w:type="pct"/>
                  <w:vAlign w:val="center"/>
                </w:tcPr>
                <w:p w14:paraId="68E4FCE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废包装物</w:t>
                  </w:r>
                </w:p>
              </w:tc>
              <w:tc>
                <w:tcPr>
                  <w:tcW w:w="674" w:type="pct"/>
                  <w:vAlign w:val="center"/>
                </w:tcPr>
                <w:p w14:paraId="52FA294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原辅材料使用</w:t>
                  </w:r>
                </w:p>
              </w:tc>
              <w:tc>
                <w:tcPr>
                  <w:tcW w:w="841" w:type="pct"/>
                  <w:vMerge w:val="continue"/>
                  <w:vAlign w:val="center"/>
                </w:tcPr>
                <w:p w14:paraId="0A965B9B">
                  <w:pPr>
                    <w:jc w:val="center"/>
                    <w:rPr>
                      <w:rFonts w:hint="default" w:ascii="Times New Roman" w:hAnsi="Times New Roman" w:eastAsia="仿宋" w:cs="Times New Roman"/>
                      <w:color w:val="auto"/>
                      <w:sz w:val="21"/>
                      <w:szCs w:val="21"/>
                    </w:rPr>
                  </w:pPr>
                </w:p>
              </w:tc>
              <w:tc>
                <w:tcPr>
                  <w:tcW w:w="996" w:type="pct"/>
                  <w:vAlign w:val="center"/>
                </w:tcPr>
                <w:p w14:paraId="4788BD8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HW49其他废物900-041-49</w:t>
                  </w:r>
                </w:p>
              </w:tc>
              <w:tc>
                <w:tcPr>
                  <w:tcW w:w="474" w:type="pct"/>
                  <w:vAlign w:val="center"/>
                </w:tcPr>
                <w:p w14:paraId="40736FE4">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rPr>
                    <w:t>2</w:t>
                  </w:r>
                  <w:r>
                    <w:rPr>
                      <w:rFonts w:hint="default" w:ascii="Times New Roman" w:hAnsi="Times New Roman" w:eastAsia="仿宋" w:cs="Times New Roman"/>
                      <w:color w:val="auto"/>
                      <w:sz w:val="21"/>
                      <w:szCs w:val="21"/>
                      <w:highlight w:val="none"/>
                      <w:lang w:val="en-US" w:eastAsia="zh-CN"/>
                    </w:rPr>
                    <w:t>.</w:t>
                  </w:r>
                  <w:r>
                    <w:rPr>
                      <w:rFonts w:hint="eastAsia" w:eastAsia="仿宋" w:cs="Times New Roman"/>
                      <w:color w:val="auto"/>
                      <w:sz w:val="21"/>
                      <w:szCs w:val="21"/>
                      <w:highlight w:val="none"/>
                      <w:lang w:val="en-US" w:eastAsia="zh-CN"/>
                    </w:rPr>
                    <w:t>08</w:t>
                  </w:r>
                </w:p>
              </w:tc>
              <w:tc>
                <w:tcPr>
                  <w:tcW w:w="511" w:type="pct"/>
                  <w:vMerge w:val="continue"/>
                  <w:vAlign w:val="center"/>
                </w:tcPr>
                <w:p w14:paraId="7ED9982A">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0181394A">
                  <w:pPr>
                    <w:jc w:val="center"/>
                    <w:rPr>
                      <w:rFonts w:hint="default" w:ascii="Times New Roman" w:hAnsi="Times New Roman" w:eastAsia="仿宋" w:cs="Times New Roman"/>
                      <w:color w:val="auto"/>
                      <w:sz w:val="21"/>
                      <w:szCs w:val="21"/>
                    </w:rPr>
                  </w:pPr>
                </w:p>
              </w:tc>
            </w:tr>
            <w:tr w14:paraId="248B1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4A5C39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18</w:t>
                  </w:r>
                </w:p>
              </w:tc>
              <w:tc>
                <w:tcPr>
                  <w:tcW w:w="677" w:type="pct"/>
                  <w:vAlign w:val="center"/>
                </w:tcPr>
                <w:p w14:paraId="6295670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废过滤棉</w:t>
                  </w:r>
                </w:p>
              </w:tc>
              <w:tc>
                <w:tcPr>
                  <w:tcW w:w="674" w:type="pct"/>
                  <w:vAlign w:val="center"/>
                </w:tcPr>
                <w:p w14:paraId="16D8B54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w:t>
                  </w:r>
                </w:p>
              </w:tc>
              <w:tc>
                <w:tcPr>
                  <w:tcW w:w="841" w:type="pct"/>
                  <w:vMerge w:val="continue"/>
                  <w:vAlign w:val="center"/>
                </w:tcPr>
                <w:p w14:paraId="0A2E5C5F">
                  <w:pPr>
                    <w:jc w:val="center"/>
                    <w:rPr>
                      <w:rFonts w:hint="default" w:ascii="Times New Roman" w:hAnsi="Times New Roman" w:eastAsia="仿宋" w:cs="Times New Roman"/>
                      <w:color w:val="auto"/>
                      <w:sz w:val="21"/>
                      <w:szCs w:val="21"/>
                    </w:rPr>
                  </w:pPr>
                </w:p>
              </w:tc>
              <w:tc>
                <w:tcPr>
                  <w:tcW w:w="996" w:type="pct"/>
                  <w:vAlign w:val="center"/>
                </w:tcPr>
                <w:p w14:paraId="63E0FF1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6B4E1E4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41BD70D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0.527</w:t>
                  </w:r>
                </w:p>
              </w:tc>
              <w:tc>
                <w:tcPr>
                  <w:tcW w:w="511" w:type="pct"/>
                  <w:vMerge w:val="continue"/>
                  <w:vAlign w:val="center"/>
                </w:tcPr>
                <w:p w14:paraId="2F430880">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6965484">
                  <w:pPr>
                    <w:jc w:val="center"/>
                    <w:rPr>
                      <w:rFonts w:hint="default" w:ascii="Times New Roman" w:hAnsi="Times New Roman" w:eastAsia="仿宋" w:cs="Times New Roman"/>
                      <w:color w:val="auto"/>
                      <w:sz w:val="21"/>
                      <w:szCs w:val="21"/>
                    </w:rPr>
                  </w:pPr>
                </w:p>
              </w:tc>
            </w:tr>
            <w:tr w14:paraId="63903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B07389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19</w:t>
                  </w:r>
                </w:p>
              </w:tc>
              <w:tc>
                <w:tcPr>
                  <w:tcW w:w="677" w:type="pct"/>
                  <w:vAlign w:val="center"/>
                </w:tcPr>
                <w:p w14:paraId="4F34D66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废活性炭</w:t>
                  </w:r>
                </w:p>
              </w:tc>
              <w:tc>
                <w:tcPr>
                  <w:tcW w:w="674" w:type="pct"/>
                  <w:vAlign w:val="center"/>
                </w:tcPr>
                <w:p w14:paraId="260F07C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w:t>
                  </w:r>
                </w:p>
              </w:tc>
              <w:tc>
                <w:tcPr>
                  <w:tcW w:w="841" w:type="pct"/>
                  <w:vMerge w:val="continue"/>
                  <w:vAlign w:val="center"/>
                </w:tcPr>
                <w:p w14:paraId="70BCED6E">
                  <w:pPr>
                    <w:jc w:val="center"/>
                    <w:rPr>
                      <w:rFonts w:hint="default" w:ascii="Times New Roman" w:hAnsi="Times New Roman" w:eastAsia="仿宋" w:cs="Times New Roman"/>
                      <w:color w:val="auto"/>
                      <w:sz w:val="21"/>
                      <w:szCs w:val="21"/>
                    </w:rPr>
                  </w:pPr>
                </w:p>
              </w:tc>
              <w:tc>
                <w:tcPr>
                  <w:tcW w:w="996" w:type="pct"/>
                  <w:vAlign w:val="center"/>
                </w:tcPr>
                <w:p w14:paraId="6E6D3DF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2F40DA78">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900-039-49</w:t>
                  </w:r>
                </w:p>
              </w:tc>
              <w:tc>
                <w:tcPr>
                  <w:tcW w:w="474" w:type="pct"/>
                  <w:vAlign w:val="center"/>
                </w:tcPr>
                <w:p w14:paraId="155E165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highlight w:val="none"/>
                    </w:rPr>
                    <w:t>13.</w:t>
                  </w:r>
                  <w:r>
                    <w:rPr>
                      <w:rFonts w:hint="eastAsia" w:eastAsia="仿宋" w:cs="Times New Roman"/>
                      <w:color w:val="auto"/>
                      <w:sz w:val="21"/>
                      <w:szCs w:val="21"/>
                      <w:highlight w:val="none"/>
                      <w:lang w:val="en-US" w:eastAsia="zh-CN"/>
                    </w:rPr>
                    <w:t>2</w:t>
                  </w:r>
                </w:p>
              </w:tc>
              <w:tc>
                <w:tcPr>
                  <w:tcW w:w="511" w:type="pct"/>
                  <w:vMerge w:val="continue"/>
                  <w:vAlign w:val="center"/>
                </w:tcPr>
                <w:p w14:paraId="58850F26">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788D3556">
                  <w:pPr>
                    <w:jc w:val="center"/>
                    <w:rPr>
                      <w:rFonts w:hint="default" w:ascii="Times New Roman" w:hAnsi="Times New Roman" w:eastAsia="仿宋" w:cs="Times New Roman"/>
                      <w:color w:val="auto"/>
                      <w:sz w:val="21"/>
                      <w:szCs w:val="21"/>
                    </w:rPr>
                  </w:pPr>
                </w:p>
              </w:tc>
            </w:tr>
            <w:tr w14:paraId="741D0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68BE4B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20</w:t>
                  </w:r>
                </w:p>
              </w:tc>
              <w:tc>
                <w:tcPr>
                  <w:tcW w:w="677" w:type="pct"/>
                  <w:vAlign w:val="center"/>
                </w:tcPr>
                <w:p w14:paraId="09AB02E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废催化剂</w:t>
                  </w:r>
                </w:p>
              </w:tc>
              <w:tc>
                <w:tcPr>
                  <w:tcW w:w="674" w:type="pct"/>
                  <w:vAlign w:val="center"/>
                </w:tcPr>
                <w:p w14:paraId="3E588EB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w:t>
                  </w:r>
                </w:p>
              </w:tc>
              <w:tc>
                <w:tcPr>
                  <w:tcW w:w="841" w:type="pct"/>
                  <w:vMerge w:val="continue"/>
                  <w:vAlign w:val="center"/>
                </w:tcPr>
                <w:p w14:paraId="1C176B05">
                  <w:pPr>
                    <w:jc w:val="center"/>
                    <w:rPr>
                      <w:rFonts w:hint="default" w:ascii="Times New Roman" w:hAnsi="Times New Roman" w:eastAsia="仿宋" w:cs="Times New Roman"/>
                      <w:color w:val="auto"/>
                      <w:sz w:val="21"/>
                      <w:szCs w:val="21"/>
                    </w:rPr>
                  </w:pPr>
                </w:p>
              </w:tc>
              <w:tc>
                <w:tcPr>
                  <w:tcW w:w="996" w:type="pct"/>
                  <w:vAlign w:val="center"/>
                </w:tcPr>
                <w:p w14:paraId="501A137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4152BE3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558A9EC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0.05</w:t>
                  </w:r>
                </w:p>
              </w:tc>
              <w:tc>
                <w:tcPr>
                  <w:tcW w:w="511" w:type="pct"/>
                  <w:vMerge w:val="continue"/>
                  <w:vAlign w:val="center"/>
                </w:tcPr>
                <w:p w14:paraId="6049FE8F">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44E68EC1">
                  <w:pPr>
                    <w:jc w:val="center"/>
                    <w:rPr>
                      <w:rFonts w:hint="default" w:ascii="Times New Roman" w:hAnsi="Times New Roman" w:eastAsia="仿宋" w:cs="Times New Roman"/>
                      <w:color w:val="auto"/>
                      <w:sz w:val="21"/>
                      <w:szCs w:val="21"/>
                    </w:rPr>
                  </w:pPr>
                </w:p>
              </w:tc>
            </w:tr>
            <w:tr w14:paraId="0F2E1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51659C0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21</w:t>
                  </w:r>
                </w:p>
              </w:tc>
              <w:tc>
                <w:tcPr>
                  <w:tcW w:w="677" w:type="pct"/>
                  <w:vAlign w:val="center"/>
                </w:tcPr>
                <w:p w14:paraId="4838581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废油</w:t>
                  </w:r>
                </w:p>
              </w:tc>
              <w:tc>
                <w:tcPr>
                  <w:tcW w:w="674" w:type="pct"/>
                  <w:vAlign w:val="center"/>
                </w:tcPr>
                <w:p w14:paraId="33ABE89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废气处理、废水处理</w:t>
                  </w:r>
                </w:p>
              </w:tc>
              <w:tc>
                <w:tcPr>
                  <w:tcW w:w="841" w:type="pct"/>
                  <w:vMerge w:val="continue"/>
                  <w:vAlign w:val="center"/>
                </w:tcPr>
                <w:p w14:paraId="10C168FB">
                  <w:pPr>
                    <w:jc w:val="center"/>
                    <w:rPr>
                      <w:rFonts w:hint="default" w:ascii="Times New Roman" w:hAnsi="Times New Roman" w:eastAsia="仿宋" w:cs="Times New Roman"/>
                      <w:color w:val="auto"/>
                      <w:sz w:val="21"/>
                      <w:szCs w:val="21"/>
                    </w:rPr>
                  </w:pPr>
                </w:p>
              </w:tc>
              <w:tc>
                <w:tcPr>
                  <w:tcW w:w="996" w:type="pct"/>
                  <w:vAlign w:val="center"/>
                </w:tcPr>
                <w:p w14:paraId="4C8786B3">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HW08废矿物油与含矿物油废物</w:t>
                  </w:r>
                  <w:r>
                    <w:rPr>
                      <w:rFonts w:hint="default" w:ascii="Times New Roman" w:hAnsi="Times New Roman" w:eastAsia="仿宋" w:cs="Times New Roman"/>
                      <w:color w:val="auto"/>
                      <w:sz w:val="21"/>
                      <w:szCs w:val="21"/>
                      <w:lang w:val="en-US" w:eastAsia="zh-CN"/>
                    </w:rPr>
                    <w:t>900-210-08</w:t>
                  </w:r>
                </w:p>
              </w:tc>
              <w:tc>
                <w:tcPr>
                  <w:tcW w:w="474" w:type="pct"/>
                  <w:vAlign w:val="center"/>
                </w:tcPr>
                <w:p w14:paraId="656CFBD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7.11</w:t>
                  </w:r>
                </w:p>
              </w:tc>
              <w:tc>
                <w:tcPr>
                  <w:tcW w:w="511" w:type="pct"/>
                  <w:vMerge w:val="continue"/>
                  <w:vAlign w:val="center"/>
                </w:tcPr>
                <w:p w14:paraId="6157244F">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2FA3C0ED">
                  <w:pPr>
                    <w:jc w:val="center"/>
                    <w:rPr>
                      <w:rFonts w:hint="default" w:ascii="Times New Roman" w:hAnsi="Times New Roman" w:eastAsia="仿宋" w:cs="Times New Roman"/>
                      <w:color w:val="auto"/>
                      <w:sz w:val="21"/>
                      <w:szCs w:val="21"/>
                    </w:rPr>
                  </w:pPr>
                </w:p>
              </w:tc>
            </w:tr>
            <w:tr w14:paraId="4E45E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6566E46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22</w:t>
                  </w:r>
                </w:p>
              </w:tc>
              <w:tc>
                <w:tcPr>
                  <w:tcW w:w="677" w:type="pct"/>
                  <w:vAlign w:val="center"/>
                </w:tcPr>
                <w:p w14:paraId="1F94DA6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含油抹布手套</w:t>
                  </w:r>
                </w:p>
              </w:tc>
              <w:tc>
                <w:tcPr>
                  <w:tcW w:w="674" w:type="pct"/>
                  <w:vAlign w:val="center"/>
                </w:tcPr>
                <w:p w14:paraId="743383A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人工运维</w:t>
                  </w:r>
                </w:p>
              </w:tc>
              <w:tc>
                <w:tcPr>
                  <w:tcW w:w="841" w:type="pct"/>
                  <w:vMerge w:val="continue"/>
                  <w:vAlign w:val="center"/>
                </w:tcPr>
                <w:p w14:paraId="2AA14C0A">
                  <w:pPr>
                    <w:jc w:val="center"/>
                    <w:rPr>
                      <w:rFonts w:hint="default" w:ascii="Times New Roman" w:hAnsi="Times New Roman" w:eastAsia="仿宋" w:cs="Times New Roman"/>
                      <w:color w:val="auto"/>
                      <w:sz w:val="21"/>
                      <w:szCs w:val="21"/>
                    </w:rPr>
                  </w:pPr>
                </w:p>
              </w:tc>
              <w:tc>
                <w:tcPr>
                  <w:tcW w:w="996" w:type="pct"/>
                  <w:vAlign w:val="center"/>
                </w:tcPr>
                <w:p w14:paraId="2625E9E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12C722D6">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6CD67D7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0.1</w:t>
                  </w:r>
                </w:p>
              </w:tc>
              <w:tc>
                <w:tcPr>
                  <w:tcW w:w="511" w:type="pct"/>
                  <w:vMerge w:val="continue"/>
                  <w:vAlign w:val="center"/>
                </w:tcPr>
                <w:p w14:paraId="300741EB">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3ACFA1B0">
                  <w:pPr>
                    <w:jc w:val="center"/>
                    <w:rPr>
                      <w:rFonts w:hint="default" w:ascii="Times New Roman" w:hAnsi="Times New Roman" w:eastAsia="仿宋" w:cs="Times New Roman"/>
                      <w:color w:val="auto"/>
                      <w:sz w:val="21"/>
                      <w:szCs w:val="21"/>
                    </w:rPr>
                  </w:pPr>
                </w:p>
              </w:tc>
            </w:tr>
            <w:tr w14:paraId="266BB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197BDB7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23</w:t>
                  </w:r>
                </w:p>
              </w:tc>
              <w:tc>
                <w:tcPr>
                  <w:tcW w:w="677" w:type="pct"/>
                  <w:vAlign w:val="center"/>
                </w:tcPr>
                <w:p w14:paraId="40EA94D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喷淋废液</w:t>
                  </w:r>
                </w:p>
              </w:tc>
              <w:tc>
                <w:tcPr>
                  <w:tcW w:w="674" w:type="pct"/>
                  <w:vAlign w:val="center"/>
                </w:tcPr>
                <w:p w14:paraId="241C4AB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w:t>
                  </w:r>
                </w:p>
              </w:tc>
              <w:tc>
                <w:tcPr>
                  <w:tcW w:w="841" w:type="pct"/>
                  <w:vMerge w:val="continue"/>
                  <w:vAlign w:val="center"/>
                </w:tcPr>
                <w:p w14:paraId="1B256A54">
                  <w:pPr>
                    <w:jc w:val="center"/>
                    <w:rPr>
                      <w:rFonts w:hint="default" w:ascii="Times New Roman" w:hAnsi="Times New Roman" w:eastAsia="仿宋" w:cs="Times New Roman"/>
                      <w:color w:val="auto"/>
                      <w:sz w:val="21"/>
                      <w:szCs w:val="21"/>
                    </w:rPr>
                  </w:pPr>
                </w:p>
              </w:tc>
              <w:tc>
                <w:tcPr>
                  <w:tcW w:w="996" w:type="pct"/>
                  <w:vAlign w:val="center"/>
                </w:tcPr>
                <w:p w14:paraId="0C67AD5F">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68EC3AC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190157E7">
                  <w:pPr>
                    <w:jc w:val="center"/>
                    <w:rPr>
                      <w:rFonts w:hint="default" w:ascii="Times New Roman" w:hAnsi="Times New Roman" w:eastAsia="仿宋" w:cs="Times New Roman"/>
                      <w:color w:val="auto"/>
                      <w:sz w:val="21"/>
                      <w:szCs w:val="21"/>
                      <w:highlight w:val="yellow"/>
                      <w:lang w:val="en-US" w:eastAsia="zh-CN"/>
                    </w:rPr>
                  </w:pPr>
                  <w:r>
                    <w:rPr>
                      <w:rFonts w:hint="default" w:ascii="Times New Roman" w:hAnsi="Times New Roman" w:eastAsia="仿宋" w:cs="Times New Roman"/>
                      <w:color w:val="auto"/>
                      <w:sz w:val="21"/>
                      <w:szCs w:val="21"/>
                      <w:highlight w:val="none"/>
                    </w:rPr>
                    <w:t>3.2</w:t>
                  </w:r>
                </w:p>
              </w:tc>
              <w:tc>
                <w:tcPr>
                  <w:tcW w:w="511" w:type="pct"/>
                  <w:vMerge w:val="continue"/>
                  <w:vAlign w:val="center"/>
                </w:tcPr>
                <w:p w14:paraId="6E667543">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72E61E4D">
                  <w:pPr>
                    <w:jc w:val="center"/>
                    <w:rPr>
                      <w:rFonts w:hint="default" w:ascii="Times New Roman" w:hAnsi="Times New Roman" w:eastAsia="仿宋" w:cs="Times New Roman"/>
                      <w:color w:val="auto"/>
                      <w:sz w:val="21"/>
                      <w:szCs w:val="21"/>
                    </w:rPr>
                  </w:pPr>
                </w:p>
              </w:tc>
            </w:tr>
            <w:tr w14:paraId="043FB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681663B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24</w:t>
                  </w:r>
                </w:p>
              </w:tc>
              <w:tc>
                <w:tcPr>
                  <w:tcW w:w="677" w:type="pct"/>
                  <w:vAlign w:val="center"/>
                </w:tcPr>
                <w:p w14:paraId="193970C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污泥</w:t>
                  </w:r>
                </w:p>
              </w:tc>
              <w:tc>
                <w:tcPr>
                  <w:tcW w:w="674" w:type="pct"/>
                  <w:vAlign w:val="center"/>
                </w:tcPr>
                <w:p w14:paraId="0669ACE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废水处理</w:t>
                  </w:r>
                </w:p>
              </w:tc>
              <w:tc>
                <w:tcPr>
                  <w:tcW w:w="841" w:type="pct"/>
                  <w:vMerge w:val="continue"/>
                  <w:vAlign w:val="center"/>
                </w:tcPr>
                <w:p w14:paraId="0A3437D8">
                  <w:pPr>
                    <w:jc w:val="center"/>
                    <w:rPr>
                      <w:rFonts w:hint="default" w:ascii="Times New Roman" w:hAnsi="Times New Roman" w:eastAsia="仿宋" w:cs="Times New Roman"/>
                      <w:color w:val="auto"/>
                      <w:sz w:val="21"/>
                      <w:szCs w:val="21"/>
                    </w:rPr>
                  </w:pPr>
                </w:p>
              </w:tc>
              <w:tc>
                <w:tcPr>
                  <w:tcW w:w="996" w:type="pct"/>
                  <w:vAlign w:val="center"/>
                </w:tcPr>
                <w:p w14:paraId="3D9518EF">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HW17表面处理废物</w:t>
                  </w:r>
                </w:p>
                <w:p w14:paraId="63E113D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336-064-17</w:t>
                  </w:r>
                </w:p>
              </w:tc>
              <w:tc>
                <w:tcPr>
                  <w:tcW w:w="474" w:type="pct"/>
                  <w:vAlign w:val="center"/>
                </w:tcPr>
                <w:p w14:paraId="7CC56ED7">
                  <w:pPr>
                    <w:jc w:val="center"/>
                    <w:rPr>
                      <w:rFonts w:hint="default" w:ascii="Times New Roman" w:hAnsi="Times New Roman" w:eastAsia="仿宋" w:cs="Times New Roman"/>
                      <w:color w:val="auto"/>
                      <w:sz w:val="21"/>
                      <w:szCs w:val="21"/>
                      <w:highlight w:val="yellow"/>
                      <w:lang w:val="en-US" w:eastAsia="zh-CN"/>
                    </w:rPr>
                  </w:pPr>
                  <w:r>
                    <w:rPr>
                      <w:rFonts w:hint="default" w:ascii="Times New Roman" w:hAnsi="Times New Roman" w:eastAsia="仿宋" w:cs="Times New Roman"/>
                      <w:color w:val="auto"/>
                      <w:sz w:val="21"/>
                      <w:szCs w:val="21"/>
                      <w:highlight w:val="none"/>
                    </w:rPr>
                    <w:t>224</w:t>
                  </w:r>
                </w:p>
              </w:tc>
              <w:tc>
                <w:tcPr>
                  <w:tcW w:w="511" w:type="pct"/>
                  <w:vMerge w:val="continue"/>
                  <w:vAlign w:val="center"/>
                </w:tcPr>
                <w:p w14:paraId="006E9340">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273CBD12">
                  <w:pPr>
                    <w:jc w:val="center"/>
                    <w:rPr>
                      <w:rFonts w:hint="default" w:ascii="Times New Roman" w:hAnsi="Times New Roman" w:eastAsia="仿宋" w:cs="Times New Roman"/>
                      <w:color w:val="auto"/>
                      <w:sz w:val="21"/>
                      <w:szCs w:val="21"/>
                    </w:rPr>
                  </w:pPr>
                </w:p>
              </w:tc>
            </w:tr>
            <w:tr w14:paraId="39B1A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0CA0584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25</w:t>
                  </w:r>
                </w:p>
              </w:tc>
              <w:tc>
                <w:tcPr>
                  <w:tcW w:w="677" w:type="pct"/>
                  <w:vAlign w:val="center"/>
                </w:tcPr>
                <w:p w14:paraId="057BAB2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蒸发残液</w:t>
                  </w:r>
                </w:p>
              </w:tc>
              <w:tc>
                <w:tcPr>
                  <w:tcW w:w="674" w:type="pct"/>
                  <w:vAlign w:val="center"/>
                </w:tcPr>
                <w:p w14:paraId="5632D5F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废水处理</w:t>
                  </w:r>
                </w:p>
              </w:tc>
              <w:tc>
                <w:tcPr>
                  <w:tcW w:w="841" w:type="pct"/>
                  <w:vMerge w:val="continue"/>
                  <w:vAlign w:val="center"/>
                </w:tcPr>
                <w:p w14:paraId="7D2A5509">
                  <w:pPr>
                    <w:jc w:val="center"/>
                    <w:rPr>
                      <w:rFonts w:hint="default" w:ascii="Times New Roman" w:hAnsi="Times New Roman" w:eastAsia="仿宋" w:cs="Times New Roman"/>
                      <w:color w:val="auto"/>
                      <w:sz w:val="21"/>
                      <w:szCs w:val="21"/>
                    </w:rPr>
                  </w:pPr>
                </w:p>
              </w:tc>
              <w:tc>
                <w:tcPr>
                  <w:tcW w:w="996" w:type="pct"/>
                  <w:vAlign w:val="center"/>
                </w:tcPr>
                <w:p w14:paraId="52A1F43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HW17表面处理废物</w:t>
                  </w:r>
                  <w:r>
                    <w:rPr>
                      <w:rFonts w:hint="default" w:ascii="Times New Roman" w:hAnsi="Times New Roman" w:eastAsia="仿宋" w:cs="Times New Roman"/>
                      <w:color w:val="auto"/>
                      <w:sz w:val="21"/>
                      <w:szCs w:val="21"/>
                      <w:lang w:val="en-US" w:eastAsia="zh-CN"/>
                    </w:rPr>
                    <w:t>336-064-17</w:t>
                  </w:r>
                </w:p>
              </w:tc>
              <w:tc>
                <w:tcPr>
                  <w:tcW w:w="474" w:type="pct"/>
                  <w:vAlign w:val="center"/>
                </w:tcPr>
                <w:p w14:paraId="32BB8BE7">
                  <w:pPr>
                    <w:jc w:val="center"/>
                    <w:rPr>
                      <w:rFonts w:hint="default" w:ascii="Times New Roman" w:hAnsi="Times New Roman" w:eastAsia="仿宋" w:cs="Times New Roman"/>
                      <w:color w:val="auto"/>
                      <w:sz w:val="21"/>
                      <w:szCs w:val="21"/>
                      <w:highlight w:val="yellow"/>
                      <w:lang w:val="en-US" w:eastAsia="zh-CN"/>
                    </w:rPr>
                  </w:pPr>
                  <w:r>
                    <w:rPr>
                      <w:rFonts w:hint="default" w:ascii="Times New Roman" w:hAnsi="Times New Roman" w:eastAsia="仿宋" w:cs="Times New Roman"/>
                      <w:color w:val="auto"/>
                      <w:sz w:val="21"/>
                      <w:szCs w:val="21"/>
                      <w:highlight w:val="none"/>
                    </w:rPr>
                    <w:t>410</w:t>
                  </w:r>
                </w:p>
              </w:tc>
              <w:tc>
                <w:tcPr>
                  <w:tcW w:w="511" w:type="pct"/>
                  <w:vMerge w:val="continue"/>
                  <w:vAlign w:val="center"/>
                </w:tcPr>
                <w:p w14:paraId="72D2ED17">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461E81BF">
                  <w:pPr>
                    <w:jc w:val="center"/>
                    <w:rPr>
                      <w:rFonts w:hint="default" w:ascii="Times New Roman" w:hAnsi="Times New Roman" w:eastAsia="仿宋" w:cs="Times New Roman"/>
                      <w:color w:val="auto"/>
                      <w:sz w:val="21"/>
                      <w:szCs w:val="21"/>
                    </w:rPr>
                  </w:pPr>
                </w:p>
              </w:tc>
            </w:tr>
            <w:tr w14:paraId="2DDB6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3452F460">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26</w:t>
                  </w:r>
                </w:p>
              </w:tc>
              <w:tc>
                <w:tcPr>
                  <w:tcW w:w="677" w:type="pct"/>
                  <w:vAlign w:val="center"/>
                </w:tcPr>
                <w:p w14:paraId="3273D40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w:t>
                  </w:r>
                  <w:r>
                    <w:rPr>
                      <w:rFonts w:hint="default" w:ascii="Times New Roman" w:hAnsi="Times New Roman" w:eastAsia="仿宋" w:cs="Times New Roman"/>
                      <w:color w:val="auto"/>
                      <w:sz w:val="21"/>
                      <w:szCs w:val="21"/>
                      <w:lang w:val="en-US" w:eastAsia="zh-CN"/>
                    </w:rPr>
                    <w:t>包装物</w:t>
                  </w:r>
                </w:p>
              </w:tc>
              <w:tc>
                <w:tcPr>
                  <w:tcW w:w="674" w:type="pct"/>
                  <w:vAlign w:val="center"/>
                </w:tcPr>
                <w:p w14:paraId="36ABD60E">
                  <w:pPr>
                    <w:jc w:val="center"/>
                    <w:rPr>
                      <w:rFonts w:hint="default" w:ascii="Times New Roman" w:hAnsi="Times New Roman" w:eastAsia="仿宋" w:cs="Times New Roman"/>
                      <w:color w:val="auto"/>
                      <w:sz w:val="21"/>
                      <w:szCs w:val="21"/>
                    </w:rPr>
                  </w:pPr>
                  <w:r>
                    <w:rPr>
                      <w:rFonts w:hint="eastAsia" w:eastAsia="仿宋" w:cs="Times New Roman"/>
                      <w:color w:val="auto"/>
                      <w:sz w:val="21"/>
                      <w:szCs w:val="21"/>
                      <w:lang w:val="en-US" w:eastAsia="zh-CN"/>
                    </w:rPr>
                    <w:t>实验室</w:t>
                  </w:r>
                  <w:r>
                    <w:rPr>
                      <w:rFonts w:hint="default" w:ascii="Times New Roman" w:hAnsi="Times New Roman" w:eastAsia="仿宋" w:cs="Times New Roman"/>
                      <w:color w:val="auto"/>
                      <w:sz w:val="21"/>
                      <w:szCs w:val="21"/>
                      <w:lang w:val="en-US" w:eastAsia="zh-CN"/>
                    </w:rPr>
                    <w:t>原辅材料使用</w:t>
                  </w:r>
                </w:p>
              </w:tc>
              <w:tc>
                <w:tcPr>
                  <w:tcW w:w="841" w:type="pct"/>
                  <w:vMerge w:val="continue"/>
                  <w:vAlign w:val="center"/>
                </w:tcPr>
                <w:p w14:paraId="3C05F2CD">
                  <w:pPr>
                    <w:jc w:val="center"/>
                    <w:rPr>
                      <w:rFonts w:hint="default" w:ascii="Times New Roman" w:hAnsi="Times New Roman" w:eastAsia="仿宋" w:cs="Times New Roman"/>
                      <w:color w:val="auto"/>
                      <w:sz w:val="21"/>
                      <w:szCs w:val="21"/>
                    </w:rPr>
                  </w:pPr>
                </w:p>
              </w:tc>
              <w:tc>
                <w:tcPr>
                  <w:tcW w:w="996" w:type="pct"/>
                  <w:vAlign w:val="center"/>
                </w:tcPr>
                <w:p w14:paraId="3B6EEA3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HW49其他废物900-047-49</w:t>
                  </w:r>
                </w:p>
              </w:tc>
              <w:tc>
                <w:tcPr>
                  <w:tcW w:w="474" w:type="pct"/>
                  <w:vAlign w:val="center"/>
                </w:tcPr>
                <w:p w14:paraId="0A47879D">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0.06</w:t>
                  </w:r>
                </w:p>
              </w:tc>
              <w:tc>
                <w:tcPr>
                  <w:tcW w:w="511" w:type="pct"/>
                  <w:vMerge w:val="continue"/>
                  <w:vAlign w:val="center"/>
                </w:tcPr>
                <w:p w14:paraId="42DE921D">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6B831414">
                  <w:pPr>
                    <w:jc w:val="center"/>
                    <w:rPr>
                      <w:rFonts w:hint="default" w:ascii="Times New Roman" w:hAnsi="Times New Roman" w:eastAsia="仿宋" w:cs="Times New Roman"/>
                      <w:color w:val="auto"/>
                      <w:sz w:val="21"/>
                      <w:szCs w:val="21"/>
                    </w:rPr>
                  </w:pPr>
                </w:p>
              </w:tc>
            </w:tr>
            <w:tr w14:paraId="2A01F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45C03D7E">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27</w:t>
                  </w:r>
                </w:p>
              </w:tc>
              <w:tc>
                <w:tcPr>
                  <w:tcW w:w="677" w:type="pct"/>
                  <w:vAlign w:val="center"/>
                </w:tcPr>
                <w:p w14:paraId="0854541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废劳保用品及抹布</w:t>
                  </w:r>
                </w:p>
              </w:tc>
              <w:tc>
                <w:tcPr>
                  <w:tcW w:w="674" w:type="pct"/>
                  <w:vAlign w:val="center"/>
                </w:tcPr>
                <w:p w14:paraId="7F20CB3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841" w:type="pct"/>
                  <w:vMerge w:val="continue"/>
                  <w:vAlign w:val="center"/>
                </w:tcPr>
                <w:p w14:paraId="6F19E403">
                  <w:pPr>
                    <w:jc w:val="center"/>
                    <w:rPr>
                      <w:rFonts w:hint="default" w:ascii="Times New Roman" w:hAnsi="Times New Roman" w:eastAsia="仿宋" w:cs="Times New Roman"/>
                      <w:color w:val="auto"/>
                      <w:sz w:val="21"/>
                      <w:szCs w:val="21"/>
                    </w:rPr>
                  </w:pPr>
                </w:p>
              </w:tc>
              <w:tc>
                <w:tcPr>
                  <w:tcW w:w="996" w:type="pct"/>
                  <w:vAlign w:val="center"/>
                </w:tcPr>
                <w:p w14:paraId="701BDD0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HW49其他废物900-047-49</w:t>
                  </w:r>
                </w:p>
              </w:tc>
              <w:tc>
                <w:tcPr>
                  <w:tcW w:w="474" w:type="pct"/>
                  <w:vAlign w:val="center"/>
                </w:tcPr>
                <w:p w14:paraId="60AF7E4D">
                  <w:pPr>
                    <w:jc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0.05</w:t>
                  </w:r>
                </w:p>
              </w:tc>
              <w:tc>
                <w:tcPr>
                  <w:tcW w:w="511" w:type="pct"/>
                  <w:vMerge w:val="continue"/>
                  <w:vAlign w:val="center"/>
                </w:tcPr>
                <w:p w14:paraId="6BDB8D25">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67973C95">
                  <w:pPr>
                    <w:jc w:val="center"/>
                    <w:rPr>
                      <w:rFonts w:hint="default" w:ascii="Times New Roman" w:hAnsi="Times New Roman" w:eastAsia="仿宋" w:cs="Times New Roman"/>
                      <w:color w:val="auto"/>
                      <w:sz w:val="21"/>
                      <w:szCs w:val="21"/>
                    </w:rPr>
                  </w:pPr>
                </w:p>
              </w:tc>
            </w:tr>
            <w:tr w14:paraId="3B0C2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shd w:val="clear" w:color="auto" w:fill="auto"/>
                  <w:vAlign w:val="center"/>
                </w:tcPr>
                <w:p w14:paraId="7FF4D4BB">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28</w:t>
                  </w:r>
                </w:p>
              </w:tc>
              <w:tc>
                <w:tcPr>
                  <w:tcW w:w="677" w:type="pct"/>
                  <w:vAlign w:val="center"/>
                </w:tcPr>
                <w:p w14:paraId="270CCB2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1#反渗透系统、废水处理废过滤</w:t>
                  </w:r>
                  <w:r>
                    <w:rPr>
                      <w:rFonts w:hint="eastAsia" w:eastAsia="仿宋" w:cs="Times New Roman"/>
                      <w:color w:val="auto"/>
                      <w:sz w:val="21"/>
                      <w:szCs w:val="21"/>
                      <w:lang w:val="en-US" w:eastAsia="zh-CN"/>
                    </w:rPr>
                    <w:t>杂质</w:t>
                  </w:r>
                </w:p>
              </w:tc>
              <w:tc>
                <w:tcPr>
                  <w:tcW w:w="674" w:type="pct"/>
                  <w:vAlign w:val="center"/>
                </w:tcPr>
                <w:p w14:paraId="5CFE5C53">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纯水制备</w:t>
                  </w:r>
                  <w:r>
                    <w:rPr>
                      <w:rFonts w:hint="eastAsia" w:eastAsia="仿宋" w:cs="Times New Roman"/>
                      <w:color w:val="auto"/>
                      <w:sz w:val="21"/>
                      <w:szCs w:val="21"/>
                      <w:lang w:eastAsia="zh-CN"/>
                    </w:rPr>
                    <w:t>（</w:t>
                  </w:r>
                  <w:r>
                    <w:rPr>
                      <w:rFonts w:hint="eastAsia" w:eastAsia="仿宋" w:cs="Times New Roman"/>
                      <w:color w:val="auto"/>
                      <w:sz w:val="21"/>
                      <w:szCs w:val="21"/>
                      <w:lang w:val="en-US" w:eastAsia="zh-CN"/>
                    </w:rPr>
                    <w:t>生产</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废水处理</w:t>
                  </w:r>
                </w:p>
              </w:tc>
              <w:tc>
                <w:tcPr>
                  <w:tcW w:w="841" w:type="pct"/>
                  <w:vMerge w:val="continue"/>
                  <w:vAlign w:val="center"/>
                </w:tcPr>
                <w:p w14:paraId="015BDA5B">
                  <w:pPr>
                    <w:jc w:val="center"/>
                    <w:rPr>
                      <w:rFonts w:hint="default" w:ascii="Times New Roman" w:hAnsi="Times New Roman" w:eastAsia="仿宋" w:cs="Times New Roman"/>
                      <w:color w:val="auto"/>
                      <w:sz w:val="21"/>
                      <w:szCs w:val="21"/>
                    </w:rPr>
                  </w:pPr>
                </w:p>
              </w:tc>
              <w:tc>
                <w:tcPr>
                  <w:tcW w:w="996" w:type="pct"/>
                  <w:vAlign w:val="center"/>
                </w:tcPr>
                <w:p w14:paraId="79A457F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HW49其他废物</w:t>
                  </w:r>
                </w:p>
                <w:p w14:paraId="6D904C0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900-041-49</w:t>
                  </w:r>
                </w:p>
              </w:tc>
              <w:tc>
                <w:tcPr>
                  <w:tcW w:w="474" w:type="pct"/>
                  <w:vAlign w:val="center"/>
                </w:tcPr>
                <w:p w14:paraId="572834A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3.5</w:t>
                  </w:r>
                </w:p>
              </w:tc>
              <w:tc>
                <w:tcPr>
                  <w:tcW w:w="511" w:type="pct"/>
                  <w:vMerge w:val="continue"/>
                  <w:vAlign w:val="center"/>
                </w:tcPr>
                <w:p w14:paraId="7E8671BB">
                  <w:pPr>
                    <w:snapToGrid w:val="0"/>
                    <w:jc w:val="center"/>
                    <w:rPr>
                      <w:rFonts w:hint="default" w:ascii="Times New Roman" w:hAnsi="Times New Roman" w:eastAsia="仿宋" w:cs="Times New Roman"/>
                      <w:color w:val="auto"/>
                      <w:sz w:val="21"/>
                      <w:szCs w:val="21"/>
                    </w:rPr>
                  </w:pPr>
                </w:p>
              </w:tc>
              <w:tc>
                <w:tcPr>
                  <w:tcW w:w="546" w:type="pct"/>
                  <w:vMerge w:val="continue"/>
                  <w:vAlign w:val="center"/>
                </w:tcPr>
                <w:p w14:paraId="06D8C9CF">
                  <w:pPr>
                    <w:jc w:val="center"/>
                    <w:rPr>
                      <w:rFonts w:hint="default" w:ascii="Times New Roman" w:hAnsi="Times New Roman" w:eastAsia="仿宋" w:cs="Times New Roman"/>
                      <w:color w:val="auto"/>
                      <w:sz w:val="21"/>
                      <w:szCs w:val="21"/>
                    </w:rPr>
                  </w:pPr>
                </w:p>
              </w:tc>
            </w:tr>
            <w:tr w14:paraId="157A9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8" w:type="pct"/>
                  <w:vAlign w:val="center"/>
                </w:tcPr>
                <w:p w14:paraId="73C8089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29</w:t>
                  </w:r>
                </w:p>
              </w:tc>
              <w:tc>
                <w:tcPr>
                  <w:tcW w:w="677" w:type="pct"/>
                  <w:vAlign w:val="center"/>
                </w:tcPr>
                <w:p w14:paraId="3D4EF720">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生活垃圾</w:t>
                  </w:r>
                </w:p>
              </w:tc>
              <w:tc>
                <w:tcPr>
                  <w:tcW w:w="674" w:type="pct"/>
                  <w:vAlign w:val="center"/>
                </w:tcPr>
                <w:p w14:paraId="3240D3C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办公、生活</w:t>
                  </w:r>
                </w:p>
              </w:tc>
              <w:tc>
                <w:tcPr>
                  <w:tcW w:w="841" w:type="pct"/>
                  <w:vAlign w:val="center"/>
                </w:tcPr>
                <w:p w14:paraId="51A81D7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生活垃圾</w:t>
                  </w:r>
                </w:p>
              </w:tc>
              <w:tc>
                <w:tcPr>
                  <w:tcW w:w="996" w:type="pct"/>
                  <w:vAlign w:val="center"/>
                </w:tcPr>
                <w:p w14:paraId="340D2C3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SW64其他垃圾</w:t>
                  </w:r>
                </w:p>
                <w:p w14:paraId="2270C9A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900-099-S64</w:t>
                  </w:r>
                </w:p>
              </w:tc>
              <w:tc>
                <w:tcPr>
                  <w:tcW w:w="474" w:type="pct"/>
                  <w:vAlign w:val="center"/>
                </w:tcPr>
                <w:p w14:paraId="4DADDD1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22.5</w:t>
                  </w:r>
                </w:p>
              </w:tc>
              <w:tc>
                <w:tcPr>
                  <w:tcW w:w="511" w:type="pct"/>
                  <w:vAlign w:val="center"/>
                </w:tcPr>
                <w:p w14:paraId="3EF1EF38">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环卫清运</w:t>
                  </w:r>
                </w:p>
              </w:tc>
              <w:tc>
                <w:tcPr>
                  <w:tcW w:w="546" w:type="pct"/>
                  <w:vAlign w:val="center"/>
                </w:tcPr>
                <w:p w14:paraId="7C34354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bl>
          <w:p w14:paraId="756D887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5、固体废物防治措施</w:t>
            </w:r>
          </w:p>
          <w:p w14:paraId="7CB54F1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（1）危险固体废物</w:t>
            </w:r>
          </w:p>
          <w:p w14:paraId="66E8687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1）危险废物处置方式</w:t>
            </w:r>
          </w:p>
          <w:p w14:paraId="405AE035">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rPr>
              <w:t>本项目危险废物为</w:t>
            </w:r>
            <w:bookmarkStart w:id="25" w:name="_Hlk134703838"/>
            <w:r>
              <w:rPr>
                <w:rFonts w:hint="default" w:ascii="Times New Roman" w:hAnsi="Times New Roman" w:eastAsia="仿宋" w:cs="Times New Roman"/>
                <w:bCs/>
                <w:color w:val="auto"/>
                <w:sz w:val="24"/>
                <w:highlight w:val="none"/>
                <w:lang w:val="en-US" w:eastAsia="zh-CN"/>
              </w:rPr>
              <w:t>实验室废液</w:t>
            </w:r>
            <w:r>
              <w:rPr>
                <w:rFonts w:hint="default" w:ascii="Times New Roman" w:hAnsi="Times New Roman" w:eastAsia="仿宋" w:cs="Times New Roman"/>
                <w:bCs/>
                <w:color w:val="auto"/>
                <w:sz w:val="24"/>
                <w:highlight w:val="none"/>
              </w:rPr>
              <w:t>（HW49其</w:t>
            </w:r>
            <w:r>
              <w:rPr>
                <w:rFonts w:hint="eastAsia" w:eastAsia="仿宋" w:cs="Times New Roman"/>
                <w:bCs/>
                <w:color w:val="auto"/>
                <w:sz w:val="24"/>
                <w:highlight w:val="none"/>
                <w:lang w:val="en-US" w:eastAsia="zh-CN"/>
              </w:rPr>
              <w:t>它</w:t>
            </w:r>
            <w:r>
              <w:rPr>
                <w:rFonts w:hint="default" w:ascii="Times New Roman" w:hAnsi="Times New Roman" w:eastAsia="仿宋" w:cs="Times New Roman"/>
                <w:bCs/>
                <w:color w:val="auto"/>
                <w:sz w:val="24"/>
                <w:highlight w:val="none"/>
              </w:rPr>
              <w:t>废物）</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废包装物（HW49其</w:t>
            </w:r>
            <w:r>
              <w:rPr>
                <w:rFonts w:hint="eastAsia" w:eastAsia="仿宋" w:cs="Times New Roman"/>
                <w:bCs/>
                <w:color w:val="auto"/>
                <w:sz w:val="24"/>
                <w:highlight w:val="none"/>
                <w:lang w:val="en-US" w:eastAsia="zh-CN"/>
              </w:rPr>
              <w:t>它</w:t>
            </w:r>
            <w:r>
              <w:rPr>
                <w:rFonts w:hint="default" w:ascii="Times New Roman" w:hAnsi="Times New Roman" w:eastAsia="仿宋" w:cs="Times New Roman"/>
                <w:bCs/>
                <w:color w:val="auto"/>
                <w:sz w:val="24"/>
                <w:highlight w:val="none"/>
              </w:rPr>
              <w:t>废物）</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废活性炭（HW49其</w:t>
            </w:r>
            <w:r>
              <w:rPr>
                <w:rFonts w:hint="eastAsia" w:eastAsia="仿宋" w:cs="Times New Roman"/>
                <w:bCs/>
                <w:color w:val="auto"/>
                <w:sz w:val="24"/>
                <w:highlight w:val="none"/>
                <w:lang w:val="en-US" w:eastAsia="zh-CN"/>
              </w:rPr>
              <w:t>它</w:t>
            </w:r>
            <w:r>
              <w:rPr>
                <w:rFonts w:hint="default" w:ascii="Times New Roman" w:hAnsi="Times New Roman" w:eastAsia="仿宋" w:cs="Times New Roman"/>
                <w:bCs/>
                <w:color w:val="auto"/>
                <w:sz w:val="24"/>
                <w:highlight w:val="none"/>
              </w:rPr>
              <w:t>废物）</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废劳保用品及抹布</w:t>
            </w:r>
            <w:r>
              <w:rPr>
                <w:rFonts w:hint="default" w:ascii="Times New Roman" w:hAnsi="Times New Roman" w:eastAsia="仿宋" w:cs="Times New Roman"/>
                <w:bCs/>
                <w:color w:val="auto"/>
                <w:sz w:val="24"/>
                <w:highlight w:val="none"/>
              </w:rPr>
              <w:t>（HW49其</w:t>
            </w:r>
            <w:r>
              <w:rPr>
                <w:rFonts w:hint="eastAsia" w:eastAsia="仿宋" w:cs="Times New Roman"/>
                <w:bCs/>
                <w:color w:val="auto"/>
                <w:sz w:val="24"/>
                <w:highlight w:val="none"/>
                <w:lang w:val="en-US" w:eastAsia="zh-CN"/>
              </w:rPr>
              <w:t>它</w:t>
            </w:r>
            <w:r>
              <w:rPr>
                <w:rFonts w:hint="default" w:ascii="Times New Roman" w:hAnsi="Times New Roman" w:eastAsia="仿宋" w:cs="Times New Roman"/>
                <w:bCs/>
                <w:color w:val="auto"/>
                <w:sz w:val="24"/>
                <w:highlight w:val="none"/>
              </w:rPr>
              <w:t>废物）</w:t>
            </w:r>
            <w:bookmarkEnd w:id="25"/>
            <w:r>
              <w:rPr>
                <w:rFonts w:hint="default" w:ascii="Times New Roman" w:hAnsi="Times New Roman" w:eastAsia="仿宋" w:cs="Times New Roman"/>
                <w:bCs/>
                <w:color w:val="auto"/>
                <w:sz w:val="24"/>
                <w:highlight w:val="none"/>
              </w:rPr>
              <w:t>。建设单位将在项目正式投产前落实危险废物处置途径，签订危废处置协议。</w:t>
            </w:r>
          </w:p>
          <w:p w14:paraId="5DF11818">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2）贮存场所（设施）污染防治措施</w:t>
            </w:r>
          </w:p>
          <w:p w14:paraId="503AABD8">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本项目依托现有</w:t>
            </w:r>
            <w:r>
              <w:rPr>
                <w:rFonts w:hint="default" w:ascii="Times New Roman" w:hAnsi="Times New Roman" w:eastAsia="仿宋" w:cs="Times New Roman"/>
                <w:bCs/>
                <w:color w:val="auto"/>
                <w:sz w:val="24"/>
              </w:rPr>
              <w:t>1个危废仓库对危险固废进行安全暂存。危废仓库</w:t>
            </w:r>
            <w:r>
              <w:rPr>
                <w:rFonts w:hint="default" w:ascii="Times New Roman" w:hAnsi="Times New Roman" w:eastAsia="仿宋" w:cs="Times New Roman"/>
                <w:bCs/>
                <w:color w:val="auto"/>
                <w:sz w:val="24"/>
                <w:lang w:val="en-US" w:eastAsia="zh-CN"/>
              </w:rPr>
              <w:t>已</w:t>
            </w:r>
            <w:r>
              <w:rPr>
                <w:rFonts w:hint="default" w:ascii="Times New Roman" w:hAnsi="Times New Roman" w:eastAsia="仿宋" w:cs="Times New Roman"/>
                <w:bCs/>
                <w:color w:val="auto"/>
                <w:sz w:val="24"/>
              </w:rPr>
              <w:t>按《危险废物贮存污染控制标准》（GB18597-2023）、省生态环境厅关于印发《江苏省固体废物全过程环境监管工作意见》的通知（苏环办〔2024〕16号）</w:t>
            </w:r>
            <w:r>
              <w:rPr>
                <w:rFonts w:hint="eastAsia" w:eastAsia="仿宋" w:cs="Times New Roman"/>
                <w:bCs/>
                <w:color w:val="auto"/>
                <w:sz w:val="24"/>
                <w:lang w:eastAsia="zh-CN"/>
              </w:rPr>
              <w:t>、</w:t>
            </w:r>
            <w:r>
              <w:rPr>
                <w:rFonts w:hint="eastAsia" w:eastAsia="仿宋" w:cs="Times New Roman"/>
                <w:bCs/>
                <w:color w:val="FF0000"/>
                <w:sz w:val="24"/>
                <w:lang w:eastAsia="zh-CN"/>
              </w:rPr>
              <w:t>《危险废物识别标志设置技术规范》（HJ 1276</w:t>
            </w:r>
            <w:r>
              <w:rPr>
                <w:rFonts w:hint="eastAsia" w:eastAsia="仿宋" w:cs="Times New Roman"/>
                <w:bCs/>
                <w:color w:val="FF0000"/>
                <w:sz w:val="24"/>
                <w:lang w:val="en-US" w:eastAsia="zh-CN"/>
              </w:rPr>
              <w:t>-</w:t>
            </w:r>
            <w:r>
              <w:rPr>
                <w:rFonts w:hint="eastAsia" w:eastAsia="仿宋" w:cs="Times New Roman"/>
                <w:bCs/>
                <w:color w:val="FF0000"/>
                <w:sz w:val="24"/>
                <w:lang w:eastAsia="zh-CN"/>
              </w:rPr>
              <w:t>2022）和《省生态环境厅关于做好&lt;危险废物贮存污染控制标准&gt;等标准规范实施后危险废物环境管理衔接工作的通知》（苏环办〔2023〕154号）</w:t>
            </w:r>
            <w:r>
              <w:rPr>
                <w:rFonts w:hint="default" w:ascii="Times New Roman" w:hAnsi="Times New Roman" w:eastAsia="仿宋" w:cs="Times New Roman"/>
                <w:bCs/>
                <w:color w:val="FF0000"/>
                <w:sz w:val="24"/>
              </w:rPr>
              <w:t>的要求进行设置，并做到以下几点：</w:t>
            </w:r>
          </w:p>
          <w:p w14:paraId="3736DD7D">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①贮存设施应根据危险废物的形态、物理化学性质、包装形式和污染物迁移途径，采取必要的防风、防晒、防雨、防漏、防渗、防腐以及其他环境污染防治措施，不应露天堆放危险废物。</w:t>
            </w:r>
          </w:p>
          <w:p w14:paraId="22FA03B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②贮存设施应根据危险废物的类别、数量、形态、物理化学性质和污染防治等要求设置必要的贮存分区，避免不相容的危险废物接触、混合。</w:t>
            </w:r>
          </w:p>
          <w:p w14:paraId="506E352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③贮存设施或贮存分区内地面、墙面裙脚、堵截泄漏的围堰、接触危险废物的隔板和墙体等应采用坚固的材料建造，表面无裂缝。</w:t>
            </w:r>
          </w:p>
          <w:p w14:paraId="70BE6F4C">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仿宋" w:cs="Times New Roman"/>
                <w:bCs/>
                <w:color w:val="auto"/>
                <w:sz w:val="24"/>
                <w:vertAlign w:val="superscript"/>
              </w:rPr>
              <w:t>-7</w:t>
            </w:r>
            <w:r>
              <w:rPr>
                <w:rFonts w:hint="default" w:ascii="Times New Roman" w:hAnsi="Times New Roman" w:eastAsia="仿宋" w:cs="Times New Roman"/>
                <w:bCs/>
                <w:color w:val="auto"/>
                <w:sz w:val="24"/>
              </w:rPr>
              <w:t>cm/s），或至少2mm厚高密度聚乙烯膜等人工防渗材料（渗透系数不大于10</w:t>
            </w:r>
            <w:r>
              <w:rPr>
                <w:rFonts w:hint="default" w:ascii="Times New Roman" w:hAnsi="Times New Roman" w:eastAsia="仿宋" w:cs="Times New Roman"/>
                <w:bCs/>
                <w:color w:val="auto"/>
                <w:sz w:val="24"/>
                <w:vertAlign w:val="superscript"/>
              </w:rPr>
              <w:t>-10</w:t>
            </w:r>
            <w:r>
              <w:rPr>
                <w:rFonts w:hint="default" w:ascii="Times New Roman" w:hAnsi="Times New Roman" w:eastAsia="仿宋" w:cs="Times New Roman"/>
                <w:bCs/>
                <w:color w:val="auto"/>
                <w:sz w:val="24"/>
              </w:rPr>
              <w:t>cm/s），或其他防渗性能等效的材料。</w:t>
            </w:r>
          </w:p>
          <w:p w14:paraId="7A044F3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5D03A878">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⑥贮存设施应采取技术和管理措施防止无关人员进入。</w:t>
            </w:r>
          </w:p>
          <w:p w14:paraId="54919D18">
            <w:pPr>
              <w:adjustRightInd w:val="0"/>
              <w:snapToGrid w:val="0"/>
              <w:spacing w:line="360" w:lineRule="auto"/>
              <w:ind w:firstLine="480" w:firstLineChars="200"/>
              <w:rPr>
                <w:rFonts w:hint="eastAsia" w:ascii="仿宋" w:hAnsi="仿宋" w:eastAsia="仿宋" w:cs="仿宋"/>
                <w:bCs/>
                <w:color w:val="FF0000"/>
                <w:sz w:val="24"/>
              </w:rPr>
            </w:pPr>
            <w:r>
              <w:rPr>
                <w:rFonts w:hint="eastAsia" w:ascii="仿宋" w:hAnsi="仿宋" w:eastAsia="仿宋" w:cs="仿宋"/>
                <w:bCs/>
                <w:color w:val="FF0000"/>
                <w:sz w:val="24"/>
              </w:rPr>
              <w:t>⑦</w:t>
            </w:r>
            <w:r>
              <w:rPr>
                <w:rFonts w:hint="eastAsia" w:ascii="仿宋" w:hAnsi="仿宋" w:eastAsia="仿宋" w:cs="仿宋"/>
                <w:bCs/>
                <w:color w:val="FF0000"/>
                <w:sz w:val="24"/>
                <w:lang w:val="en-US" w:eastAsia="zh-CN"/>
              </w:rPr>
              <w:t>危废仓库</w:t>
            </w:r>
            <w:r>
              <w:rPr>
                <w:rFonts w:hint="eastAsia" w:ascii="仿宋" w:hAnsi="仿宋" w:eastAsia="仿宋" w:cs="仿宋"/>
                <w:bCs/>
                <w:color w:val="FF0000"/>
                <w:sz w:val="24"/>
              </w:rPr>
              <w:t>应安装24小时视频监控系统，确保监控画面清晰。视频记录保存时间至少为3个月。</w:t>
            </w:r>
          </w:p>
          <w:p w14:paraId="3203E7EE">
            <w:pPr>
              <w:adjustRightInd w:val="0"/>
              <w:snapToGrid w:val="0"/>
              <w:spacing w:line="360" w:lineRule="auto"/>
              <w:ind w:firstLine="480" w:firstLineChars="200"/>
              <w:rPr>
                <w:rFonts w:hint="eastAsia" w:ascii="仿宋" w:hAnsi="仿宋" w:eastAsia="仿宋" w:cs="仿宋"/>
                <w:bCs/>
                <w:color w:val="FF0000"/>
                <w:sz w:val="24"/>
              </w:rPr>
            </w:pPr>
            <w:r>
              <w:rPr>
                <w:rFonts w:hint="eastAsia" w:ascii="仿宋" w:hAnsi="仿宋" w:eastAsia="仿宋" w:cs="仿宋"/>
                <w:bCs/>
                <w:color w:val="FF0000"/>
                <w:sz w:val="24"/>
              </w:rPr>
              <w:t>⑧贮存易产生挥发性有机物（VOCs）、酸雾、有毒有害大气污染物和刺激性气味气体的危险废物时，应设置气体收集装置和气体净化设施。废气（含无组织废气）排放应符合《大气污染物综合排放标准》（DB 32/4041</w:t>
            </w:r>
            <w:r>
              <w:rPr>
                <w:rFonts w:hint="eastAsia" w:ascii="仿宋" w:hAnsi="仿宋" w:eastAsia="仿宋" w:cs="仿宋"/>
                <w:bCs/>
                <w:color w:val="FF0000"/>
                <w:sz w:val="24"/>
                <w:lang w:val="en-US" w:eastAsia="zh-CN"/>
              </w:rPr>
              <w:t>-</w:t>
            </w:r>
            <w:r>
              <w:rPr>
                <w:rFonts w:hint="eastAsia" w:ascii="仿宋" w:hAnsi="仿宋" w:eastAsia="仿宋" w:cs="仿宋"/>
                <w:bCs/>
                <w:color w:val="FF0000"/>
                <w:sz w:val="24"/>
              </w:rPr>
              <w:t>2021）和《挥发性有机物无组织排放控制标准》（GB 37822</w:t>
            </w:r>
            <w:r>
              <w:rPr>
                <w:rFonts w:hint="eastAsia" w:ascii="仿宋" w:hAnsi="仿宋" w:eastAsia="仿宋" w:cs="仿宋"/>
                <w:bCs/>
                <w:color w:val="FF0000"/>
                <w:sz w:val="24"/>
                <w:lang w:val="en-US" w:eastAsia="zh-CN"/>
              </w:rPr>
              <w:t>-</w:t>
            </w:r>
            <w:r>
              <w:rPr>
                <w:rFonts w:hint="eastAsia" w:ascii="仿宋" w:hAnsi="仿宋" w:eastAsia="仿宋" w:cs="仿宋"/>
                <w:bCs/>
                <w:color w:val="FF0000"/>
                <w:sz w:val="24"/>
              </w:rPr>
              <w:t>2019）规定要求。</w:t>
            </w:r>
          </w:p>
          <w:p w14:paraId="047864B0">
            <w:pPr>
              <w:adjustRightInd w:val="0"/>
              <w:snapToGrid w:val="0"/>
              <w:spacing w:line="360" w:lineRule="auto"/>
              <w:ind w:firstLine="480" w:firstLineChars="200"/>
              <w:rPr>
                <w:rFonts w:hint="eastAsia" w:ascii="仿宋" w:hAnsi="仿宋" w:eastAsia="仿宋" w:cs="仿宋"/>
                <w:bCs/>
                <w:color w:val="FF0000"/>
                <w:sz w:val="24"/>
              </w:rPr>
            </w:pPr>
            <w:r>
              <w:rPr>
                <w:rFonts w:hint="eastAsia" w:ascii="仿宋" w:hAnsi="仿宋" w:eastAsia="仿宋" w:cs="仿宋"/>
                <w:bCs/>
                <w:color w:val="FF0000"/>
                <w:sz w:val="24"/>
              </w:rPr>
              <w:t>⑨实验室内部贮存点单个容器盛满后，贮存时间不应超过7天。废弃危险化学品和含氰废液在贮存点存放时间不应超过30天。其他实验室危险废物在贮存点存放时间不应超过90天。</w:t>
            </w:r>
          </w:p>
          <w:p w14:paraId="36F250F2">
            <w:pPr>
              <w:widowControl/>
              <w:jc w:val="center"/>
              <w:rPr>
                <w:rFonts w:hint="default" w:ascii="Times New Roman" w:hAnsi="Times New Roman" w:eastAsia="仿宋" w:cs="Times New Roman"/>
                <w:b/>
                <w:color w:val="auto"/>
                <w:sz w:val="24"/>
              </w:rPr>
            </w:pPr>
          </w:p>
          <w:p w14:paraId="7EDB73A6">
            <w:pPr>
              <w:widowControl/>
              <w:jc w:val="center"/>
              <w:rPr>
                <w:rFonts w:hint="default" w:ascii="Times New Roman" w:hAnsi="Times New Roman" w:eastAsia="仿宋" w:cs="Times New Roman"/>
                <w:b/>
                <w:color w:val="auto"/>
                <w:sz w:val="24"/>
              </w:rPr>
            </w:pPr>
          </w:p>
          <w:p w14:paraId="3B108653">
            <w:pPr>
              <w:widowControl/>
              <w:jc w:val="center"/>
              <w:rPr>
                <w:rFonts w:hint="default" w:ascii="Times New Roman" w:hAnsi="Times New Roman" w:eastAsia="仿宋" w:cs="Times New Roman"/>
                <w:b/>
                <w:color w:val="auto"/>
                <w:sz w:val="24"/>
              </w:rPr>
            </w:pPr>
          </w:p>
          <w:p w14:paraId="6562228D">
            <w:pPr>
              <w:widowControl/>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29</w:t>
            </w:r>
            <w:r>
              <w:rPr>
                <w:rFonts w:hint="default" w:ascii="Times New Roman" w:hAnsi="Times New Roman" w:eastAsia="仿宋" w:cs="Times New Roman"/>
                <w:b/>
                <w:color w:val="auto"/>
                <w:sz w:val="24"/>
              </w:rPr>
              <w:t xml:space="preserve">  </w:t>
            </w:r>
            <w:r>
              <w:rPr>
                <w:rFonts w:hint="eastAsia" w:eastAsia="仿宋" w:cs="Times New Roman"/>
                <w:b/>
                <w:color w:val="auto"/>
                <w:sz w:val="24"/>
                <w:lang w:val="en-US" w:eastAsia="zh-CN"/>
              </w:rPr>
              <w:t>本项目实验室</w:t>
            </w:r>
            <w:r>
              <w:rPr>
                <w:rFonts w:hint="default" w:ascii="Times New Roman" w:hAnsi="Times New Roman" w:eastAsia="仿宋" w:cs="Times New Roman"/>
                <w:b/>
                <w:color w:val="auto"/>
                <w:sz w:val="24"/>
              </w:rPr>
              <w:t>危险废物贮存场所基本情况表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6"/>
              <w:gridCol w:w="942"/>
              <w:gridCol w:w="1424"/>
              <w:gridCol w:w="953"/>
              <w:gridCol w:w="653"/>
              <w:gridCol w:w="675"/>
              <w:gridCol w:w="1599"/>
              <w:gridCol w:w="579"/>
              <w:gridCol w:w="1117"/>
            </w:tblGrid>
            <w:tr w14:paraId="735C2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0" w:type="pct"/>
                  <w:vAlign w:val="center"/>
                </w:tcPr>
                <w:p w14:paraId="2F5F0D1B">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贮存场所名称</w:t>
                  </w:r>
                </w:p>
              </w:tc>
              <w:tc>
                <w:tcPr>
                  <w:tcW w:w="556" w:type="pct"/>
                  <w:vAlign w:val="center"/>
                </w:tcPr>
                <w:p w14:paraId="155BAB8F">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固废名称</w:t>
                  </w:r>
                </w:p>
              </w:tc>
              <w:tc>
                <w:tcPr>
                  <w:tcW w:w="840" w:type="pct"/>
                  <w:vAlign w:val="center"/>
                </w:tcPr>
                <w:p w14:paraId="6E308714">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废物类别</w:t>
                  </w:r>
                </w:p>
              </w:tc>
              <w:tc>
                <w:tcPr>
                  <w:tcW w:w="562" w:type="pct"/>
                  <w:vAlign w:val="center"/>
                </w:tcPr>
                <w:p w14:paraId="3ED6D939">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废物代码</w:t>
                  </w:r>
                </w:p>
              </w:tc>
              <w:tc>
                <w:tcPr>
                  <w:tcW w:w="385" w:type="pct"/>
                  <w:tcBorders>
                    <w:bottom w:val="single" w:color="auto" w:sz="4" w:space="0"/>
                  </w:tcBorders>
                  <w:vAlign w:val="center"/>
                </w:tcPr>
                <w:p w14:paraId="33DE2E83">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位置</w:t>
                  </w:r>
                </w:p>
              </w:tc>
              <w:tc>
                <w:tcPr>
                  <w:tcW w:w="398" w:type="pct"/>
                  <w:tcBorders>
                    <w:bottom w:val="single" w:color="auto" w:sz="4" w:space="0"/>
                  </w:tcBorders>
                  <w:vAlign w:val="center"/>
                </w:tcPr>
                <w:p w14:paraId="116F8521">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占地面积（m</w:t>
                  </w:r>
                  <w:r>
                    <w:rPr>
                      <w:rFonts w:hint="default" w:ascii="Times New Roman" w:hAnsi="Times New Roman" w:eastAsia="仿宋" w:cs="Times New Roman"/>
                      <w:b/>
                      <w:color w:val="auto"/>
                      <w:sz w:val="18"/>
                      <w:szCs w:val="18"/>
                      <w:vertAlign w:val="superscript"/>
                    </w:rPr>
                    <w:t>2</w:t>
                  </w:r>
                  <w:r>
                    <w:rPr>
                      <w:rFonts w:hint="default" w:ascii="Times New Roman" w:hAnsi="Times New Roman" w:eastAsia="仿宋" w:cs="Times New Roman"/>
                      <w:b/>
                      <w:color w:val="auto"/>
                      <w:sz w:val="18"/>
                      <w:szCs w:val="18"/>
                    </w:rPr>
                    <w:t>）</w:t>
                  </w:r>
                </w:p>
              </w:tc>
              <w:tc>
                <w:tcPr>
                  <w:tcW w:w="944" w:type="pct"/>
                  <w:vAlign w:val="center"/>
                </w:tcPr>
                <w:p w14:paraId="323F2BA9">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贮存方式</w:t>
                  </w:r>
                </w:p>
              </w:tc>
              <w:tc>
                <w:tcPr>
                  <w:tcW w:w="341" w:type="pct"/>
                  <w:vAlign w:val="center"/>
                </w:tcPr>
                <w:p w14:paraId="47AFE56F">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贮存能力（t）</w:t>
                  </w:r>
                </w:p>
              </w:tc>
              <w:tc>
                <w:tcPr>
                  <w:tcW w:w="659" w:type="pct"/>
                  <w:vAlign w:val="center"/>
                </w:tcPr>
                <w:p w14:paraId="46C45EBC">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贮存周期</w:t>
                  </w:r>
                </w:p>
              </w:tc>
            </w:tr>
            <w:tr w14:paraId="1CA54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0" w:type="pct"/>
                  <w:vMerge w:val="restart"/>
                  <w:vAlign w:val="center"/>
                </w:tcPr>
                <w:p w14:paraId="2092329E">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危废</w:t>
                  </w:r>
                </w:p>
                <w:p w14:paraId="063FE83B">
                  <w:pPr>
                    <w:adjustRightInd w:val="0"/>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仓库</w:t>
                  </w:r>
                </w:p>
              </w:tc>
              <w:tc>
                <w:tcPr>
                  <w:tcW w:w="556" w:type="pct"/>
                  <w:shd w:val="clear" w:color="auto" w:fill="auto"/>
                  <w:vAlign w:val="center"/>
                </w:tcPr>
                <w:p w14:paraId="7DF6D349">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实验室废液</w:t>
                  </w:r>
                </w:p>
              </w:tc>
              <w:tc>
                <w:tcPr>
                  <w:tcW w:w="840" w:type="pct"/>
                  <w:shd w:val="clear" w:color="auto" w:fill="auto"/>
                  <w:vAlign w:val="center"/>
                </w:tcPr>
                <w:p w14:paraId="2D2F0AF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HW49其他废物</w:t>
                  </w:r>
                </w:p>
              </w:tc>
              <w:tc>
                <w:tcPr>
                  <w:tcW w:w="562" w:type="pct"/>
                  <w:shd w:val="clear" w:color="auto" w:fill="auto"/>
                  <w:vAlign w:val="center"/>
                </w:tcPr>
                <w:p w14:paraId="56EE99B0">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385" w:type="pct"/>
                  <w:vMerge w:val="restart"/>
                  <w:tcBorders>
                    <w:top w:val="single" w:color="auto" w:sz="4" w:space="0"/>
                  </w:tcBorders>
                  <w:vAlign w:val="center"/>
                </w:tcPr>
                <w:p w14:paraId="11ECFDFC">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生产车间1F</w:t>
                  </w:r>
                </w:p>
              </w:tc>
              <w:tc>
                <w:tcPr>
                  <w:tcW w:w="398" w:type="pct"/>
                  <w:vMerge w:val="restart"/>
                  <w:tcBorders>
                    <w:top w:val="single" w:color="auto" w:sz="4" w:space="0"/>
                  </w:tcBorders>
                  <w:vAlign w:val="center"/>
                </w:tcPr>
                <w:p w14:paraId="5FD05061">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30</w:t>
                  </w:r>
                </w:p>
              </w:tc>
              <w:tc>
                <w:tcPr>
                  <w:tcW w:w="944" w:type="pct"/>
                  <w:shd w:val="clear" w:color="auto" w:fill="auto"/>
                  <w:vAlign w:val="center"/>
                </w:tcPr>
                <w:p w14:paraId="2CC8529F">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桶装密封、分区放置</w:t>
                  </w:r>
                </w:p>
              </w:tc>
              <w:tc>
                <w:tcPr>
                  <w:tcW w:w="341" w:type="pct"/>
                  <w:shd w:val="clear" w:color="auto" w:fill="auto"/>
                  <w:vAlign w:val="center"/>
                </w:tcPr>
                <w:p w14:paraId="754DCB9E">
                  <w:pPr>
                    <w:adjustRightInd w:val="0"/>
                    <w:snapToGrid w:val="0"/>
                    <w:jc w:val="center"/>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0.4</w:t>
                  </w:r>
                </w:p>
              </w:tc>
              <w:tc>
                <w:tcPr>
                  <w:tcW w:w="659" w:type="pct"/>
                  <w:vMerge w:val="restart"/>
                  <w:shd w:val="clear" w:color="auto" w:fill="auto"/>
                  <w:vAlign w:val="center"/>
                </w:tcPr>
                <w:p w14:paraId="6EE41713">
                  <w:pPr>
                    <w:jc w:val="center"/>
                    <w:rPr>
                      <w:rFonts w:hint="default" w:ascii="Times New Roman" w:hAnsi="Times New Roman" w:eastAsia="仿宋" w:cs="Times New Roman"/>
                      <w:color w:val="auto"/>
                      <w:kern w:val="2"/>
                      <w:sz w:val="18"/>
                      <w:szCs w:val="18"/>
                      <w:lang w:val="en-US" w:eastAsia="zh-CN" w:bidi="ar-SA"/>
                    </w:rPr>
                  </w:pPr>
                  <w:r>
                    <w:rPr>
                      <w:rFonts w:hint="eastAsia" w:eastAsia="仿宋" w:cs="Times New Roman"/>
                      <w:color w:val="auto"/>
                      <w:sz w:val="18"/>
                      <w:szCs w:val="18"/>
                      <w:lang w:val="en-US" w:eastAsia="zh-CN"/>
                    </w:rPr>
                    <w:t>不超过90天</w:t>
                  </w:r>
                </w:p>
              </w:tc>
            </w:tr>
            <w:tr w14:paraId="1BD0B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0" w:type="pct"/>
                  <w:vMerge w:val="continue"/>
                  <w:vAlign w:val="center"/>
                </w:tcPr>
                <w:p w14:paraId="205EFFFE">
                  <w:pPr>
                    <w:adjustRightInd w:val="0"/>
                    <w:snapToGrid w:val="0"/>
                    <w:jc w:val="center"/>
                    <w:rPr>
                      <w:rFonts w:hint="default" w:ascii="Times New Roman" w:hAnsi="Times New Roman" w:eastAsia="仿宋" w:cs="Times New Roman"/>
                      <w:color w:val="auto"/>
                      <w:sz w:val="18"/>
                      <w:szCs w:val="18"/>
                    </w:rPr>
                  </w:pPr>
                </w:p>
              </w:tc>
              <w:tc>
                <w:tcPr>
                  <w:tcW w:w="556" w:type="pct"/>
                  <w:shd w:val="clear" w:color="auto" w:fill="auto"/>
                  <w:vAlign w:val="center"/>
                </w:tcPr>
                <w:p w14:paraId="3EDBA7DA">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lang w:val="en-US" w:eastAsia="zh-CN"/>
                    </w:rPr>
                    <w:t>废劳保用品及抹布</w:t>
                  </w:r>
                </w:p>
              </w:tc>
              <w:tc>
                <w:tcPr>
                  <w:tcW w:w="840" w:type="pct"/>
                  <w:shd w:val="clear" w:color="auto" w:fill="auto"/>
                  <w:vAlign w:val="center"/>
                </w:tcPr>
                <w:p w14:paraId="784179D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HW49其他废物</w:t>
                  </w:r>
                </w:p>
              </w:tc>
              <w:tc>
                <w:tcPr>
                  <w:tcW w:w="562" w:type="pct"/>
                  <w:shd w:val="clear" w:color="auto" w:fill="auto"/>
                  <w:vAlign w:val="center"/>
                </w:tcPr>
                <w:p w14:paraId="1FF2033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385" w:type="pct"/>
                  <w:vMerge w:val="continue"/>
                  <w:vAlign w:val="center"/>
                </w:tcPr>
                <w:p w14:paraId="23E24603">
                  <w:pPr>
                    <w:jc w:val="center"/>
                    <w:rPr>
                      <w:rFonts w:hint="default" w:ascii="Times New Roman" w:hAnsi="Times New Roman" w:eastAsia="仿宋" w:cs="Times New Roman"/>
                      <w:color w:val="auto"/>
                      <w:sz w:val="18"/>
                      <w:szCs w:val="18"/>
                    </w:rPr>
                  </w:pPr>
                </w:p>
              </w:tc>
              <w:tc>
                <w:tcPr>
                  <w:tcW w:w="398" w:type="pct"/>
                  <w:vMerge w:val="continue"/>
                  <w:vAlign w:val="center"/>
                </w:tcPr>
                <w:p w14:paraId="55884446">
                  <w:pPr>
                    <w:jc w:val="center"/>
                    <w:rPr>
                      <w:rFonts w:hint="default" w:ascii="Times New Roman" w:hAnsi="Times New Roman" w:eastAsia="仿宋" w:cs="Times New Roman"/>
                      <w:color w:val="auto"/>
                      <w:sz w:val="18"/>
                      <w:szCs w:val="18"/>
                    </w:rPr>
                  </w:pPr>
                </w:p>
              </w:tc>
              <w:tc>
                <w:tcPr>
                  <w:tcW w:w="944" w:type="pct"/>
                  <w:shd w:val="clear" w:color="auto" w:fill="auto"/>
                  <w:vAlign w:val="center"/>
                </w:tcPr>
                <w:p w14:paraId="7099BA73">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桶装密封、分区放置</w:t>
                  </w:r>
                </w:p>
              </w:tc>
              <w:tc>
                <w:tcPr>
                  <w:tcW w:w="341" w:type="pct"/>
                  <w:shd w:val="clear" w:color="auto" w:fill="auto"/>
                  <w:vAlign w:val="center"/>
                </w:tcPr>
                <w:p w14:paraId="5CA34B18">
                  <w:pPr>
                    <w:adjustRightInd w:val="0"/>
                    <w:snapToGrid w:val="0"/>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0.015</w:t>
                  </w:r>
                </w:p>
              </w:tc>
              <w:tc>
                <w:tcPr>
                  <w:tcW w:w="659" w:type="pct"/>
                  <w:vMerge w:val="continue"/>
                  <w:shd w:val="clear" w:color="auto" w:fill="auto"/>
                  <w:vAlign w:val="center"/>
                </w:tcPr>
                <w:p w14:paraId="0D41AED3">
                  <w:pPr>
                    <w:jc w:val="center"/>
                    <w:rPr>
                      <w:rFonts w:hint="default" w:ascii="Times New Roman" w:hAnsi="Times New Roman" w:eastAsia="仿宋" w:cs="Times New Roman"/>
                      <w:color w:val="auto"/>
                      <w:kern w:val="2"/>
                      <w:sz w:val="18"/>
                      <w:szCs w:val="18"/>
                      <w:lang w:val="en-US" w:eastAsia="zh-CN" w:bidi="ar-SA"/>
                    </w:rPr>
                  </w:pPr>
                </w:p>
              </w:tc>
            </w:tr>
            <w:tr w14:paraId="6C578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0" w:type="pct"/>
                  <w:vMerge w:val="continue"/>
                  <w:vAlign w:val="center"/>
                </w:tcPr>
                <w:p w14:paraId="7A732E19">
                  <w:pPr>
                    <w:adjustRightInd w:val="0"/>
                    <w:snapToGrid w:val="0"/>
                    <w:jc w:val="center"/>
                    <w:rPr>
                      <w:rFonts w:hint="default" w:ascii="Times New Roman" w:hAnsi="Times New Roman" w:eastAsia="仿宋" w:cs="Times New Roman"/>
                      <w:color w:val="auto"/>
                      <w:sz w:val="18"/>
                      <w:szCs w:val="18"/>
                    </w:rPr>
                  </w:pPr>
                </w:p>
              </w:tc>
              <w:tc>
                <w:tcPr>
                  <w:tcW w:w="556" w:type="pct"/>
                  <w:shd w:val="clear" w:color="auto" w:fill="auto"/>
                  <w:vAlign w:val="center"/>
                </w:tcPr>
                <w:p w14:paraId="2C0EEF51">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废包装物</w:t>
                  </w:r>
                </w:p>
              </w:tc>
              <w:tc>
                <w:tcPr>
                  <w:tcW w:w="840" w:type="pct"/>
                  <w:shd w:val="clear" w:color="auto" w:fill="auto"/>
                  <w:vAlign w:val="center"/>
                </w:tcPr>
                <w:p w14:paraId="0A1C2081">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HW49其他废物</w:t>
                  </w:r>
                </w:p>
              </w:tc>
              <w:tc>
                <w:tcPr>
                  <w:tcW w:w="562" w:type="pct"/>
                  <w:shd w:val="clear" w:color="auto" w:fill="auto"/>
                  <w:vAlign w:val="center"/>
                </w:tcPr>
                <w:p w14:paraId="5EA2D575">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900-047-49</w:t>
                  </w:r>
                </w:p>
              </w:tc>
              <w:tc>
                <w:tcPr>
                  <w:tcW w:w="385" w:type="pct"/>
                  <w:vMerge w:val="continue"/>
                  <w:shd w:val="clear" w:color="auto" w:fill="auto"/>
                  <w:vAlign w:val="center"/>
                </w:tcPr>
                <w:p w14:paraId="2810692B">
                  <w:pPr>
                    <w:jc w:val="center"/>
                    <w:rPr>
                      <w:rFonts w:hint="default" w:ascii="Times New Roman" w:hAnsi="Times New Roman" w:eastAsia="仿宋" w:cs="Times New Roman"/>
                      <w:color w:val="auto"/>
                      <w:kern w:val="2"/>
                      <w:sz w:val="18"/>
                      <w:szCs w:val="18"/>
                      <w:lang w:val="en-US" w:eastAsia="zh-CN" w:bidi="ar-SA"/>
                    </w:rPr>
                  </w:pPr>
                </w:p>
              </w:tc>
              <w:tc>
                <w:tcPr>
                  <w:tcW w:w="398" w:type="pct"/>
                  <w:vMerge w:val="continue"/>
                  <w:shd w:val="clear" w:color="auto" w:fill="auto"/>
                  <w:vAlign w:val="center"/>
                </w:tcPr>
                <w:p w14:paraId="540E5527">
                  <w:pPr>
                    <w:jc w:val="center"/>
                    <w:rPr>
                      <w:rFonts w:hint="default" w:ascii="Times New Roman" w:hAnsi="Times New Roman" w:eastAsia="仿宋" w:cs="Times New Roman"/>
                      <w:color w:val="auto"/>
                      <w:kern w:val="2"/>
                      <w:sz w:val="18"/>
                      <w:szCs w:val="18"/>
                      <w:lang w:val="en-US" w:eastAsia="zh-CN" w:bidi="ar-SA"/>
                    </w:rPr>
                  </w:pPr>
                </w:p>
              </w:tc>
              <w:tc>
                <w:tcPr>
                  <w:tcW w:w="944" w:type="pct"/>
                  <w:shd w:val="clear" w:color="auto" w:fill="auto"/>
                  <w:vAlign w:val="center"/>
                </w:tcPr>
                <w:p w14:paraId="7882AC77">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密封堆放，分区放置</w:t>
                  </w:r>
                </w:p>
              </w:tc>
              <w:tc>
                <w:tcPr>
                  <w:tcW w:w="341" w:type="pct"/>
                  <w:shd w:val="clear" w:color="auto" w:fill="auto"/>
                  <w:vAlign w:val="center"/>
                </w:tcPr>
                <w:p w14:paraId="72DA9756">
                  <w:pPr>
                    <w:adjustRightInd w:val="0"/>
                    <w:snapToGrid w:val="0"/>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0.025</w:t>
                  </w:r>
                </w:p>
              </w:tc>
              <w:tc>
                <w:tcPr>
                  <w:tcW w:w="659" w:type="pct"/>
                  <w:vMerge w:val="continue"/>
                  <w:shd w:val="clear" w:color="auto" w:fill="auto"/>
                  <w:vAlign w:val="center"/>
                </w:tcPr>
                <w:p w14:paraId="2DEAA0B2">
                  <w:pPr>
                    <w:jc w:val="center"/>
                    <w:rPr>
                      <w:rFonts w:hint="default" w:ascii="Times New Roman" w:hAnsi="Times New Roman" w:eastAsia="仿宋" w:cs="Times New Roman"/>
                      <w:color w:val="auto"/>
                      <w:kern w:val="2"/>
                      <w:sz w:val="18"/>
                      <w:szCs w:val="18"/>
                      <w:lang w:val="en-US" w:eastAsia="zh-CN" w:bidi="ar-SA"/>
                    </w:rPr>
                  </w:pPr>
                </w:p>
              </w:tc>
            </w:tr>
            <w:tr w14:paraId="3A9AD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310" w:type="pct"/>
                  <w:vMerge w:val="continue"/>
                  <w:vAlign w:val="center"/>
                </w:tcPr>
                <w:p w14:paraId="27FA3B95">
                  <w:pPr>
                    <w:adjustRightInd w:val="0"/>
                    <w:snapToGrid w:val="0"/>
                    <w:jc w:val="center"/>
                    <w:rPr>
                      <w:rFonts w:hint="default" w:ascii="Times New Roman" w:hAnsi="Times New Roman" w:eastAsia="仿宋" w:cs="Times New Roman"/>
                      <w:color w:val="auto"/>
                      <w:sz w:val="18"/>
                      <w:szCs w:val="18"/>
                    </w:rPr>
                  </w:pPr>
                </w:p>
              </w:tc>
              <w:tc>
                <w:tcPr>
                  <w:tcW w:w="556" w:type="pct"/>
                  <w:shd w:val="clear" w:color="auto" w:fill="auto"/>
                  <w:vAlign w:val="center"/>
                </w:tcPr>
                <w:p w14:paraId="5645B7F6">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废活性炭</w:t>
                  </w:r>
                </w:p>
              </w:tc>
              <w:tc>
                <w:tcPr>
                  <w:tcW w:w="840" w:type="pct"/>
                  <w:shd w:val="clear" w:color="auto" w:fill="auto"/>
                  <w:vAlign w:val="center"/>
                </w:tcPr>
                <w:p w14:paraId="0454DE86">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HW49其他废物</w:t>
                  </w:r>
                </w:p>
              </w:tc>
              <w:tc>
                <w:tcPr>
                  <w:tcW w:w="562" w:type="pct"/>
                  <w:shd w:val="clear" w:color="auto" w:fill="auto"/>
                  <w:vAlign w:val="center"/>
                </w:tcPr>
                <w:p w14:paraId="090C6316">
                  <w:pPr>
                    <w:adjustRightInd w:val="0"/>
                    <w:snapToGrid w:val="0"/>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900-039-49</w:t>
                  </w:r>
                </w:p>
              </w:tc>
              <w:tc>
                <w:tcPr>
                  <w:tcW w:w="385" w:type="pct"/>
                  <w:vMerge w:val="continue"/>
                  <w:shd w:val="clear" w:color="auto" w:fill="auto"/>
                  <w:vAlign w:val="center"/>
                </w:tcPr>
                <w:p w14:paraId="2036871C">
                  <w:pPr>
                    <w:jc w:val="center"/>
                    <w:rPr>
                      <w:rFonts w:hint="default" w:ascii="Times New Roman" w:hAnsi="Times New Roman" w:eastAsia="仿宋" w:cs="Times New Roman"/>
                      <w:color w:val="auto"/>
                      <w:kern w:val="2"/>
                      <w:sz w:val="18"/>
                      <w:szCs w:val="18"/>
                      <w:lang w:val="en-US" w:eastAsia="zh-CN" w:bidi="ar-SA"/>
                    </w:rPr>
                  </w:pPr>
                </w:p>
              </w:tc>
              <w:tc>
                <w:tcPr>
                  <w:tcW w:w="398" w:type="pct"/>
                  <w:vMerge w:val="continue"/>
                  <w:shd w:val="clear" w:color="auto" w:fill="auto"/>
                  <w:vAlign w:val="center"/>
                </w:tcPr>
                <w:p w14:paraId="2230DD03">
                  <w:pPr>
                    <w:jc w:val="center"/>
                    <w:rPr>
                      <w:rFonts w:hint="default" w:ascii="Times New Roman" w:hAnsi="Times New Roman" w:eastAsia="仿宋" w:cs="Times New Roman"/>
                      <w:color w:val="auto"/>
                      <w:kern w:val="2"/>
                      <w:sz w:val="18"/>
                      <w:szCs w:val="18"/>
                      <w:lang w:val="en-US" w:eastAsia="zh-CN" w:bidi="ar-SA"/>
                    </w:rPr>
                  </w:pPr>
                </w:p>
              </w:tc>
              <w:tc>
                <w:tcPr>
                  <w:tcW w:w="944" w:type="pct"/>
                  <w:shd w:val="clear" w:color="auto" w:fill="auto"/>
                  <w:vAlign w:val="center"/>
                </w:tcPr>
                <w:p w14:paraId="1D9ECE8B">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袋装密封，分区放置</w:t>
                  </w:r>
                </w:p>
              </w:tc>
              <w:tc>
                <w:tcPr>
                  <w:tcW w:w="341" w:type="pct"/>
                  <w:shd w:val="clear" w:color="auto" w:fill="auto"/>
                  <w:vAlign w:val="center"/>
                </w:tcPr>
                <w:p w14:paraId="5C986983">
                  <w:pPr>
                    <w:adjustRightInd w:val="0"/>
                    <w:snapToGrid w:val="0"/>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0.0083</w:t>
                  </w:r>
                </w:p>
              </w:tc>
              <w:tc>
                <w:tcPr>
                  <w:tcW w:w="659" w:type="pct"/>
                  <w:vMerge w:val="continue"/>
                  <w:shd w:val="clear" w:color="auto" w:fill="auto"/>
                  <w:vAlign w:val="center"/>
                </w:tcPr>
                <w:p w14:paraId="3690674A">
                  <w:pPr>
                    <w:jc w:val="center"/>
                    <w:rPr>
                      <w:rFonts w:hint="default" w:ascii="Times New Roman" w:hAnsi="Times New Roman" w:eastAsia="仿宋" w:cs="Times New Roman"/>
                      <w:color w:val="auto"/>
                      <w:kern w:val="2"/>
                      <w:sz w:val="18"/>
                      <w:szCs w:val="18"/>
                      <w:lang w:val="en-US" w:eastAsia="zh-CN" w:bidi="ar-SA"/>
                    </w:rPr>
                  </w:pPr>
                </w:p>
              </w:tc>
            </w:tr>
          </w:tbl>
          <w:p w14:paraId="2DA07FC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贮存能力可行性分析:</w:t>
            </w:r>
          </w:p>
          <w:p w14:paraId="337FCB54">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w:t>
            </w:r>
            <w:r>
              <w:rPr>
                <w:rFonts w:hint="default" w:ascii="Times New Roman" w:hAnsi="Times New Roman" w:eastAsia="仿宋" w:cs="Times New Roman"/>
                <w:bCs/>
                <w:color w:val="auto"/>
                <w:sz w:val="24"/>
                <w:lang w:val="en-US" w:eastAsia="zh-CN"/>
              </w:rPr>
              <w:t>依托现有</w:t>
            </w:r>
            <w:r>
              <w:rPr>
                <w:rFonts w:hint="default" w:ascii="Times New Roman" w:hAnsi="Times New Roman" w:eastAsia="仿宋" w:cs="Times New Roman"/>
                <w:bCs/>
                <w:color w:val="auto"/>
                <w:sz w:val="24"/>
              </w:rPr>
              <w:t>1个面积约30m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的危废仓库对危废进行暂存，危废仓库密闭设置，</w:t>
            </w:r>
            <w:r>
              <w:rPr>
                <w:rFonts w:hint="default" w:ascii="Times New Roman" w:hAnsi="Times New Roman" w:eastAsia="仿宋" w:cs="Times New Roman"/>
                <w:bCs/>
                <w:color w:val="auto"/>
                <w:sz w:val="24"/>
                <w:lang w:val="en-US" w:eastAsia="zh-CN"/>
              </w:rPr>
              <w:t>已</w:t>
            </w:r>
            <w:r>
              <w:rPr>
                <w:rFonts w:hint="default" w:ascii="Times New Roman" w:hAnsi="Times New Roman" w:eastAsia="仿宋" w:cs="Times New Roman"/>
                <w:bCs/>
                <w:color w:val="auto"/>
                <w:sz w:val="24"/>
              </w:rPr>
              <w:t>做到“四防”，即：防风、防雨、防晒、防渗漏，危废仓库地面与裙脚为坚固、防渗材料，建筑材料与危险废物相容。</w:t>
            </w:r>
          </w:p>
          <w:p w14:paraId="38451E4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本项目危险废物主要为</w:t>
            </w:r>
            <w:r>
              <w:rPr>
                <w:rFonts w:hint="default" w:ascii="Times New Roman" w:hAnsi="Times New Roman" w:eastAsia="仿宋" w:cs="Times New Roman"/>
                <w:bCs/>
                <w:color w:val="auto"/>
                <w:sz w:val="24"/>
                <w:lang w:val="en-US" w:eastAsia="zh-CN"/>
              </w:rPr>
              <w:t>实验室废液、废包装物、废劳保用品及抹布、废活性炭</w:t>
            </w:r>
            <w:r>
              <w:rPr>
                <w:rFonts w:hint="default" w:ascii="Times New Roman" w:hAnsi="Times New Roman" w:eastAsia="仿宋" w:cs="Times New Roman"/>
                <w:bCs/>
                <w:color w:val="auto"/>
                <w:sz w:val="24"/>
              </w:rPr>
              <w:t>，危废产生量共计约</w:t>
            </w:r>
            <w:r>
              <w:rPr>
                <w:rFonts w:hint="default" w:ascii="Times New Roman" w:hAnsi="Times New Roman" w:eastAsia="仿宋" w:cs="Times New Roman"/>
                <w:bCs/>
                <w:color w:val="auto"/>
                <w:sz w:val="24"/>
                <w:lang w:val="en-US" w:eastAsia="zh-CN"/>
              </w:rPr>
              <w:t>2.5</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lang w:val="en-US" w:eastAsia="zh-CN"/>
              </w:rPr>
              <w:t>83</w:t>
            </w:r>
            <w:r>
              <w:rPr>
                <w:rFonts w:hint="default" w:ascii="Times New Roman" w:hAnsi="Times New Roman" w:eastAsia="仿宋" w:cs="Times New Roman"/>
                <w:bCs/>
                <w:color w:val="auto"/>
                <w:sz w:val="24"/>
              </w:rPr>
              <w:t>t/a。根据各危废的特性及产生量等因素，合理安排各危废在厂区内的贮存周期</w:t>
            </w:r>
            <w:r>
              <w:rPr>
                <w:rFonts w:hint="eastAsia" w:eastAsia="仿宋" w:cs="Times New Roman"/>
                <w:bCs/>
                <w:color w:val="auto"/>
                <w:sz w:val="24"/>
                <w:lang w:eastAsia="zh-CN"/>
              </w:rPr>
              <w:t>，</w:t>
            </w:r>
            <w:r>
              <w:rPr>
                <w:rFonts w:hint="eastAsia" w:eastAsia="仿宋" w:cs="Times New Roman"/>
                <w:bCs/>
                <w:color w:val="auto"/>
                <w:sz w:val="24"/>
                <w:lang w:val="en-US" w:eastAsia="zh-CN"/>
              </w:rPr>
              <w:t>本项目危废最大贮存量约0.45t，</w:t>
            </w:r>
            <w:r>
              <w:rPr>
                <w:rFonts w:hint="default" w:ascii="Times New Roman" w:hAnsi="Times New Roman" w:eastAsia="仿宋" w:cs="Times New Roman"/>
                <w:bCs/>
                <w:color w:val="auto"/>
                <w:sz w:val="24"/>
              </w:rPr>
              <w:t>每平方空间内危废储存量按照1t计</w:t>
            </w:r>
            <w:r>
              <w:rPr>
                <w:rFonts w:hint="eastAsia" w:eastAsia="仿宋" w:cs="Times New Roman"/>
                <w:bCs/>
                <w:color w:val="auto"/>
                <w:sz w:val="24"/>
                <w:lang w:eastAsia="zh-CN"/>
              </w:rPr>
              <w:t>，</w:t>
            </w:r>
            <w:r>
              <w:rPr>
                <w:rFonts w:hint="eastAsia" w:eastAsia="仿宋" w:cs="Times New Roman"/>
                <w:bCs/>
                <w:color w:val="auto"/>
                <w:sz w:val="24"/>
                <w:lang w:val="en-US" w:eastAsia="zh-CN"/>
              </w:rPr>
              <w:t>则本项目需要危废仓库0.45m</w:t>
            </w:r>
            <w:r>
              <w:rPr>
                <w:rFonts w:hint="eastAsia" w:eastAsia="仿宋" w:cs="Times New Roman"/>
                <w:bCs/>
                <w:color w:val="auto"/>
                <w:sz w:val="24"/>
                <w:vertAlign w:val="superscript"/>
                <w:lang w:val="en-US" w:eastAsia="zh-CN"/>
              </w:rPr>
              <w:t>2</w:t>
            </w:r>
            <w:r>
              <w:rPr>
                <w:rFonts w:hint="eastAsia" w:eastAsia="仿宋" w:cs="Times New Roman"/>
                <w:bCs/>
                <w:color w:val="auto"/>
                <w:sz w:val="24"/>
                <w:lang w:val="en-US" w:eastAsia="zh-CN"/>
              </w:rPr>
              <w:t>的空间</w:t>
            </w:r>
            <w:r>
              <w:rPr>
                <w:rFonts w:hint="default" w:ascii="Times New Roman" w:hAnsi="Times New Roman" w:eastAsia="仿宋" w:cs="Times New Roman"/>
                <w:bCs/>
                <w:color w:val="auto"/>
                <w:sz w:val="24"/>
                <w:lang w:eastAsia="zh-CN"/>
              </w:rPr>
              <w:t>。</w:t>
            </w:r>
            <w:r>
              <w:rPr>
                <w:rFonts w:hint="eastAsia" w:eastAsia="仿宋" w:cs="Times New Roman"/>
                <w:bCs/>
                <w:color w:val="auto"/>
                <w:sz w:val="24"/>
                <w:lang w:val="en-US" w:eastAsia="zh-CN"/>
              </w:rPr>
              <w:t>现有</w:t>
            </w:r>
            <w:r>
              <w:rPr>
                <w:rFonts w:hint="default" w:ascii="Times New Roman" w:hAnsi="Times New Roman" w:eastAsia="仿宋" w:cs="Times New Roman"/>
                <w:bCs/>
                <w:color w:val="auto"/>
                <w:sz w:val="24"/>
              </w:rPr>
              <w:t>危废仓库面积约30m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，考虑到进出口、过道等，有效存储面积按80%计算，则有效存储面积为24m</w:t>
            </w:r>
            <w:r>
              <w:rPr>
                <w:rFonts w:hint="default" w:ascii="Times New Roman" w:hAnsi="Times New Roman" w:eastAsia="仿宋" w:cs="Times New Roman"/>
                <w:bCs/>
                <w:color w:val="auto"/>
                <w:sz w:val="24"/>
                <w:vertAlign w:val="superscript"/>
              </w:rPr>
              <w:t>2</w:t>
            </w:r>
            <w:r>
              <w:rPr>
                <w:rFonts w:hint="eastAsia" w:eastAsia="仿宋" w:cs="Times New Roman"/>
                <w:bCs/>
                <w:color w:val="auto"/>
                <w:sz w:val="24"/>
                <w:lang w:eastAsia="zh-CN"/>
              </w:rPr>
              <w:t>。</w:t>
            </w:r>
            <w:r>
              <w:rPr>
                <w:rFonts w:hint="eastAsia" w:eastAsia="仿宋" w:cs="Times New Roman"/>
                <w:bCs/>
                <w:color w:val="auto"/>
                <w:sz w:val="24"/>
                <w:lang w:val="en-US" w:eastAsia="zh-CN"/>
              </w:rPr>
              <w:t>现有项目需占用危废仓库的面积为20m</w:t>
            </w:r>
            <w:r>
              <w:rPr>
                <w:rFonts w:hint="eastAsia" w:eastAsia="仿宋" w:cs="Times New Roman"/>
                <w:bCs/>
                <w:color w:val="auto"/>
                <w:sz w:val="24"/>
                <w:vertAlign w:val="superscript"/>
                <w:lang w:val="en-US" w:eastAsia="zh-CN"/>
              </w:rPr>
              <w:t>2</w:t>
            </w:r>
            <w:r>
              <w:rPr>
                <w:rFonts w:hint="eastAsia" w:eastAsia="仿宋" w:cs="Times New Roman"/>
                <w:bCs/>
                <w:color w:val="auto"/>
                <w:sz w:val="24"/>
                <w:lang w:val="en-US" w:eastAsia="zh-CN"/>
              </w:rPr>
              <w:t>，剩余面积4m</w:t>
            </w:r>
            <w:r>
              <w:rPr>
                <w:rFonts w:hint="eastAsia" w:eastAsia="仿宋" w:cs="Times New Roman"/>
                <w:bCs/>
                <w:color w:val="auto"/>
                <w:sz w:val="24"/>
                <w:vertAlign w:val="superscript"/>
                <w:lang w:val="en-US" w:eastAsia="zh-CN"/>
              </w:rPr>
              <w:t>2</w:t>
            </w:r>
            <w:r>
              <w:rPr>
                <w:rFonts w:hint="default" w:ascii="Times New Roman" w:hAnsi="Times New Roman" w:eastAsia="仿宋" w:cs="Times New Roman"/>
                <w:bCs/>
                <w:color w:val="auto"/>
                <w:sz w:val="24"/>
              </w:rPr>
              <w:t>完全能够满足</w:t>
            </w:r>
            <w:r>
              <w:rPr>
                <w:rFonts w:hint="eastAsia" w:eastAsia="仿宋" w:cs="Times New Roman"/>
                <w:bCs/>
                <w:color w:val="auto"/>
                <w:sz w:val="24"/>
                <w:lang w:val="en-US" w:eastAsia="zh-CN"/>
              </w:rPr>
              <w:t>本项目</w:t>
            </w:r>
            <w:r>
              <w:rPr>
                <w:rFonts w:hint="default" w:ascii="Times New Roman" w:hAnsi="Times New Roman" w:eastAsia="仿宋" w:cs="Times New Roman"/>
                <w:bCs/>
                <w:color w:val="auto"/>
                <w:sz w:val="24"/>
              </w:rPr>
              <w:t>危险废物的暂存需求。</w:t>
            </w:r>
          </w:p>
          <w:p w14:paraId="4E022546">
            <w:pPr>
              <w:adjustRightInd w:val="0"/>
              <w:snapToGrid w:val="0"/>
              <w:spacing w:line="360" w:lineRule="auto"/>
              <w:ind w:firstLine="482" w:firstLineChars="200"/>
              <w:jc w:val="lef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贮存安全可行性分析：</w:t>
            </w:r>
          </w:p>
          <w:p w14:paraId="601976D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企业根据各危险废物的形态和危险特性，用专用编织袋或专用桶等包装容器盛装，并在盛装容器上粘贴标签，分开存放。贮存场所内设有隔离间隔断，并设置危险废物识别标志，且应满足“四防”。</w:t>
            </w:r>
          </w:p>
          <w:p w14:paraId="1DABD1C4">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综上所述，本项目危废按上述要求贮存于该危废仓库可行。</w:t>
            </w:r>
          </w:p>
          <w:p w14:paraId="1F9F60F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eastAsia" w:ascii="Times New Roman" w:hAnsi="Times New Roman" w:eastAsia="仿宋" w:cs="Times New Roman"/>
                <w:bCs/>
                <w:color w:val="auto"/>
                <w:sz w:val="24"/>
                <w:lang w:val="en-US" w:eastAsia="zh-CN"/>
              </w:rPr>
              <w:t>3</w:t>
            </w:r>
            <w:r>
              <w:rPr>
                <w:rFonts w:hint="default" w:ascii="Times New Roman" w:hAnsi="Times New Roman" w:eastAsia="仿宋" w:cs="Times New Roman"/>
                <w:bCs/>
                <w:color w:val="auto"/>
                <w:sz w:val="24"/>
              </w:rPr>
              <w:t>）贮存过程要求</w:t>
            </w:r>
          </w:p>
          <w:p w14:paraId="204F5BC6">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ascii="仿宋" w:hAnsi="仿宋" w:eastAsia="仿宋"/>
                <w:bCs/>
                <w:color w:val="auto"/>
                <w:sz w:val="24"/>
                <w:highlight w:val="none"/>
              </w:rPr>
              <w:t>根据</w:t>
            </w:r>
            <w:r>
              <w:rPr>
                <w:rFonts w:hint="eastAsia" w:ascii="仿宋" w:hAnsi="仿宋" w:eastAsia="仿宋"/>
                <w:bCs/>
                <w:color w:val="auto"/>
                <w:sz w:val="24"/>
                <w:highlight w:val="none"/>
              </w:rPr>
              <w:t>《危险废物贮存污染控制标准》（GB</w:t>
            </w:r>
            <w:r>
              <w:rPr>
                <w:rFonts w:ascii="仿宋" w:hAnsi="仿宋" w:eastAsia="仿宋"/>
                <w:bCs/>
                <w:color w:val="auto"/>
                <w:sz w:val="24"/>
                <w:highlight w:val="none"/>
              </w:rPr>
              <w:t xml:space="preserve"> </w:t>
            </w:r>
            <w:r>
              <w:rPr>
                <w:rFonts w:hint="eastAsia" w:ascii="仿宋" w:hAnsi="仿宋" w:eastAsia="仿宋"/>
                <w:bCs/>
                <w:color w:val="auto"/>
                <w:sz w:val="24"/>
                <w:highlight w:val="none"/>
              </w:rPr>
              <w:t>18597-2023）、《江苏省实验室危险废物环境管理指南》（苏环办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w:t>
            </w:r>
            <w:r>
              <w:rPr>
                <w:rFonts w:ascii="仿宋" w:hAnsi="仿宋" w:eastAsia="仿宋"/>
                <w:bCs/>
                <w:color w:val="auto"/>
                <w:sz w:val="24"/>
                <w:highlight w:val="none"/>
              </w:rPr>
              <w:t>，危险废物</w:t>
            </w:r>
            <w:r>
              <w:rPr>
                <w:rFonts w:hint="eastAsia" w:ascii="仿宋" w:hAnsi="仿宋" w:eastAsia="仿宋"/>
                <w:bCs/>
                <w:color w:val="auto"/>
                <w:sz w:val="24"/>
                <w:highlight w:val="none"/>
              </w:rPr>
              <w:t>贮存管理要求如下</w:t>
            </w:r>
            <w:r>
              <w:rPr>
                <w:rFonts w:ascii="仿宋" w:hAnsi="仿宋" w:eastAsia="仿宋"/>
                <w:bCs/>
                <w:color w:val="auto"/>
                <w:sz w:val="24"/>
                <w:highlight w:val="none"/>
              </w:rPr>
              <w:t>：</w:t>
            </w:r>
          </w:p>
          <w:p w14:paraId="0B35829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①在常温常压下不易水解、不易挥发的固态危险废物可分类堆放贮存，其他固态危险废物应装入容器或包装物内贮存。</w:t>
            </w:r>
          </w:p>
          <w:p w14:paraId="17CFBAC4">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②液态危险废物应装入容器内贮存，或直接采用贮存池、贮存罐区贮存。存放液态危险废物时，需采取防渗漏措施，将容器置于托盘中。</w:t>
            </w:r>
          </w:p>
          <w:p w14:paraId="5E20E9A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③半固态危险废物应装入容器或包装袋内贮存，或者采用贮存池贮存。</w:t>
            </w:r>
          </w:p>
          <w:p w14:paraId="68309563">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④具有热塑性的危险废物应装入容器或包装袋内进行贮存。</w:t>
            </w:r>
          </w:p>
          <w:p w14:paraId="75970B8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⑤易产生VOCs、酸雾等有毒有害大气污染物和刺激性气味气体的危险废物应装入闭口容器或包装物内贮存。</w:t>
            </w:r>
          </w:p>
          <w:p w14:paraId="24584BD4">
            <w:pPr>
              <w:adjustRightInd w:val="0"/>
              <w:snapToGrid w:val="0"/>
              <w:spacing w:line="360" w:lineRule="auto"/>
              <w:ind w:firstLine="480" w:firstLineChars="200"/>
              <w:jc w:val="left"/>
              <w:rPr>
                <w:rFonts w:hint="eastAsia" w:ascii="仿宋" w:hAnsi="仿宋" w:eastAsia="仿宋"/>
                <w:color w:val="auto"/>
                <w:sz w:val="24"/>
                <w:highlight w:val="none"/>
              </w:rPr>
            </w:pPr>
            <w:r>
              <w:rPr>
                <w:rFonts w:hint="default" w:ascii="Times New Roman" w:hAnsi="Times New Roman" w:eastAsia="仿宋" w:cs="Times New Roman"/>
                <w:bCs/>
                <w:color w:val="auto"/>
                <w:sz w:val="24"/>
              </w:rPr>
              <w:t>⑥</w:t>
            </w:r>
            <w:r>
              <w:rPr>
                <w:rFonts w:hint="eastAsia" w:ascii="仿宋" w:hAnsi="仿宋" w:eastAsia="仿宋"/>
                <w:color w:val="auto"/>
                <w:sz w:val="24"/>
                <w:highlight w:val="none"/>
              </w:rPr>
              <w:t>废弃危险化学品应存放于符合安全要求的原危化品贮存设施内，或经预处理使之稳定后贮存于危险废物贮存设施。</w:t>
            </w:r>
          </w:p>
          <w:p w14:paraId="339BD882">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⑦实验室产生的危险特性不明确的废弃危险化学品，应按照《危险化学品安全管理条例》等有关规定进行相关危险特性判定或鉴别，并经预处理稳定化后方可在贮存设施或场所内贮存。</w:t>
            </w:r>
          </w:p>
          <w:p w14:paraId="60DF652A">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4</w:t>
            </w:r>
            <w:r>
              <w:rPr>
                <w:rFonts w:hint="default" w:ascii="Times New Roman" w:hAnsi="Times New Roman" w:eastAsia="仿宋" w:cs="Times New Roman"/>
                <w:bCs/>
                <w:color w:val="auto"/>
                <w:sz w:val="24"/>
              </w:rPr>
              <w:t>）容器和包装物污染控制要求</w:t>
            </w:r>
          </w:p>
          <w:p w14:paraId="2419FCE7">
            <w:pPr>
              <w:adjustRightInd w:val="0"/>
              <w:snapToGrid w:val="0"/>
              <w:spacing w:line="360" w:lineRule="auto"/>
              <w:ind w:firstLine="480" w:firstLineChars="200"/>
              <w:rPr>
                <w:rFonts w:hint="eastAsia" w:ascii="仿宋" w:hAnsi="仿宋" w:eastAsia="仿宋"/>
                <w:bCs/>
                <w:color w:val="auto"/>
                <w:sz w:val="24"/>
                <w:highlight w:val="none"/>
              </w:rPr>
            </w:pPr>
            <w:r>
              <w:rPr>
                <w:rFonts w:hint="eastAsia" w:ascii="仿宋" w:hAnsi="仿宋" w:eastAsia="仿宋"/>
                <w:bCs/>
                <w:color w:val="auto"/>
                <w:sz w:val="24"/>
                <w:highlight w:val="none"/>
              </w:rPr>
              <w:t>根据《江苏省实验室危险废物环境管理指南》（苏环办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），实验室危险废物包装管理要求如下：</w:t>
            </w:r>
          </w:p>
          <w:p w14:paraId="72B64193">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a.用于盛放实验室危险废物的容器和包装物应满足《危险废物贮存污染控制标准》(GB18597-2023)要求</w:t>
            </w:r>
            <w:r>
              <w:rPr>
                <w:rFonts w:ascii="仿宋" w:hAnsi="仿宋" w:eastAsia="仿宋"/>
                <w:bCs/>
                <w:color w:val="auto"/>
                <w:sz w:val="24"/>
                <w:highlight w:val="none"/>
              </w:rPr>
              <w:t>：</w:t>
            </w:r>
          </w:p>
          <w:p w14:paraId="23C99200">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①容器和包装物材质、内衬应与盛装的危险废物相容。</w:t>
            </w:r>
          </w:p>
          <w:p w14:paraId="2442D821">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②针对不同类别、形态、物理化学性质的危险废物，其容器和包装物应满足相应的防渗、防漏、防腐和强度等要求。</w:t>
            </w:r>
          </w:p>
          <w:p w14:paraId="0C04CD2D">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③硬质容器和包装物及其支护结构堆叠码放时不应有明显变形，无破损泄漏。</w:t>
            </w:r>
          </w:p>
          <w:p w14:paraId="2B2BF47E">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④柔性容器和包装物堆叠码放时应封口严密，无破损泄漏。</w:t>
            </w:r>
          </w:p>
          <w:p w14:paraId="72225028">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⑤使用容器盛装液态、半固态危险废物时，容器内部应留有适当的空间，以适应因温度变化等可能引发的收缩和膨胀，防止其导致容器渗漏或永久变形。</w:t>
            </w:r>
          </w:p>
          <w:p w14:paraId="105D48A1">
            <w:pPr>
              <w:adjustRightInd w:val="0"/>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⑥容器和包装物外表面应保持清洁。</w:t>
            </w:r>
          </w:p>
          <w:p w14:paraId="69096214">
            <w:pPr>
              <w:adjustRightInd w:val="0"/>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b.废弃危险化学品应满足危险化学品包装要求。</w:t>
            </w:r>
          </w:p>
          <w:p w14:paraId="06248E78">
            <w:pPr>
              <w:adjustRightInd w:val="0"/>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c.具有反应性的危险废物应经预处理，消除反应性后方可投入容器或包装物内。不相容的危险废物不得投入同一容器或包装物内。</w:t>
            </w:r>
          </w:p>
          <w:p w14:paraId="5E4016EB">
            <w:pPr>
              <w:adjustRightInd w:val="0"/>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e.液态废物使用的塑料容器应符合《包装容器危险品包装用塑料桶》</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GB18191-2008</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要求，盛装不宜过满，容器顶部与液面之间保留适当空间。</w:t>
            </w:r>
          </w:p>
          <w:p w14:paraId="2D457C47">
            <w:pPr>
              <w:adjustRightInd w:val="0"/>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f.固态废物包装前应不含残留液体，包装物应具有一定强度且可封闭。破碎玻璃器皿、针头等应存放于锐器盒内</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无法装入常用容器的固态废物可用防漏胶袋等存放。</w:t>
            </w:r>
          </w:p>
          <w:p w14:paraId="1D948AB7">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g.废弃试剂瓶</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含空瓶</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应瓶口朝上码放于满足相应强度且可封闭的包装容器中，确保稳固，防止泄漏、磕碰，并在容器外部标注朝上的方向标识。</w:t>
            </w:r>
          </w:p>
          <w:p w14:paraId="05D50BD9">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5）运输过程的污染防治措施</w:t>
            </w:r>
          </w:p>
          <w:p w14:paraId="5A971DAC">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根据《江苏省实验室危险废物环境管理指南》（苏环办</w:t>
            </w:r>
            <w:r>
              <w:rPr>
                <w:rFonts w:hint="eastAsia" w:ascii="仿宋" w:hAnsi="仿宋" w:eastAsia="仿宋"/>
                <w:bCs/>
                <w:color w:val="auto"/>
                <w:sz w:val="24"/>
                <w:highlight w:val="none"/>
                <w:lang w:eastAsia="zh-CN"/>
              </w:rPr>
              <w:t>〔2024〕191号</w:t>
            </w:r>
            <w:r>
              <w:rPr>
                <w:rFonts w:hint="eastAsia" w:ascii="仿宋" w:hAnsi="仿宋" w:eastAsia="仿宋"/>
                <w:bCs/>
                <w:color w:val="auto"/>
                <w:sz w:val="24"/>
                <w:highlight w:val="none"/>
              </w:rPr>
              <w:t>），实验室危险废物转运管理要求如下：</w:t>
            </w:r>
          </w:p>
          <w:p w14:paraId="0E48DB74">
            <w:pPr>
              <w:adjustRightInd w:val="0"/>
              <w:snapToGrid w:val="0"/>
              <w:spacing w:line="360" w:lineRule="auto"/>
              <w:ind w:firstLine="480" w:firstLineChars="200"/>
              <w:rPr>
                <w:rFonts w:hint="eastAsia" w:ascii="仿宋" w:hAnsi="仿宋" w:eastAsia="仿宋"/>
                <w:bCs/>
                <w:color w:val="auto"/>
                <w:sz w:val="24"/>
                <w:highlight w:val="none"/>
              </w:rPr>
            </w:pPr>
            <w:r>
              <w:rPr>
                <w:rFonts w:hint="eastAsia" w:ascii="仿宋" w:hAnsi="仿宋" w:eastAsia="仿宋"/>
                <w:bCs/>
                <w:color w:val="auto"/>
                <w:sz w:val="24"/>
                <w:highlight w:val="none"/>
              </w:rPr>
              <w:t>a.实验室产生的危险废物应及时转运至危险废物贮存库进行规范贮存或者转移至危险废物集中处置单位进行处置。</w:t>
            </w:r>
          </w:p>
          <w:p w14:paraId="5FC6A536">
            <w:pPr>
              <w:adjustRightInd w:val="0"/>
              <w:snapToGrid w:val="0"/>
              <w:spacing w:line="360" w:lineRule="auto"/>
              <w:ind w:firstLine="480" w:firstLineChars="200"/>
              <w:rPr>
                <w:rFonts w:hint="eastAsia" w:ascii="仿宋" w:hAnsi="仿宋" w:eastAsia="仿宋"/>
                <w:bCs/>
                <w:color w:val="auto"/>
                <w:sz w:val="24"/>
                <w:highlight w:val="none"/>
              </w:rPr>
            </w:pPr>
            <w:r>
              <w:rPr>
                <w:rFonts w:hint="eastAsia" w:ascii="仿宋" w:hAnsi="仿宋" w:eastAsia="仿宋"/>
                <w:bCs/>
                <w:color w:val="auto"/>
                <w:sz w:val="24"/>
                <w:highlight w:val="none"/>
              </w:rPr>
              <w:t>b.实验室危险废物在内部转运时，应至少2名实验室管理人员参与转运并符合《危险废物收集 贮存 运输技术规范》</w:t>
            </w:r>
            <w:r>
              <w:rPr>
                <w:rFonts w:hint="eastAsia" w:ascii="仿宋" w:hAnsi="仿宋" w:eastAsia="仿宋"/>
                <w:bCs/>
                <w:color w:val="auto"/>
                <w:sz w:val="24"/>
                <w:highlight w:val="none"/>
                <w:lang w:eastAsia="zh-CN"/>
              </w:rPr>
              <w:t>（</w:t>
            </w:r>
            <w:r>
              <w:rPr>
                <w:rFonts w:hint="eastAsia" w:ascii="仿宋" w:hAnsi="仿宋" w:eastAsia="仿宋"/>
                <w:bCs/>
                <w:color w:val="auto"/>
                <w:sz w:val="24"/>
                <w:highlight w:val="none"/>
              </w:rPr>
              <w:t>HJ2025-2012</w:t>
            </w:r>
            <w:r>
              <w:rPr>
                <w:rFonts w:hint="eastAsia" w:ascii="仿宋" w:hAnsi="仿宋" w:eastAsia="仿宋"/>
                <w:bCs/>
                <w:color w:val="auto"/>
                <w:sz w:val="24"/>
                <w:highlight w:val="none"/>
                <w:lang w:eastAsia="zh-CN"/>
              </w:rPr>
              <w:t>）</w:t>
            </w:r>
            <w:r>
              <w:rPr>
                <w:rFonts w:hint="eastAsia" w:ascii="仿宋" w:hAnsi="仿宋" w:eastAsia="仿宋"/>
                <w:bCs/>
                <w:color w:val="auto"/>
                <w:sz w:val="24"/>
                <w:highlight w:val="none"/>
              </w:rPr>
              <w:t>有关收集和内部转运作业要求。</w:t>
            </w:r>
          </w:p>
          <w:p w14:paraId="2D59B266">
            <w:pPr>
              <w:adjustRightInd w:val="0"/>
              <w:snapToGrid w:val="0"/>
              <w:spacing w:line="360" w:lineRule="auto"/>
              <w:ind w:firstLine="480" w:firstLineChars="200"/>
              <w:rPr>
                <w:rFonts w:hint="eastAsia" w:ascii="仿宋" w:hAnsi="仿宋" w:eastAsia="仿宋"/>
                <w:bCs/>
                <w:color w:val="auto"/>
                <w:sz w:val="24"/>
                <w:highlight w:val="none"/>
              </w:rPr>
            </w:pPr>
            <w:r>
              <w:rPr>
                <w:rFonts w:hint="eastAsia" w:ascii="仿宋" w:hAnsi="仿宋" w:eastAsia="仿宋"/>
                <w:bCs/>
                <w:color w:val="auto"/>
                <w:sz w:val="24"/>
                <w:highlight w:val="none"/>
              </w:rPr>
              <w:t>c.实验室内部收运危险废物的车辆应使用符合安全环保要求的运输工具</w:t>
            </w:r>
            <w:r>
              <w:rPr>
                <w:rFonts w:hint="eastAsia" w:ascii="仿宋" w:hAnsi="仿宋" w:eastAsia="仿宋"/>
                <w:bCs/>
                <w:color w:val="auto"/>
                <w:sz w:val="24"/>
                <w:highlight w:val="none"/>
                <w:lang w:eastAsia="zh-CN"/>
              </w:rPr>
              <w:t>，</w:t>
            </w:r>
            <w:r>
              <w:rPr>
                <w:rFonts w:hint="eastAsia" w:ascii="仿宋" w:hAnsi="仿宋" w:eastAsia="仿宋"/>
                <w:bCs/>
                <w:color w:val="auto"/>
                <w:sz w:val="24"/>
                <w:highlight w:val="none"/>
              </w:rPr>
              <w:t>车内需设置泄漏液体收集装置及并配备环境应急物资。</w:t>
            </w:r>
          </w:p>
          <w:p w14:paraId="539644DB">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d.</w:t>
            </w:r>
            <w:r>
              <w:rPr>
                <w:rFonts w:ascii="仿宋" w:hAnsi="仿宋" w:eastAsia="仿宋"/>
                <w:bCs/>
                <w:color w:val="auto"/>
                <w:sz w:val="24"/>
                <w:highlight w:val="none"/>
              </w:rPr>
              <w:t>实验室危险废物转运前应提前确定运输路线，运输路线应避开人员聚集地</w:t>
            </w:r>
            <w:r>
              <w:rPr>
                <w:rFonts w:hint="eastAsia" w:ascii="仿宋" w:hAnsi="仿宋" w:eastAsia="仿宋"/>
                <w:bCs/>
                <w:color w:val="auto"/>
                <w:sz w:val="24"/>
                <w:highlight w:val="none"/>
                <w:lang w:eastAsia="zh-CN"/>
              </w:rPr>
              <w:t>，</w:t>
            </w:r>
            <w:r>
              <w:rPr>
                <w:rFonts w:ascii="仿宋" w:hAnsi="仿宋" w:eastAsia="仿宋"/>
                <w:bCs/>
                <w:color w:val="auto"/>
                <w:sz w:val="24"/>
                <w:highlight w:val="none"/>
              </w:rPr>
              <w:t>转运人员需携带必要的个人防护用具和应急物资。</w:t>
            </w:r>
          </w:p>
          <w:p w14:paraId="40053311">
            <w:pPr>
              <w:adjustRightInd w:val="0"/>
              <w:snapToGrid w:val="0"/>
              <w:spacing w:line="360" w:lineRule="auto"/>
              <w:ind w:firstLine="480" w:firstLineChars="200"/>
              <w:rPr>
                <w:rFonts w:hint="eastAsia" w:ascii="仿宋" w:hAnsi="仿宋" w:eastAsia="仿宋"/>
                <w:bCs/>
                <w:color w:val="auto"/>
                <w:sz w:val="24"/>
                <w:highlight w:val="none"/>
              </w:rPr>
            </w:pPr>
            <w:r>
              <w:rPr>
                <w:rFonts w:hint="eastAsia" w:ascii="仿宋" w:hAnsi="仿宋" w:eastAsia="仿宋"/>
                <w:bCs/>
                <w:color w:val="auto"/>
                <w:sz w:val="24"/>
                <w:highlight w:val="none"/>
              </w:rPr>
              <w:t>e.</w:t>
            </w:r>
            <w:r>
              <w:rPr>
                <w:rFonts w:ascii="仿宋" w:hAnsi="仿宋" w:eastAsia="仿宋"/>
                <w:bCs/>
                <w:color w:val="auto"/>
                <w:sz w:val="24"/>
                <w:highlight w:val="none"/>
              </w:rPr>
              <w:t>实验室危险废物运输至危险废物处置单位时应符合HJ2025-2012中危险废物的运输要求</w:t>
            </w:r>
            <w:r>
              <w:rPr>
                <w:rFonts w:hint="eastAsia" w:ascii="仿宋" w:hAnsi="仿宋" w:eastAsia="仿宋"/>
                <w:bCs/>
                <w:color w:val="auto"/>
                <w:sz w:val="24"/>
                <w:highlight w:val="none"/>
                <w:lang w:eastAsia="zh-CN"/>
              </w:rPr>
              <w:t>：</w:t>
            </w:r>
          </w:p>
          <w:p w14:paraId="4844ABE6">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cs="宋体"/>
                <w:bCs/>
                <w:color w:val="auto"/>
                <w:sz w:val="24"/>
                <w:highlight w:val="none"/>
              </w:rPr>
              <w:t>①</w:t>
            </w:r>
            <w:r>
              <w:rPr>
                <w:rFonts w:ascii="仿宋" w:hAnsi="仿宋" w:eastAsia="仿宋"/>
                <w:bCs/>
                <w:color w:val="auto"/>
                <w:sz w:val="24"/>
                <w:highlight w:val="none"/>
              </w:rPr>
              <w:t>危险废物运输应由持有危险废物经营许可证的单位按照其许可证的经营范围组织实施，承担危险废物运输的单位应获得交通运输部门颁发的危险货物运输资质。</w:t>
            </w:r>
          </w:p>
          <w:p w14:paraId="05C0F3D9">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cs="宋体"/>
                <w:bCs/>
                <w:color w:val="auto"/>
                <w:sz w:val="24"/>
                <w:highlight w:val="none"/>
              </w:rPr>
              <w:t>②</w:t>
            </w:r>
            <w:r>
              <w:rPr>
                <w:rFonts w:ascii="仿宋" w:hAnsi="仿宋" w:eastAsia="仿宋"/>
                <w:bCs/>
                <w:color w:val="auto"/>
                <w:sz w:val="24"/>
                <w:highlight w:val="none"/>
              </w:rPr>
              <w:t>危险废物公路运输应按照《道路危险货物运输管理规定》、JT617以及JT618执行。</w:t>
            </w:r>
          </w:p>
          <w:p w14:paraId="3688BD18">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cs="宋体"/>
                <w:bCs/>
                <w:color w:val="auto"/>
                <w:sz w:val="24"/>
                <w:highlight w:val="none"/>
              </w:rPr>
              <w:t>③</w:t>
            </w:r>
            <w:r>
              <w:rPr>
                <w:rFonts w:ascii="仿宋" w:hAnsi="仿宋" w:eastAsia="仿宋"/>
                <w:bCs/>
                <w:color w:val="auto"/>
                <w:sz w:val="24"/>
                <w:highlight w:val="none"/>
              </w:rPr>
              <w:t>运输单位在承运危险废物时，应在危险废物包装上按照GB18597附录A设置标志。</w:t>
            </w:r>
          </w:p>
          <w:p w14:paraId="26ACB5FA">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cs="宋体"/>
                <w:bCs/>
                <w:color w:val="auto"/>
                <w:sz w:val="24"/>
                <w:highlight w:val="none"/>
              </w:rPr>
              <w:t>④</w:t>
            </w:r>
            <w:r>
              <w:rPr>
                <w:rFonts w:ascii="仿宋" w:hAnsi="仿宋" w:eastAsia="仿宋"/>
                <w:bCs/>
                <w:color w:val="auto"/>
                <w:sz w:val="24"/>
                <w:highlight w:val="none"/>
              </w:rPr>
              <w:t>危险废物公路运输时，运输车辆按GB13392设置车辆标志。铁路运输和水路运输危险废物时应在集装箱外按GB190规定悬挂标志。</w:t>
            </w:r>
          </w:p>
          <w:p w14:paraId="4B209A10">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cs="宋体"/>
                <w:bCs/>
                <w:color w:val="auto"/>
                <w:sz w:val="24"/>
                <w:highlight w:val="none"/>
              </w:rPr>
              <w:t>⑤</w:t>
            </w:r>
            <w:r>
              <w:rPr>
                <w:rFonts w:ascii="仿宋" w:hAnsi="仿宋" w:eastAsia="仿宋"/>
                <w:bCs/>
                <w:color w:val="auto"/>
                <w:sz w:val="24"/>
                <w:highlight w:val="none"/>
              </w:rPr>
              <w:t>危险废物运输时的中转、装卸过程应遵守如下技术要求：</w:t>
            </w:r>
          </w:p>
          <w:p w14:paraId="2B962242">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装卸区的工作人员应熟悉废物的危险特性，并配备适当的个人防护装备，装卸剧毒废物应配备特殊的防护装备；</w:t>
            </w:r>
          </w:p>
          <w:p w14:paraId="082AF630">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装卸区应配备必要的消防设备和设施，并设置明显的指示标志；</w:t>
            </w:r>
          </w:p>
          <w:p w14:paraId="5FC83881">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危险废物装卸区应设置隔离设施，液态废物装卸区应设置收集槽和缓冲罐。</w:t>
            </w:r>
          </w:p>
          <w:p w14:paraId="31ABDD94">
            <w:pPr>
              <w:adjustRightInd w:val="0"/>
              <w:snapToGrid w:val="0"/>
              <w:spacing w:line="360" w:lineRule="auto"/>
              <w:ind w:firstLine="480" w:firstLineChars="200"/>
              <w:rPr>
                <w:rFonts w:hint="eastAsia" w:ascii="仿宋" w:hAnsi="仿宋" w:eastAsia="仿宋"/>
                <w:bCs/>
                <w:color w:val="auto"/>
                <w:sz w:val="24"/>
                <w:highlight w:val="none"/>
                <w:lang w:eastAsia="zh-CN"/>
              </w:rPr>
            </w:pPr>
            <w:r>
              <w:rPr>
                <w:rFonts w:hint="eastAsia" w:ascii="仿宋" w:hAnsi="仿宋" w:eastAsia="仿宋"/>
                <w:bCs/>
                <w:color w:val="auto"/>
                <w:sz w:val="24"/>
                <w:highlight w:val="none"/>
              </w:rPr>
              <w:t>f.</w:t>
            </w:r>
            <w:r>
              <w:rPr>
                <w:rFonts w:ascii="仿宋" w:hAnsi="仿宋" w:eastAsia="仿宋"/>
                <w:bCs/>
                <w:color w:val="auto"/>
                <w:sz w:val="24"/>
                <w:highlight w:val="none"/>
              </w:rPr>
              <w:t>运输前固态废物可使用带封口且有内衬的吨袋进行二次包装并封口</w:t>
            </w:r>
            <w:r>
              <w:rPr>
                <w:rFonts w:hint="eastAsia" w:ascii="仿宋" w:hAnsi="仿宋" w:eastAsia="仿宋"/>
                <w:bCs/>
                <w:color w:val="auto"/>
                <w:sz w:val="24"/>
                <w:highlight w:val="none"/>
                <w:lang w:eastAsia="zh-CN"/>
              </w:rPr>
              <w:t>；</w:t>
            </w:r>
            <w:r>
              <w:rPr>
                <w:rFonts w:ascii="仿宋" w:hAnsi="仿宋" w:eastAsia="仿宋"/>
                <w:bCs/>
                <w:color w:val="auto"/>
                <w:sz w:val="24"/>
                <w:highlight w:val="none"/>
              </w:rPr>
              <w:t>液态废物进行二次包装时，应具有液体</w:t>
            </w:r>
            <w:r>
              <w:rPr>
                <w:rFonts w:hint="eastAsia" w:ascii="仿宋" w:hAnsi="仿宋" w:eastAsia="仿宋"/>
                <w:bCs/>
                <w:color w:val="auto"/>
                <w:sz w:val="24"/>
                <w:highlight w:val="none"/>
                <w:lang w:eastAsia="zh-CN"/>
              </w:rPr>
              <w:t>泄漏</w:t>
            </w:r>
            <w:r>
              <w:rPr>
                <w:rFonts w:ascii="仿宋" w:hAnsi="仿宋" w:eastAsia="仿宋"/>
                <w:bCs/>
                <w:color w:val="auto"/>
                <w:sz w:val="24"/>
                <w:highlight w:val="none"/>
              </w:rPr>
              <w:t>堵截设施</w:t>
            </w:r>
            <w:r>
              <w:rPr>
                <w:rFonts w:hint="eastAsia" w:ascii="仿宋" w:hAnsi="仿宋" w:eastAsia="仿宋"/>
                <w:bCs/>
                <w:color w:val="auto"/>
                <w:sz w:val="24"/>
                <w:highlight w:val="none"/>
                <w:lang w:eastAsia="zh-CN"/>
              </w:rPr>
              <w:t>；</w:t>
            </w:r>
            <w:r>
              <w:rPr>
                <w:rFonts w:ascii="仿宋" w:hAnsi="仿宋" w:eastAsia="仿宋"/>
                <w:bCs/>
                <w:color w:val="auto"/>
                <w:sz w:val="24"/>
                <w:highlight w:val="none"/>
              </w:rPr>
              <w:t>固态废物与液态废物不得混放包装</w:t>
            </w:r>
            <w:r>
              <w:rPr>
                <w:rFonts w:hint="eastAsia" w:ascii="仿宋" w:hAnsi="仿宋" w:eastAsia="仿宋"/>
                <w:bCs/>
                <w:color w:val="auto"/>
                <w:sz w:val="24"/>
                <w:highlight w:val="none"/>
                <w:lang w:eastAsia="zh-CN"/>
              </w:rPr>
              <w:t>；</w:t>
            </w:r>
            <w:r>
              <w:rPr>
                <w:rFonts w:ascii="仿宋" w:hAnsi="仿宋" w:eastAsia="仿宋"/>
                <w:bCs/>
                <w:color w:val="auto"/>
                <w:sz w:val="24"/>
                <w:highlight w:val="none"/>
              </w:rPr>
              <w:t>危险化学品需单独包装并符合安全要求。二次包装标签应符合HJ1276-2022中包装识别标签要求。</w:t>
            </w:r>
            <w:r>
              <w:rPr>
                <w:rFonts w:hint="eastAsia" w:ascii="仿宋" w:hAnsi="仿宋" w:eastAsia="仿宋"/>
                <w:bCs/>
                <w:color w:val="auto"/>
                <w:sz w:val="24"/>
                <w:highlight w:val="none"/>
                <w:lang w:eastAsia="zh-CN"/>
              </w:rPr>
              <w:t>、</w:t>
            </w:r>
          </w:p>
          <w:p w14:paraId="4C3F8670">
            <w:pPr>
              <w:adjustRightInd w:val="0"/>
              <w:snapToGrid w:val="0"/>
              <w:spacing w:line="360" w:lineRule="auto"/>
              <w:ind w:firstLine="480" w:firstLineChars="200"/>
              <w:rPr>
                <w:rFonts w:hint="default" w:eastAsia="仿宋" w:cs="Times New Roman"/>
                <w:bCs/>
                <w:color w:val="FF0000"/>
                <w:sz w:val="24"/>
                <w:lang w:val="en-US" w:eastAsia="zh-CN"/>
              </w:rPr>
            </w:pPr>
            <w:r>
              <w:rPr>
                <w:rFonts w:hint="eastAsia" w:eastAsia="仿宋" w:cs="Times New Roman"/>
                <w:bCs/>
                <w:color w:val="FF0000"/>
                <w:sz w:val="24"/>
                <w:lang w:val="en-US" w:eastAsia="zh-CN"/>
              </w:rPr>
              <w:t>6</w:t>
            </w:r>
            <w:r>
              <w:rPr>
                <w:rFonts w:hint="default" w:ascii="Times New Roman" w:hAnsi="Times New Roman" w:eastAsia="仿宋" w:cs="Times New Roman"/>
                <w:bCs/>
                <w:color w:val="FF0000"/>
                <w:sz w:val="24"/>
              </w:rPr>
              <w:t>）</w:t>
            </w:r>
            <w:r>
              <w:rPr>
                <w:rFonts w:hint="eastAsia" w:eastAsia="仿宋" w:cs="Times New Roman"/>
                <w:bCs/>
                <w:color w:val="FF0000"/>
                <w:sz w:val="24"/>
                <w:lang w:val="en-US" w:eastAsia="zh-CN"/>
              </w:rPr>
              <w:t>管理责任</w:t>
            </w:r>
          </w:p>
          <w:p w14:paraId="1BA01515">
            <w:pPr>
              <w:adjustRightInd w:val="0"/>
              <w:snapToGrid w:val="0"/>
              <w:spacing w:line="360" w:lineRule="auto"/>
              <w:ind w:firstLine="480" w:firstLineChars="200"/>
              <w:rPr>
                <w:rFonts w:hint="eastAsia" w:ascii="仿宋" w:hAnsi="仿宋" w:eastAsia="仿宋"/>
                <w:bCs/>
                <w:color w:val="FF0000"/>
                <w:sz w:val="24"/>
                <w:highlight w:val="none"/>
                <w:lang w:val="en-US" w:eastAsia="zh-CN"/>
              </w:rPr>
            </w:pPr>
            <w:r>
              <w:rPr>
                <w:rFonts w:hint="eastAsia" w:ascii="仿宋" w:hAnsi="仿宋" w:eastAsia="仿宋"/>
                <w:bCs/>
                <w:color w:val="FF0000"/>
                <w:sz w:val="24"/>
                <w:highlight w:val="none"/>
              </w:rPr>
              <w:t>根据《江苏省实验室危险废物环境管理指南》（苏环办</w:t>
            </w:r>
            <w:r>
              <w:rPr>
                <w:rFonts w:hint="eastAsia" w:ascii="仿宋" w:hAnsi="仿宋" w:eastAsia="仿宋"/>
                <w:bCs/>
                <w:color w:val="FF0000"/>
                <w:sz w:val="24"/>
                <w:highlight w:val="none"/>
                <w:lang w:eastAsia="zh-CN"/>
              </w:rPr>
              <w:t>〔2024〕191号</w:t>
            </w:r>
            <w:r>
              <w:rPr>
                <w:rFonts w:hint="eastAsia" w:ascii="仿宋" w:hAnsi="仿宋" w:eastAsia="仿宋"/>
                <w:bCs/>
                <w:color w:val="FF0000"/>
                <w:sz w:val="24"/>
                <w:highlight w:val="none"/>
              </w:rPr>
              <w:t>），</w:t>
            </w:r>
            <w:r>
              <w:rPr>
                <w:rFonts w:hint="eastAsia" w:ascii="仿宋" w:hAnsi="仿宋" w:eastAsia="仿宋"/>
                <w:bCs/>
                <w:color w:val="FF0000"/>
                <w:sz w:val="24"/>
                <w:highlight w:val="none"/>
                <w:lang w:val="en-US" w:eastAsia="zh-CN"/>
              </w:rPr>
              <w:t>管理责任如下：</w:t>
            </w:r>
          </w:p>
          <w:p w14:paraId="57D14D63">
            <w:pPr>
              <w:adjustRightInd w:val="0"/>
              <w:snapToGrid w:val="0"/>
              <w:spacing w:line="360" w:lineRule="auto"/>
              <w:ind w:firstLine="480" w:firstLineChars="200"/>
              <w:rPr>
                <w:rFonts w:hint="eastAsia" w:ascii="仿宋" w:hAnsi="仿宋" w:eastAsia="仿宋"/>
                <w:bCs/>
                <w:color w:val="FF0000"/>
                <w:sz w:val="24"/>
                <w:highlight w:val="none"/>
                <w:lang w:val="en-US" w:eastAsia="zh-CN"/>
              </w:rPr>
            </w:pPr>
            <w:r>
              <w:rPr>
                <w:rFonts w:hint="default" w:ascii="仿宋" w:hAnsi="仿宋" w:eastAsia="仿宋"/>
                <w:bCs/>
                <w:color w:val="FF0000"/>
                <w:sz w:val="24"/>
                <w:highlight w:val="none"/>
                <w:lang w:val="en-US" w:eastAsia="zh-CN"/>
              </w:rPr>
              <w:t>①</w:t>
            </w:r>
            <w:r>
              <w:rPr>
                <w:rFonts w:hint="eastAsia" w:ascii="仿宋" w:hAnsi="仿宋" w:eastAsia="仿宋"/>
                <w:bCs/>
                <w:color w:val="FF0000"/>
                <w:sz w:val="24"/>
                <w:highlight w:val="none"/>
                <w:lang w:val="en-US" w:eastAsia="zh-CN"/>
              </w:rPr>
              <w:t>实验室及其设立单位是环境管理的责任主体，应做好危险废物源头分类、投放、暂存、收运、贮存及委托处置等工作，建立并执行危险废物申报登记及管理计划备案、管理台账、转移联单、应急预案备案、信息公开、事故报告等制度。</w:t>
            </w:r>
          </w:p>
          <w:p w14:paraId="35667656">
            <w:pPr>
              <w:adjustRightInd w:val="0"/>
              <w:snapToGrid w:val="0"/>
              <w:spacing w:line="360" w:lineRule="auto"/>
              <w:ind w:firstLine="480" w:firstLineChars="200"/>
              <w:rPr>
                <w:rFonts w:hint="eastAsia" w:ascii="仿宋" w:hAnsi="仿宋" w:eastAsia="仿宋"/>
                <w:bCs/>
                <w:color w:val="FF0000"/>
                <w:sz w:val="24"/>
                <w:highlight w:val="none"/>
                <w:lang w:val="en-US" w:eastAsia="zh-CN"/>
              </w:rPr>
            </w:pPr>
            <w:r>
              <w:rPr>
                <w:rFonts w:hint="default" w:ascii="仿宋" w:hAnsi="仿宋" w:eastAsia="仿宋"/>
                <w:bCs/>
                <w:color w:val="FF0000"/>
                <w:sz w:val="24"/>
                <w:highlight w:val="none"/>
                <w:lang w:val="en-US" w:eastAsia="zh-CN"/>
              </w:rPr>
              <w:t>②</w:t>
            </w:r>
            <w:r>
              <w:rPr>
                <w:rFonts w:hint="eastAsia" w:ascii="仿宋" w:hAnsi="仿宋" w:eastAsia="仿宋"/>
                <w:bCs/>
                <w:color w:val="FF0000"/>
                <w:sz w:val="24"/>
                <w:highlight w:val="none"/>
                <w:lang w:val="en-US" w:eastAsia="zh-CN"/>
              </w:rPr>
              <w:t>实验室危险废物的产生单位应至少明确1名管理人员，负责组织、协调各实验室的危险废物管理工作，监督、检查各实验室危险废物管理工作落实情况。</w:t>
            </w:r>
          </w:p>
          <w:p w14:paraId="19320E5A">
            <w:pPr>
              <w:adjustRightInd w:val="0"/>
              <w:snapToGrid w:val="0"/>
              <w:spacing w:line="360" w:lineRule="auto"/>
              <w:ind w:firstLine="480" w:firstLineChars="200"/>
              <w:rPr>
                <w:rFonts w:hint="eastAsia" w:ascii="仿宋" w:hAnsi="仿宋" w:eastAsia="仿宋"/>
                <w:bCs/>
                <w:color w:val="FF0000"/>
                <w:sz w:val="24"/>
                <w:highlight w:val="none"/>
                <w:lang w:val="en-US" w:eastAsia="zh-CN"/>
              </w:rPr>
            </w:pPr>
            <w:r>
              <w:rPr>
                <w:rFonts w:hint="default" w:ascii="仿宋" w:hAnsi="仿宋" w:eastAsia="仿宋"/>
                <w:bCs/>
                <w:color w:val="FF0000"/>
                <w:sz w:val="24"/>
                <w:highlight w:val="none"/>
                <w:lang w:val="en-US" w:eastAsia="zh-CN"/>
              </w:rPr>
              <w:t>③</w:t>
            </w:r>
            <w:r>
              <w:rPr>
                <w:rFonts w:hint="eastAsia" w:ascii="仿宋" w:hAnsi="仿宋" w:eastAsia="仿宋"/>
                <w:bCs/>
                <w:color w:val="FF0000"/>
                <w:sz w:val="24"/>
                <w:highlight w:val="none"/>
                <w:lang w:val="en-US" w:eastAsia="zh-CN"/>
              </w:rPr>
              <w:t>应建立实验室危险废物管理台账，如实记录产生实验室危险废物的种类、数量、流向、贮存、处置等情况，在江苏省固体废物管理系统内申报有关信息或纳入小量危险废物集中收集体系。实验室外部贮存点需配备专人管理，并以实验室为单位做好台账记录。鼓励使用物联网技术对实验室危险废物环境管理信息进行实时记录。</w:t>
            </w:r>
          </w:p>
          <w:p w14:paraId="19B26D48">
            <w:pPr>
              <w:adjustRightInd w:val="0"/>
              <w:snapToGrid w:val="0"/>
              <w:spacing w:line="360" w:lineRule="auto"/>
              <w:ind w:firstLine="480" w:firstLineChars="200"/>
              <w:rPr>
                <w:rFonts w:hint="eastAsia" w:ascii="仿宋" w:hAnsi="仿宋" w:eastAsia="仿宋"/>
                <w:bCs/>
                <w:color w:val="FF0000"/>
                <w:sz w:val="24"/>
                <w:highlight w:val="none"/>
                <w:lang w:val="en-US" w:eastAsia="zh-CN"/>
              </w:rPr>
            </w:pPr>
            <w:r>
              <w:rPr>
                <w:rFonts w:hint="eastAsia" w:ascii="仿宋" w:hAnsi="仿宋" w:eastAsia="仿宋"/>
                <w:bCs/>
                <w:color w:val="FF0000"/>
                <w:sz w:val="24"/>
                <w:highlight w:val="none"/>
                <w:lang w:val="en-US" w:eastAsia="zh-CN"/>
              </w:rPr>
              <w:t>④应加强本单位固体废物污染环境防治的宣传教育和培训，定期对实验室危险废物管理人员和参与实验活动的学员、研究技术人员、业务工作人员以及其他相关人员进行培训，并做好培训记录。</w:t>
            </w:r>
          </w:p>
          <w:p w14:paraId="3200B0D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（2）一般工业固体废物</w:t>
            </w:r>
          </w:p>
          <w:p w14:paraId="67FA35E0">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本项目一般工业固废</w:t>
            </w:r>
            <w:r>
              <w:rPr>
                <w:rFonts w:hint="default" w:ascii="Times New Roman" w:hAnsi="Times New Roman" w:eastAsia="仿宋" w:cs="Times New Roman"/>
                <w:bCs/>
                <w:color w:val="auto"/>
                <w:sz w:val="24"/>
                <w:highlight w:val="none"/>
                <w:lang w:val="en-US" w:eastAsia="zh-CN"/>
              </w:rPr>
              <w:t>为废样品</w:t>
            </w:r>
            <w:r>
              <w:rPr>
                <w:rFonts w:hint="eastAsia" w:eastAsia="仿宋" w:cs="Times New Roman"/>
                <w:bCs/>
                <w:color w:val="auto"/>
                <w:sz w:val="24"/>
                <w:highlight w:val="none"/>
                <w:lang w:val="en-US" w:eastAsia="zh-CN"/>
              </w:rPr>
              <w:t>、废过滤材料</w:t>
            </w:r>
            <w:r>
              <w:rPr>
                <w:rFonts w:hint="default"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rPr>
              <w:t>定期</w:t>
            </w:r>
            <w:r>
              <w:rPr>
                <w:rFonts w:hint="default" w:ascii="Times New Roman" w:hAnsi="Times New Roman" w:eastAsia="仿宋" w:cs="Times New Roman"/>
                <w:bCs/>
                <w:color w:val="auto"/>
                <w:sz w:val="24"/>
                <w:highlight w:val="none"/>
                <w:lang w:val="en-US" w:eastAsia="zh-CN"/>
              </w:rPr>
              <w:t>外售综合利用</w:t>
            </w:r>
            <w:r>
              <w:rPr>
                <w:rFonts w:hint="default" w:ascii="Times New Roman" w:hAnsi="Times New Roman" w:eastAsia="仿宋" w:cs="Times New Roman"/>
                <w:bCs/>
                <w:color w:val="auto"/>
                <w:sz w:val="24"/>
                <w:highlight w:val="none"/>
              </w:rPr>
              <w:t>。</w:t>
            </w:r>
          </w:p>
          <w:p w14:paraId="528890D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本项目依托现有1个一般固废</w:t>
            </w:r>
            <w:r>
              <w:rPr>
                <w:rFonts w:hint="default" w:ascii="Times New Roman" w:hAnsi="Times New Roman" w:eastAsia="仿宋" w:cs="Times New Roman"/>
                <w:bCs/>
                <w:color w:val="auto"/>
                <w:sz w:val="24"/>
              </w:rPr>
              <w:t>仓库</w:t>
            </w:r>
            <w:r>
              <w:rPr>
                <w:rFonts w:hint="default" w:ascii="Times New Roman" w:hAnsi="Times New Roman" w:eastAsia="仿宋" w:cs="Times New Roman"/>
                <w:bCs/>
                <w:color w:val="auto"/>
                <w:sz w:val="24"/>
                <w:lang w:val="en-US" w:eastAsia="zh-CN"/>
              </w:rPr>
              <w:t>暂存，已按照</w:t>
            </w:r>
            <w:r>
              <w:rPr>
                <w:rFonts w:hint="default" w:ascii="Times New Roman" w:hAnsi="Times New Roman" w:eastAsia="仿宋" w:cs="Times New Roman"/>
                <w:bCs/>
                <w:color w:val="auto"/>
                <w:sz w:val="24"/>
              </w:rPr>
              <w:t>《一般工业固体废物贮存和填埋污染控制标准》（GB18599-2020）要求建设，具体要求如下：</w:t>
            </w:r>
          </w:p>
          <w:p w14:paraId="79C8BD6E">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①贮存、处置场的建设类型，必须与将要堆放的一般工业固体废物的类别相一致；</w:t>
            </w:r>
          </w:p>
          <w:p w14:paraId="09721AF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②贮存、处置场应采取防止粉尘污染的措施；</w:t>
            </w:r>
          </w:p>
          <w:p w14:paraId="6CB24CB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③为加强监督管理，贮存、处置场应按GB15562.2设置环境保护图形标志；</w:t>
            </w:r>
          </w:p>
          <w:p w14:paraId="5D311154">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④一般工业固体废物贮存、处置场禁止危险废物和生活垃圾混入；</w:t>
            </w:r>
          </w:p>
          <w:p w14:paraId="557D346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⑤贮存、处置场的使用单位，应建立档案制度。应将入场的一般工业固体废物的种类和数量等资料详细记录在案，长期保存，供随时查阅。</w:t>
            </w:r>
          </w:p>
          <w:p w14:paraId="531CDEB6">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w:t>
            </w:r>
            <w:r>
              <w:rPr>
                <w:rFonts w:hint="eastAsia" w:eastAsia="仿宋" w:cs="Times New Roman"/>
                <w:bCs/>
                <w:color w:val="auto"/>
                <w:sz w:val="24"/>
                <w:lang w:val="en-US" w:eastAsia="zh-CN"/>
              </w:rPr>
              <w:t>一般固废</w:t>
            </w:r>
            <w:r>
              <w:rPr>
                <w:rFonts w:hint="default" w:ascii="Times New Roman" w:hAnsi="Times New Roman" w:eastAsia="仿宋" w:cs="Times New Roman"/>
                <w:bCs/>
                <w:color w:val="auto"/>
                <w:sz w:val="24"/>
              </w:rPr>
              <w:t>主要为</w:t>
            </w:r>
            <w:r>
              <w:rPr>
                <w:rFonts w:hint="eastAsia" w:eastAsia="仿宋" w:cs="Times New Roman"/>
                <w:bCs/>
                <w:color w:val="auto"/>
                <w:sz w:val="24"/>
                <w:lang w:val="en-US" w:eastAsia="zh-CN"/>
              </w:rPr>
              <w:t>废样品、废过滤材料</w:t>
            </w:r>
            <w:r>
              <w:rPr>
                <w:rFonts w:hint="default" w:ascii="Times New Roman" w:hAnsi="Times New Roman" w:eastAsia="仿宋" w:cs="Times New Roman"/>
                <w:bCs/>
                <w:color w:val="auto"/>
                <w:sz w:val="24"/>
              </w:rPr>
              <w:t>，产生量共计约</w:t>
            </w:r>
            <w:r>
              <w:rPr>
                <w:rFonts w:hint="eastAsia" w:eastAsia="仿宋" w:cs="Times New Roman"/>
                <w:bCs/>
                <w:color w:val="auto"/>
                <w:sz w:val="24"/>
                <w:lang w:val="en-US" w:eastAsia="zh-CN"/>
              </w:rPr>
              <w:t>2.25</w:t>
            </w:r>
            <w:r>
              <w:rPr>
                <w:rFonts w:hint="default" w:ascii="Times New Roman" w:hAnsi="Times New Roman" w:eastAsia="仿宋" w:cs="Times New Roman"/>
                <w:bCs/>
                <w:color w:val="auto"/>
                <w:sz w:val="24"/>
              </w:rPr>
              <w:t>t/a。</w:t>
            </w:r>
            <w:r>
              <w:rPr>
                <w:rFonts w:hint="eastAsia" w:eastAsia="仿宋" w:cs="Times New Roman"/>
                <w:bCs/>
                <w:color w:val="auto"/>
                <w:sz w:val="24"/>
                <w:lang w:val="en-US" w:eastAsia="zh-CN"/>
              </w:rPr>
              <w:t>本项目一般固废最大贮存量为2.25t，</w:t>
            </w:r>
            <w:r>
              <w:rPr>
                <w:rFonts w:hint="default" w:ascii="Times New Roman" w:hAnsi="Times New Roman" w:eastAsia="仿宋" w:cs="Times New Roman"/>
                <w:bCs/>
                <w:color w:val="auto"/>
                <w:sz w:val="24"/>
              </w:rPr>
              <w:t>每平方空间内</w:t>
            </w:r>
            <w:r>
              <w:rPr>
                <w:rFonts w:hint="eastAsia" w:eastAsia="仿宋" w:cs="Times New Roman"/>
                <w:bCs/>
                <w:color w:val="auto"/>
                <w:sz w:val="24"/>
                <w:lang w:val="en-US" w:eastAsia="zh-CN"/>
              </w:rPr>
              <w:t>一般固废</w:t>
            </w:r>
            <w:r>
              <w:rPr>
                <w:rFonts w:hint="default" w:ascii="Times New Roman" w:hAnsi="Times New Roman" w:eastAsia="仿宋" w:cs="Times New Roman"/>
                <w:bCs/>
                <w:color w:val="auto"/>
                <w:sz w:val="24"/>
              </w:rPr>
              <w:t>储存量按照1t计</w:t>
            </w:r>
            <w:r>
              <w:rPr>
                <w:rFonts w:hint="eastAsia" w:eastAsia="仿宋" w:cs="Times New Roman"/>
                <w:bCs/>
                <w:color w:val="auto"/>
                <w:sz w:val="24"/>
                <w:lang w:eastAsia="zh-CN"/>
              </w:rPr>
              <w:t>，</w:t>
            </w:r>
            <w:r>
              <w:rPr>
                <w:rFonts w:hint="eastAsia" w:eastAsia="仿宋" w:cs="Times New Roman"/>
                <w:bCs/>
                <w:color w:val="auto"/>
                <w:sz w:val="24"/>
                <w:lang w:val="en-US" w:eastAsia="zh-CN"/>
              </w:rPr>
              <w:t>则本项目需要一般固废仓库2.25m</w:t>
            </w:r>
            <w:r>
              <w:rPr>
                <w:rFonts w:hint="eastAsia" w:eastAsia="仿宋" w:cs="Times New Roman"/>
                <w:bCs/>
                <w:color w:val="auto"/>
                <w:sz w:val="24"/>
                <w:vertAlign w:val="superscript"/>
                <w:lang w:val="en-US" w:eastAsia="zh-CN"/>
              </w:rPr>
              <w:t>2</w:t>
            </w:r>
            <w:r>
              <w:rPr>
                <w:rFonts w:hint="eastAsia" w:eastAsia="仿宋" w:cs="Times New Roman"/>
                <w:bCs/>
                <w:color w:val="auto"/>
                <w:sz w:val="24"/>
                <w:lang w:val="en-US" w:eastAsia="zh-CN"/>
              </w:rPr>
              <w:t>的空间</w:t>
            </w:r>
            <w:r>
              <w:rPr>
                <w:rFonts w:hint="default" w:ascii="Times New Roman" w:hAnsi="Times New Roman" w:eastAsia="仿宋" w:cs="Times New Roman"/>
                <w:bCs/>
                <w:color w:val="auto"/>
                <w:sz w:val="24"/>
                <w:lang w:eastAsia="zh-CN"/>
              </w:rPr>
              <w:t>。</w:t>
            </w:r>
            <w:r>
              <w:rPr>
                <w:rFonts w:hint="eastAsia" w:eastAsia="仿宋" w:cs="Times New Roman"/>
                <w:bCs/>
                <w:color w:val="auto"/>
                <w:sz w:val="24"/>
                <w:lang w:val="en-US" w:eastAsia="zh-CN"/>
              </w:rPr>
              <w:t>一般固废</w:t>
            </w:r>
            <w:r>
              <w:rPr>
                <w:rFonts w:hint="default" w:ascii="Times New Roman" w:hAnsi="Times New Roman" w:eastAsia="仿宋" w:cs="Times New Roman"/>
                <w:bCs/>
                <w:color w:val="auto"/>
                <w:sz w:val="24"/>
              </w:rPr>
              <w:t>仓库面积约</w:t>
            </w:r>
            <w:r>
              <w:rPr>
                <w:rFonts w:hint="eastAsia" w:eastAsia="仿宋" w:cs="Times New Roman"/>
                <w:bCs/>
                <w:color w:val="auto"/>
                <w:sz w:val="24"/>
                <w:lang w:val="en-US" w:eastAsia="zh-CN"/>
              </w:rPr>
              <w:t>10</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，考虑到进出口、过道等，有效存储面积按80%计算，则有效存储面积为</w:t>
            </w:r>
            <w:r>
              <w:rPr>
                <w:rFonts w:hint="eastAsia" w:eastAsia="仿宋" w:cs="Times New Roman"/>
                <w:bCs/>
                <w:color w:val="auto"/>
                <w:sz w:val="24"/>
                <w:lang w:val="en-US" w:eastAsia="zh-CN"/>
              </w:rPr>
              <w:t>8</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2</w:t>
            </w:r>
            <w:r>
              <w:rPr>
                <w:rFonts w:hint="eastAsia" w:eastAsia="仿宋" w:cs="Times New Roman"/>
                <w:bCs/>
                <w:color w:val="auto"/>
                <w:sz w:val="24"/>
                <w:lang w:eastAsia="zh-CN"/>
              </w:rPr>
              <w:t>。</w:t>
            </w:r>
            <w:r>
              <w:rPr>
                <w:rFonts w:hint="eastAsia" w:eastAsia="仿宋" w:cs="Times New Roman"/>
                <w:bCs/>
                <w:color w:val="auto"/>
                <w:sz w:val="24"/>
                <w:lang w:val="en-US" w:eastAsia="zh-CN"/>
              </w:rPr>
              <w:t>现有项目需占用一般固废面积为4.65m</w:t>
            </w:r>
            <w:r>
              <w:rPr>
                <w:rFonts w:hint="eastAsia" w:eastAsia="仿宋" w:cs="Times New Roman"/>
                <w:bCs/>
                <w:color w:val="auto"/>
                <w:sz w:val="24"/>
                <w:vertAlign w:val="superscript"/>
                <w:lang w:val="en-US" w:eastAsia="zh-CN"/>
              </w:rPr>
              <w:t>2</w:t>
            </w:r>
            <w:r>
              <w:rPr>
                <w:rFonts w:hint="eastAsia" w:eastAsia="仿宋" w:cs="Times New Roman"/>
                <w:bCs/>
                <w:color w:val="auto"/>
                <w:sz w:val="24"/>
                <w:lang w:val="en-US" w:eastAsia="zh-CN"/>
              </w:rPr>
              <w:t>，剩余面积3.35m</w:t>
            </w:r>
            <w:r>
              <w:rPr>
                <w:rFonts w:hint="eastAsia" w:eastAsia="仿宋" w:cs="Times New Roman"/>
                <w:bCs/>
                <w:color w:val="auto"/>
                <w:sz w:val="24"/>
                <w:vertAlign w:val="superscript"/>
                <w:lang w:val="en-US" w:eastAsia="zh-CN"/>
              </w:rPr>
              <w:t>2</w:t>
            </w:r>
            <w:r>
              <w:rPr>
                <w:rFonts w:hint="default" w:ascii="Times New Roman" w:hAnsi="Times New Roman" w:eastAsia="仿宋" w:cs="Times New Roman"/>
                <w:bCs/>
                <w:color w:val="auto"/>
                <w:sz w:val="24"/>
              </w:rPr>
              <w:t>完全能够满足</w:t>
            </w:r>
            <w:r>
              <w:rPr>
                <w:rFonts w:hint="eastAsia" w:eastAsia="仿宋" w:cs="Times New Roman"/>
                <w:bCs/>
                <w:color w:val="auto"/>
                <w:sz w:val="24"/>
                <w:lang w:val="en-US" w:eastAsia="zh-CN"/>
              </w:rPr>
              <w:t>本项目一般固废</w:t>
            </w:r>
            <w:r>
              <w:rPr>
                <w:rFonts w:hint="default" w:ascii="Times New Roman" w:hAnsi="Times New Roman" w:eastAsia="仿宋" w:cs="Times New Roman"/>
                <w:bCs/>
                <w:color w:val="auto"/>
                <w:sz w:val="24"/>
              </w:rPr>
              <w:t>的暂存需求。</w:t>
            </w:r>
          </w:p>
          <w:p w14:paraId="2EF3CAF7">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综上所述，建设项目产生的各项固废均可得到有效处置，固废污染防治措施可行，对周围环境影响较小。</w:t>
            </w:r>
          </w:p>
          <w:p w14:paraId="0FA3DAEF">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五、地下水及土壤污染防治措施</w:t>
            </w:r>
          </w:p>
          <w:p w14:paraId="7069531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本项目使用的化学试剂均通过封闭货车运输至厂内，然后存放于</w:t>
            </w:r>
            <w:r>
              <w:rPr>
                <w:rFonts w:hint="default" w:ascii="Times New Roman" w:hAnsi="Times New Roman" w:eastAsia="仿宋" w:cs="Times New Roman"/>
                <w:color w:val="auto"/>
                <w:sz w:val="24"/>
                <w:lang w:val="en-US" w:eastAsia="zh-CN"/>
              </w:rPr>
              <w:t>实验室防爆柜</w:t>
            </w:r>
            <w:r>
              <w:rPr>
                <w:rFonts w:hint="default" w:ascii="Times New Roman" w:hAnsi="Times New Roman" w:eastAsia="仿宋" w:cs="Times New Roman"/>
                <w:color w:val="auto"/>
                <w:sz w:val="24"/>
              </w:rPr>
              <w:t>，危废暂存于危废仓库，无露天堆放，</w:t>
            </w:r>
            <w:r>
              <w:rPr>
                <w:rFonts w:hint="default" w:ascii="Times New Roman" w:hAnsi="Times New Roman" w:eastAsia="仿宋" w:cs="Times New Roman"/>
                <w:color w:val="auto"/>
                <w:sz w:val="24"/>
                <w:lang w:val="en-US" w:eastAsia="zh-CN"/>
              </w:rPr>
              <w:t>实验室</w:t>
            </w:r>
            <w:r>
              <w:rPr>
                <w:rFonts w:hint="default" w:ascii="Times New Roman" w:hAnsi="Times New Roman" w:eastAsia="仿宋" w:cs="Times New Roman"/>
                <w:color w:val="auto"/>
                <w:sz w:val="24"/>
              </w:rPr>
              <w:t>、危废仓库均已做好地面硬化并采取防渗处理，正常实验时</w:t>
            </w:r>
            <w:r>
              <w:rPr>
                <w:rFonts w:hint="default" w:ascii="Times New Roman" w:hAnsi="Times New Roman" w:eastAsia="仿宋" w:cs="Times New Roman"/>
                <w:color w:val="auto"/>
                <w:sz w:val="24"/>
                <w:lang w:val="en-US" w:eastAsia="zh-CN"/>
              </w:rPr>
              <w:t>化学试剂</w:t>
            </w:r>
            <w:r>
              <w:rPr>
                <w:rFonts w:hint="default" w:ascii="Times New Roman" w:hAnsi="Times New Roman" w:eastAsia="仿宋" w:cs="Times New Roman"/>
                <w:color w:val="auto"/>
                <w:sz w:val="24"/>
              </w:rPr>
              <w:t>跑冒滴漏不会下渗到地下水、土壤中。在确保各项防渗措施得以落实、加强维护和厂区环境管理的前提下，本项目对地下水、土壤的污染可能性极小。</w:t>
            </w:r>
          </w:p>
          <w:p w14:paraId="17A72D27">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六、生态</w:t>
            </w:r>
          </w:p>
          <w:p w14:paraId="1C94455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本项目不涉及生态环境保护目标。</w:t>
            </w:r>
          </w:p>
          <w:p w14:paraId="527C36DD">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七、环境风险</w:t>
            </w:r>
          </w:p>
          <w:p w14:paraId="54C5580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1、风险源调查</w:t>
            </w:r>
          </w:p>
          <w:p w14:paraId="0B6EDBE8">
            <w:pPr>
              <w:adjustRightInd w:val="0"/>
              <w:snapToGrid w:val="0"/>
              <w:jc w:val="center"/>
              <w:rPr>
                <w:rFonts w:hint="default" w:ascii="Times New Roman" w:hAnsi="Times New Roman" w:eastAsia="仿宋" w:cs="Times New Roman"/>
                <w:b/>
                <w:bCs/>
                <w:color w:val="auto"/>
                <w:sz w:val="24"/>
              </w:rPr>
            </w:pPr>
          </w:p>
          <w:p w14:paraId="4DC715A3">
            <w:pPr>
              <w:adjustRightInd w:val="0"/>
              <w:snapToGrid w:val="0"/>
              <w:jc w:val="center"/>
              <w:rPr>
                <w:rFonts w:hint="default" w:ascii="Times New Roman" w:hAnsi="Times New Roman" w:eastAsia="仿宋" w:cs="Times New Roman"/>
                <w:b/>
                <w:bCs/>
                <w:color w:val="auto"/>
                <w:sz w:val="24"/>
              </w:rPr>
            </w:pPr>
          </w:p>
          <w:p w14:paraId="19D94A6E">
            <w:pPr>
              <w:adjustRightInd w:val="0"/>
              <w:snapToGrid w:val="0"/>
              <w:jc w:val="center"/>
              <w:rPr>
                <w:rFonts w:hint="default" w:ascii="Times New Roman" w:hAnsi="Times New Roman" w:eastAsia="仿宋" w:cs="Times New Roman"/>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0</w:t>
            </w:r>
            <w:r>
              <w:rPr>
                <w:rFonts w:hint="default" w:ascii="Times New Roman" w:hAnsi="Times New Roman" w:eastAsia="仿宋" w:cs="Times New Roman"/>
                <w:b/>
                <w:bCs/>
                <w:color w:val="auto"/>
                <w:sz w:val="24"/>
              </w:rPr>
              <w:t xml:space="preserve">  本项目主要危险物质数量及分布情况</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1"/>
              <w:gridCol w:w="2575"/>
              <w:gridCol w:w="1404"/>
              <w:gridCol w:w="1813"/>
              <w:gridCol w:w="1762"/>
            </w:tblGrid>
            <w:tr w14:paraId="0488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7AF39563">
                  <w:pPr>
                    <w:jc w:val="center"/>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序号</w:t>
                  </w:r>
                </w:p>
              </w:tc>
              <w:tc>
                <w:tcPr>
                  <w:tcW w:w="1520" w:type="pct"/>
                  <w:tcBorders>
                    <w:tl2br w:val="nil"/>
                    <w:tr2bl w:val="nil"/>
                  </w:tcBorders>
                  <w:vAlign w:val="center"/>
                </w:tcPr>
                <w:p w14:paraId="1D8B0DC2">
                  <w:pPr>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kern w:val="0"/>
                      <w:sz w:val="21"/>
                      <w:szCs w:val="21"/>
                    </w:rPr>
                    <w:t>危险物质</w:t>
                  </w:r>
                </w:p>
              </w:tc>
              <w:tc>
                <w:tcPr>
                  <w:tcW w:w="829" w:type="pct"/>
                  <w:tcBorders>
                    <w:tl2br w:val="nil"/>
                    <w:tr2bl w:val="nil"/>
                  </w:tcBorders>
                  <w:vAlign w:val="center"/>
                </w:tcPr>
                <w:p w14:paraId="30B7160F">
                  <w:pPr>
                    <w:jc w:val="center"/>
                    <w:rPr>
                      <w:rFonts w:hint="default" w:ascii="Times New Roman" w:hAnsi="Times New Roman" w:eastAsia="仿宋" w:cs="Times New Roman"/>
                      <w:b/>
                      <w:bCs/>
                      <w:color w:val="auto"/>
                      <w:sz w:val="21"/>
                      <w:szCs w:val="21"/>
                    </w:rPr>
                  </w:pPr>
                  <w:r>
                    <w:rPr>
                      <w:rFonts w:hint="eastAsia" w:eastAsia="仿宋" w:cs="Times New Roman"/>
                      <w:b/>
                      <w:bCs/>
                      <w:color w:val="auto"/>
                      <w:kern w:val="0"/>
                      <w:sz w:val="21"/>
                      <w:szCs w:val="21"/>
                      <w:lang w:val="en-US" w:eastAsia="zh-CN"/>
                    </w:rPr>
                    <w:t>年用量</w:t>
                  </w:r>
                  <w:r>
                    <w:rPr>
                      <w:rFonts w:hint="default" w:ascii="Times New Roman" w:hAnsi="Times New Roman" w:eastAsia="仿宋" w:cs="Times New Roman"/>
                      <w:b/>
                      <w:bCs/>
                      <w:color w:val="auto"/>
                      <w:kern w:val="0"/>
                      <w:sz w:val="21"/>
                      <w:szCs w:val="21"/>
                    </w:rPr>
                    <w:t>（</w:t>
                  </w:r>
                  <w:r>
                    <w:rPr>
                      <w:rFonts w:hint="default" w:ascii="Times New Roman" w:hAnsi="Times New Roman" w:eastAsia="仿宋" w:cs="Times New Roman"/>
                      <w:b/>
                      <w:bCs/>
                      <w:color w:val="auto"/>
                      <w:kern w:val="0"/>
                      <w:sz w:val="21"/>
                      <w:szCs w:val="21"/>
                      <w:lang w:val="en-US" w:eastAsia="zh-CN"/>
                    </w:rPr>
                    <w:t>kg</w:t>
                  </w:r>
                  <w:r>
                    <w:rPr>
                      <w:rFonts w:hint="default" w:ascii="Times New Roman" w:hAnsi="Times New Roman" w:eastAsia="仿宋" w:cs="Times New Roman"/>
                      <w:b/>
                      <w:bCs/>
                      <w:color w:val="auto"/>
                      <w:kern w:val="0"/>
                      <w:sz w:val="21"/>
                      <w:szCs w:val="21"/>
                    </w:rPr>
                    <w:t>/a）</w:t>
                  </w:r>
                </w:p>
              </w:tc>
              <w:tc>
                <w:tcPr>
                  <w:tcW w:w="1070" w:type="pct"/>
                  <w:tcBorders>
                    <w:tl2br w:val="nil"/>
                    <w:tr2bl w:val="nil"/>
                  </w:tcBorders>
                  <w:vAlign w:val="center"/>
                </w:tcPr>
                <w:p w14:paraId="4EF14917">
                  <w:pPr>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rPr>
                    <w:t>最大存储量</w:t>
                  </w:r>
                  <w:r>
                    <w:rPr>
                      <w:rFonts w:hint="default" w:ascii="Times New Roman" w:hAnsi="Times New Roman" w:eastAsia="仿宋" w:cs="Times New Roman"/>
                      <w:b/>
                      <w:bCs/>
                      <w:color w:val="auto"/>
                      <w:sz w:val="21"/>
                      <w:szCs w:val="21"/>
                      <w:highlight w:val="none"/>
                      <w:lang w:eastAsia="zh-CN"/>
                    </w:rPr>
                    <w:t>（</w:t>
                  </w:r>
                  <w:r>
                    <w:rPr>
                      <w:rFonts w:hint="default" w:ascii="Times New Roman" w:hAnsi="Times New Roman" w:eastAsia="仿宋" w:cs="Times New Roman"/>
                      <w:b/>
                      <w:bCs/>
                      <w:color w:val="auto"/>
                      <w:sz w:val="21"/>
                      <w:szCs w:val="21"/>
                      <w:highlight w:val="none"/>
                      <w:lang w:val="en-US" w:eastAsia="zh-CN"/>
                    </w:rPr>
                    <w:t>kg</w:t>
                  </w:r>
                  <w:r>
                    <w:rPr>
                      <w:rFonts w:hint="default" w:ascii="Times New Roman" w:hAnsi="Times New Roman" w:eastAsia="仿宋" w:cs="Times New Roman"/>
                      <w:b/>
                      <w:bCs/>
                      <w:color w:val="auto"/>
                      <w:sz w:val="21"/>
                      <w:szCs w:val="21"/>
                      <w:highlight w:val="none"/>
                      <w:lang w:eastAsia="zh-CN"/>
                    </w:rPr>
                    <w:t>）</w:t>
                  </w:r>
                </w:p>
              </w:tc>
              <w:tc>
                <w:tcPr>
                  <w:tcW w:w="1040" w:type="pct"/>
                  <w:tcBorders>
                    <w:tl2br w:val="nil"/>
                    <w:tr2bl w:val="nil"/>
                  </w:tcBorders>
                  <w:vAlign w:val="center"/>
                </w:tcPr>
                <w:p w14:paraId="060F878E">
                  <w:pPr>
                    <w:adjustRightInd w:val="0"/>
                    <w:snapToGrid w:val="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储存位置</w:t>
                  </w:r>
                </w:p>
              </w:tc>
            </w:tr>
            <w:tr w14:paraId="67C97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18C581E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520" w:type="pct"/>
                  <w:tcBorders>
                    <w:tl2br w:val="nil"/>
                    <w:tr2bl w:val="nil"/>
                  </w:tcBorders>
                  <w:vAlign w:val="center"/>
                </w:tcPr>
                <w:p w14:paraId="1B73BF2A">
                  <w:pPr>
                    <w:widowControl/>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仿宋" w:cs="Times New Roman"/>
                      <w:color w:val="auto"/>
                      <w:szCs w:val="21"/>
                      <w:lang w:val="en-US" w:eastAsia="zh-CN"/>
                    </w:rPr>
                    <w:t>0.1mol/L盐酸</w:t>
                  </w:r>
                </w:p>
              </w:tc>
              <w:tc>
                <w:tcPr>
                  <w:tcW w:w="829" w:type="pct"/>
                  <w:tcBorders>
                    <w:tl2br w:val="nil"/>
                    <w:tr2bl w:val="nil"/>
                  </w:tcBorders>
                  <w:vAlign w:val="center"/>
                </w:tcPr>
                <w:p w14:paraId="3DE43D1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20</w:t>
                  </w:r>
                </w:p>
              </w:tc>
              <w:tc>
                <w:tcPr>
                  <w:tcW w:w="1070" w:type="pct"/>
                  <w:tcBorders>
                    <w:tl2br w:val="nil"/>
                    <w:tr2bl w:val="nil"/>
                  </w:tcBorders>
                  <w:vAlign w:val="center"/>
                </w:tcPr>
                <w:p w14:paraId="2BFF12BB">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040" w:type="pct"/>
                  <w:vMerge w:val="restart"/>
                  <w:tcBorders>
                    <w:tl2br w:val="nil"/>
                    <w:tr2bl w:val="nil"/>
                  </w:tcBorders>
                  <w:vAlign w:val="center"/>
                </w:tcPr>
                <w:p w14:paraId="1269F31E">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实验室防爆柜</w:t>
                  </w:r>
                </w:p>
              </w:tc>
            </w:tr>
            <w:tr w14:paraId="44C54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652AFA1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520" w:type="pct"/>
                  <w:tcBorders>
                    <w:tl2br w:val="nil"/>
                    <w:tr2bl w:val="nil"/>
                  </w:tcBorders>
                  <w:vAlign w:val="center"/>
                </w:tcPr>
                <w:p w14:paraId="37FA57E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1.0mol/L盐酸</w:t>
                  </w:r>
                </w:p>
              </w:tc>
              <w:tc>
                <w:tcPr>
                  <w:tcW w:w="829" w:type="pct"/>
                  <w:tcBorders>
                    <w:tl2br w:val="nil"/>
                    <w:tr2bl w:val="nil"/>
                  </w:tcBorders>
                  <w:vAlign w:val="center"/>
                </w:tcPr>
                <w:p w14:paraId="7395785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10</w:t>
                  </w:r>
                </w:p>
              </w:tc>
              <w:tc>
                <w:tcPr>
                  <w:tcW w:w="1070" w:type="pct"/>
                  <w:tcBorders>
                    <w:tl2br w:val="nil"/>
                    <w:tr2bl w:val="nil"/>
                  </w:tcBorders>
                  <w:vAlign w:val="center"/>
                </w:tcPr>
                <w:p w14:paraId="558E048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040" w:type="pct"/>
                  <w:vMerge w:val="continue"/>
                  <w:tcBorders>
                    <w:tl2br w:val="nil"/>
                    <w:tr2bl w:val="nil"/>
                  </w:tcBorders>
                  <w:vAlign w:val="center"/>
                </w:tcPr>
                <w:p w14:paraId="587E4B29">
                  <w:pPr>
                    <w:adjustRightInd w:val="0"/>
                    <w:snapToGrid w:val="0"/>
                    <w:jc w:val="center"/>
                    <w:rPr>
                      <w:rFonts w:hint="default" w:ascii="Times New Roman" w:hAnsi="Times New Roman" w:eastAsia="仿宋" w:cs="Times New Roman"/>
                      <w:color w:val="auto"/>
                      <w:sz w:val="21"/>
                      <w:szCs w:val="21"/>
                    </w:rPr>
                  </w:pPr>
                </w:p>
              </w:tc>
            </w:tr>
            <w:tr w14:paraId="2C6FA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657E59E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520" w:type="pct"/>
                  <w:tcBorders>
                    <w:tl2br w:val="nil"/>
                    <w:tr2bl w:val="nil"/>
                  </w:tcBorders>
                  <w:vAlign w:val="center"/>
                </w:tcPr>
                <w:p w14:paraId="4BB6616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0.1mol/L氢氧化钠</w:t>
                  </w:r>
                </w:p>
              </w:tc>
              <w:tc>
                <w:tcPr>
                  <w:tcW w:w="829" w:type="pct"/>
                  <w:tcBorders>
                    <w:tl2br w:val="nil"/>
                    <w:tr2bl w:val="nil"/>
                  </w:tcBorders>
                  <w:vAlign w:val="center"/>
                </w:tcPr>
                <w:p w14:paraId="4C048EA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20</w:t>
                  </w:r>
                </w:p>
              </w:tc>
              <w:tc>
                <w:tcPr>
                  <w:tcW w:w="1070" w:type="pct"/>
                  <w:tcBorders>
                    <w:tl2br w:val="nil"/>
                    <w:tr2bl w:val="nil"/>
                  </w:tcBorders>
                  <w:vAlign w:val="center"/>
                </w:tcPr>
                <w:p w14:paraId="7C57EB56">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1040" w:type="pct"/>
                  <w:vMerge w:val="continue"/>
                  <w:tcBorders>
                    <w:tl2br w:val="nil"/>
                    <w:tr2bl w:val="nil"/>
                  </w:tcBorders>
                  <w:vAlign w:val="center"/>
                </w:tcPr>
                <w:p w14:paraId="5633A992">
                  <w:pPr>
                    <w:adjustRightInd w:val="0"/>
                    <w:snapToGrid w:val="0"/>
                    <w:jc w:val="center"/>
                    <w:rPr>
                      <w:rFonts w:hint="default" w:ascii="Times New Roman" w:hAnsi="Times New Roman" w:eastAsia="仿宋" w:cs="Times New Roman"/>
                      <w:color w:val="auto"/>
                      <w:sz w:val="21"/>
                      <w:szCs w:val="21"/>
                    </w:rPr>
                  </w:pPr>
                </w:p>
              </w:tc>
            </w:tr>
            <w:tr w14:paraId="28417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50FB7D7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520" w:type="pct"/>
                  <w:tcBorders>
                    <w:tl2br w:val="nil"/>
                    <w:tr2bl w:val="nil"/>
                  </w:tcBorders>
                  <w:vAlign w:val="center"/>
                </w:tcPr>
                <w:p w14:paraId="2570940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0.33mol/L氢氧化钠</w:t>
                  </w:r>
                </w:p>
              </w:tc>
              <w:tc>
                <w:tcPr>
                  <w:tcW w:w="829" w:type="pct"/>
                  <w:tcBorders>
                    <w:tl2br w:val="nil"/>
                    <w:tr2bl w:val="nil"/>
                  </w:tcBorders>
                  <w:vAlign w:val="center"/>
                </w:tcPr>
                <w:p w14:paraId="471990B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4</w:t>
                  </w:r>
                </w:p>
              </w:tc>
              <w:tc>
                <w:tcPr>
                  <w:tcW w:w="1070" w:type="pct"/>
                  <w:tcBorders>
                    <w:tl2br w:val="nil"/>
                    <w:tr2bl w:val="nil"/>
                  </w:tcBorders>
                  <w:vAlign w:val="center"/>
                </w:tcPr>
                <w:p w14:paraId="04194BB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1040" w:type="pct"/>
                  <w:vMerge w:val="continue"/>
                  <w:tcBorders>
                    <w:tl2br w:val="nil"/>
                    <w:tr2bl w:val="nil"/>
                  </w:tcBorders>
                  <w:vAlign w:val="center"/>
                </w:tcPr>
                <w:p w14:paraId="29693545">
                  <w:pPr>
                    <w:adjustRightInd w:val="0"/>
                    <w:snapToGrid w:val="0"/>
                    <w:jc w:val="center"/>
                    <w:rPr>
                      <w:rFonts w:hint="default" w:ascii="Times New Roman" w:hAnsi="Times New Roman" w:eastAsia="仿宋" w:cs="Times New Roman"/>
                      <w:color w:val="auto"/>
                      <w:sz w:val="21"/>
                      <w:szCs w:val="21"/>
                    </w:rPr>
                  </w:pPr>
                </w:p>
              </w:tc>
            </w:tr>
            <w:tr w14:paraId="26D1A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5BCC13E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520" w:type="pct"/>
                  <w:tcBorders>
                    <w:tl2br w:val="nil"/>
                    <w:tr2bl w:val="nil"/>
                  </w:tcBorders>
                  <w:vAlign w:val="center"/>
                </w:tcPr>
                <w:p w14:paraId="3BE1795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测铜试剂</w:t>
                  </w:r>
                </w:p>
              </w:tc>
              <w:tc>
                <w:tcPr>
                  <w:tcW w:w="829" w:type="pct"/>
                  <w:tcBorders>
                    <w:tl2br w:val="nil"/>
                    <w:tr2bl w:val="nil"/>
                  </w:tcBorders>
                  <w:vAlign w:val="center"/>
                </w:tcPr>
                <w:p w14:paraId="4031CBC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lang w:val="en-US" w:eastAsia="zh-CN"/>
                    </w:rPr>
                    <w:t>2.5</w:t>
                  </w:r>
                </w:p>
              </w:tc>
              <w:tc>
                <w:tcPr>
                  <w:tcW w:w="1070" w:type="pct"/>
                  <w:tcBorders>
                    <w:tl2br w:val="nil"/>
                    <w:tr2bl w:val="nil"/>
                  </w:tcBorders>
                  <w:vAlign w:val="center"/>
                </w:tcPr>
                <w:p w14:paraId="2BFBCE8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lang w:val="en-US" w:eastAsia="zh-CN"/>
                    </w:rPr>
                    <w:t>2.5</w:t>
                  </w:r>
                </w:p>
              </w:tc>
              <w:tc>
                <w:tcPr>
                  <w:tcW w:w="1040" w:type="pct"/>
                  <w:vMerge w:val="continue"/>
                  <w:tcBorders>
                    <w:tl2br w:val="nil"/>
                    <w:tr2bl w:val="nil"/>
                  </w:tcBorders>
                  <w:vAlign w:val="center"/>
                </w:tcPr>
                <w:p w14:paraId="116B3547">
                  <w:pPr>
                    <w:adjustRightInd w:val="0"/>
                    <w:snapToGrid w:val="0"/>
                    <w:jc w:val="center"/>
                    <w:rPr>
                      <w:rFonts w:hint="default" w:ascii="Times New Roman" w:hAnsi="Times New Roman" w:eastAsia="仿宋" w:cs="Times New Roman"/>
                      <w:color w:val="auto"/>
                      <w:sz w:val="21"/>
                      <w:szCs w:val="21"/>
                    </w:rPr>
                  </w:pPr>
                </w:p>
              </w:tc>
            </w:tr>
            <w:tr w14:paraId="311E4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3DF7F39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520" w:type="pct"/>
                  <w:tcBorders>
                    <w:tl2br w:val="nil"/>
                    <w:tr2bl w:val="nil"/>
                  </w:tcBorders>
                  <w:vAlign w:val="center"/>
                </w:tcPr>
                <w:p w14:paraId="20D9090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测镍试剂</w:t>
                  </w:r>
                </w:p>
              </w:tc>
              <w:tc>
                <w:tcPr>
                  <w:tcW w:w="829" w:type="pct"/>
                  <w:tcBorders>
                    <w:tl2br w:val="nil"/>
                    <w:tr2bl w:val="nil"/>
                  </w:tcBorders>
                  <w:vAlign w:val="center"/>
                </w:tcPr>
                <w:p w14:paraId="1C171C5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070" w:type="pct"/>
                  <w:tcBorders>
                    <w:tl2br w:val="nil"/>
                    <w:tr2bl w:val="nil"/>
                  </w:tcBorders>
                  <w:vAlign w:val="center"/>
                </w:tcPr>
                <w:p w14:paraId="67A1BF5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2.5</w:t>
                  </w:r>
                </w:p>
              </w:tc>
              <w:tc>
                <w:tcPr>
                  <w:tcW w:w="1040" w:type="pct"/>
                  <w:vMerge w:val="continue"/>
                  <w:tcBorders>
                    <w:tl2br w:val="nil"/>
                    <w:tr2bl w:val="nil"/>
                  </w:tcBorders>
                  <w:vAlign w:val="center"/>
                </w:tcPr>
                <w:p w14:paraId="73664C40">
                  <w:pPr>
                    <w:adjustRightInd w:val="0"/>
                    <w:snapToGrid w:val="0"/>
                    <w:jc w:val="center"/>
                    <w:rPr>
                      <w:rFonts w:hint="default" w:ascii="Times New Roman" w:hAnsi="Times New Roman" w:eastAsia="仿宋" w:cs="Times New Roman"/>
                      <w:color w:val="auto"/>
                      <w:sz w:val="21"/>
                      <w:szCs w:val="21"/>
                    </w:rPr>
                  </w:pPr>
                </w:p>
              </w:tc>
            </w:tr>
            <w:tr w14:paraId="3E23D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15987C5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520" w:type="pct"/>
                  <w:tcBorders>
                    <w:tl2br w:val="nil"/>
                    <w:tr2bl w:val="nil"/>
                  </w:tcBorders>
                  <w:vAlign w:val="center"/>
                </w:tcPr>
                <w:p w14:paraId="47EB71C1">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pH校准溶液</w:t>
                  </w:r>
                </w:p>
              </w:tc>
              <w:tc>
                <w:tcPr>
                  <w:tcW w:w="829" w:type="pct"/>
                  <w:tcBorders>
                    <w:tl2br w:val="nil"/>
                    <w:tr2bl w:val="nil"/>
                  </w:tcBorders>
                  <w:vAlign w:val="center"/>
                </w:tcPr>
                <w:p w14:paraId="3BFAA44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7.5</w:t>
                  </w:r>
                </w:p>
              </w:tc>
              <w:tc>
                <w:tcPr>
                  <w:tcW w:w="1070" w:type="pct"/>
                  <w:tcBorders>
                    <w:tl2br w:val="nil"/>
                    <w:tr2bl w:val="nil"/>
                  </w:tcBorders>
                  <w:vAlign w:val="center"/>
                </w:tcPr>
                <w:p w14:paraId="211327F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1040" w:type="pct"/>
                  <w:vMerge w:val="continue"/>
                  <w:tcBorders>
                    <w:tl2br w:val="nil"/>
                    <w:tr2bl w:val="nil"/>
                  </w:tcBorders>
                  <w:vAlign w:val="center"/>
                </w:tcPr>
                <w:p w14:paraId="2A349941">
                  <w:pPr>
                    <w:adjustRightInd w:val="0"/>
                    <w:snapToGrid w:val="0"/>
                    <w:jc w:val="center"/>
                    <w:rPr>
                      <w:rFonts w:hint="default" w:ascii="Times New Roman" w:hAnsi="Times New Roman" w:eastAsia="仿宋" w:cs="Times New Roman"/>
                      <w:color w:val="auto"/>
                      <w:sz w:val="21"/>
                      <w:szCs w:val="21"/>
                    </w:rPr>
                  </w:pPr>
                </w:p>
              </w:tc>
            </w:tr>
            <w:tr w14:paraId="1084A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1DCD1F30">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8</w:t>
                  </w:r>
                </w:p>
              </w:tc>
              <w:tc>
                <w:tcPr>
                  <w:tcW w:w="1520" w:type="pct"/>
                  <w:tcBorders>
                    <w:tl2br w:val="nil"/>
                    <w:tr2bl w:val="nil"/>
                  </w:tcBorders>
                  <w:vAlign w:val="center"/>
                </w:tcPr>
                <w:p w14:paraId="1E6BF87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氯化钾</w:t>
                  </w:r>
                </w:p>
              </w:tc>
              <w:tc>
                <w:tcPr>
                  <w:tcW w:w="829" w:type="pct"/>
                  <w:tcBorders>
                    <w:tl2br w:val="nil"/>
                    <w:tr2bl w:val="nil"/>
                  </w:tcBorders>
                  <w:vAlign w:val="center"/>
                </w:tcPr>
                <w:p w14:paraId="29D627D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070" w:type="pct"/>
                  <w:tcBorders>
                    <w:tl2br w:val="nil"/>
                    <w:tr2bl w:val="nil"/>
                  </w:tcBorders>
                  <w:vAlign w:val="center"/>
                </w:tcPr>
                <w:p w14:paraId="365BED4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1040" w:type="pct"/>
                  <w:vMerge w:val="continue"/>
                  <w:tcBorders>
                    <w:tl2br w:val="nil"/>
                    <w:tr2bl w:val="nil"/>
                  </w:tcBorders>
                  <w:vAlign w:val="center"/>
                </w:tcPr>
                <w:p w14:paraId="43442315">
                  <w:pPr>
                    <w:adjustRightInd w:val="0"/>
                    <w:snapToGrid w:val="0"/>
                    <w:jc w:val="center"/>
                    <w:rPr>
                      <w:rFonts w:hint="default" w:ascii="Times New Roman" w:hAnsi="Times New Roman" w:eastAsia="仿宋" w:cs="Times New Roman"/>
                      <w:color w:val="auto"/>
                      <w:sz w:val="21"/>
                      <w:szCs w:val="21"/>
                    </w:rPr>
                  </w:pPr>
                </w:p>
              </w:tc>
            </w:tr>
            <w:tr w14:paraId="6C551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28E7F160">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9</w:t>
                  </w:r>
                </w:p>
              </w:tc>
              <w:tc>
                <w:tcPr>
                  <w:tcW w:w="1520" w:type="pct"/>
                  <w:tcBorders>
                    <w:tl2br w:val="nil"/>
                    <w:tr2bl w:val="nil"/>
                  </w:tcBorders>
                  <w:vAlign w:val="center"/>
                </w:tcPr>
                <w:p w14:paraId="089C334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Technovit 4006 Powder</w:t>
                  </w:r>
                </w:p>
              </w:tc>
              <w:tc>
                <w:tcPr>
                  <w:tcW w:w="829" w:type="pct"/>
                  <w:tcBorders>
                    <w:tl2br w:val="nil"/>
                    <w:tr2bl w:val="nil"/>
                  </w:tcBorders>
                  <w:vAlign w:val="center"/>
                </w:tcPr>
                <w:p w14:paraId="429EF407">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70" w:type="pct"/>
                  <w:tcBorders>
                    <w:tl2br w:val="nil"/>
                    <w:tr2bl w:val="nil"/>
                  </w:tcBorders>
                  <w:vAlign w:val="center"/>
                </w:tcPr>
                <w:p w14:paraId="1DD6F68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040" w:type="pct"/>
                  <w:vMerge w:val="continue"/>
                  <w:tcBorders>
                    <w:tl2br w:val="nil"/>
                    <w:tr2bl w:val="nil"/>
                  </w:tcBorders>
                  <w:vAlign w:val="center"/>
                </w:tcPr>
                <w:p w14:paraId="30749F27">
                  <w:pPr>
                    <w:adjustRightInd w:val="0"/>
                    <w:snapToGrid w:val="0"/>
                    <w:jc w:val="center"/>
                    <w:rPr>
                      <w:rFonts w:hint="default" w:ascii="Times New Roman" w:hAnsi="Times New Roman" w:eastAsia="仿宋" w:cs="Times New Roman"/>
                      <w:color w:val="auto"/>
                      <w:sz w:val="21"/>
                      <w:szCs w:val="21"/>
                    </w:rPr>
                  </w:pPr>
                </w:p>
              </w:tc>
            </w:tr>
            <w:tr w14:paraId="0F0C2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1F554403">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520" w:type="pct"/>
                  <w:tcBorders>
                    <w:tl2br w:val="nil"/>
                    <w:tr2bl w:val="nil"/>
                  </w:tcBorders>
                  <w:vAlign w:val="center"/>
                </w:tcPr>
                <w:p w14:paraId="636D5B9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Technovit 4006 Liquid</w:t>
                  </w:r>
                </w:p>
              </w:tc>
              <w:tc>
                <w:tcPr>
                  <w:tcW w:w="829" w:type="pct"/>
                  <w:tcBorders>
                    <w:tl2br w:val="nil"/>
                    <w:tr2bl w:val="nil"/>
                  </w:tcBorders>
                  <w:vAlign w:val="center"/>
                </w:tcPr>
                <w:p w14:paraId="50293C3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r>
                    <w:rPr>
                      <w:rFonts w:hint="eastAsia" w:eastAsia="仿宋" w:cs="Times New Roman"/>
                      <w:color w:val="auto"/>
                      <w:sz w:val="21"/>
                      <w:szCs w:val="21"/>
                      <w:lang w:val="en-US" w:eastAsia="zh-CN"/>
                    </w:rPr>
                    <w:t>75</w:t>
                  </w:r>
                </w:p>
              </w:tc>
              <w:tc>
                <w:tcPr>
                  <w:tcW w:w="1070" w:type="pct"/>
                  <w:tcBorders>
                    <w:tl2br w:val="nil"/>
                    <w:tr2bl w:val="nil"/>
                  </w:tcBorders>
                  <w:vAlign w:val="center"/>
                </w:tcPr>
                <w:p w14:paraId="0B32AEF4">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4.8</w:t>
                  </w:r>
                </w:p>
              </w:tc>
              <w:tc>
                <w:tcPr>
                  <w:tcW w:w="1040" w:type="pct"/>
                  <w:vMerge w:val="continue"/>
                  <w:tcBorders>
                    <w:tl2br w:val="nil"/>
                    <w:tr2bl w:val="nil"/>
                  </w:tcBorders>
                  <w:vAlign w:val="center"/>
                </w:tcPr>
                <w:p w14:paraId="41E53D3E">
                  <w:pPr>
                    <w:adjustRightInd w:val="0"/>
                    <w:snapToGrid w:val="0"/>
                    <w:jc w:val="center"/>
                    <w:rPr>
                      <w:rFonts w:hint="default" w:ascii="Times New Roman" w:hAnsi="Times New Roman" w:eastAsia="仿宋" w:cs="Times New Roman"/>
                      <w:color w:val="auto"/>
                      <w:sz w:val="21"/>
                      <w:szCs w:val="21"/>
                    </w:rPr>
                  </w:pPr>
                </w:p>
              </w:tc>
            </w:tr>
            <w:tr w14:paraId="505E5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8" w:type="pct"/>
                  <w:tcBorders>
                    <w:tl2br w:val="nil"/>
                    <w:tr2bl w:val="nil"/>
                  </w:tcBorders>
                  <w:vAlign w:val="center"/>
                </w:tcPr>
                <w:p w14:paraId="11B7A14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w:t>
                  </w:r>
                </w:p>
              </w:tc>
              <w:tc>
                <w:tcPr>
                  <w:tcW w:w="1520" w:type="pct"/>
                  <w:tcBorders>
                    <w:tl2br w:val="nil"/>
                    <w:tr2bl w:val="nil"/>
                  </w:tcBorders>
                  <w:vAlign w:val="center"/>
                </w:tcPr>
                <w:p w14:paraId="3BDFCA0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金刚石悬浮研磨液</w:t>
                  </w:r>
                </w:p>
              </w:tc>
              <w:tc>
                <w:tcPr>
                  <w:tcW w:w="829" w:type="pct"/>
                  <w:tcBorders>
                    <w:tl2br w:val="nil"/>
                    <w:tr2bl w:val="nil"/>
                  </w:tcBorders>
                  <w:vAlign w:val="center"/>
                </w:tcPr>
                <w:p w14:paraId="5356331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w:t>
                  </w:r>
                </w:p>
              </w:tc>
              <w:tc>
                <w:tcPr>
                  <w:tcW w:w="1070" w:type="pct"/>
                  <w:tcBorders>
                    <w:tl2br w:val="nil"/>
                    <w:tr2bl w:val="nil"/>
                  </w:tcBorders>
                  <w:vAlign w:val="center"/>
                </w:tcPr>
                <w:p w14:paraId="224F9BAD">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5</w:t>
                  </w:r>
                </w:p>
              </w:tc>
              <w:tc>
                <w:tcPr>
                  <w:tcW w:w="1040" w:type="pct"/>
                  <w:vMerge w:val="continue"/>
                  <w:tcBorders>
                    <w:tl2br w:val="nil"/>
                    <w:tr2bl w:val="nil"/>
                  </w:tcBorders>
                  <w:vAlign w:val="center"/>
                </w:tcPr>
                <w:p w14:paraId="60BCDEC5">
                  <w:pPr>
                    <w:adjustRightInd w:val="0"/>
                    <w:snapToGrid w:val="0"/>
                    <w:jc w:val="center"/>
                    <w:rPr>
                      <w:rFonts w:hint="default" w:ascii="Times New Roman" w:hAnsi="Times New Roman" w:eastAsia="仿宋" w:cs="Times New Roman"/>
                      <w:color w:val="auto"/>
                      <w:sz w:val="21"/>
                      <w:szCs w:val="21"/>
                    </w:rPr>
                  </w:pPr>
                </w:p>
              </w:tc>
            </w:tr>
            <w:tr w14:paraId="14770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8" w:type="pct"/>
                  <w:tcBorders>
                    <w:tl2br w:val="nil"/>
                    <w:tr2bl w:val="nil"/>
                  </w:tcBorders>
                  <w:vAlign w:val="center"/>
                </w:tcPr>
                <w:p w14:paraId="5C3903A7">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w:t>
                  </w:r>
                </w:p>
              </w:tc>
              <w:tc>
                <w:tcPr>
                  <w:tcW w:w="1520" w:type="pct"/>
                  <w:tcBorders>
                    <w:tl2br w:val="nil"/>
                    <w:tr2bl w:val="nil"/>
                  </w:tcBorders>
                  <w:vAlign w:val="center"/>
                </w:tcPr>
                <w:p w14:paraId="35669399">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乙醇氯化铁</w:t>
                  </w:r>
                </w:p>
              </w:tc>
              <w:tc>
                <w:tcPr>
                  <w:tcW w:w="829" w:type="pct"/>
                  <w:tcBorders>
                    <w:tl2br w:val="nil"/>
                    <w:tr2bl w:val="nil"/>
                  </w:tcBorders>
                  <w:vAlign w:val="center"/>
                </w:tcPr>
                <w:p w14:paraId="5F2529B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5.3</w:t>
                  </w:r>
                </w:p>
              </w:tc>
              <w:tc>
                <w:tcPr>
                  <w:tcW w:w="1070" w:type="pct"/>
                  <w:tcBorders>
                    <w:tl2br w:val="nil"/>
                    <w:tr2bl w:val="nil"/>
                  </w:tcBorders>
                  <w:vAlign w:val="center"/>
                </w:tcPr>
                <w:p w14:paraId="5DD61C3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w:t>
                  </w:r>
                </w:p>
              </w:tc>
              <w:tc>
                <w:tcPr>
                  <w:tcW w:w="1040" w:type="pct"/>
                  <w:vMerge w:val="continue"/>
                  <w:tcBorders>
                    <w:tl2br w:val="nil"/>
                    <w:tr2bl w:val="nil"/>
                  </w:tcBorders>
                  <w:vAlign w:val="center"/>
                </w:tcPr>
                <w:p w14:paraId="779DEE2F">
                  <w:pPr>
                    <w:adjustRightInd w:val="0"/>
                    <w:snapToGrid w:val="0"/>
                    <w:jc w:val="center"/>
                    <w:rPr>
                      <w:rFonts w:hint="default" w:ascii="Times New Roman" w:hAnsi="Times New Roman" w:eastAsia="仿宋" w:cs="Times New Roman"/>
                      <w:color w:val="auto"/>
                      <w:sz w:val="21"/>
                      <w:szCs w:val="21"/>
                    </w:rPr>
                  </w:pPr>
                </w:p>
              </w:tc>
            </w:tr>
            <w:tr w14:paraId="310E2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760AD7A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13</w:t>
                  </w:r>
                </w:p>
              </w:tc>
              <w:tc>
                <w:tcPr>
                  <w:tcW w:w="1520" w:type="pct"/>
                  <w:tcBorders>
                    <w:tl2br w:val="nil"/>
                    <w:tr2bl w:val="nil"/>
                  </w:tcBorders>
                  <w:vAlign w:val="center"/>
                </w:tcPr>
                <w:p w14:paraId="6AFED8B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乙醇</w:t>
                  </w:r>
                </w:p>
              </w:tc>
              <w:tc>
                <w:tcPr>
                  <w:tcW w:w="829" w:type="pct"/>
                  <w:tcBorders>
                    <w:tl2br w:val="nil"/>
                    <w:tr2bl w:val="nil"/>
                  </w:tcBorders>
                  <w:vAlign w:val="center"/>
                </w:tcPr>
                <w:p w14:paraId="359045C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070" w:type="pct"/>
                  <w:tcBorders>
                    <w:tl2br w:val="nil"/>
                    <w:tr2bl w:val="nil"/>
                  </w:tcBorders>
                  <w:vAlign w:val="center"/>
                </w:tcPr>
                <w:p w14:paraId="6453C93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w:t>
                  </w:r>
                </w:p>
              </w:tc>
              <w:tc>
                <w:tcPr>
                  <w:tcW w:w="1040" w:type="pct"/>
                  <w:vMerge w:val="continue"/>
                  <w:tcBorders>
                    <w:tl2br w:val="nil"/>
                    <w:tr2bl w:val="nil"/>
                  </w:tcBorders>
                  <w:vAlign w:val="center"/>
                </w:tcPr>
                <w:p w14:paraId="2831EC88">
                  <w:pPr>
                    <w:adjustRightInd w:val="0"/>
                    <w:snapToGrid w:val="0"/>
                    <w:jc w:val="center"/>
                    <w:rPr>
                      <w:rFonts w:hint="default" w:ascii="Times New Roman" w:hAnsi="Times New Roman" w:eastAsia="仿宋" w:cs="Times New Roman"/>
                      <w:color w:val="auto"/>
                      <w:sz w:val="21"/>
                      <w:szCs w:val="21"/>
                    </w:rPr>
                  </w:pPr>
                </w:p>
              </w:tc>
            </w:tr>
            <w:tr w14:paraId="39CC9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78EA0E0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14</w:t>
                  </w:r>
                </w:p>
              </w:tc>
              <w:tc>
                <w:tcPr>
                  <w:tcW w:w="1520" w:type="pct"/>
                  <w:tcBorders>
                    <w:tl2br w:val="nil"/>
                    <w:tr2bl w:val="nil"/>
                  </w:tcBorders>
                  <w:vAlign w:val="center"/>
                </w:tcPr>
                <w:p w14:paraId="0AE451D4">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助焊剂</w:t>
                  </w:r>
                </w:p>
              </w:tc>
              <w:tc>
                <w:tcPr>
                  <w:tcW w:w="829" w:type="pct"/>
                  <w:tcBorders>
                    <w:tl2br w:val="nil"/>
                    <w:tr2bl w:val="nil"/>
                  </w:tcBorders>
                  <w:vAlign w:val="center"/>
                </w:tcPr>
                <w:p w14:paraId="496560E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0.85</w:t>
                  </w:r>
                </w:p>
              </w:tc>
              <w:tc>
                <w:tcPr>
                  <w:tcW w:w="1070" w:type="pct"/>
                  <w:tcBorders>
                    <w:tl2br w:val="nil"/>
                    <w:tr2bl w:val="nil"/>
                  </w:tcBorders>
                  <w:vAlign w:val="center"/>
                </w:tcPr>
                <w:p w14:paraId="1A154567">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0.85</w:t>
                  </w:r>
                </w:p>
              </w:tc>
              <w:tc>
                <w:tcPr>
                  <w:tcW w:w="1040" w:type="pct"/>
                  <w:vMerge w:val="continue"/>
                  <w:tcBorders>
                    <w:tl2br w:val="nil"/>
                    <w:tr2bl w:val="nil"/>
                  </w:tcBorders>
                  <w:vAlign w:val="center"/>
                </w:tcPr>
                <w:p w14:paraId="2759B089">
                  <w:pPr>
                    <w:adjustRightInd w:val="0"/>
                    <w:snapToGrid w:val="0"/>
                    <w:jc w:val="center"/>
                    <w:rPr>
                      <w:rFonts w:hint="default" w:ascii="Times New Roman" w:hAnsi="Times New Roman" w:eastAsia="仿宋" w:cs="Times New Roman"/>
                      <w:color w:val="auto"/>
                      <w:sz w:val="21"/>
                      <w:szCs w:val="21"/>
                    </w:rPr>
                  </w:pPr>
                </w:p>
              </w:tc>
            </w:tr>
            <w:tr w14:paraId="4B1FB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2EBE68F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520" w:type="pct"/>
                  <w:tcBorders>
                    <w:tl2br w:val="nil"/>
                    <w:tr2bl w:val="nil"/>
                  </w:tcBorders>
                  <w:vAlign w:val="center"/>
                </w:tcPr>
                <w:p w14:paraId="36D3B04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SC BLF04焊锡膏</w:t>
                  </w:r>
                </w:p>
              </w:tc>
              <w:tc>
                <w:tcPr>
                  <w:tcW w:w="829" w:type="pct"/>
                  <w:tcBorders>
                    <w:tl2br w:val="nil"/>
                    <w:tr2bl w:val="nil"/>
                  </w:tcBorders>
                  <w:vAlign w:val="center"/>
                </w:tcPr>
                <w:p w14:paraId="74C60A6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070" w:type="pct"/>
                  <w:tcBorders>
                    <w:tl2br w:val="nil"/>
                    <w:tr2bl w:val="nil"/>
                  </w:tcBorders>
                  <w:vAlign w:val="center"/>
                </w:tcPr>
                <w:p w14:paraId="69B5C94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40" w:type="pct"/>
                  <w:vMerge w:val="continue"/>
                  <w:tcBorders>
                    <w:tl2br w:val="nil"/>
                    <w:tr2bl w:val="nil"/>
                  </w:tcBorders>
                  <w:vAlign w:val="center"/>
                </w:tcPr>
                <w:p w14:paraId="234667E3">
                  <w:pPr>
                    <w:adjustRightInd w:val="0"/>
                    <w:snapToGrid w:val="0"/>
                    <w:jc w:val="center"/>
                    <w:rPr>
                      <w:rFonts w:hint="default" w:ascii="Times New Roman" w:hAnsi="Times New Roman" w:eastAsia="仿宋" w:cs="Times New Roman"/>
                      <w:color w:val="auto"/>
                      <w:sz w:val="21"/>
                      <w:szCs w:val="21"/>
                    </w:rPr>
                  </w:pPr>
                </w:p>
              </w:tc>
            </w:tr>
            <w:tr w14:paraId="3F920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0B325D7C">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lang w:val="en-US" w:eastAsia="zh-CN"/>
                    </w:rPr>
                    <w:t>6</w:t>
                  </w:r>
                </w:p>
              </w:tc>
              <w:tc>
                <w:tcPr>
                  <w:tcW w:w="1520" w:type="pct"/>
                  <w:tcBorders>
                    <w:tl2br w:val="nil"/>
                    <w:tr2bl w:val="nil"/>
                  </w:tcBorders>
                  <w:vAlign w:val="center"/>
                </w:tcPr>
                <w:p w14:paraId="2654A9B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焊锡丝</w:t>
                  </w:r>
                </w:p>
              </w:tc>
              <w:tc>
                <w:tcPr>
                  <w:tcW w:w="829" w:type="pct"/>
                  <w:tcBorders>
                    <w:tl2br w:val="nil"/>
                    <w:tr2bl w:val="nil"/>
                  </w:tcBorders>
                  <w:vAlign w:val="center"/>
                </w:tcPr>
                <w:p w14:paraId="05994AF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w:t>
                  </w:r>
                </w:p>
              </w:tc>
              <w:tc>
                <w:tcPr>
                  <w:tcW w:w="1070" w:type="pct"/>
                  <w:tcBorders>
                    <w:tl2br w:val="nil"/>
                    <w:tr2bl w:val="nil"/>
                  </w:tcBorders>
                  <w:vAlign w:val="center"/>
                </w:tcPr>
                <w:p w14:paraId="6CFFB86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1.5</w:t>
                  </w:r>
                </w:p>
              </w:tc>
              <w:tc>
                <w:tcPr>
                  <w:tcW w:w="1040" w:type="pct"/>
                  <w:vMerge w:val="continue"/>
                  <w:tcBorders>
                    <w:tl2br w:val="nil"/>
                    <w:tr2bl w:val="nil"/>
                  </w:tcBorders>
                  <w:vAlign w:val="center"/>
                </w:tcPr>
                <w:p w14:paraId="2BEDEC10">
                  <w:pPr>
                    <w:adjustRightInd w:val="0"/>
                    <w:snapToGrid w:val="0"/>
                    <w:jc w:val="center"/>
                    <w:rPr>
                      <w:rFonts w:hint="default" w:ascii="Times New Roman" w:hAnsi="Times New Roman" w:eastAsia="仿宋" w:cs="Times New Roman"/>
                      <w:color w:val="auto"/>
                      <w:sz w:val="21"/>
                      <w:szCs w:val="21"/>
                    </w:rPr>
                  </w:pPr>
                </w:p>
              </w:tc>
            </w:tr>
            <w:tr w14:paraId="76CEE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vAlign w:val="center"/>
                </w:tcPr>
                <w:p w14:paraId="72372BA8">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17</w:t>
                  </w:r>
                </w:p>
              </w:tc>
              <w:tc>
                <w:tcPr>
                  <w:tcW w:w="1520" w:type="pct"/>
                  <w:tcBorders>
                    <w:tl2br w:val="nil"/>
                    <w:tr2bl w:val="nil"/>
                  </w:tcBorders>
                  <w:vAlign w:val="center"/>
                </w:tcPr>
                <w:p w14:paraId="0E56064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酒石酸</w:t>
                  </w:r>
                </w:p>
              </w:tc>
              <w:tc>
                <w:tcPr>
                  <w:tcW w:w="829" w:type="pct"/>
                  <w:tcBorders>
                    <w:tl2br w:val="nil"/>
                    <w:tr2bl w:val="nil"/>
                  </w:tcBorders>
                  <w:vAlign w:val="center"/>
                </w:tcPr>
                <w:p w14:paraId="2BA5C3E4">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1070" w:type="pct"/>
                  <w:tcBorders>
                    <w:tl2br w:val="nil"/>
                    <w:tr2bl w:val="nil"/>
                  </w:tcBorders>
                  <w:vAlign w:val="center"/>
                </w:tcPr>
                <w:p w14:paraId="2CDC38B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1040" w:type="pct"/>
                  <w:vMerge w:val="continue"/>
                  <w:tcBorders>
                    <w:tl2br w:val="nil"/>
                    <w:tr2bl w:val="nil"/>
                  </w:tcBorders>
                  <w:vAlign w:val="center"/>
                </w:tcPr>
                <w:p w14:paraId="3BD06198">
                  <w:pPr>
                    <w:adjustRightInd w:val="0"/>
                    <w:snapToGrid w:val="0"/>
                    <w:jc w:val="center"/>
                    <w:rPr>
                      <w:rFonts w:hint="default" w:ascii="Times New Roman" w:hAnsi="Times New Roman" w:eastAsia="仿宋" w:cs="Times New Roman"/>
                      <w:color w:val="auto"/>
                      <w:sz w:val="21"/>
                      <w:szCs w:val="21"/>
                    </w:rPr>
                  </w:pPr>
                </w:p>
              </w:tc>
            </w:tr>
            <w:tr w14:paraId="0783C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31A8761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w:t>
                  </w:r>
                </w:p>
              </w:tc>
              <w:tc>
                <w:tcPr>
                  <w:tcW w:w="1520" w:type="pct"/>
                  <w:tcBorders>
                    <w:tl2br w:val="nil"/>
                    <w:tr2bl w:val="nil"/>
                  </w:tcBorders>
                  <w:vAlign w:val="center"/>
                </w:tcPr>
                <w:p w14:paraId="176A3E1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ZESTRON FA+清洗剂</w:t>
                  </w:r>
                </w:p>
              </w:tc>
              <w:tc>
                <w:tcPr>
                  <w:tcW w:w="829" w:type="pct"/>
                  <w:tcBorders>
                    <w:tl2br w:val="nil"/>
                    <w:tr2bl w:val="nil"/>
                  </w:tcBorders>
                  <w:vAlign w:val="center"/>
                </w:tcPr>
                <w:p w14:paraId="214DDDE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w:t>
                  </w:r>
                </w:p>
              </w:tc>
              <w:tc>
                <w:tcPr>
                  <w:tcW w:w="1070" w:type="pct"/>
                  <w:tcBorders>
                    <w:tl2br w:val="nil"/>
                    <w:tr2bl w:val="nil"/>
                  </w:tcBorders>
                  <w:vAlign w:val="center"/>
                </w:tcPr>
                <w:p w14:paraId="5EDF8B0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24</w:t>
                  </w:r>
                </w:p>
              </w:tc>
              <w:tc>
                <w:tcPr>
                  <w:tcW w:w="1040" w:type="pct"/>
                  <w:vMerge w:val="continue"/>
                  <w:tcBorders>
                    <w:tl2br w:val="nil"/>
                    <w:tr2bl w:val="nil"/>
                  </w:tcBorders>
                  <w:vAlign w:val="center"/>
                </w:tcPr>
                <w:p w14:paraId="668A9354">
                  <w:pPr>
                    <w:adjustRightInd w:val="0"/>
                    <w:snapToGrid w:val="0"/>
                    <w:jc w:val="center"/>
                    <w:rPr>
                      <w:rFonts w:hint="default" w:ascii="Times New Roman" w:hAnsi="Times New Roman" w:eastAsia="仿宋" w:cs="Times New Roman"/>
                      <w:color w:val="auto"/>
                      <w:sz w:val="21"/>
                      <w:szCs w:val="21"/>
                    </w:rPr>
                  </w:pPr>
                </w:p>
              </w:tc>
            </w:tr>
            <w:tr w14:paraId="5196B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53C600B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19</w:t>
                  </w:r>
                </w:p>
              </w:tc>
              <w:tc>
                <w:tcPr>
                  <w:tcW w:w="1520" w:type="pct"/>
                  <w:tcBorders>
                    <w:tl2br w:val="nil"/>
                    <w:tr2bl w:val="nil"/>
                  </w:tcBorders>
                  <w:vAlign w:val="center"/>
                </w:tcPr>
                <w:p w14:paraId="09ACC81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highlight w:val="none"/>
                      <w:lang w:val="en-US" w:eastAsia="zh-CN"/>
                    </w:rPr>
                    <w:t>碱性清洗剂</w:t>
                  </w:r>
                </w:p>
              </w:tc>
              <w:tc>
                <w:tcPr>
                  <w:tcW w:w="829" w:type="pct"/>
                  <w:tcBorders>
                    <w:tl2br w:val="nil"/>
                    <w:tr2bl w:val="nil"/>
                  </w:tcBorders>
                  <w:vAlign w:val="center"/>
                </w:tcPr>
                <w:p w14:paraId="0EBC5D98">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40</w:t>
                  </w:r>
                </w:p>
              </w:tc>
              <w:tc>
                <w:tcPr>
                  <w:tcW w:w="1070" w:type="pct"/>
                  <w:tcBorders>
                    <w:tl2br w:val="nil"/>
                    <w:tr2bl w:val="nil"/>
                  </w:tcBorders>
                  <w:vAlign w:val="center"/>
                </w:tcPr>
                <w:p w14:paraId="2D54DEBF">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w:t>
                  </w:r>
                </w:p>
              </w:tc>
              <w:tc>
                <w:tcPr>
                  <w:tcW w:w="1040" w:type="pct"/>
                  <w:vMerge w:val="restart"/>
                  <w:tcBorders>
                    <w:tl2br w:val="nil"/>
                    <w:tr2bl w:val="nil"/>
                  </w:tcBorders>
                  <w:vAlign w:val="center"/>
                </w:tcPr>
                <w:p w14:paraId="323C65FA">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维修间</w:t>
                  </w:r>
                </w:p>
              </w:tc>
            </w:tr>
            <w:tr w14:paraId="48BDC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2DE34FED">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0</w:t>
                  </w:r>
                </w:p>
              </w:tc>
              <w:tc>
                <w:tcPr>
                  <w:tcW w:w="1520" w:type="pct"/>
                  <w:tcBorders>
                    <w:tl2br w:val="nil"/>
                    <w:tr2bl w:val="nil"/>
                  </w:tcBorders>
                  <w:vAlign w:val="center"/>
                </w:tcPr>
                <w:p w14:paraId="10C4F2B8">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设备润滑剂</w:t>
                  </w:r>
                </w:p>
              </w:tc>
              <w:tc>
                <w:tcPr>
                  <w:tcW w:w="829" w:type="pct"/>
                  <w:tcBorders>
                    <w:tl2br w:val="nil"/>
                    <w:tr2bl w:val="nil"/>
                  </w:tcBorders>
                  <w:vAlign w:val="center"/>
                </w:tcPr>
                <w:p w14:paraId="7AF792BC">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070" w:type="pct"/>
                  <w:tcBorders>
                    <w:tl2br w:val="nil"/>
                    <w:tr2bl w:val="nil"/>
                  </w:tcBorders>
                  <w:vAlign w:val="center"/>
                </w:tcPr>
                <w:p w14:paraId="4327E06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1040" w:type="pct"/>
                  <w:vMerge w:val="continue"/>
                  <w:tcBorders>
                    <w:tl2br w:val="nil"/>
                    <w:tr2bl w:val="nil"/>
                  </w:tcBorders>
                  <w:vAlign w:val="center"/>
                </w:tcPr>
                <w:p w14:paraId="4D21C092">
                  <w:pPr>
                    <w:adjustRightInd w:val="0"/>
                    <w:snapToGrid w:val="0"/>
                    <w:jc w:val="center"/>
                    <w:rPr>
                      <w:rFonts w:hint="default" w:ascii="Times New Roman" w:hAnsi="Times New Roman" w:eastAsia="仿宋" w:cs="Times New Roman"/>
                      <w:color w:val="auto"/>
                      <w:sz w:val="21"/>
                      <w:szCs w:val="21"/>
                    </w:rPr>
                  </w:pPr>
                </w:p>
              </w:tc>
            </w:tr>
            <w:tr w14:paraId="51B87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79146E3E">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1</w:t>
                  </w:r>
                </w:p>
              </w:tc>
              <w:tc>
                <w:tcPr>
                  <w:tcW w:w="1520" w:type="pct"/>
                  <w:tcBorders>
                    <w:tl2br w:val="nil"/>
                    <w:tr2bl w:val="nil"/>
                  </w:tcBorders>
                  <w:vAlign w:val="center"/>
                </w:tcPr>
                <w:p w14:paraId="07A0FA0A">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切削液</w:t>
                  </w:r>
                </w:p>
              </w:tc>
              <w:tc>
                <w:tcPr>
                  <w:tcW w:w="829" w:type="pct"/>
                  <w:tcBorders>
                    <w:tl2br w:val="nil"/>
                    <w:tr2bl w:val="nil"/>
                  </w:tcBorders>
                  <w:vAlign w:val="center"/>
                </w:tcPr>
                <w:p w14:paraId="78C1633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80</w:t>
                  </w:r>
                </w:p>
              </w:tc>
              <w:tc>
                <w:tcPr>
                  <w:tcW w:w="1070" w:type="pct"/>
                  <w:tcBorders>
                    <w:tl2br w:val="nil"/>
                    <w:tr2bl w:val="nil"/>
                  </w:tcBorders>
                  <w:vAlign w:val="center"/>
                </w:tcPr>
                <w:p w14:paraId="14B298C2">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1040" w:type="pct"/>
                  <w:vMerge w:val="continue"/>
                  <w:tcBorders>
                    <w:tl2br w:val="nil"/>
                    <w:tr2bl w:val="nil"/>
                  </w:tcBorders>
                  <w:vAlign w:val="center"/>
                </w:tcPr>
                <w:p w14:paraId="6939EDE6">
                  <w:pPr>
                    <w:adjustRightInd w:val="0"/>
                    <w:snapToGrid w:val="0"/>
                    <w:jc w:val="center"/>
                    <w:rPr>
                      <w:rFonts w:hint="default" w:ascii="Times New Roman" w:hAnsi="Times New Roman" w:eastAsia="仿宋" w:cs="Times New Roman"/>
                      <w:color w:val="auto"/>
                      <w:sz w:val="21"/>
                      <w:szCs w:val="21"/>
                    </w:rPr>
                  </w:pPr>
                </w:p>
              </w:tc>
            </w:tr>
            <w:tr w14:paraId="04653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538" w:type="pct"/>
                  <w:tcBorders>
                    <w:tl2br w:val="nil"/>
                    <w:tr2bl w:val="nil"/>
                  </w:tcBorders>
                </w:tcPr>
                <w:p w14:paraId="4F0A72C0">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2</w:t>
                  </w:r>
                </w:p>
              </w:tc>
              <w:tc>
                <w:tcPr>
                  <w:tcW w:w="1520" w:type="pct"/>
                  <w:tcBorders>
                    <w:tl2br w:val="nil"/>
                    <w:tr2bl w:val="nil"/>
                  </w:tcBorders>
                  <w:vAlign w:val="center"/>
                </w:tcPr>
                <w:p w14:paraId="4BD1E22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实验室废液</w:t>
                  </w:r>
                </w:p>
              </w:tc>
              <w:tc>
                <w:tcPr>
                  <w:tcW w:w="829" w:type="pct"/>
                  <w:tcBorders>
                    <w:tl2br w:val="nil"/>
                    <w:tr2bl w:val="nil"/>
                  </w:tcBorders>
                  <w:vAlign w:val="center"/>
                </w:tcPr>
                <w:p w14:paraId="1967B6BC">
                  <w:pPr>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2</w:t>
                  </w:r>
                  <w:r>
                    <w:rPr>
                      <w:rFonts w:hint="eastAsia" w:eastAsia="仿宋" w:cs="Times New Roman"/>
                      <w:color w:val="auto"/>
                      <w:sz w:val="21"/>
                      <w:szCs w:val="21"/>
                      <w:lang w:val="en-US" w:eastAsia="zh-CN"/>
                    </w:rPr>
                    <w:t>400</w:t>
                  </w:r>
                </w:p>
              </w:tc>
              <w:tc>
                <w:tcPr>
                  <w:tcW w:w="1070" w:type="pct"/>
                  <w:tcBorders>
                    <w:tl2br w:val="nil"/>
                    <w:tr2bl w:val="nil"/>
                  </w:tcBorders>
                  <w:vAlign w:val="center"/>
                </w:tcPr>
                <w:p w14:paraId="549516D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400</w:t>
                  </w:r>
                </w:p>
              </w:tc>
              <w:tc>
                <w:tcPr>
                  <w:tcW w:w="1040" w:type="pct"/>
                  <w:vMerge w:val="restart"/>
                  <w:tcBorders>
                    <w:tl2br w:val="nil"/>
                    <w:tr2bl w:val="nil"/>
                  </w:tcBorders>
                  <w:vAlign w:val="center"/>
                </w:tcPr>
                <w:p w14:paraId="654EFC5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危废仓库</w:t>
                  </w:r>
                </w:p>
              </w:tc>
            </w:tr>
            <w:tr w14:paraId="05E1C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0DDBCEDB">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3</w:t>
                  </w:r>
                </w:p>
              </w:tc>
              <w:tc>
                <w:tcPr>
                  <w:tcW w:w="1520" w:type="pct"/>
                  <w:tcBorders>
                    <w:tl2br w:val="nil"/>
                    <w:tr2bl w:val="nil"/>
                  </w:tcBorders>
                  <w:vAlign w:val="center"/>
                </w:tcPr>
                <w:p w14:paraId="3815587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废劳保用品及抹布</w:t>
                  </w:r>
                </w:p>
              </w:tc>
              <w:tc>
                <w:tcPr>
                  <w:tcW w:w="829" w:type="pct"/>
                  <w:tcBorders>
                    <w:tl2br w:val="nil"/>
                    <w:tr2bl w:val="nil"/>
                  </w:tcBorders>
                  <w:vAlign w:val="center"/>
                </w:tcPr>
                <w:p w14:paraId="16890175">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50</w:t>
                  </w:r>
                </w:p>
              </w:tc>
              <w:tc>
                <w:tcPr>
                  <w:tcW w:w="1070" w:type="pct"/>
                  <w:tcBorders>
                    <w:tl2br w:val="nil"/>
                    <w:tr2bl w:val="nil"/>
                  </w:tcBorders>
                  <w:vAlign w:val="center"/>
                </w:tcPr>
                <w:p w14:paraId="491C4E85">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w:t>
                  </w:r>
                </w:p>
              </w:tc>
              <w:tc>
                <w:tcPr>
                  <w:tcW w:w="1040" w:type="pct"/>
                  <w:vMerge w:val="continue"/>
                  <w:tcBorders>
                    <w:tl2br w:val="nil"/>
                    <w:tr2bl w:val="nil"/>
                  </w:tcBorders>
                  <w:vAlign w:val="center"/>
                </w:tcPr>
                <w:p w14:paraId="3E66AA38">
                  <w:pPr>
                    <w:adjustRightInd w:val="0"/>
                    <w:snapToGrid w:val="0"/>
                    <w:jc w:val="center"/>
                    <w:rPr>
                      <w:rFonts w:hint="default" w:ascii="Times New Roman" w:hAnsi="Times New Roman" w:eastAsia="仿宋" w:cs="Times New Roman"/>
                      <w:color w:val="auto"/>
                      <w:sz w:val="21"/>
                      <w:szCs w:val="21"/>
                    </w:rPr>
                  </w:pPr>
                </w:p>
              </w:tc>
            </w:tr>
            <w:tr w14:paraId="63DA6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0C2917E1">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4</w:t>
                  </w:r>
                </w:p>
              </w:tc>
              <w:tc>
                <w:tcPr>
                  <w:tcW w:w="1520" w:type="pct"/>
                  <w:tcBorders>
                    <w:tl2br w:val="nil"/>
                    <w:tr2bl w:val="nil"/>
                  </w:tcBorders>
                  <w:vAlign w:val="center"/>
                </w:tcPr>
                <w:p w14:paraId="725446C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废包装物</w:t>
                  </w:r>
                </w:p>
              </w:tc>
              <w:tc>
                <w:tcPr>
                  <w:tcW w:w="829" w:type="pct"/>
                  <w:tcBorders>
                    <w:tl2br w:val="nil"/>
                    <w:tr2bl w:val="nil"/>
                  </w:tcBorders>
                  <w:vAlign w:val="center"/>
                </w:tcPr>
                <w:p w14:paraId="7489615D">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60</w:t>
                  </w:r>
                </w:p>
              </w:tc>
              <w:tc>
                <w:tcPr>
                  <w:tcW w:w="1070" w:type="pct"/>
                  <w:tcBorders>
                    <w:tl2br w:val="nil"/>
                    <w:tr2bl w:val="nil"/>
                  </w:tcBorders>
                  <w:vAlign w:val="center"/>
                </w:tcPr>
                <w:p w14:paraId="43F1A27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25</w:t>
                  </w:r>
                </w:p>
              </w:tc>
              <w:tc>
                <w:tcPr>
                  <w:tcW w:w="1040" w:type="pct"/>
                  <w:vMerge w:val="continue"/>
                  <w:tcBorders>
                    <w:tl2br w:val="nil"/>
                    <w:tr2bl w:val="nil"/>
                  </w:tcBorders>
                  <w:vAlign w:val="center"/>
                </w:tcPr>
                <w:p w14:paraId="5A303172">
                  <w:pPr>
                    <w:adjustRightInd w:val="0"/>
                    <w:snapToGrid w:val="0"/>
                    <w:jc w:val="center"/>
                    <w:rPr>
                      <w:rFonts w:hint="default" w:ascii="Times New Roman" w:hAnsi="Times New Roman" w:eastAsia="仿宋" w:cs="Times New Roman"/>
                      <w:color w:val="auto"/>
                      <w:sz w:val="21"/>
                      <w:szCs w:val="21"/>
                    </w:rPr>
                  </w:pPr>
                </w:p>
              </w:tc>
            </w:tr>
            <w:tr w14:paraId="794F0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38" w:type="pct"/>
                  <w:tcBorders>
                    <w:tl2br w:val="nil"/>
                    <w:tr2bl w:val="nil"/>
                  </w:tcBorders>
                </w:tcPr>
                <w:p w14:paraId="7CEC0B01">
                  <w:pPr>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val="en-US" w:eastAsia="zh-CN"/>
                    </w:rPr>
                    <w:t>5</w:t>
                  </w:r>
                </w:p>
              </w:tc>
              <w:tc>
                <w:tcPr>
                  <w:tcW w:w="1520" w:type="pct"/>
                  <w:tcBorders>
                    <w:tl2br w:val="nil"/>
                    <w:tr2bl w:val="nil"/>
                  </w:tcBorders>
                  <w:vAlign w:val="center"/>
                </w:tcPr>
                <w:p w14:paraId="56D6A25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废活性炭</w:t>
                  </w:r>
                </w:p>
              </w:tc>
              <w:tc>
                <w:tcPr>
                  <w:tcW w:w="829" w:type="pct"/>
                  <w:tcBorders>
                    <w:tl2br w:val="nil"/>
                    <w:tr2bl w:val="nil"/>
                  </w:tcBorders>
                  <w:vAlign w:val="center"/>
                </w:tcPr>
                <w:p w14:paraId="21A32C8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8.3</w:t>
                  </w:r>
                </w:p>
              </w:tc>
              <w:tc>
                <w:tcPr>
                  <w:tcW w:w="1070" w:type="pct"/>
                  <w:tcBorders>
                    <w:tl2br w:val="nil"/>
                    <w:tr2bl w:val="nil"/>
                  </w:tcBorders>
                  <w:vAlign w:val="center"/>
                </w:tcPr>
                <w:p w14:paraId="65B3511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8.3</w:t>
                  </w:r>
                </w:p>
              </w:tc>
              <w:tc>
                <w:tcPr>
                  <w:tcW w:w="1040" w:type="pct"/>
                  <w:vMerge w:val="continue"/>
                  <w:tcBorders>
                    <w:tl2br w:val="nil"/>
                    <w:tr2bl w:val="nil"/>
                  </w:tcBorders>
                  <w:vAlign w:val="center"/>
                </w:tcPr>
                <w:p w14:paraId="0AC76904">
                  <w:pPr>
                    <w:adjustRightInd w:val="0"/>
                    <w:snapToGrid w:val="0"/>
                    <w:jc w:val="center"/>
                    <w:rPr>
                      <w:rFonts w:hint="default" w:ascii="Times New Roman" w:hAnsi="Times New Roman" w:eastAsia="仿宋" w:cs="Times New Roman"/>
                      <w:color w:val="auto"/>
                      <w:sz w:val="21"/>
                      <w:szCs w:val="21"/>
                    </w:rPr>
                  </w:pPr>
                </w:p>
              </w:tc>
            </w:tr>
          </w:tbl>
          <w:p w14:paraId="4A0BD3BD">
            <w:pPr>
              <w:spacing w:line="360" w:lineRule="auto"/>
              <w:ind w:firstLine="200" w:firstLineChars="200"/>
              <w:rPr>
                <w:rFonts w:hint="default" w:ascii="Times New Roman" w:hAnsi="Times New Roman" w:eastAsia="仿宋" w:cs="Times New Roman"/>
                <w:bCs/>
                <w:color w:val="auto"/>
                <w:sz w:val="10"/>
                <w:szCs w:val="10"/>
              </w:rPr>
            </w:pPr>
          </w:p>
          <w:p w14:paraId="5939222A">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2、风险潜势初判</w:t>
            </w:r>
          </w:p>
          <w:p w14:paraId="05711D00">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根据《建设项目环境风险评价技术导则》（HJ</w:t>
            </w:r>
            <w:r>
              <w:rPr>
                <w:rFonts w:hint="default" w:ascii="Times New Roman" w:hAnsi="Times New Roman" w:eastAsia="仿宋" w:cs="Times New Roman"/>
                <w:bCs/>
                <w:color w:val="auto"/>
                <w:sz w:val="24"/>
                <w:lang w:val="en-US" w:eastAsia="zh-CN"/>
              </w:rPr>
              <w:t xml:space="preserve"> </w:t>
            </w:r>
            <w:r>
              <w:rPr>
                <w:rFonts w:hint="default" w:ascii="Times New Roman" w:hAnsi="Times New Roman" w:eastAsia="仿宋" w:cs="Times New Roman"/>
                <w:bCs/>
                <w:color w:val="auto"/>
                <w:sz w:val="24"/>
              </w:rPr>
              <w:t>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6DF2CCE0">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当只涉及一种危险物质时，计算该物质的总量与其临界量比值，即为Q；当存在多种危险物质时，则按式（C.1）计算物质总量与其临界量比值（Q）：</w:t>
            </w:r>
          </w:p>
          <w:p w14:paraId="173669E9">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Q=q1/Q1+q2/Q2+q3/Q3+ ······+qn/Qn</w:t>
            </w:r>
          </w:p>
          <w:p w14:paraId="7A9E2090">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式中：q1，q2，...，qn——每种危险物质的最大存在总量，t；</w:t>
            </w:r>
          </w:p>
          <w:p w14:paraId="21B30580">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Q1,Q2,...,Qn——每种危险物质的临界量，t。</w:t>
            </w:r>
          </w:p>
          <w:p w14:paraId="1213B84E">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当Q＜1时，该项目环境风险潜势为Ⅰ。</w:t>
            </w:r>
          </w:p>
          <w:p w14:paraId="58D66C52">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当Q≥1时，将Q值划分为：（1）1≤Q＜10；（2）10≤Q＜100；（3）Q≥100。</w:t>
            </w:r>
          </w:p>
          <w:p w14:paraId="424A1C44">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本项目风险物质与现有项目风险物质均位于同一个车间风险单元，故</w:t>
            </w:r>
            <w:r>
              <w:rPr>
                <w:rFonts w:hint="default" w:ascii="Times New Roman" w:hAnsi="Times New Roman" w:eastAsia="仿宋" w:cs="Times New Roman"/>
                <w:bCs/>
                <w:color w:val="auto"/>
                <w:sz w:val="24"/>
              </w:rPr>
              <w:t>根据</w:t>
            </w:r>
            <w:r>
              <w:rPr>
                <w:rFonts w:hint="default" w:ascii="Times New Roman" w:hAnsi="Times New Roman" w:eastAsia="仿宋" w:cs="Times New Roman"/>
                <w:bCs/>
                <w:color w:val="auto"/>
                <w:sz w:val="24"/>
                <w:lang w:val="en-US" w:eastAsia="zh-CN"/>
              </w:rPr>
              <w:t>全厂</w:t>
            </w:r>
            <w:r>
              <w:rPr>
                <w:rFonts w:hint="default" w:ascii="Times New Roman" w:hAnsi="Times New Roman" w:eastAsia="仿宋" w:cs="Times New Roman"/>
                <w:bCs/>
                <w:color w:val="auto"/>
                <w:sz w:val="24"/>
              </w:rPr>
              <w:t>所涉及的每种危险物质在厂界内的最大存在总量与其在附录B中对应临界量进行计算。</w:t>
            </w:r>
          </w:p>
          <w:p w14:paraId="6E2A2ADE">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1</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本项目</w:t>
            </w:r>
            <w:r>
              <w:rPr>
                <w:rFonts w:hint="default" w:ascii="Times New Roman" w:hAnsi="Times New Roman" w:eastAsia="仿宋" w:cs="Times New Roman"/>
                <w:b/>
                <w:bCs/>
                <w:color w:val="auto"/>
                <w:sz w:val="24"/>
              </w:rPr>
              <w:t>危险物质使用量及临界量</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84"/>
              <w:gridCol w:w="17"/>
              <w:gridCol w:w="1633"/>
              <w:gridCol w:w="1965"/>
              <w:gridCol w:w="1521"/>
              <w:gridCol w:w="1399"/>
            </w:tblGrid>
            <w:tr w14:paraId="64A47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tcBorders>
                    <w:top w:val="single" w:color="auto" w:sz="12" w:space="0"/>
                    <w:left w:val="nil"/>
                    <w:bottom w:val="single" w:color="auto" w:sz="4" w:space="0"/>
                    <w:right w:val="single" w:color="auto" w:sz="4" w:space="0"/>
                  </w:tcBorders>
                  <w:vAlign w:val="center"/>
                </w:tcPr>
                <w:p w14:paraId="099D9AE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序号</w:t>
                  </w:r>
                </w:p>
              </w:tc>
              <w:tc>
                <w:tcPr>
                  <w:tcW w:w="1673" w:type="pct"/>
                  <w:gridSpan w:val="3"/>
                  <w:tcBorders>
                    <w:top w:val="single" w:color="auto" w:sz="12" w:space="0"/>
                    <w:left w:val="single" w:color="auto" w:sz="4" w:space="0"/>
                    <w:bottom w:val="single" w:color="auto" w:sz="4" w:space="0"/>
                    <w:right w:val="single" w:color="auto" w:sz="4" w:space="0"/>
                  </w:tcBorders>
                  <w:vAlign w:val="center"/>
                </w:tcPr>
                <w:p w14:paraId="2B722502">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原料名称</w:t>
                  </w:r>
                </w:p>
              </w:tc>
              <w:tc>
                <w:tcPr>
                  <w:tcW w:w="1160" w:type="pct"/>
                  <w:tcBorders>
                    <w:top w:val="single" w:color="auto" w:sz="12" w:space="0"/>
                    <w:left w:val="single" w:color="auto" w:sz="4" w:space="0"/>
                    <w:bottom w:val="single" w:color="auto" w:sz="4" w:space="0"/>
                    <w:right w:val="single" w:color="auto" w:sz="4" w:space="0"/>
                  </w:tcBorders>
                  <w:vAlign w:val="center"/>
                </w:tcPr>
                <w:p w14:paraId="45F37EB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最大储存量（</w:t>
                  </w:r>
                  <w:r>
                    <w:rPr>
                      <w:rFonts w:hint="default" w:ascii="Times New Roman" w:hAnsi="Times New Roman" w:eastAsia="仿宋" w:cs="Times New Roman"/>
                      <w:b/>
                      <w:bCs/>
                      <w:color w:val="auto"/>
                      <w:lang w:val="en-US" w:eastAsia="zh-CN"/>
                    </w:rPr>
                    <w:t>kg</w:t>
                  </w:r>
                  <w:r>
                    <w:rPr>
                      <w:rFonts w:hint="default" w:ascii="Times New Roman" w:hAnsi="Times New Roman" w:eastAsia="仿宋" w:cs="Times New Roman"/>
                      <w:b/>
                      <w:bCs/>
                      <w:color w:val="auto"/>
                    </w:rPr>
                    <w:t>）q</w:t>
                  </w:r>
                </w:p>
              </w:tc>
              <w:tc>
                <w:tcPr>
                  <w:tcW w:w="898" w:type="pct"/>
                  <w:tcBorders>
                    <w:top w:val="single" w:color="auto" w:sz="12" w:space="0"/>
                    <w:left w:val="single" w:color="auto" w:sz="4" w:space="0"/>
                    <w:bottom w:val="single" w:color="auto" w:sz="4" w:space="0"/>
                    <w:right w:val="single" w:color="auto" w:sz="4" w:space="0"/>
                  </w:tcBorders>
                  <w:vAlign w:val="center"/>
                </w:tcPr>
                <w:p w14:paraId="2385E6E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临界量（t）Q</w:t>
                  </w:r>
                </w:p>
              </w:tc>
              <w:tc>
                <w:tcPr>
                  <w:tcW w:w="826" w:type="pct"/>
                  <w:tcBorders>
                    <w:top w:val="single" w:color="auto" w:sz="12" w:space="0"/>
                    <w:left w:val="single" w:color="auto" w:sz="4" w:space="0"/>
                    <w:bottom w:val="single" w:color="auto" w:sz="4" w:space="0"/>
                    <w:right w:val="nil"/>
                  </w:tcBorders>
                  <w:vAlign w:val="center"/>
                </w:tcPr>
                <w:p w14:paraId="58DF4493">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q/Q</w:t>
                  </w:r>
                </w:p>
              </w:tc>
            </w:tr>
            <w:tr w14:paraId="4A676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59EA27B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4048E152">
                  <w:pPr>
                    <w:widowControl/>
                    <w:jc w:val="center"/>
                    <w:textAlignment w:val="center"/>
                    <w:rPr>
                      <w:rFonts w:hint="default" w:ascii="Times New Roman" w:hAnsi="Times New Roman" w:eastAsia="仿宋" w:cs="Times New Roman"/>
                      <w:color w:val="auto"/>
                      <w:kern w:val="0"/>
                      <w:szCs w:val="21"/>
                      <w:lang w:val="en-US" w:eastAsia="zh-CN" w:bidi="ar"/>
                    </w:rPr>
                  </w:pPr>
                  <w:r>
                    <w:rPr>
                      <w:rFonts w:hint="default" w:ascii="Times New Roman" w:hAnsi="Times New Roman" w:eastAsia="仿宋" w:cs="Times New Roman"/>
                      <w:color w:val="auto"/>
                      <w:kern w:val="0"/>
                      <w:szCs w:val="21"/>
                      <w:lang w:val="en-US" w:eastAsia="zh-CN" w:bidi="ar"/>
                    </w:rPr>
                    <w:t>盐酸（浓度37%）*</w:t>
                  </w:r>
                </w:p>
              </w:tc>
              <w:tc>
                <w:tcPr>
                  <w:tcW w:w="1160" w:type="pct"/>
                  <w:tcBorders>
                    <w:top w:val="single" w:color="auto" w:sz="4" w:space="0"/>
                    <w:left w:val="single" w:color="auto" w:sz="4" w:space="0"/>
                    <w:bottom w:val="single" w:color="auto" w:sz="4" w:space="0"/>
                    <w:right w:val="single" w:color="auto" w:sz="4" w:space="0"/>
                  </w:tcBorders>
                  <w:vAlign w:val="center"/>
                </w:tcPr>
                <w:p w14:paraId="5159B22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0.43</w:t>
                  </w:r>
                </w:p>
              </w:tc>
              <w:tc>
                <w:tcPr>
                  <w:tcW w:w="898" w:type="pct"/>
                  <w:tcBorders>
                    <w:top w:val="single" w:color="auto" w:sz="4" w:space="0"/>
                    <w:left w:val="single" w:color="auto" w:sz="4" w:space="0"/>
                    <w:bottom w:val="single" w:color="auto" w:sz="4" w:space="0"/>
                    <w:right w:val="single" w:color="auto" w:sz="4" w:space="0"/>
                  </w:tcBorders>
                  <w:vAlign w:val="center"/>
                </w:tcPr>
                <w:p w14:paraId="6C7DF6B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7.5</w:t>
                  </w:r>
                </w:p>
              </w:tc>
              <w:tc>
                <w:tcPr>
                  <w:tcW w:w="826" w:type="pct"/>
                  <w:tcBorders>
                    <w:top w:val="single" w:color="auto" w:sz="4" w:space="0"/>
                    <w:left w:val="single" w:color="auto" w:sz="4" w:space="0"/>
                    <w:bottom w:val="single" w:color="auto" w:sz="4" w:space="0"/>
                    <w:right w:val="nil"/>
                  </w:tcBorders>
                  <w:vAlign w:val="center"/>
                </w:tcPr>
                <w:p w14:paraId="57F47FBC">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0.000057</w:t>
                  </w:r>
                </w:p>
              </w:tc>
            </w:tr>
            <w:tr w14:paraId="639D2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49C2CD6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2A987A7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氢氧化钠</w:t>
                  </w:r>
                </w:p>
              </w:tc>
              <w:tc>
                <w:tcPr>
                  <w:tcW w:w="1160" w:type="pct"/>
                  <w:tcBorders>
                    <w:top w:val="single" w:color="auto" w:sz="4" w:space="0"/>
                    <w:left w:val="single" w:color="auto" w:sz="4" w:space="0"/>
                    <w:bottom w:val="single" w:color="auto" w:sz="4" w:space="0"/>
                    <w:right w:val="single" w:color="auto" w:sz="4" w:space="0"/>
                  </w:tcBorders>
                  <w:vAlign w:val="center"/>
                </w:tcPr>
                <w:p w14:paraId="4F0574E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w:t>
                  </w:r>
                </w:p>
              </w:tc>
              <w:tc>
                <w:tcPr>
                  <w:tcW w:w="898" w:type="pct"/>
                  <w:tcBorders>
                    <w:top w:val="single" w:color="auto" w:sz="4" w:space="0"/>
                    <w:left w:val="single" w:color="auto" w:sz="4" w:space="0"/>
                    <w:bottom w:val="single" w:color="auto" w:sz="4" w:space="0"/>
                    <w:right w:val="single" w:color="auto" w:sz="4" w:space="0"/>
                  </w:tcBorders>
                  <w:vAlign w:val="center"/>
                </w:tcPr>
                <w:p w14:paraId="093608B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w:t>
                  </w:r>
                </w:p>
              </w:tc>
              <w:tc>
                <w:tcPr>
                  <w:tcW w:w="826" w:type="pct"/>
                  <w:tcBorders>
                    <w:top w:val="single" w:color="auto" w:sz="4" w:space="0"/>
                    <w:left w:val="single" w:color="auto" w:sz="4" w:space="0"/>
                    <w:bottom w:val="single" w:color="auto" w:sz="4" w:space="0"/>
                    <w:right w:val="nil"/>
                  </w:tcBorders>
                  <w:vAlign w:val="center"/>
                </w:tcPr>
                <w:p w14:paraId="05C7AFC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0.00008</w:t>
                  </w:r>
                </w:p>
              </w:tc>
            </w:tr>
            <w:tr w14:paraId="1E12B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4F9CAED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2D1128B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测铜试剂</w:t>
                  </w:r>
                </w:p>
              </w:tc>
              <w:tc>
                <w:tcPr>
                  <w:tcW w:w="1160" w:type="pct"/>
                  <w:tcBorders>
                    <w:top w:val="single" w:color="auto" w:sz="4" w:space="0"/>
                    <w:left w:val="single" w:color="auto" w:sz="4" w:space="0"/>
                    <w:bottom w:val="single" w:color="auto" w:sz="4" w:space="0"/>
                    <w:right w:val="single" w:color="auto" w:sz="4" w:space="0"/>
                  </w:tcBorders>
                  <w:vAlign w:val="center"/>
                </w:tcPr>
                <w:p w14:paraId="5D98832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w:t>
                  </w:r>
                </w:p>
              </w:tc>
              <w:tc>
                <w:tcPr>
                  <w:tcW w:w="898" w:type="pct"/>
                  <w:tcBorders>
                    <w:top w:val="single" w:color="auto" w:sz="4" w:space="0"/>
                    <w:left w:val="single" w:color="auto" w:sz="4" w:space="0"/>
                    <w:bottom w:val="single" w:color="auto" w:sz="4" w:space="0"/>
                    <w:right w:val="single" w:color="auto" w:sz="4" w:space="0"/>
                  </w:tcBorders>
                  <w:vAlign w:val="center"/>
                </w:tcPr>
                <w:p w14:paraId="3EFC97C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58244E9C">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0.000025</w:t>
                  </w:r>
                </w:p>
              </w:tc>
            </w:tr>
            <w:tr w14:paraId="52483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5344DDE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25EA0E5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测镍试剂</w:t>
                  </w:r>
                </w:p>
              </w:tc>
              <w:tc>
                <w:tcPr>
                  <w:tcW w:w="1160" w:type="pct"/>
                  <w:tcBorders>
                    <w:top w:val="single" w:color="auto" w:sz="4" w:space="0"/>
                    <w:left w:val="single" w:color="auto" w:sz="4" w:space="0"/>
                    <w:bottom w:val="single" w:color="auto" w:sz="4" w:space="0"/>
                    <w:right w:val="single" w:color="auto" w:sz="4" w:space="0"/>
                  </w:tcBorders>
                  <w:vAlign w:val="center"/>
                </w:tcPr>
                <w:p w14:paraId="5119BD9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w:t>
                  </w:r>
                </w:p>
              </w:tc>
              <w:tc>
                <w:tcPr>
                  <w:tcW w:w="898" w:type="pct"/>
                  <w:tcBorders>
                    <w:top w:val="single" w:color="auto" w:sz="4" w:space="0"/>
                    <w:left w:val="single" w:color="auto" w:sz="4" w:space="0"/>
                    <w:bottom w:val="single" w:color="auto" w:sz="4" w:space="0"/>
                    <w:right w:val="single" w:color="auto" w:sz="4" w:space="0"/>
                  </w:tcBorders>
                  <w:vAlign w:val="center"/>
                </w:tcPr>
                <w:p w14:paraId="45DBEEB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122EE0C1">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0.000025</w:t>
                  </w:r>
                </w:p>
              </w:tc>
            </w:tr>
            <w:tr w14:paraId="18236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7EAEE94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5</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2D0979E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pH校准溶液</w:t>
                  </w:r>
                </w:p>
              </w:tc>
              <w:tc>
                <w:tcPr>
                  <w:tcW w:w="1160" w:type="pct"/>
                  <w:tcBorders>
                    <w:top w:val="single" w:color="auto" w:sz="4" w:space="0"/>
                    <w:left w:val="single" w:color="auto" w:sz="4" w:space="0"/>
                    <w:bottom w:val="single" w:color="auto" w:sz="4" w:space="0"/>
                    <w:right w:val="single" w:color="auto" w:sz="4" w:space="0"/>
                  </w:tcBorders>
                  <w:vAlign w:val="center"/>
                </w:tcPr>
                <w:p w14:paraId="0FBEA5F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w:t>
                  </w:r>
                </w:p>
              </w:tc>
              <w:tc>
                <w:tcPr>
                  <w:tcW w:w="898" w:type="pct"/>
                  <w:tcBorders>
                    <w:top w:val="single" w:color="auto" w:sz="4" w:space="0"/>
                    <w:left w:val="single" w:color="auto" w:sz="4" w:space="0"/>
                    <w:bottom w:val="single" w:color="auto" w:sz="4" w:space="0"/>
                    <w:right w:val="single" w:color="auto" w:sz="4" w:space="0"/>
                  </w:tcBorders>
                  <w:vAlign w:val="center"/>
                </w:tcPr>
                <w:p w14:paraId="4F74CAB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65C2FF45">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0.00002</w:t>
                  </w:r>
                </w:p>
              </w:tc>
            </w:tr>
            <w:tr w14:paraId="1CA66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7C7CA49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6</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75A48E7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氯化钾</w:t>
                  </w:r>
                </w:p>
              </w:tc>
              <w:tc>
                <w:tcPr>
                  <w:tcW w:w="1160" w:type="pct"/>
                  <w:tcBorders>
                    <w:top w:val="single" w:color="auto" w:sz="4" w:space="0"/>
                    <w:left w:val="single" w:color="auto" w:sz="4" w:space="0"/>
                    <w:bottom w:val="single" w:color="auto" w:sz="4" w:space="0"/>
                    <w:right w:val="single" w:color="auto" w:sz="4" w:space="0"/>
                  </w:tcBorders>
                  <w:vAlign w:val="center"/>
                </w:tcPr>
                <w:p w14:paraId="6B7A217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w:t>
                  </w:r>
                </w:p>
              </w:tc>
              <w:tc>
                <w:tcPr>
                  <w:tcW w:w="898" w:type="pct"/>
                  <w:tcBorders>
                    <w:top w:val="single" w:color="auto" w:sz="4" w:space="0"/>
                    <w:left w:val="single" w:color="auto" w:sz="4" w:space="0"/>
                    <w:bottom w:val="single" w:color="auto" w:sz="4" w:space="0"/>
                    <w:right w:val="single" w:color="auto" w:sz="4" w:space="0"/>
                  </w:tcBorders>
                  <w:vAlign w:val="center"/>
                </w:tcPr>
                <w:p w14:paraId="712FB77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4BEB08E0">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0.00002</w:t>
                  </w:r>
                </w:p>
              </w:tc>
            </w:tr>
            <w:tr w14:paraId="0E1E7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restart"/>
                  <w:tcBorders>
                    <w:top w:val="single" w:color="auto" w:sz="4" w:space="0"/>
                    <w:left w:val="nil"/>
                    <w:right w:val="single" w:color="auto" w:sz="4" w:space="0"/>
                  </w:tcBorders>
                  <w:vAlign w:val="center"/>
                </w:tcPr>
                <w:p w14:paraId="15EA879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w:t>
                  </w:r>
                </w:p>
              </w:tc>
              <w:tc>
                <w:tcPr>
                  <w:tcW w:w="709" w:type="pct"/>
                  <w:gridSpan w:val="2"/>
                  <w:vMerge w:val="restart"/>
                  <w:tcBorders>
                    <w:top w:val="single" w:color="auto" w:sz="4" w:space="0"/>
                    <w:left w:val="single" w:color="auto" w:sz="4" w:space="0"/>
                    <w:right w:val="single" w:color="auto" w:sz="4" w:space="0"/>
                  </w:tcBorders>
                  <w:shd w:val="clear" w:color="auto" w:fill="auto"/>
                  <w:vAlign w:val="center"/>
                </w:tcPr>
                <w:p w14:paraId="2EB105F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Technovit4006</w:t>
                  </w:r>
                </w:p>
                <w:p w14:paraId="4A27E54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Powder</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14:paraId="2E522EE0">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甲基丙烯酸甲酯</w:t>
                  </w:r>
                  <w:r>
                    <w:rPr>
                      <w:rFonts w:hint="default" w:ascii="Times New Roman" w:hAnsi="Times New Roman" w:eastAsia="仿宋" w:cs="Times New Roman"/>
                      <w:color w:val="auto"/>
                      <w:szCs w:val="21"/>
                      <w:lang w:val="en-US" w:eastAsia="zh-CN"/>
                    </w:rPr>
                    <w:t>5%</w:t>
                  </w:r>
                </w:p>
              </w:tc>
              <w:tc>
                <w:tcPr>
                  <w:tcW w:w="1160" w:type="pct"/>
                  <w:tcBorders>
                    <w:top w:val="single" w:color="auto" w:sz="4" w:space="0"/>
                    <w:left w:val="single" w:color="auto" w:sz="4" w:space="0"/>
                    <w:right w:val="single" w:color="auto" w:sz="4" w:space="0"/>
                  </w:tcBorders>
                  <w:shd w:val="clear" w:color="auto" w:fill="auto"/>
                  <w:vAlign w:val="center"/>
                </w:tcPr>
                <w:p w14:paraId="183A9BA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0.5</w:t>
                  </w:r>
                </w:p>
              </w:tc>
              <w:tc>
                <w:tcPr>
                  <w:tcW w:w="898" w:type="pct"/>
                  <w:tcBorders>
                    <w:top w:val="single" w:color="auto" w:sz="4" w:space="0"/>
                    <w:left w:val="single" w:color="auto" w:sz="4" w:space="0"/>
                    <w:bottom w:val="single" w:color="auto" w:sz="4" w:space="0"/>
                    <w:right w:val="single" w:color="auto" w:sz="4" w:space="0"/>
                  </w:tcBorders>
                  <w:vAlign w:val="center"/>
                </w:tcPr>
                <w:p w14:paraId="373545F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10</w:t>
                  </w:r>
                </w:p>
              </w:tc>
              <w:tc>
                <w:tcPr>
                  <w:tcW w:w="826" w:type="pct"/>
                  <w:tcBorders>
                    <w:top w:val="single" w:color="auto" w:sz="4" w:space="0"/>
                    <w:left w:val="single" w:color="auto" w:sz="4" w:space="0"/>
                    <w:bottom w:val="single" w:color="auto" w:sz="4" w:space="0"/>
                    <w:right w:val="nil"/>
                  </w:tcBorders>
                  <w:vAlign w:val="center"/>
                </w:tcPr>
                <w:p w14:paraId="1F457FB7">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0.00005</w:t>
                  </w:r>
                </w:p>
              </w:tc>
            </w:tr>
            <w:tr w14:paraId="373DE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continue"/>
                  <w:tcBorders>
                    <w:left w:val="nil"/>
                    <w:bottom w:val="single" w:color="auto" w:sz="4" w:space="0"/>
                    <w:right w:val="single" w:color="auto" w:sz="4" w:space="0"/>
                  </w:tcBorders>
                  <w:shd w:val="clear" w:color="auto" w:fill="auto"/>
                  <w:vAlign w:val="center"/>
                </w:tcPr>
                <w:p w14:paraId="66A94A7C">
                  <w:pPr>
                    <w:jc w:val="center"/>
                    <w:rPr>
                      <w:rFonts w:hint="default" w:ascii="Times New Roman" w:hAnsi="Times New Roman" w:eastAsia="仿宋" w:cs="Times New Roman"/>
                      <w:color w:val="auto"/>
                      <w:kern w:val="2"/>
                      <w:sz w:val="21"/>
                      <w:szCs w:val="21"/>
                      <w:lang w:val="en-US" w:eastAsia="zh-CN" w:bidi="ar-SA"/>
                    </w:rPr>
                  </w:pPr>
                </w:p>
              </w:tc>
              <w:tc>
                <w:tcPr>
                  <w:tcW w:w="709" w:type="pct"/>
                  <w:gridSpan w:val="2"/>
                  <w:vMerge w:val="continue"/>
                  <w:tcBorders>
                    <w:left w:val="single" w:color="auto" w:sz="4" w:space="0"/>
                    <w:bottom w:val="single" w:color="auto" w:sz="4" w:space="0"/>
                    <w:right w:val="single" w:color="auto" w:sz="4" w:space="0"/>
                  </w:tcBorders>
                  <w:shd w:val="clear" w:color="auto" w:fill="auto"/>
                  <w:vAlign w:val="center"/>
                </w:tcPr>
                <w:p w14:paraId="7FDF625F">
                  <w:pPr>
                    <w:jc w:val="center"/>
                    <w:rPr>
                      <w:rFonts w:hint="default" w:ascii="Times New Roman" w:hAnsi="Times New Roman" w:eastAsia="仿宋" w:cs="Times New Roman"/>
                      <w:color w:val="auto"/>
                      <w:szCs w:val="21"/>
                      <w:lang w:val="en-US" w:eastAsia="zh-CN"/>
                    </w:rPr>
                  </w:pP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14:paraId="54824B8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剩余组分</w:t>
                  </w:r>
                </w:p>
              </w:tc>
              <w:tc>
                <w:tcPr>
                  <w:tcW w:w="1160" w:type="pct"/>
                  <w:tcBorders>
                    <w:left w:val="single" w:color="auto" w:sz="4" w:space="0"/>
                    <w:bottom w:val="single" w:color="auto" w:sz="4" w:space="0"/>
                    <w:right w:val="single" w:color="auto" w:sz="4" w:space="0"/>
                  </w:tcBorders>
                  <w:shd w:val="clear" w:color="auto" w:fill="auto"/>
                  <w:vAlign w:val="center"/>
                </w:tcPr>
                <w:p w14:paraId="6EAA425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9.5</w:t>
                  </w:r>
                </w:p>
              </w:tc>
              <w:tc>
                <w:tcPr>
                  <w:tcW w:w="898" w:type="pct"/>
                  <w:tcBorders>
                    <w:top w:val="single" w:color="auto" w:sz="4" w:space="0"/>
                    <w:left w:val="single" w:color="auto" w:sz="4" w:space="0"/>
                    <w:bottom w:val="single" w:color="auto" w:sz="4" w:space="0"/>
                    <w:right w:val="single" w:color="auto" w:sz="4" w:space="0"/>
                  </w:tcBorders>
                  <w:vAlign w:val="center"/>
                </w:tcPr>
                <w:p w14:paraId="6DE1B75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w:t>
                  </w:r>
                </w:p>
              </w:tc>
              <w:tc>
                <w:tcPr>
                  <w:tcW w:w="826" w:type="pct"/>
                  <w:tcBorders>
                    <w:top w:val="single" w:color="auto" w:sz="4" w:space="0"/>
                    <w:left w:val="single" w:color="auto" w:sz="4" w:space="0"/>
                    <w:bottom w:val="single" w:color="auto" w:sz="4" w:space="0"/>
                    <w:right w:val="nil"/>
                  </w:tcBorders>
                  <w:vAlign w:val="center"/>
                </w:tcPr>
                <w:p w14:paraId="24FF9854">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0.00019</w:t>
                  </w:r>
                </w:p>
              </w:tc>
            </w:tr>
            <w:tr w14:paraId="5AC24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restart"/>
                  <w:tcBorders>
                    <w:top w:val="single" w:color="auto" w:sz="4" w:space="0"/>
                    <w:left w:val="nil"/>
                    <w:right w:val="single" w:color="auto" w:sz="4" w:space="0"/>
                  </w:tcBorders>
                  <w:shd w:val="clear" w:color="auto" w:fill="auto"/>
                  <w:vAlign w:val="center"/>
                </w:tcPr>
                <w:p w14:paraId="2D76C196">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8</w:t>
                  </w:r>
                </w:p>
              </w:tc>
              <w:tc>
                <w:tcPr>
                  <w:tcW w:w="709" w:type="pct"/>
                  <w:gridSpan w:val="2"/>
                  <w:vMerge w:val="restart"/>
                  <w:tcBorders>
                    <w:top w:val="single" w:color="auto" w:sz="4" w:space="0"/>
                    <w:left w:val="single" w:color="auto" w:sz="4" w:space="0"/>
                    <w:right w:val="single" w:color="auto" w:sz="4" w:space="0"/>
                  </w:tcBorders>
                  <w:shd w:val="clear" w:color="auto" w:fill="auto"/>
                  <w:vAlign w:val="center"/>
                </w:tcPr>
                <w:p w14:paraId="432432F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Technovit4006</w:t>
                  </w:r>
                </w:p>
                <w:p w14:paraId="625FD6C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Liquid</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14:paraId="112F7FE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甲基丙烯酸甲酯90%</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2D23673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4.32</w:t>
                  </w:r>
                </w:p>
              </w:tc>
              <w:tc>
                <w:tcPr>
                  <w:tcW w:w="898" w:type="pct"/>
                  <w:tcBorders>
                    <w:top w:val="single" w:color="auto" w:sz="4" w:space="0"/>
                    <w:left w:val="single" w:color="auto" w:sz="4" w:space="0"/>
                    <w:bottom w:val="single" w:color="auto" w:sz="4" w:space="0"/>
                    <w:right w:val="single" w:color="auto" w:sz="4" w:space="0"/>
                  </w:tcBorders>
                  <w:vAlign w:val="center"/>
                </w:tcPr>
                <w:p w14:paraId="1BC9FDC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10</w:t>
                  </w:r>
                </w:p>
              </w:tc>
              <w:tc>
                <w:tcPr>
                  <w:tcW w:w="826" w:type="pct"/>
                  <w:tcBorders>
                    <w:top w:val="single" w:color="auto" w:sz="4" w:space="0"/>
                    <w:left w:val="single" w:color="auto" w:sz="4" w:space="0"/>
                    <w:bottom w:val="single" w:color="auto" w:sz="4" w:space="0"/>
                    <w:right w:val="nil"/>
                  </w:tcBorders>
                  <w:vAlign w:val="center"/>
                </w:tcPr>
                <w:p w14:paraId="41819B6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0.000432</w:t>
                  </w:r>
                </w:p>
              </w:tc>
            </w:tr>
            <w:tr w14:paraId="3A581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continue"/>
                  <w:tcBorders>
                    <w:left w:val="nil"/>
                    <w:bottom w:val="single" w:color="auto" w:sz="4" w:space="0"/>
                    <w:right w:val="single" w:color="auto" w:sz="4" w:space="0"/>
                  </w:tcBorders>
                  <w:shd w:val="clear" w:color="auto" w:fill="auto"/>
                  <w:vAlign w:val="center"/>
                </w:tcPr>
                <w:p w14:paraId="6C7127F6">
                  <w:pPr>
                    <w:jc w:val="center"/>
                    <w:rPr>
                      <w:rFonts w:hint="default" w:ascii="Times New Roman" w:hAnsi="Times New Roman" w:eastAsia="仿宋" w:cs="Times New Roman"/>
                      <w:color w:val="auto"/>
                      <w:kern w:val="2"/>
                      <w:sz w:val="21"/>
                      <w:szCs w:val="21"/>
                      <w:lang w:val="en-US" w:eastAsia="zh-CN" w:bidi="ar-SA"/>
                    </w:rPr>
                  </w:pPr>
                </w:p>
              </w:tc>
              <w:tc>
                <w:tcPr>
                  <w:tcW w:w="709" w:type="pct"/>
                  <w:gridSpan w:val="2"/>
                  <w:vMerge w:val="continue"/>
                  <w:tcBorders>
                    <w:left w:val="single" w:color="auto" w:sz="4" w:space="0"/>
                    <w:bottom w:val="single" w:color="auto" w:sz="4" w:space="0"/>
                    <w:right w:val="single" w:color="auto" w:sz="4" w:space="0"/>
                  </w:tcBorders>
                  <w:shd w:val="clear" w:color="auto" w:fill="auto"/>
                  <w:vAlign w:val="center"/>
                </w:tcPr>
                <w:p w14:paraId="0ECE46B4">
                  <w:pPr>
                    <w:jc w:val="center"/>
                    <w:rPr>
                      <w:rFonts w:hint="default" w:ascii="Times New Roman" w:hAnsi="Times New Roman" w:eastAsia="仿宋" w:cs="Times New Roman"/>
                      <w:color w:val="auto"/>
                      <w:szCs w:val="21"/>
                    </w:rPr>
                  </w:pP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14:paraId="46A8F89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剩余组分</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1462928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0.48</w:t>
                  </w:r>
                </w:p>
              </w:tc>
              <w:tc>
                <w:tcPr>
                  <w:tcW w:w="898" w:type="pct"/>
                  <w:tcBorders>
                    <w:top w:val="single" w:color="auto" w:sz="4" w:space="0"/>
                    <w:left w:val="single" w:color="auto" w:sz="4" w:space="0"/>
                    <w:bottom w:val="single" w:color="auto" w:sz="4" w:space="0"/>
                    <w:right w:val="single" w:color="auto" w:sz="4" w:space="0"/>
                  </w:tcBorders>
                  <w:vAlign w:val="center"/>
                </w:tcPr>
                <w:p w14:paraId="28E0533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50</w:t>
                  </w:r>
                </w:p>
              </w:tc>
              <w:tc>
                <w:tcPr>
                  <w:tcW w:w="826" w:type="pct"/>
                  <w:tcBorders>
                    <w:top w:val="single" w:color="auto" w:sz="4" w:space="0"/>
                    <w:left w:val="single" w:color="auto" w:sz="4" w:space="0"/>
                    <w:bottom w:val="single" w:color="auto" w:sz="4" w:space="0"/>
                    <w:right w:val="nil"/>
                  </w:tcBorders>
                  <w:vAlign w:val="center"/>
                </w:tcPr>
                <w:p w14:paraId="26288F04">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0.0000096</w:t>
                  </w:r>
                </w:p>
              </w:tc>
            </w:tr>
            <w:tr w14:paraId="19B93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7C6252F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B234E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金刚石悬浮研磨液</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2C2F296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5</w:t>
                  </w:r>
                </w:p>
              </w:tc>
              <w:tc>
                <w:tcPr>
                  <w:tcW w:w="898" w:type="pct"/>
                  <w:tcBorders>
                    <w:top w:val="single" w:color="auto" w:sz="4" w:space="0"/>
                    <w:left w:val="single" w:color="auto" w:sz="4" w:space="0"/>
                    <w:bottom w:val="single" w:color="auto" w:sz="4" w:space="0"/>
                    <w:right w:val="single" w:color="auto" w:sz="4" w:space="0"/>
                  </w:tcBorders>
                  <w:vAlign w:val="center"/>
                </w:tcPr>
                <w:p w14:paraId="6BE4ED5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651AC33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0.00005</w:t>
                  </w:r>
                </w:p>
              </w:tc>
            </w:tr>
            <w:tr w14:paraId="7500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restart"/>
                  <w:tcBorders>
                    <w:top w:val="single" w:color="auto" w:sz="4" w:space="0"/>
                    <w:left w:val="nil"/>
                    <w:right w:val="single" w:color="auto" w:sz="4" w:space="0"/>
                  </w:tcBorders>
                  <w:vAlign w:val="center"/>
                </w:tcPr>
                <w:p w14:paraId="7FFAAE23">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699" w:type="pct"/>
                  <w:vMerge w:val="restart"/>
                  <w:tcBorders>
                    <w:top w:val="single" w:color="auto" w:sz="4" w:space="0"/>
                    <w:left w:val="single" w:color="auto" w:sz="4" w:space="0"/>
                    <w:right w:val="single" w:color="auto" w:sz="4" w:space="0"/>
                  </w:tcBorders>
                  <w:shd w:val="clear" w:color="auto" w:fill="auto"/>
                  <w:vAlign w:val="center"/>
                </w:tcPr>
                <w:p w14:paraId="0EF1E4B9">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乙醇氯化铁</w:t>
                  </w:r>
                </w:p>
              </w:tc>
              <w:tc>
                <w:tcPr>
                  <w:tcW w:w="97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227791">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盐酸4.99%</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7FAFC0D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0.05489</w:t>
                  </w:r>
                </w:p>
              </w:tc>
              <w:tc>
                <w:tcPr>
                  <w:tcW w:w="898" w:type="pct"/>
                  <w:tcBorders>
                    <w:top w:val="single" w:color="auto" w:sz="4" w:space="0"/>
                    <w:left w:val="single" w:color="auto" w:sz="4" w:space="0"/>
                    <w:bottom w:val="single" w:color="auto" w:sz="4" w:space="0"/>
                    <w:right w:val="single" w:color="auto" w:sz="4" w:space="0"/>
                  </w:tcBorders>
                  <w:vAlign w:val="center"/>
                </w:tcPr>
                <w:p w14:paraId="3B28D42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7.5</w:t>
                  </w:r>
                </w:p>
              </w:tc>
              <w:tc>
                <w:tcPr>
                  <w:tcW w:w="826" w:type="pct"/>
                  <w:tcBorders>
                    <w:top w:val="single" w:color="auto" w:sz="4" w:space="0"/>
                    <w:left w:val="single" w:color="auto" w:sz="4" w:space="0"/>
                    <w:bottom w:val="single" w:color="auto" w:sz="4" w:space="0"/>
                    <w:right w:val="nil"/>
                  </w:tcBorders>
                  <w:vAlign w:val="center"/>
                </w:tcPr>
                <w:p w14:paraId="2050D25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0.0000073</w:t>
                  </w:r>
                </w:p>
              </w:tc>
            </w:tr>
            <w:tr w14:paraId="41F0A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continue"/>
                  <w:tcBorders>
                    <w:left w:val="nil"/>
                    <w:right w:val="single" w:color="auto" w:sz="4" w:space="0"/>
                  </w:tcBorders>
                  <w:vAlign w:val="center"/>
                </w:tcPr>
                <w:p w14:paraId="70C4ECEB">
                  <w:pPr>
                    <w:jc w:val="center"/>
                    <w:rPr>
                      <w:rFonts w:hint="default" w:ascii="Times New Roman" w:hAnsi="Times New Roman" w:eastAsia="仿宋" w:cs="Times New Roman"/>
                      <w:color w:val="auto"/>
                      <w:szCs w:val="21"/>
                    </w:rPr>
                  </w:pPr>
                </w:p>
              </w:tc>
              <w:tc>
                <w:tcPr>
                  <w:tcW w:w="699" w:type="pct"/>
                  <w:vMerge w:val="continue"/>
                  <w:tcBorders>
                    <w:left w:val="single" w:color="auto" w:sz="4" w:space="0"/>
                    <w:right w:val="single" w:color="auto" w:sz="4" w:space="0"/>
                  </w:tcBorders>
                  <w:shd w:val="clear" w:color="auto" w:fill="auto"/>
                  <w:vAlign w:val="center"/>
                </w:tcPr>
                <w:p w14:paraId="0DF9BD08">
                  <w:pPr>
                    <w:jc w:val="center"/>
                    <w:rPr>
                      <w:rFonts w:hint="default" w:ascii="Times New Roman" w:hAnsi="Times New Roman" w:eastAsia="仿宋" w:cs="Times New Roman"/>
                      <w:color w:val="auto"/>
                      <w:szCs w:val="21"/>
                      <w:highlight w:val="none"/>
                    </w:rPr>
                  </w:pPr>
                </w:p>
              </w:tc>
              <w:tc>
                <w:tcPr>
                  <w:tcW w:w="97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193F49">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氯化镍0.01%</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76F568AE">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0.00011</w:t>
                  </w:r>
                </w:p>
              </w:tc>
              <w:tc>
                <w:tcPr>
                  <w:tcW w:w="898" w:type="pct"/>
                  <w:tcBorders>
                    <w:top w:val="single" w:color="auto" w:sz="4" w:space="0"/>
                    <w:left w:val="single" w:color="auto" w:sz="4" w:space="0"/>
                    <w:bottom w:val="single" w:color="auto" w:sz="4" w:space="0"/>
                    <w:right w:val="single" w:color="auto" w:sz="4" w:space="0"/>
                  </w:tcBorders>
                  <w:vAlign w:val="center"/>
                </w:tcPr>
                <w:p w14:paraId="77DF126C">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0.25</w:t>
                  </w:r>
                </w:p>
              </w:tc>
              <w:tc>
                <w:tcPr>
                  <w:tcW w:w="826" w:type="pct"/>
                  <w:tcBorders>
                    <w:top w:val="single" w:color="auto" w:sz="4" w:space="0"/>
                    <w:left w:val="single" w:color="auto" w:sz="4" w:space="0"/>
                    <w:bottom w:val="single" w:color="auto" w:sz="4" w:space="0"/>
                    <w:right w:val="nil"/>
                  </w:tcBorders>
                  <w:vAlign w:val="center"/>
                </w:tcPr>
                <w:p w14:paraId="1766D920">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0.00000044</w:t>
                  </w:r>
                </w:p>
              </w:tc>
            </w:tr>
            <w:tr w14:paraId="399BC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continue"/>
                  <w:tcBorders>
                    <w:left w:val="nil"/>
                    <w:right w:val="single" w:color="auto" w:sz="4" w:space="0"/>
                  </w:tcBorders>
                  <w:vAlign w:val="center"/>
                </w:tcPr>
                <w:p w14:paraId="4BCDF42D">
                  <w:pPr>
                    <w:jc w:val="center"/>
                    <w:rPr>
                      <w:rFonts w:hint="default" w:ascii="Times New Roman" w:hAnsi="Times New Roman" w:eastAsia="仿宋" w:cs="Times New Roman"/>
                      <w:color w:val="auto"/>
                      <w:szCs w:val="21"/>
                    </w:rPr>
                  </w:pPr>
                </w:p>
              </w:tc>
              <w:tc>
                <w:tcPr>
                  <w:tcW w:w="699" w:type="pct"/>
                  <w:vMerge w:val="continue"/>
                  <w:tcBorders>
                    <w:left w:val="single" w:color="auto" w:sz="4" w:space="0"/>
                    <w:right w:val="single" w:color="auto" w:sz="4" w:space="0"/>
                  </w:tcBorders>
                  <w:shd w:val="clear" w:color="auto" w:fill="auto"/>
                  <w:vAlign w:val="center"/>
                </w:tcPr>
                <w:p w14:paraId="0DC079D1">
                  <w:pPr>
                    <w:jc w:val="center"/>
                    <w:rPr>
                      <w:rFonts w:hint="default" w:ascii="Times New Roman" w:hAnsi="Times New Roman" w:eastAsia="仿宋" w:cs="Times New Roman"/>
                      <w:color w:val="auto"/>
                      <w:szCs w:val="21"/>
                      <w:highlight w:val="none"/>
                    </w:rPr>
                  </w:pPr>
                </w:p>
              </w:tc>
              <w:tc>
                <w:tcPr>
                  <w:tcW w:w="97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3C9445">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乙醇90%</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47B33B01">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0.99</w:t>
                  </w:r>
                </w:p>
              </w:tc>
              <w:tc>
                <w:tcPr>
                  <w:tcW w:w="898" w:type="pct"/>
                  <w:tcBorders>
                    <w:top w:val="single" w:color="auto" w:sz="4" w:space="0"/>
                    <w:left w:val="single" w:color="auto" w:sz="4" w:space="0"/>
                    <w:bottom w:val="single" w:color="auto" w:sz="4" w:space="0"/>
                    <w:right w:val="single" w:color="auto" w:sz="4" w:space="0"/>
                  </w:tcBorders>
                  <w:vAlign w:val="center"/>
                </w:tcPr>
                <w:p w14:paraId="0C66871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w:t>
                  </w:r>
                </w:p>
              </w:tc>
              <w:tc>
                <w:tcPr>
                  <w:tcW w:w="826" w:type="pct"/>
                  <w:tcBorders>
                    <w:top w:val="single" w:color="auto" w:sz="4" w:space="0"/>
                    <w:left w:val="single" w:color="auto" w:sz="4" w:space="0"/>
                    <w:bottom w:val="single" w:color="auto" w:sz="4" w:space="0"/>
                    <w:right w:val="nil"/>
                  </w:tcBorders>
                  <w:vAlign w:val="center"/>
                </w:tcPr>
                <w:p w14:paraId="351612B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0.00000198</w:t>
                  </w:r>
                </w:p>
              </w:tc>
            </w:tr>
            <w:tr w14:paraId="7F718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vMerge w:val="continue"/>
                  <w:tcBorders>
                    <w:left w:val="nil"/>
                    <w:bottom w:val="single" w:color="auto" w:sz="4" w:space="0"/>
                    <w:right w:val="single" w:color="auto" w:sz="4" w:space="0"/>
                  </w:tcBorders>
                  <w:vAlign w:val="center"/>
                </w:tcPr>
                <w:p w14:paraId="2F4E6C9F">
                  <w:pPr>
                    <w:jc w:val="center"/>
                    <w:rPr>
                      <w:rFonts w:hint="default" w:ascii="Times New Roman" w:hAnsi="Times New Roman" w:eastAsia="仿宋" w:cs="Times New Roman"/>
                      <w:color w:val="auto"/>
                      <w:szCs w:val="21"/>
                    </w:rPr>
                  </w:pPr>
                </w:p>
              </w:tc>
              <w:tc>
                <w:tcPr>
                  <w:tcW w:w="699" w:type="pct"/>
                  <w:vMerge w:val="continue"/>
                  <w:tcBorders>
                    <w:left w:val="single" w:color="auto" w:sz="4" w:space="0"/>
                    <w:bottom w:val="single" w:color="auto" w:sz="4" w:space="0"/>
                    <w:right w:val="single" w:color="auto" w:sz="4" w:space="0"/>
                  </w:tcBorders>
                  <w:shd w:val="clear" w:color="auto" w:fill="auto"/>
                  <w:vAlign w:val="center"/>
                </w:tcPr>
                <w:p w14:paraId="0889B4CD">
                  <w:pPr>
                    <w:jc w:val="center"/>
                    <w:rPr>
                      <w:rFonts w:hint="default" w:ascii="Times New Roman" w:hAnsi="Times New Roman" w:eastAsia="仿宋" w:cs="Times New Roman"/>
                      <w:color w:val="auto"/>
                      <w:szCs w:val="21"/>
                      <w:highlight w:val="none"/>
                    </w:rPr>
                  </w:pPr>
                </w:p>
              </w:tc>
              <w:tc>
                <w:tcPr>
                  <w:tcW w:w="97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AEF1FD">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剩余组分5%</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55B6BCD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0.055</w:t>
                  </w:r>
                </w:p>
              </w:tc>
              <w:tc>
                <w:tcPr>
                  <w:tcW w:w="898" w:type="pct"/>
                  <w:tcBorders>
                    <w:top w:val="single" w:color="auto" w:sz="4" w:space="0"/>
                    <w:left w:val="single" w:color="auto" w:sz="4" w:space="0"/>
                    <w:bottom w:val="single" w:color="auto" w:sz="4" w:space="0"/>
                    <w:right w:val="single" w:color="auto" w:sz="4" w:space="0"/>
                  </w:tcBorders>
                  <w:vAlign w:val="center"/>
                </w:tcPr>
                <w:p w14:paraId="7C771AA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5080840B">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0.00000055</w:t>
                  </w:r>
                </w:p>
              </w:tc>
            </w:tr>
            <w:tr w14:paraId="46AE2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36E85E8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11</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A945AD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乙醇</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52AA45D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3.2</w:t>
                  </w:r>
                </w:p>
              </w:tc>
              <w:tc>
                <w:tcPr>
                  <w:tcW w:w="898" w:type="pct"/>
                  <w:tcBorders>
                    <w:top w:val="single" w:color="auto" w:sz="4" w:space="0"/>
                    <w:left w:val="single" w:color="auto" w:sz="4" w:space="0"/>
                    <w:bottom w:val="single" w:color="auto" w:sz="4" w:space="0"/>
                    <w:right w:val="single" w:color="auto" w:sz="4" w:space="0"/>
                  </w:tcBorders>
                  <w:vAlign w:val="center"/>
                </w:tcPr>
                <w:p w14:paraId="3522E75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w:t>
                  </w:r>
                </w:p>
              </w:tc>
              <w:tc>
                <w:tcPr>
                  <w:tcW w:w="826" w:type="pct"/>
                  <w:tcBorders>
                    <w:top w:val="single" w:color="auto" w:sz="4" w:space="0"/>
                    <w:left w:val="single" w:color="auto" w:sz="4" w:space="0"/>
                    <w:bottom w:val="single" w:color="auto" w:sz="4" w:space="0"/>
                    <w:right w:val="nil"/>
                  </w:tcBorders>
                  <w:vAlign w:val="center"/>
                </w:tcPr>
                <w:p w14:paraId="43EF8A24">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0.0000064</w:t>
                  </w:r>
                </w:p>
              </w:tc>
            </w:tr>
            <w:tr w14:paraId="07930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76018E2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12</w:t>
                  </w:r>
                </w:p>
              </w:tc>
              <w:tc>
                <w:tcPr>
                  <w:tcW w:w="709" w:type="pct"/>
                  <w:gridSpan w:val="2"/>
                  <w:tcBorders>
                    <w:top w:val="single" w:color="auto" w:sz="4" w:space="0"/>
                    <w:left w:val="single" w:color="auto" w:sz="4" w:space="0"/>
                    <w:right w:val="single" w:color="auto" w:sz="4" w:space="0"/>
                  </w:tcBorders>
                  <w:shd w:val="clear" w:color="auto" w:fill="auto"/>
                  <w:vAlign w:val="center"/>
                </w:tcPr>
                <w:p w14:paraId="5BC2E08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助焊剂</w:t>
                  </w:r>
                </w:p>
              </w:tc>
              <w:tc>
                <w:tcPr>
                  <w:tcW w:w="964" w:type="pct"/>
                  <w:tcBorders>
                    <w:top w:val="single" w:color="auto" w:sz="4" w:space="0"/>
                    <w:left w:val="single" w:color="auto" w:sz="4" w:space="0"/>
                    <w:bottom w:val="single" w:color="auto" w:sz="4" w:space="0"/>
                    <w:right w:val="single" w:color="auto" w:sz="4" w:space="0"/>
                  </w:tcBorders>
                  <w:shd w:val="clear" w:color="auto" w:fill="auto"/>
                  <w:vAlign w:val="center"/>
                </w:tcPr>
                <w:p w14:paraId="5807331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异丙醇</w:t>
                  </w:r>
                  <w:r>
                    <w:rPr>
                      <w:rFonts w:hint="default" w:ascii="Times New Roman" w:hAnsi="Times New Roman" w:eastAsia="仿宋" w:cs="Times New Roman"/>
                      <w:color w:val="auto"/>
                      <w:szCs w:val="21"/>
                      <w:highlight w:val="none"/>
                      <w:lang w:val="en-US" w:eastAsia="zh-CN"/>
                    </w:rPr>
                    <w:t>90%</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1E274B80">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0.765</w:t>
                  </w:r>
                </w:p>
              </w:tc>
              <w:tc>
                <w:tcPr>
                  <w:tcW w:w="898" w:type="pct"/>
                  <w:tcBorders>
                    <w:top w:val="single" w:color="auto" w:sz="4" w:space="0"/>
                    <w:left w:val="single" w:color="auto" w:sz="4" w:space="0"/>
                    <w:bottom w:val="single" w:color="auto" w:sz="4" w:space="0"/>
                    <w:right w:val="single" w:color="auto" w:sz="4" w:space="0"/>
                  </w:tcBorders>
                  <w:vAlign w:val="center"/>
                </w:tcPr>
                <w:p w14:paraId="612C617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826" w:type="pct"/>
                  <w:tcBorders>
                    <w:top w:val="single" w:color="auto" w:sz="4" w:space="0"/>
                    <w:left w:val="single" w:color="auto" w:sz="4" w:space="0"/>
                    <w:bottom w:val="single" w:color="auto" w:sz="4" w:space="0"/>
                    <w:right w:val="nil"/>
                  </w:tcBorders>
                  <w:vAlign w:val="center"/>
                </w:tcPr>
                <w:p w14:paraId="71ABB16B">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0.0000765</w:t>
                  </w:r>
                </w:p>
              </w:tc>
            </w:tr>
            <w:tr w14:paraId="61663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vAlign w:val="center"/>
                </w:tcPr>
                <w:p w14:paraId="3ED2634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13</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C716E1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SC BLF04焊锡膏</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0073B90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1.5</w:t>
                  </w:r>
                </w:p>
              </w:tc>
              <w:tc>
                <w:tcPr>
                  <w:tcW w:w="898" w:type="pct"/>
                  <w:tcBorders>
                    <w:top w:val="single" w:color="auto" w:sz="4" w:space="0"/>
                    <w:left w:val="single" w:color="auto" w:sz="4" w:space="0"/>
                    <w:bottom w:val="single" w:color="auto" w:sz="4" w:space="0"/>
                    <w:right w:val="single" w:color="auto" w:sz="4" w:space="0"/>
                  </w:tcBorders>
                  <w:vAlign w:val="center"/>
                </w:tcPr>
                <w:p w14:paraId="4085021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1744DE9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0.000015</w:t>
                  </w:r>
                </w:p>
              </w:tc>
            </w:tr>
            <w:tr w14:paraId="76120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4734954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14</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DD7A8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焊锡丝</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6FD698CF">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1.5</w:t>
                  </w:r>
                </w:p>
              </w:tc>
              <w:tc>
                <w:tcPr>
                  <w:tcW w:w="898" w:type="pct"/>
                  <w:tcBorders>
                    <w:top w:val="single" w:color="auto" w:sz="4" w:space="0"/>
                    <w:left w:val="single" w:color="auto" w:sz="4" w:space="0"/>
                    <w:bottom w:val="single" w:color="auto" w:sz="4" w:space="0"/>
                    <w:right w:val="single" w:color="auto" w:sz="4" w:space="0"/>
                  </w:tcBorders>
                  <w:vAlign w:val="center"/>
                </w:tcPr>
                <w:p w14:paraId="74A95047">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2CC66F88">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0.000015</w:t>
                  </w:r>
                </w:p>
              </w:tc>
            </w:tr>
            <w:tr w14:paraId="6B922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7752A67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15</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53948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酒石酸</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072A754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w:t>
                  </w:r>
                </w:p>
              </w:tc>
              <w:tc>
                <w:tcPr>
                  <w:tcW w:w="898" w:type="pct"/>
                  <w:tcBorders>
                    <w:top w:val="single" w:color="auto" w:sz="4" w:space="0"/>
                    <w:left w:val="single" w:color="auto" w:sz="4" w:space="0"/>
                    <w:bottom w:val="single" w:color="auto" w:sz="4" w:space="0"/>
                    <w:right w:val="single" w:color="auto" w:sz="4" w:space="0"/>
                  </w:tcBorders>
                  <w:vAlign w:val="center"/>
                </w:tcPr>
                <w:p w14:paraId="33DEC45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06E2BE38">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0.00001</w:t>
                  </w:r>
                </w:p>
              </w:tc>
            </w:tr>
            <w:tr w14:paraId="6C42E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49628AE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16</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2EB59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ZESTRON FA+清洗剂</w:t>
                  </w:r>
                </w:p>
              </w:tc>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14:paraId="29154CF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24</w:t>
                  </w:r>
                </w:p>
              </w:tc>
              <w:tc>
                <w:tcPr>
                  <w:tcW w:w="898" w:type="pct"/>
                  <w:tcBorders>
                    <w:top w:val="single" w:color="auto" w:sz="4" w:space="0"/>
                    <w:left w:val="single" w:color="auto" w:sz="4" w:space="0"/>
                    <w:bottom w:val="single" w:color="auto" w:sz="4" w:space="0"/>
                    <w:right w:val="single" w:color="auto" w:sz="4" w:space="0"/>
                  </w:tcBorders>
                  <w:vAlign w:val="center"/>
                </w:tcPr>
                <w:p w14:paraId="5C461C3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3A2F4054">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0.00024</w:t>
                  </w:r>
                </w:p>
              </w:tc>
            </w:tr>
            <w:tr w14:paraId="0AC14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40" w:type="pct"/>
                  <w:tcBorders>
                    <w:top w:val="single" w:color="auto" w:sz="4" w:space="0"/>
                    <w:left w:val="nil"/>
                    <w:right w:val="single" w:color="auto" w:sz="4" w:space="0"/>
                  </w:tcBorders>
                  <w:shd w:val="clear" w:color="auto" w:fill="auto"/>
                  <w:vAlign w:val="center"/>
                </w:tcPr>
                <w:p w14:paraId="13926D4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17</w:t>
                  </w:r>
                </w:p>
              </w:tc>
              <w:tc>
                <w:tcPr>
                  <w:tcW w:w="1673" w:type="pct"/>
                  <w:gridSpan w:val="3"/>
                  <w:tcBorders>
                    <w:top w:val="single" w:color="auto" w:sz="4" w:space="0"/>
                    <w:left w:val="single" w:color="auto" w:sz="4" w:space="0"/>
                    <w:right w:val="single" w:color="auto" w:sz="4" w:space="0"/>
                  </w:tcBorders>
                  <w:vAlign w:val="center"/>
                </w:tcPr>
                <w:p w14:paraId="6809F9B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lang w:val="en-US" w:eastAsia="zh-CN"/>
                    </w:rPr>
                    <w:t>碱性清洗剂</w:t>
                  </w:r>
                </w:p>
              </w:tc>
              <w:tc>
                <w:tcPr>
                  <w:tcW w:w="1160" w:type="pct"/>
                  <w:tcBorders>
                    <w:top w:val="single" w:color="auto" w:sz="4" w:space="0"/>
                    <w:left w:val="single" w:color="auto" w:sz="4" w:space="0"/>
                    <w:right w:val="single" w:color="auto" w:sz="4" w:space="0"/>
                  </w:tcBorders>
                  <w:vAlign w:val="center"/>
                </w:tcPr>
                <w:p w14:paraId="7925A4F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20</w:t>
                  </w:r>
                </w:p>
              </w:tc>
              <w:tc>
                <w:tcPr>
                  <w:tcW w:w="898" w:type="pct"/>
                  <w:tcBorders>
                    <w:top w:val="single" w:color="auto" w:sz="4" w:space="0"/>
                    <w:left w:val="single" w:color="auto" w:sz="4" w:space="0"/>
                    <w:right w:val="single" w:color="auto" w:sz="4" w:space="0"/>
                  </w:tcBorders>
                  <w:vAlign w:val="center"/>
                </w:tcPr>
                <w:p w14:paraId="6067A85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right w:val="nil"/>
                  </w:tcBorders>
                  <w:vAlign w:val="center"/>
                </w:tcPr>
                <w:p w14:paraId="035CB96A">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0.0002</w:t>
                  </w:r>
                </w:p>
              </w:tc>
            </w:tr>
            <w:tr w14:paraId="09A5B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center"/>
                </w:tcPr>
                <w:p w14:paraId="4EF66E7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18</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51B8FF8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设备润滑剂</w:t>
                  </w:r>
                </w:p>
              </w:tc>
              <w:tc>
                <w:tcPr>
                  <w:tcW w:w="1160" w:type="pct"/>
                  <w:tcBorders>
                    <w:top w:val="single" w:color="auto" w:sz="4" w:space="0"/>
                    <w:left w:val="single" w:color="auto" w:sz="4" w:space="0"/>
                    <w:bottom w:val="single" w:color="auto" w:sz="4" w:space="0"/>
                    <w:right w:val="single" w:color="auto" w:sz="4" w:space="0"/>
                  </w:tcBorders>
                  <w:vAlign w:val="center"/>
                </w:tcPr>
                <w:p w14:paraId="4ABDDB18">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w:t>
                  </w:r>
                </w:p>
              </w:tc>
              <w:tc>
                <w:tcPr>
                  <w:tcW w:w="898" w:type="pct"/>
                  <w:tcBorders>
                    <w:top w:val="single" w:color="auto" w:sz="4" w:space="0"/>
                    <w:left w:val="single" w:color="auto" w:sz="4" w:space="0"/>
                    <w:bottom w:val="single" w:color="auto" w:sz="4" w:space="0"/>
                    <w:right w:val="single" w:color="auto" w:sz="4" w:space="0"/>
                  </w:tcBorders>
                  <w:vAlign w:val="center"/>
                </w:tcPr>
                <w:p w14:paraId="6879A9C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2500</w:t>
                  </w:r>
                </w:p>
              </w:tc>
              <w:tc>
                <w:tcPr>
                  <w:tcW w:w="826" w:type="pct"/>
                  <w:tcBorders>
                    <w:top w:val="single" w:color="auto" w:sz="4" w:space="0"/>
                    <w:left w:val="single" w:color="auto" w:sz="4" w:space="0"/>
                    <w:bottom w:val="single" w:color="auto" w:sz="4" w:space="0"/>
                    <w:right w:val="nil"/>
                  </w:tcBorders>
                  <w:vAlign w:val="center"/>
                </w:tcPr>
                <w:p w14:paraId="07795B8D">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0.000001</w:t>
                  </w:r>
                </w:p>
              </w:tc>
            </w:tr>
            <w:tr w14:paraId="2039F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top"/>
                </w:tcPr>
                <w:p w14:paraId="72928B1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19</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0B5879D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切削液</w:t>
                  </w:r>
                </w:p>
              </w:tc>
              <w:tc>
                <w:tcPr>
                  <w:tcW w:w="1160" w:type="pct"/>
                  <w:tcBorders>
                    <w:top w:val="single" w:color="auto" w:sz="4" w:space="0"/>
                    <w:left w:val="single" w:color="auto" w:sz="4" w:space="0"/>
                    <w:bottom w:val="single" w:color="auto" w:sz="4" w:space="0"/>
                    <w:right w:val="single" w:color="auto" w:sz="4" w:space="0"/>
                  </w:tcBorders>
                  <w:vAlign w:val="center"/>
                </w:tcPr>
                <w:p w14:paraId="7A96CB5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w:t>
                  </w:r>
                </w:p>
              </w:tc>
              <w:tc>
                <w:tcPr>
                  <w:tcW w:w="898" w:type="pct"/>
                  <w:tcBorders>
                    <w:top w:val="single" w:color="auto" w:sz="4" w:space="0"/>
                    <w:left w:val="single" w:color="auto" w:sz="4" w:space="0"/>
                    <w:bottom w:val="single" w:color="auto" w:sz="4" w:space="0"/>
                    <w:right w:val="single" w:color="auto" w:sz="4" w:space="0"/>
                  </w:tcBorders>
                  <w:vAlign w:val="center"/>
                </w:tcPr>
                <w:p w14:paraId="2C2590B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4822EA8A">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0.00004</w:t>
                  </w:r>
                </w:p>
              </w:tc>
            </w:tr>
            <w:tr w14:paraId="0C72D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top"/>
                </w:tcPr>
                <w:p w14:paraId="733D2CD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r>
                    <w:rPr>
                      <w:rFonts w:hint="default" w:ascii="Times New Roman" w:hAnsi="Times New Roman" w:eastAsia="仿宋" w:cs="Times New Roman"/>
                      <w:color w:val="auto"/>
                      <w:szCs w:val="21"/>
                      <w:lang w:val="en-US" w:eastAsia="zh-CN"/>
                    </w:rPr>
                    <w:t>0</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D42C9A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实验室废液</w:t>
                  </w:r>
                </w:p>
              </w:tc>
              <w:tc>
                <w:tcPr>
                  <w:tcW w:w="1160" w:type="pct"/>
                  <w:tcBorders>
                    <w:top w:val="single" w:color="auto" w:sz="4" w:space="0"/>
                    <w:left w:val="single" w:color="auto" w:sz="4" w:space="0"/>
                    <w:bottom w:val="single" w:color="auto" w:sz="4" w:space="0"/>
                    <w:right w:val="single" w:color="auto" w:sz="4" w:space="0"/>
                  </w:tcBorders>
                  <w:vAlign w:val="center"/>
                </w:tcPr>
                <w:p w14:paraId="6BB4476A">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400</w:t>
                  </w:r>
                </w:p>
              </w:tc>
              <w:tc>
                <w:tcPr>
                  <w:tcW w:w="898" w:type="pct"/>
                  <w:tcBorders>
                    <w:top w:val="single" w:color="auto" w:sz="4" w:space="0"/>
                    <w:left w:val="single" w:color="auto" w:sz="4" w:space="0"/>
                    <w:bottom w:val="single" w:color="auto" w:sz="4" w:space="0"/>
                    <w:right w:val="single" w:color="auto" w:sz="4" w:space="0"/>
                  </w:tcBorders>
                  <w:vAlign w:val="center"/>
                </w:tcPr>
                <w:p w14:paraId="11E539B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w:t>
                  </w:r>
                </w:p>
              </w:tc>
              <w:tc>
                <w:tcPr>
                  <w:tcW w:w="826" w:type="pct"/>
                  <w:tcBorders>
                    <w:top w:val="single" w:color="auto" w:sz="4" w:space="0"/>
                    <w:left w:val="single" w:color="auto" w:sz="4" w:space="0"/>
                    <w:bottom w:val="single" w:color="auto" w:sz="4" w:space="0"/>
                    <w:right w:val="nil"/>
                  </w:tcBorders>
                  <w:vAlign w:val="center"/>
                </w:tcPr>
                <w:p w14:paraId="69885915">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w:t>
                  </w:r>
                  <w:r>
                    <w:rPr>
                      <w:rFonts w:hint="eastAsia" w:eastAsia="仿宋" w:cs="Times New Roman"/>
                      <w:color w:val="auto"/>
                      <w:szCs w:val="21"/>
                      <w:lang w:val="en-US" w:eastAsia="zh-CN"/>
                    </w:rPr>
                    <w:t>08</w:t>
                  </w:r>
                </w:p>
              </w:tc>
            </w:tr>
            <w:tr w14:paraId="35D92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top"/>
                </w:tcPr>
                <w:p w14:paraId="7CF8D87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r>
                    <w:rPr>
                      <w:rFonts w:hint="default" w:ascii="Times New Roman" w:hAnsi="Times New Roman" w:eastAsia="仿宋" w:cs="Times New Roman"/>
                      <w:color w:val="auto"/>
                      <w:szCs w:val="21"/>
                      <w:lang w:val="en-US" w:eastAsia="zh-CN"/>
                    </w:rPr>
                    <w:t>1</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BDDD0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废包装物</w:t>
                  </w:r>
                </w:p>
              </w:tc>
              <w:tc>
                <w:tcPr>
                  <w:tcW w:w="1160" w:type="pct"/>
                  <w:tcBorders>
                    <w:top w:val="single" w:color="auto" w:sz="4" w:space="0"/>
                    <w:left w:val="single" w:color="auto" w:sz="4" w:space="0"/>
                    <w:bottom w:val="single" w:color="auto" w:sz="4" w:space="0"/>
                    <w:right w:val="single" w:color="auto" w:sz="4" w:space="0"/>
                  </w:tcBorders>
                  <w:vAlign w:val="center"/>
                </w:tcPr>
                <w:p w14:paraId="7FA5336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25</w:t>
                  </w:r>
                </w:p>
              </w:tc>
              <w:tc>
                <w:tcPr>
                  <w:tcW w:w="898" w:type="pct"/>
                  <w:tcBorders>
                    <w:top w:val="single" w:color="auto" w:sz="4" w:space="0"/>
                    <w:left w:val="single" w:color="auto" w:sz="4" w:space="0"/>
                    <w:bottom w:val="single" w:color="auto" w:sz="4" w:space="0"/>
                    <w:right w:val="single" w:color="auto" w:sz="4" w:space="0"/>
                  </w:tcBorders>
                  <w:vAlign w:val="center"/>
                </w:tcPr>
                <w:p w14:paraId="67DA894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6DC8596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0.00025</w:t>
                  </w:r>
                </w:p>
              </w:tc>
            </w:tr>
            <w:tr w14:paraId="36B4F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top"/>
                </w:tcPr>
                <w:p w14:paraId="2F8CD6C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w:t>
                  </w:r>
                  <w:r>
                    <w:rPr>
                      <w:rFonts w:hint="default" w:ascii="Times New Roman" w:hAnsi="Times New Roman" w:eastAsia="仿宋" w:cs="Times New Roman"/>
                      <w:color w:val="auto"/>
                      <w:szCs w:val="21"/>
                      <w:lang w:val="en-US" w:eastAsia="zh-CN"/>
                    </w:rPr>
                    <w:t>2</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32E17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废劳保用品及抹布</w:t>
                  </w:r>
                </w:p>
              </w:tc>
              <w:tc>
                <w:tcPr>
                  <w:tcW w:w="1160" w:type="pct"/>
                  <w:tcBorders>
                    <w:top w:val="single" w:color="auto" w:sz="4" w:space="0"/>
                    <w:left w:val="single" w:color="auto" w:sz="4" w:space="0"/>
                    <w:bottom w:val="single" w:color="auto" w:sz="4" w:space="0"/>
                    <w:right w:val="single" w:color="auto" w:sz="4" w:space="0"/>
                  </w:tcBorders>
                  <w:vAlign w:val="center"/>
                </w:tcPr>
                <w:p w14:paraId="5BBB868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w:t>
                  </w:r>
                </w:p>
              </w:tc>
              <w:tc>
                <w:tcPr>
                  <w:tcW w:w="898" w:type="pct"/>
                  <w:tcBorders>
                    <w:top w:val="single" w:color="auto" w:sz="4" w:space="0"/>
                    <w:left w:val="single" w:color="auto" w:sz="4" w:space="0"/>
                    <w:bottom w:val="single" w:color="auto" w:sz="4" w:space="0"/>
                    <w:right w:val="single" w:color="auto" w:sz="4" w:space="0"/>
                  </w:tcBorders>
                  <w:vAlign w:val="center"/>
                </w:tcPr>
                <w:p w14:paraId="28F9971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1353C755">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0.00015</w:t>
                  </w:r>
                </w:p>
              </w:tc>
            </w:tr>
            <w:tr w14:paraId="6F7BA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shd w:val="clear" w:color="auto" w:fill="auto"/>
                  <w:vAlign w:val="top"/>
                </w:tcPr>
                <w:p w14:paraId="3D56CE75">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2</w:t>
                  </w:r>
                  <w:r>
                    <w:rPr>
                      <w:rFonts w:hint="eastAsia" w:eastAsia="仿宋" w:cs="Times New Roman"/>
                      <w:color w:val="auto"/>
                      <w:szCs w:val="21"/>
                      <w:lang w:val="en-US" w:eastAsia="zh-CN"/>
                    </w:rPr>
                    <w:t>3</w:t>
                  </w:r>
                </w:p>
              </w:tc>
              <w:tc>
                <w:tcPr>
                  <w:tcW w:w="16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252574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废活性炭</w:t>
                  </w:r>
                </w:p>
              </w:tc>
              <w:tc>
                <w:tcPr>
                  <w:tcW w:w="1160" w:type="pct"/>
                  <w:tcBorders>
                    <w:top w:val="single" w:color="auto" w:sz="4" w:space="0"/>
                    <w:left w:val="single" w:color="auto" w:sz="4" w:space="0"/>
                    <w:bottom w:val="single" w:color="auto" w:sz="4" w:space="0"/>
                    <w:right w:val="single" w:color="auto" w:sz="4" w:space="0"/>
                  </w:tcBorders>
                  <w:vAlign w:val="center"/>
                </w:tcPr>
                <w:p w14:paraId="41D02BD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8.3</w:t>
                  </w:r>
                </w:p>
              </w:tc>
              <w:tc>
                <w:tcPr>
                  <w:tcW w:w="898" w:type="pct"/>
                  <w:tcBorders>
                    <w:top w:val="single" w:color="auto" w:sz="4" w:space="0"/>
                    <w:left w:val="single" w:color="auto" w:sz="4" w:space="0"/>
                    <w:bottom w:val="single" w:color="auto" w:sz="4" w:space="0"/>
                    <w:right w:val="single" w:color="auto" w:sz="4" w:space="0"/>
                  </w:tcBorders>
                  <w:vAlign w:val="center"/>
                </w:tcPr>
                <w:p w14:paraId="2260A42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100</w:t>
                  </w:r>
                </w:p>
              </w:tc>
              <w:tc>
                <w:tcPr>
                  <w:tcW w:w="826" w:type="pct"/>
                  <w:tcBorders>
                    <w:top w:val="single" w:color="auto" w:sz="4" w:space="0"/>
                    <w:left w:val="single" w:color="auto" w:sz="4" w:space="0"/>
                    <w:bottom w:val="single" w:color="auto" w:sz="4" w:space="0"/>
                    <w:right w:val="nil"/>
                  </w:tcBorders>
                  <w:vAlign w:val="center"/>
                </w:tcPr>
                <w:p w14:paraId="084649D1">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0.000083</w:t>
                  </w:r>
                </w:p>
              </w:tc>
            </w:tr>
            <w:tr w14:paraId="17BB0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40" w:type="pct"/>
                  <w:tcBorders>
                    <w:top w:val="single" w:color="auto" w:sz="4" w:space="0"/>
                    <w:left w:val="nil"/>
                    <w:bottom w:val="single" w:color="auto" w:sz="4" w:space="0"/>
                    <w:right w:val="single" w:color="auto" w:sz="4" w:space="0"/>
                  </w:tcBorders>
                </w:tcPr>
                <w:p w14:paraId="3551C440">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w:t>
                  </w:r>
                </w:p>
              </w:tc>
              <w:tc>
                <w:tcPr>
                  <w:tcW w:w="1673" w:type="pct"/>
                  <w:gridSpan w:val="3"/>
                  <w:tcBorders>
                    <w:top w:val="single" w:color="auto" w:sz="4" w:space="0"/>
                    <w:left w:val="single" w:color="auto" w:sz="4" w:space="0"/>
                    <w:bottom w:val="single" w:color="auto" w:sz="4" w:space="0"/>
                    <w:right w:val="single" w:color="auto" w:sz="4" w:space="0"/>
                  </w:tcBorders>
                  <w:vAlign w:val="center"/>
                </w:tcPr>
                <w:p w14:paraId="30769CD6">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现有项目</w:t>
                  </w:r>
                  <w:r>
                    <w:rPr>
                      <w:rFonts w:hint="eastAsia" w:eastAsia="仿宋" w:cs="Times New Roman"/>
                      <w:color w:val="auto"/>
                      <w:szCs w:val="21"/>
                      <w:lang w:val="en-US" w:eastAsia="zh-CN"/>
                    </w:rPr>
                    <w:t>风险</w:t>
                  </w:r>
                  <w:r>
                    <w:rPr>
                      <w:rFonts w:hint="default" w:ascii="Times New Roman" w:hAnsi="Times New Roman" w:eastAsia="仿宋" w:cs="Times New Roman"/>
                      <w:color w:val="auto"/>
                      <w:szCs w:val="21"/>
                      <w:lang w:val="en-US" w:eastAsia="zh-CN"/>
                    </w:rPr>
                    <w:t>物质</w:t>
                  </w:r>
                </w:p>
              </w:tc>
              <w:tc>
                <w:tcPr>
                  <w:tcW w:w="1160" w:type="pct"/>
                  <w:tcBorders>
                    <w:top w:val="single" w:color="auto" w:sz="4" w:space="0"/>
                    <w:left w:val="single" w:color="auto" w:sz="4" w:space="0"/>
                    <w:bottom w:val="single" w:color="auto" w:sz="4" w:space="0"/>
                    <w:right w:val="single" w:color="auto" w:sz="4" w:space="0"/>
                  </w:tcBorders>
                  <w:vAlign w:val="center"/>
                </w:tcPr>
                <w:p w14:paraId="65002F9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898" w:type="pct"/>
                  <w:tcBorders>
                    <w:top w:val="single" w:color="auto" w:sz="4" w:space="0"/>
                    <w:left w:val="single" w:color="auto" w:sz="4" w:space="0"/>
                    <w:bottom w:val="single" w:color="auto" w:sz="4" w:space="0"/>
                    <w:right w:val="single" w:color="auto" w:sz="4" w:space="0"/>
                  </w:tcBorders>
                  <w:vAlign w:val="center"/>
                </w:tcPr>
                <w:p w14:paraId="3DFD2D6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p>
              </w:tc>
              <w:tc>
                <w:tcPr>
                  <w:tcW w:w="826" w:type="pct"/>
                  <w:tcBorders>
                    <w:top w:val="single" w:color="auto" w:sz="4" w:space="0"/>
                    <w:left w:val="single" w:color="auto" w:sz="4" w:space="0"/>
                    <w:bottom w:val="single" w:color="auto" w:sz="4" w:space="0"/>
                    <w:right w:val="nil"/>
                  </w:tcBorders>
                  <w:vAlign w:val="center"/>
                </w:tcPr>
                <w:p w14:paraId="7DE1428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0.473226</w:t>
                  </w:r>
                </w:p>
              </w:tc>
            </w:tr>
            <w:tr w14:paraId="2F5B9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275" w:type="pct"/>
                  <w:gridSpan w:val="5"/>
                  <w:tcBorders>
                    <w:top w:val="single" w:color="auto" w:sz="4" w:space="0"/>
                    <w:left w:val="nil"/>
                    <w:bottom w:val="single" w:color="auto" w:sz="12" w:space="0"/>
                    <w:right w:val="single" w:color="auto" w:sz="4" w:space="0"/>
                  </w:tcBorders>
                  <w:vAlign w:val="center"/>
                </w:tcPr>
                <w:p w14:paraId="41FB4FF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合计</w:t>
                  </w:r>
                </w:p>
              </w:tc>
              <w:tc>
                <w:tcPr>
                  <w:tcW w:w="898" w:type="pct"/>
                  <w:tcBorders>
                    <w:top w:val="single" w:color="auto" w:sz="4" w:space="0"/>
                    <w:left w:val="single" w:color="auto" w:sz="4" w:space="0"/>
                    <w:bottom w:val="single" w:color="auto" w:sz="12" w:space="0"/>
                    <w:right w:val="single" w:color="auto" w:sz="4" w:space="0"/>
                  </w:tcBorders>
                  <w:vAlign w:val="center"/>
                </w:tcPr>
                <w:p w14:paraId="1D6F086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∑qn/Qn</w:t>
                  </w:r>
                </w:p>
              </w:tc>
              <w:tc>
                <w:tcPr>
                  <w:tcW w:w="826" w:type="pct"/>
                  <w:tcBorders>
                    <w:top w:val="single" w:color="auto" w:sz="4" w:space="0"/>
                    <w:left w:val="single" w:color="auto" w:sz="4" w:space="0"/>
                    <w:bottom w:val="single" w:color="auto" w:sz="12" w:space="0"/>
                    <w:right w:val="nil"/>
                  </w:tcBorders>
                  <w:shd w:val="clear" w:color="auto" w:fill="auto"/>
                  <w:vAlign w:val="center"/>
                </w:tcPr>
                <w:p w14:paraId="65625D86">
                  <w:pPr>
                    <w:jc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仿宋" w:cs="Times New Roman"/>
                      <w:color w:val="auto"/>
                      <w:szCs w:val="21"/>
                      <w:lang w:val="en-US" w:eastAsia="zh-CN"/>
                    </w:rPr>
                    <w:t>0.48328177</w:t>
                  </w:r>
                </w:p>
              </w:tc>
            </w:tr>
          </w:tbl>
          <w:p w14:paraId="62D91E76">
            <w:pPr>
              <w:spacing w:line="240" w:lineRule="auto"/>
              <w:rPr>
                <w:rFonts w:hint="default" w:ascii="Times New Roman" w:hAnsi="Times New Roman" w:eastAsia="仿宋" w:cs="Times New Roman"/>
                <w:bCs/>
                <w:color w:val="auto"/>
                <w:sz w:val="18"/>
                <w:szCs w:val="18"/>
                <w:lang w:val="en-US" w:eastAsia="zh-CN"/>
              </w:rPr>
            </w:pPr>
            <w:r>
              <w:rPr>
                <w:rFonts w:hint="default" w:ascii="Times New Roman" w:hAnsi="Times New Roman" w:eastAsia="仿宋" w:cs="Times New Roman"/>
                <w:bCs/>
                <w:color w:val="auto"/>
                <w:sz w:val="18"/>
                <w:szCs w:val="18"/>
                <w:lang w:val="en-US" w:eastAsia="zh-CN"/>
              </w:rPr>
              <w:t>注：本项目盐酸浓度分别为0.1mol/L（0.36%）、1.0mol/L（3.64%），换算成37%浓度，最大暂存量合计为0.43kg。</w:t>
            </w:r>
          </w:p>
          <w:p w14:paraId="77313C92">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lang w:val="en-US" w:eastAsia="zh-CN"/>
              </w:rPr>
              <w:t>结合上表，</w:t>
            </w: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建成后全厂</w:t>
            </w:r>
            <w:r>
              <w:rPr>
                <w:rFonts w:hint="default" w:ascii="Times New Roman" w:hAnsi="Times New Roman" w:eastAsia="仿宋" w:cs="Times New Roman"/>
                <w:bCs/>
                <w:color w:val="auto"/>
                <w:sz w:val="24"/>
                <w:highlight w:val="none"/>
              </w:rPr>
              <w:t>Q＜1，</w:t>
            </w:r>
            <w:r>
              <w:rPr>
                <w:rFonts w:ascii="仿宋" w:hAnsi="仿宋" w:eastAsia="仿宋"/>
                <w:bCs/>
                <w:color w:val="auto"/>
                <w:sz w:val="24"/>
                <w:highlight w:val="none"/>
              </w:rPr>
              <w:t>环境风险潜势为Ⅰ</w:t>
            </w:r>
            <w:r>
              <w:rPr>
                <w:rFonts w:hint="eastAsia" w:ascii="仿宋" w:hAnsi="仿宋" w:eastAsia="仿宋"/>
                <w:bCs/>
                <w:color w:val="auto"/>
                <w:sz w:val="24"/>
                <w:highlight w:val="none"/>
                <w:lang w:eastAsia="zh-CN"/>
              </w:rPr>
              <w:t>，</w:t>
            </w:r>
            <w:r>
              <w:rPr>
                <w:rFonts w:hint="eastAsia" w:ascii="仿宋" w:hAnsi="仿宋" w:eastAsia="仿宋"/>
                <w:bCs/>
                <w:color w:val="auto"/>
                <w:sz w:val="24"/>
                <w:highlight w:val="none"/>
                <w:lang w:val="en-US" w:eastAsia="zh-CN"/>
              </w:rPr>
              <w:t>故</w:t>
            </w:r>
            <w:r>
              <w:rPr>
                <w:rFonts w:hint="default" w:ascii="Times New Roman" w:hAnsi="Times New Roman" w:eastAsia="仿宋" w:cs="Times New Roman"/>
                <w:bCs/>
                <w:color w:val="auto"/>
                <w:sz w:val="24"/>
                <w:highlight w:val="none"/>
              </w:rPr>
              <w:t>本项目风险评价工作等级为简单分析。</w:t>
            </w:r>
          </w:p>
          <w:p w14:paraId="51306FD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3、环境风险识别及环境风险分析</w:t>
            </w:r>
          </w:p>
          <w:p w14:paraId="62243C7F">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lang w:val="en-US" w:eastAsia="zh-CN"/>
              </w:rPr>
              <w:t>本项目</w:t>
            </w:r>
            <w:r>
              <w:rPr>
                <w:rFonts w:hint="default" w:ascii="Times New Roman" w:hAnsi="Times New Roman" w:eastAsia="仿宋" w:cs="Times New Roman"/>
                <w:bCs/>
                <w:color w:val="auto"/>
                <w:sz w:val="24"/>
              </w:rPr>
              <w:t>危险物质主要分布在</w:t>
            </w:r>
            <w:r>
              <w:rPr>
                <w:rFonts w:hint="default" w:ascii="Times New Roman" w:hAnsi="Times New Roman" w:eastAsia="仿宋" w:cs="Times New Roman"/>
                <w:bCs/>
                <w:color w:val="auto"/>
                <w:sz w:val="24"/>
                <w:lang w:val="en-US" w:eastAsia="zh-CN"/>
              </w:rPr>
              <w:t>实验室</w:t>
            </w:r>
            <w:r>
              <w:rPr>
                <w:rFonts w:hint="eastAsia" w:eastAsia="仿宋" w:cs="Times New Roman"/>
                <w:bCs/>
                <w:color w:val="auto"/>
                <w:sz w:val="24"/>
                <w:lang w:val="en-US" w:eastAsia="zh-CN"/>
              </w:rPr>
              <w:t>、维修间</w:t>
            </w:r>
            <w:r>
              <w:rPr>
                <w:rFonts w:hint="default" w:ascii="Times New Roman" w:hAnsi="Times New Roman" w:eastAsia="仿宋" w:cs="Times New Roman"/>
                <w:bCs/>
                <w:color w:val="auto"/>
                <w:sz w:val="24"/>
              </w:rPr>
              <w:t>、危废仓库。</w:t>
            </w:r>
            <w:r>
              <w:rPr>
                <w:rFonts w:hint="default" w:ascii="Times New Roman" w:hAnsi="Times New Roman" w:eastAsia="仿宋" w:cs="Times New Roman"/>
                <w:color w:val="auto"/>
                <w:sz w:val="24"/>
              </w:rPr>
              <w:t>对环境影响途径包括以上场所发生危险物质泄漏，液体进入雨水管网向外环境扩散，泄漏的危险物质扩散进水中，通过雨水管网进入附近水体，危险物质在下渗过程中会污染地下水，进而流入周围的河流，造成整个周围地区水环境的污染；</w:t>
            </w:r>
            <w:r>
              <w:rPr>
                <w:rFonts w:hint="eastAsia" w:eastAsia="仿宋" w:cs="Times New Roman"/>
                <w:color w:val="auto"/>
                <w:sz w:val="24"/>
                <w:lang w:val="en-US" w:eastAsia="zh-CN"/>
              </w:rPr>
              <w:t>可燃物质</w:t>
            </w:r>
            <w:r>
              <w:rPr>
                <w:rFonts w:hint="default" w:ascii="Times New Roman" w:hAnsi="Times New Roman" w:eastAsia="仿宋" w:cs="Times New Roman"/>
                <w:color w:val="auto"/>
                <w:sz w:val="24"/>
              </w:rPr>
              <w:t>发生火灾产生的伴生/次生污染物对环境空气造成污染。</w:t>
            </w:r>
          </w:p>
          <w:p w14:paraId="5004CB9B">
            <w:pPr>
              <w:numPr>
                <w:ilvl w:val="0"/>
                <w:numId w:val="7"/>
              </w:numPr>
              <w:adjustRightInd w:val="0"/>
              <w:snapToGrid w:val="0"/>
              <w:spacing w:line="360" w:lineRule="auto"/>
              <w:ind w:left="0" w:leftChars="0"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环境风险防范措施</w:t>
            </w:r>
          </w:p>
          <w:p w14:paraId="70E0047A">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1</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试剂管理、储存、使用、运输中的风险防范措施</w:t>
            </w:r>
          </w:p>
          <w:p w14:paraId="55AA5B0F">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1E2F66CF">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危险化学品储存场所应符合储存危险化学品的相关条件（如防晒、防潮、通风、防雷、防静电等），实施危险化学品的储存和使用；在危险化学品贮存场所设置明显的防火等级标志，通道、出入口和通向消防设施的道路保持畅通。同时，危险化学品储存场所应严格按照规定管道、设备材质、阀门及配件，加强现场管理，消除跑、冒、滴、漏；建立健全安全规程及值勤制度，设置通讯、报警装置，确保其处于完好状态；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14:paraId="75D82B48">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地</w:t>
            </w:r>
            <w:r>
              <w:rPr>
                <w:rFonts w:hint="default" w:ascii="Times New Roman" w:hAnsi="Times New Roman" w:eastAsia="仿宋" w:cs="Times New Roman"/>
                <w:bCs/>
                <w:color w:val="auto"/>
                <w:sz w:val="24"/>
                <w:lang w:val="en-US" w:eastAsia="zh-CN"/>
              </w:rPr>
              <w:t>区</w:t>
            </w:r>
            <w:r>
              <w:rPr>
                <w:rFonts w:hint="default" w:ascii="Times New Roman" w:hAnsi="Times New Roman" w:eastAsia="仿宋" w:cs="Times New Roman"/>
                <w:bCs/>
                <w:color w:val="auto"/>
                <w:sz w:val="24"/>
              </w:rPr>
              <w:t>停留；危险化学品的运输、押运人员，应配置合格的防护器材。</w:t>
            </w:r>
          </w:p>
          <w:p w14:paraId="11FED2B3">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④实验试剂应经专人验收确定包装完好后方可入库，堆放整齐，根据需求，随用随购，尽量减少库存。</w:t>
            </w:r>
          </w:p>
          <w:p w14:paraId="40BC783D">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⑤危险化学品必须设置于阴凉、通风的库房，库房必须防渗、防漏、防雨。</w:t>
            </w:r>
          </w:p>
          <w:p w14:paraId="29316C6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⑥实验室内应设置一个收集桶，当液态物料泄漏事故发生时，将泄漏物料收集至桶内暂存，最终作为危险废物处理。实验室应配备吸附剂等材料，发生液态物料泄漏事故时能对事故进行应急处理。</w:t>
            </w:r>
          </w:p>
          <w:p w14:paraId="617FDD1D">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rPr>
              <w:t>危废</w:t>
            </w:r>
            <w:r>
              <w:rPr>
                <w:rFonts w:hint="eastAsia" w:eastAsia="仿宋" w:cs="Times New Roman"/>
                <w:bCs/>
                <w:color w:val="auto"/>
                <w:sz w:val="24"/>
                <w:lang w:val="en-US" w:eastAsia="zh-CN"/>
              </w:rPr>
              <w:t>仓</w:t>
            </w:r>
            <w:r>
              <w:rPr>
                <w:rFonts w:hint="default" w:ascii="Times New Roman" w:hAnsi="Times New Roman" w:eastAsia="仿宋" w:cs="Times New Roman"/>
                <w:bCs/>
                <w:color w:val="auto"/>
                <w:sz w:val="24"/>
              </w:rPr>
              <w:t>库风险防范措施</w:t>
            </w:r>
          </w:p>
          <w:p w14:paraId="716F62C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危险废物分类存放到</w:t>
            </w:r>
            <w:r>
              <w:rPr>
                <w:rFonts w:hint="default" w:ascii="Times New Roman" w:hAnsi="Times New Roman" w:eastAsia="仿宋" w:cs="Times New Roman"/>
                <w:bCs/>
                <w:color w:val="auto"/>
                <w:sz w:val="24"/>
                <w:lang w:val="en-US" w:eastAsia="zh-CN"/>
              </w:rPr>
              <w:t>危废仓库</w:t>
            </w:r>
            <w:r>
              <w:rPr>
                <w:rFonts w:hint="default" w:ascii="Times New Roman" w:hAnsi="Times New Roman" w:eastAsia="仿宋" w:cs="Times New Roman"/>
                <w:bCs/>
                <w:color w:val="auto"/>
                <w:sz w:val="24"/>
              </w:rPr>
              <w:t>，做好进出库管理，及时登记，账物相符，并做好贮存场所和危废包装的标识工作。危废</w:t>
            </w:r>
            <w:r>
              <w:rPr>
                <w:rFonts w:hint="default" w:ascii="Times New Roman" w:hAnsi="Times New Roman" w:eastAsia="仿宋" w:cs="Times New Roman"/>
                <w:bCs/>
                <w:color w:val="auto"/>
                <w:sz w:val="24"/>
                <w:lang w:val="en-US" w:eastAsia="zh-CN"/>
              </w:rPr>
              <w:t>仓库已</w:t>
            </w:r>
            <w:r>
              <w:rPr>
                <w:rFonts w:hint="default" w:ascii="Times New Roman" w:hAnsi="Times New Roman" w:eastAsia="仿宋" w:cs="Times New Roman"/>
                <w:bCs/>
                <w:color w:val="auto"/>
                <w:sz w:val="24"/>
              </w:rPr>
              <w:t>做到“四防”，即：防风、防雨、防晒、防渗漏；地面与裙脚</w:t>
            </w:r>
            <w:r>
              <w:rPr>
                <w:rFonts w:hint="default" w:ascii="Times New Roman" w:hAnsi="Times New Roman" w:eastAsia="仿宋" w:cs="Times New Roman"/>
                <w:bCs/>
                <w:color w:val="auto"/>
                <w:sz w:val="24"/>
                <w:lang w:val="en-US" w:eastAsia="zh-CN"/>
              </w:rPr>
              <w:t>已</w:t>
            </w:r>
            <w:r>
              <w:rPr>
                <w:rFonts w:hint="default" w:ascii="Times New Roman" w:hAnsi="Times New Roman" w:eastAsia="仿宋" w:cs="Times New Roman"/>
                <w:bCs/>
                <w:color w:val="auto"/>
                <w:sz w:val="24"/>
              </w:rPr>
              <w:t>用坚固、防渗的材料建造，建筑材料与危险废物相容。对液体危险废物包装桶进行定期检查，确保包装完好。通道、出入口和通向消防设施的道路保持畅通，同时应配置合格的消防器材，并确保其处于完好状态。</w:t>
            </w:r>
          </w:p>
          <w:p w14:paraId="684DD92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3</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废气事故排放防范措施</w:t>
            </w:r>
          </w:p>
          <w:p w14:paraId="0BDB833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废气发生事故的原因主要有以下几</w:t>
            </w:r>
            <w:r>
              <w:rPr>
                <w:rFonts w:hint="default" w:ascii="Times New Roman" w:hAnsi="Times New Roman" w:eastAsia="仿宋" w:cs="Times New Roman"/>
                <w:bCs/>
                <w:color w:val="auto"/>
                <w:sz w:val="24"/>
                <w:lang w:val="en-US" w:eastAsia="zh-CN"/>
              </w:rPr>
              <w:t>点</w:t>
            </w:r>
            <w:r>
              <w:rPr>
                <w:rFonts w:hint="default" w:ascii="Times New Roman" w:hAnsi="Times New Roman" w:eastAsia="仿宋" w:cs="Times New Roman"/>
                <w:bCs/>
                <w:color w:val="auto"/>
                <w:sz w:val="24"/>
              </w:rPr>
              <w:t>：</w:t>
            </w:r>
          </w:p>
          <w:p w14:paraId="2D8B13B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①废气处理系统出现故障，设备开、停车检修时废气直接排入大气环境中；</w:t>
            </w:r>
          </w:p>
          <w:p w14:paraId="4F76282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②实验过程中由于设备老化、腐蚀、</w:t>
            </w:r>
            <w:r>
              <w:rPr>
                <w:rFonts w:hint="default" w:ascii="Times New Roman" w:hAnsi="Times New Roman" w:eastAsia="仿宋" w:cs="Times New Roman"/>
                <w:bCs/>
                <w:color w:val="auto"/>
                <w:sz w:val="24"/>
                <w:lang w:val="en-US" w:eastAsia="zh-CN"/>
              </w:rPr>
              <w:t>失误</w:t>
            </w:r>
            <w:r>
              <w:rPr>
                <w:rFonts w:hint="default" w:ascii="Times New Roman" w:hAnsi="Times New Roman" w:eastAsia="仿宋" w:cs="Times New Roman"/>
                <w:bCs/>
                <w:color w:val="auto"/>
                <w:sz w:val="24"/>
              </w:rPr>
              <w:t>操作等原因造成废气浓度超标；</w:t>
            </w:r>
          </w:p>
          <w:p w14:paraId="30EF1D6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③实验过程中突然停电、废气处理系统停止工作，致使废气不能得到及时处理；</w:t>
            </w:r>
          </w:p>
          <w:p w14:paraId="64BEA81B">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④对废气处理措施</w:t>
            </w:r>
            <w:r>
              <w:rPr>
                <w:rFonts w:hint="default" w:ascii="Times New Roman" w:hAnsi="Times New Roman" w:eastAsia="仿宋" w:cs="Times New Roman"/>
                <w:bCs/>
                <w:color w:val="auto"/>
                <w:sz w:val="24"/>
                <w:lang w:val="en-US" w:eastAsia="zh-CN"/>
              </w:rPr>
              <w:t>疏于</w:t>
            </w:r>
            <w:r>
              <w:rPr>
                <w:rFonts w:hint="default" w:ascii="Times New Roman" w:hAnsi="Times New Roman" w:eastAsia="仿宋" w:cs="Times New Roman"/>
                <w:bCs/>
                <w:color w:val="auto"/>
                <w:sz w:val="24"/>
              </w:rPr>
              <w:t>管理，使治理措施处理效率降低造成废气浓度超标。</w:t>
            </w:r>
          </w:p>
          <w:p w14:paraId="69E0204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为杜绝废气事故性及非正常排放，建议采用以下措施确保废气达标排放：</w:t>
            </w:r>
          </w:p>
          <w:p w14:paraId="604A0878">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①日常加强废气处理设施的维护保养，及时发现隐患并进行维修，确保废气处理系统正常运行；</w:t>
            </w:r>
          </w:p>
          <w:p w14:paraId="3865C98D">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②建立健全环保管理制度，</w:t>
            </w:r>
            <w:r>
              <w:rPr>
                <w:rFonts w:hint="default" w:ascii="Times New Roman" w:hAnsi="Times New Roman" w:eastAsia="仿宋" w:cs="Times New Roman"/>
                <w:bCs/>
                <w:color w:val="auto"/>
                <w:sz w:val="24"/>
                <w:lang w:eastAsia="zh-CN"/>
              </w:rPr>
              <w:t>配置</w:t>
            </w:r>
            <w:r>
              <w:rPr>
                <w:rFonts w:hint="default" w:ascii="Times New Roman" w:hAnsi="Times New Roman" w:eastAsia="仿宋" w:cs="Times New Roman"/>
                <w:bCs/>
                <w:color w:val="auto"/>
                <w:sz w:val="24"/>
              </w:rPr>
              <w:t>必要的监测仪器，对管理人员和技术人员进行岗位培训，对废气处理实行全过程跟踪控制；</w:t>
            </w:r>
          </w:p>
          <w:p w14:paraId="03FDE64F">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火灾和爆炸事故的防范措施</w:t>
            </w:r>
          </w:p>
          <w:p w14:paraId="7AC486BE">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火灾和爆炸事故的防范措施主要是提高企业运行管理水平和装置性能，以及采取有效的防火防爆措施，本</w:t>
            </w:r>
            <w:r>
              <w:rPr>
                <w:rFonts w:hint="default" w:ascii="Times New Roman" w:hAnsi="Times New Roman" w:eastAsia="仿宋" w:cs="Times New Roman"/>
                <w:bCs/>
                <w:color w:val="auto"/>
                <w:sz w:val="24"/>
                <w:lang w:eastAsia="zh-CN"/>
              </w:rPr>
              <w:t>项目</w:t>
            </w:r>
            <w:r>
              <w:rPr>
                <w:rFonts w:hint="default" w:ascii="Times New Roman" w:hAnsi="Times New Roman" w:eastAsia="仿宋" w:cs="Times New Roman"/>
                <w:bCs/>
                <w:color w:val="auto"/>
                <w:sz w:val="24"/>
              </w:rPr>
              <w:t>采取措施如下</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①设备的安全管理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定期对设备进行安全检测，检测内容、时间、人员应有记录保存。安全检测应根据设备的安全性、危险性设定检测频次。应加强火源的管理，严禁烟火带入，对设备需进行维修焊接，应经安全部门确认、准许，并有记录。要有完善的安全消防措施。从平面布置上，实验室各功能区之间应按国家消防安全规定，设置足够的安全距离和道路，以便安全疏散和消防。各重点部位设备应设置水消防系统和灭火器等。</w:t>
            </w:r>
          </w:p>
          <w:p w14:paraId="6A0EF236">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环境风险应急要求：</w:t>
            </w:r>
          </w:p>
          <w:p w14:paraId="24F62171">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对可能发生</w:t>
            </w:r>
            <w:r>
              <w:rPr>
                <w:rFonts w:hint="default" w:ascii="Times New Roman" w:hAnsi="Times New Roman" w:eastAsia="仿宋" w:cs="Times New Roman"/>
                <w:color w:val="auto"/>
                <w:sz w:val="24"/>
              </w:rPr>
              <w:t>的事故，制订应急计划，使各部门在事故发生后能有步骤、有秩序地采取各项应急措施，并与当地政府的应急预案衔接，统一采取救援行动。</w:t>
            </w:r>
          </w:p>
          <w:p w14:paraId="54F6DFBE">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①事故发生后，根据具体情况采取应急措施，切断泄漏源，防止事故扩大，同时通知中央控制室，根据事故类型启动相应的应急预案；</w:t>
            </w:r>
          </w:p>
          <w:p w14:paraId="163E182C">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②发生重大事故，立即上报相关部门，启动社会救援系统，就近地区调拨专业救援队伍协助处理；</w:t>
            </w:r>
          </w:p>
          <w:p w14:paraId="21940311">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③事故发生后立即通知当地生态环境局、医院、自来水公司等市政部门，协同事故救援与监控。</w:t>
            </w:r>
          </w:p>
          <w:p w14:paraId="71B349D6">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5、</w:t>
            </w:r>
            <w:r>
              <w:rPr>
                <w:rFonts w:hint="default" w:ascii="Times New Roman" w:hAnsi="Times New Roman" w:eastAsia="仿宋" w:cs="Times New Roman"/>
                <w:bCs/>
                <w:color w:val="auto"/>
                <w:sz w:val="24"/>
              </w:rPr>
              <w:t>事故应急池</w:t>
            </w:r>
          </w:p>
          <w:p w14:paraId="3ECB452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参考事故应急池计算方法进行计算事故应急池容积。具体计算公式如下：</w:t>
            </w:r>
          </w:p>
          <w:p w14:paraId="3063D9C4">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事故应急池容量V总=（V1+V2-V3）+V4+V5</w:t>
            </w:r>
          </w:p>
          <w:p w14:paraId="43F90643">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V1：事故一个罐或一个装置物料量，m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6CB6AD1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V2：事故状态下最大消防水量，m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5D821AC3">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V3：事故时可以转移到其他储存或处理设施的物料量，m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4EA3B69E">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V4：发生事故时必须进入该收集系统的生产废水量，m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3673170B">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V5：发生事故时可能进入该收集系统的降雨量，m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0DB2426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事故应急池具体容量大小计算如下：</w:t>
            </w:r>
          </w:p>
          <w:p w14:paraId="68CD3A64">
            <w:pPr>
              <w:numPr>
                <w:ilvl w:val="0"/>
                <w:numId w:val="10"/>
              </w:num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V1：</w:t>
            </w:r>
            <w:r>
              <w:rPr>
                <w:rFonts w:hint="default" w:ascii="Times New Roman" w:hAnsi="Times New Roman" w:eastAsia="仿宋" w:cs="Times New Roman"/>
                <w:color w:val="auto"/>
                <w:sz w:val="24"/>
              </w:rPr>
              <w:t>厂内装置最大存在物料量容积约为</w:t>
            </w:r>
            <w:r>
              <w:rPr>
                <w:rFonts w:hint="default" w:ascii="Times New Roman" w:hAnsi="Times New Roman" w:eastAsia="仿宋" w:cs="Times New Roman"/>
                <w:color w:val="auto"/>
                <w:sz w:val="24"/>
                <w:lang w:val="en-US" w:eastAsia="zh-CN"/>
              </w:rPr>
              <w:t>0.55</w:t>
            </w:r>
            <w:r>
              <w:rPr>
                <w:rFonts w:hint="default" w:ascii="Times New Roman" w:hAnsi="Times New Roman" w:eastAsia="仿宋" w:cs="Times New Roman"/>
                <w:color w:val="auto"/>
                <w:sz w:val="24"/>
              </w:rPr>
              <w:t>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vertAlign w:val="baseline"/>
                <w:lang w:eastAsia="zh-CN"/>
              </w:rPr>
              <w:t>（</w:t>
            </w:r>
            <w:r>
              <w:rPr>
                <w:rFonts w:hint="eastAsia" w:eastAsia="仿宋" w:cs="Times New Roman"/>
                <w:color w:val="auto"/>
                <w:sz w:val="24"/>
                <w:vertAlign w:val="baseline"/>
                <w:lang w:val="en-US" w:eastAsia="zh-CN"/>
              </w:rPr>
              <w:t>现有项目</w:t>
            </w:r>
            <w:r>
              <w:rPr>
                <w:rFonts w:hint="default" w:ascii="Times New Roman" w:hAnsi="Times New Roman" w:eastAsia="仿宋" w:cs="Times New Roman"/>
                <w:color w:val="auto"/>
                <w:sz w:val="24"/>
                <w:vertAlign w:val="baseline"/>
                <w:lang w:val="en-US" w:eastAsia="zh-CN"/>
              </w:rPr>
              <w:t>冲压油包装规格550L/桶</w:t>
            </w:r>
            <w:r>
              <w:rPr>
                <w:rFonts w:hint="default" w:ascii="Times New Roman" w:hAnsi="Times New Roman" w:eastAsia="仿宋" w:cs="Times New Roman"/>
                <w:color w:val="auto"/>
                <w:sz w:val="24"/>
                <w:vertAlign w:val="baseline"/>
                <w:lang w:eastAsia="zh-CN"/>
              </w:rPr>
              <w:t>）</w:t>
            </w:r>
            <w:r>
              <w:rPr>
                <w:rFonts w:hint="default" w:ascii="Times New Roman" w:hAnsi="Times New Roman" w:eastAsia="仿宋" w:cs="Times New Roman"/>
                <w:bCs/>
                <w:color w:val="auto"/>
                <w:sz w:val="24"/>
              </w:rPr>
              <w:t>，即V1=</w:t>
            </w:r>
            <w:r>
              <w:rPr>
                <w:rFonts w:hint="default" w:ascii="Times New Roman" w:hAnsi="Times New Roman" w:eastAsia="仿宋" w:cs="Times New Roman"/>
                <w:bCs/>
                <w:color w:val="auto"/>
                <w:sz w:val="24"/>
                <w:lang w:val="en-US" w:eastAsia="zh-CN"/>
              </w:rPr>
              <w:t>0.55</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3BC5B7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2）V2：根据《建筑设计防火规范》（</w:t>
            </w:r>
            <w:r>
              <w:rPr>
                <w:rFonts w:hint="default" w:ascii="Times New Roman" w:hAnsi="Times New Roman" w:eastAsia="仿宋" w:cs="Times New Roman"/>
                <w:bCs/>
                <w:color w:val="auto"/>
                <w:sz w:val="24"/>
                <w:highlight w:val="none"/>
                <w:lang w:val="en-US" w:eastAsia="zh-CN"/>
              </w:rPr>
              <w:t>2018版</w:t>
            </w:r>
            <w:r>
              <w:rPr>
                <w:rFonts w:hint="default" w:ascii="Times New Roman" w:hAnsi="Times New Roman" w:eastAsia="仿宋" w:cs="Times New Roman"/>
                <w:bCs/>
                <w:color w:val="auto"/>
                <w:sz w:val="24"/>
                <w:highlight w:val="none"/>
              </w:rPr>
              <w:t>），确定室内消火栓用水量10L/s，火灾延续时间约为</w:t>
            </w:r>
            <w:r>
              <w:rPr>
                <w:rFonts w:hint="eastAsia" w:eastAsia="仿宋" w:cs="Times New Roman"/>
                <w:bCs/>
                <w:color w:val="auto"/>
                <w:sz w:val="24"/>
                <w:highlight w:val="none"/>
                <w:lang w:val="en-US" w:eastAsia="zh-CN"/>
              </w:rPr>
              <w:t>1.5</w:t>
            </w:r>
            <w:r>
              <w:rPr>
                <w:rFonts w:hint="default" w:ascii="Times New Roman" w:hAnsi="Times New Roman" w:eastAsia="仿宋" w:cs="Times New Roman"/>
                <w:bCs/>
                <w:color w:val="auto"/>
                <w:sz w:val="24"/>
                <w:highlight w:val="none"/>
              </w:rPr>
              <w:t>小时，厂区最大消防水量V2=</w:t>
            </w:r>
            <w:r>
              <w:rPr>
                <w:rFonts w:hint="eastAsia" w:eastAsia="仿宋" w:cs="Times New Roman"/>
                <w:bCs/>
                <w:color w:val="auto"/>
                <w:sz w:val="24"/>
                <w:highlight w:val="none"/>
                <w:lang w:val="en-US" w:eastAsia="zh-CN"/>
              </w:rPr>
              <w:t>54</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3</w:t>
            </w:r>
            <w:r>
              <w:rPr>
                <w:rFonts w:hint="default" w:ascii="Times New Roman" w:hAnsi="Times New Roman" w:eastAsia="仿宋" w:cs="Times New Roman"/>
                <w:bCs/>
                <w:color w:val="auto"/>
                <w:sz w:val="24"/>
                <w:highlight w:val="none"/>
              </w:rPr>
              <w:t>；</w:t>
            </w:r>
          </w:p>
          <w:p w14:paraId="28B75CC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3）V3：根据企业提供的资料，厂房周边雨水管网总长约225m，雨水管道直径约0.</w:t>
            </w:r>
            <w:r>
              <w:rPr>
                <w:rFonts w:hint="default"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m，事故状态下雨水管网</w:t>
            </w:r>
            <w:r>
              <w:rPr>
                <w:rFonts w:hint="eastAsia" w:eastAsia="仿宋" w:cs="Times New Roman"/>
                <w:bCs/>
                <w:color w:val="auto"/>
                <w:sz w:val="24"/>
                <w:highlight w:val="none"/>
                <w:lang w:val="en-US" w:eastAsia="zh-CN"/>
              </w:rPr>
              <w:t>容积的60%</w:t>
            </w:r>
            <w:r>
              <w:rPr>
                <w:rFonts w:hint="default" w:ascii="Times New Roman" w:hAnsi="Times New Roman" w:eastAsia="仿宋" w:cs="Times New Roman"/>
                <w:bCs/>
                <w:color w:val="auto"/>
                <w:sz w:val="24"/>
                <w:highlight w:val="none"/>
              </w:rPr>
              <w:t>可储存事故废水量约</w:t>
            </w:r>
            <w:r>
              <w:rPr>
                <w:rFonts w:hint="eastAsia" w:eastAsia="仿宋" w:cs="Times New Roman"/>
                <w:bCs/>
                <w:color w:val="auto"/>
                <w:sz w:val="24"/>
                <w:highlight w:val="none"/>
                <w:lang w:val="en-US" w:eastAsia="zh-CN"/>
              </w:rPr>
              <w:t>38.2</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3</w:t>
            </w:r>
            <w:r>
              <w:rPr>
                <w:rFonts w:hint="default" w:ascii="Times New Roman" w:hAnsi="Times New Roman" w:eastAsia="仿宋" w:cs="Times New Roman"/>
                <w:bCs/>
                <w:color w:val="auto"/>
                <w:sz w:val="24"/>
                <w:highlight w:val="none"/>
              </w:rPr>
              <w:t>，即V3=</w:t>
            </w:r>
            <w:r>
              <w:rPr>
                <w:rFonts w:hint="eastAsia" w:eastAsia="仿宋" w:cs="Times New Roman"/>
                <w:bCs/>
                <w:color w:val="auto"/>
                <w:sz w:val="24"/>
                <w:highlight w:val="none"/>
                <w:lang w:val="en-US" w:eastAsia="zh-CN"/>
              </w:rPr>
              <w:t>38.2</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3</w:t>
            </w:r>
            <w:r>
              <w:rPr>
                <w:rFonts w:hint="default" w:ascii="Times New Roman" w:hAnsi="Times New Roman" w:eastAsia="仿宋" w:cs="Times New Roman"/>
                <w:bCs/>
                <w:color w:val="auto"/>
                <w:sz w:val="24"/>
                <w:highlight w:val="none"/>
              </w:rPr>
              <w:t>；</w:t>
            </w:r>
          </w:p>
          <w:p w14:paraId="485E687A">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4）V4：发生事故时无生产废水进入该系统，故V4=0m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24D0E62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5）V5：金坛多年平均降雨量1503.9mm，多年平均降雨天数140天，平均日降雨量q=10.74mm，事故状态下厂区汇水面积</w:t>
            </w:r>
            <w:r>
              <w:rPr>
                <w:rFonts w:hint="default" w:ascii="Times New Roman" w:hAnsi="Times New Roman" w:eastAsia="仿宋" w:cs="Times New Roman"/>
                <w:bCs/>
                <w:color w:val="auto"/>
                <w:sz w:val="24"/>
                <w:lang w:val="en-US" w:eastAsia="zh-CN"/>
              </w:rPr>
              <w:t>合计1170</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rPr>
              <w:t>，通过下式计算V5=</w:t>
            </w:r>
            <w:r>
              <w:rPr>
                <w:rFonts w:hint="default" w:ascii="Times New Roman" w:hAnsi="Times New Roman" w:eastAsia="仿宋" w:cs="Times New Roman"/>
                <w:bCs/>
                <w:color w:val="auto"/>
                <w:sz w:val="24"/>
                <w:lang w:val="en-US" w:eastAsia="zh-CN"/>
              </w:rPr>
              <w:t>12.6</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5C22DB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drawing>
                <wp:inline distT="0" distB="0" distL="114300" distR="114300">
                  <wp:extent cx="1087120" cy="379730"/>
                  <wp:effectExtent l="0" t="0" r="17780" b="1270"/>
                  <wp:docPr id="3" name="图片 8" descr="../../Application%20Data/Tencent/Users/694763945/QQ/WinTemp/RichOle/O)2OJ%5dYKVM%7dV7LK@J2PX6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Application%20Data/Tencent/Users/694763945/QQ/WinTemp/RichOle/O)2OJ%5dYKVM%7dV7LK@J2PX65G.jpg"/>
                          <pic:cNvPicPr>
                            <a:picLocks noChangeAspect="1"/>
                          </pic:cNvPicPr>
                        </pic:nvPicPr>
                        <pic:blipFill>
                          <a:blip r:embed="rId55" r:link="rId56"/>
                          <a:stretch>
                            <a:fillRect/>
                          </a:stretch>
                        </pic:blipFill>
                        <pic:spPr>
                          <a:xfrm>
                            <a:off x="0" y="0"/>
                            <a:ext cx="1087120" cy="379730"/>
                          </a:xfrm>
                          <a:prstGeom prst="rect">
                            <a:avLst/>
                          </a:prstGeom>
                          <a:noFill/>
                          <a:ln>
                            <a:noFill/>
                          </a:ln>
                        </pic:spPr>
                      </pic:pic>
                    </a:graphicData>
                  </a:graphic>
                </wp:inline>
              </w:drawing>
            </w:r>
          </w:p>
          <w:p w14:paraId="5725317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式中：q——降雨强度，mm；</w:t>
            </w:r>
          </w:p>
          <w:p w14:paraId="18C56D1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 xml:space="preserve">      F——必须进入事故废水收集系统的雨水汇水面积，ha。</w:t>
            </w:r>
          </w:p>
          <w:p w14:paraId="638C4BB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6）事故应急池容量</w:t>
            </w:r>
          </w:p>
          <w:p w14:paraId="78486F7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V总=（V1+V2-V3）+V4+V5=（0</w:t>
            </w:r>
            <w:r>
              <w:rPr>
                <w:rFonts w:hint="default" w:ascii="Times New Roman" w:hAnsi="Times New Roman" w:eastAsia="仿宋" w:cs="Times New Roman"/>
                <w:bCs/>
                <w:color w:val="auto"/>
                <w:sz w:val="24"/>
                <w:highlight w:val="none"/>
                <w:lang w:val="en-US" w:eastAsia="zh-CN"/>
              </w:rPr>
              <w:t>.55</w:t>
            </w:r>
            <w:r>
              <w:rPr>
                <w:rFonts w:hint="default" w:ascii="Times New Roman" w:hAnsi="Times New Roman" w:eastAsia="仿宋" w:cs="Times New Roman"/>
                <w:bCs/>
                <w:color w:val="auto"/>
                <w:sz w:val="24"/>
                <w:highlight w:val="none"/>
              </w:rPr>
              <w:t>+</w:t>
            </w:r>
            <w:r>
              <w:rPr>
                <w:rFonts w:hint="eastAsia" w:eastAsia="仿宋" w:cs="Times New Roman"/>
                <w:bCs/>
                <w:color w:val="auto"/>
                <w:sz w:val="24"/>
                <w:highlight w:val="none"/>
                <w:lang w:val="en-US" w:eastAsia="zh-CN"/>
              </w:rPr>
              <w:t>54</w:t>
            </w:r>
            <w:r>
              <w:rPr>
                <w:rFonts w:hint="default" w:ascii="Times New Roman" w:hAnsi="Times New Roman" w:eastAsia="仿宋" w:cs="Times New Roman"/>
                <w:bCs/>
                <w:color w:val="auto"/>
                <w:sz w:val="24"/>
                <w:highlight w:val="none"/>
              </w:rPr>
              <w:t>-</w:t>
            </w:r>
            <w:r>
              <w:rPr>
                <w:rFonts w:hint="eastAsia" w:eastAsia="仿宋" w:cs="Times New Roman"/>
                <w:bCs/>
                <w:color w:val="auto"/>
                <w:sz w:val="24"/>
                <w:highlight w:val="none"/>
                <w:lang w:val="en-US" w:eastAsia="zh-CN"/>
              </w:rPr>
              <w:t>38.2</w:t>
            </w:r>
            <w:r>
              <w:rPr>
                <w:rFonts w:hint="default" w:ascii="Times New Roman" w:hAnsi="Times New Roman" w:eastAsia="仿宋" w:cs="Times New Roman"/>
                <w:bCs/>
                <w:color w:val="auto"/>
                <w:sz w:val="24"/>
                <w:highlight w:val="none"/>
              </w:rPr>
              <w:t>）+0+</w:t>
            </w:r>
            <w:r>
              <w:rPr>
                <w:rFonts w:hint="default" w:ascii="Times New Roman" w:hAnsi="Times New Roman" w:eastAsia="仿宋" w:cs="Times New Roman"/>
                <w:bCs/>
                <w:color w:val="auto"/>
                <w:sz w:val="24"/>
                <w:highlight w:val="none"/>
                <w:lang w:val="en-US" w:eastAsia="zh-CN"/>
              </w:rPr>
              <w:t>12.6</w:t>
            </w:r>
            <w:r>
              <w:rPr>
                <w:rFonts w:hint="default" w:ascii="Times New Roman" w:hAnsi="Times New Roman" w:eastAsia="仿宋" w:cs="Times New Roman"/>
                <w:bCs/>
                <w:color w:val="auto"/>
                <w:sz w:val="24"/>
                <w:highlight w:val="none"/>
              </w:rPr>
              <w:t>=</w:t>
            </w:r>
            <w:r>
              <w:rPr>
                <w:rFonts w:hint="eastAsia" w:eastAsia="仿宋" w:cs="Times New Roman"/>
                <w:bCs/>
                <w:color w:val="auto"/>
                <w:sz w:val="24"/>
                <w:highlight w:val="none"/>
                <w:lang w:val="en-US" w:eastAsia="zh-CN"/>
              </w:rPr>
              <w:t>28.95</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3</w:t>
            </w:r>
          </w:p>
          <w:p w14:paraId="00520EF4">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rPr>
              <w:t>因此，厂区内需自建至少1个约</w:t>
            </w:r>
            <w:r>
              <w:rPr>
                <w:rFonts w:hint="eastAsia" w:eastAsia="仿宋" w:cs="Times New Roman"/>
                <w:bCs/>
                <w:color w:val="auto"/>
                <w:sz w:val="24"/>
                <w:highlight w:val="none"/>
                <w:lang w:val="en-US" w:eastAsia="zh-CN"/>
              </w:rPr>
              <w:t>28.95</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3</w:t>
            </w:r>
            <w:r>
              <w:rPr>
                <w:rFonts w:hint="default" w:ascii="Times New Roman" w:hAnsi="Times New Roman" w:eastAsia="仿宋" w:cs="Times New Roman"/>
                <w:bCs/>
                <w:color w:val="auto"/>
                <w:sz w:val="24"/>
                <w:highlight w:val="none"/>
              </w:rPr>
              <w:t>的事故应急池来</w:t>
            </w:r>
            <w:r>
              <w:rPr>
                <w:rFonts w:hint="default" w:ascii="Times New Roman" w:hAnsi="Times New Roman" w:eastAsia="仿宋" w:cs="Times New Roman"/>
                <w:bCs/>
                <w:color w:val="auto"/>
                <w:sz w:val="24"/>
                <w:highlight w:val="none"/>
                <w:lang w:eastAsia="zh-CN"/>
              </w:rPr>
              <w:t>接收</w:t>
            </w:r>
            <w:r>
              <w:rPr>
                <w:rFonts w:hint="default" w:ascii="Times New Roman" w:hAnsi="Times New Roman" w:eastAsia="仿宋" w:cs="Times New Roman"/>
                <w:bCs/>
                <w:color w:val="auto"/>
                <w:sz w:val="24"/>
                <w:highlight w:val="none"/>
              </w:rPr>
              <w:t>消防事故废水。</w:t>
            </w:r>
            <w:r>
              <w:rPr>
                <w:rFonts w:hint="default" w:ascii="Times New Roman" w:hAnsi="Times New Roman" w:eastAsia="仿宋" w:cs="Times New Roman"/>
                <w:bCs/>
                <w:color w:val="auto"/>
                <w:sz w:val="24"/>
                <w:lang w:val="en-US" w:eastAsia="zh-CN"/>
              </w:rPr>
              <w:t>建设单位已在厂区内建有一个30m</w:t>
            </w:r>
            <w:r>
              <w:rPr>
                <w:rFonts w:hint="default" w:ascii="Times New Roman" w:hAnsi="Times New Roman" w:eastAsia="仿宋" w:cs="Times New Roman"/>
                <w:bCs/>
                <w:color w:val="auto"/>
                <w:sz w:val="24"/>
                <w:vertAlign w:val="superscript"/>
                <w:lang w:val="en-US" w:eastAsia="zh-CN"/>
              </w:rPr>
              <w:t>3</w:t>
            </w:r>
            <w:r>
              <w:rPr>
                <w:rFonts w:hint="default" w:ascii="Times New Roman" w:hAnsi="Times New Roman" w:eastAsia="仿宋" w:cs="Times New Roman"/>
                <w:bCs/>
                <w:color w:val="auto"/>
                <w:sz w:val="24"/>
                <w:lang w:val="en-US" w:eastAsia="zh-CN"/>
              </w:rPr>
              <w:t>的</w:t>
            </w:r>
            <w:r>
              <w:rPr>
                <w:rFonts w:hint="default" w:ascii="Times New Roman" w:hAnsi="Times New Roman" w:eastAsia="仿宋" w:cs="Times New Roman"/>
                <w:bCs/>
                <w:color w:val="auto"/>
                <w:sz w:val="24"/>
              </w:rPr>
              <w:t>事故应急池</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事故状态下，雨污水排口的截流阀关闭，可确保消防废水控制在厂区内，不外排。收集的消防废水必须根据水质处理，杜绝不经处理直接排入外环境。</w:t>
            </w:r>
          </w:p>
          <w:p w14:paraId="3E5FDF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Cs w:val="28"/>
                <w:highlight w:val="none"/>
                <w:lang w:val="en-US" w:eastAsia="zh-CN"/>
              </w:rPr>
            </w:pPr>
            <w:r>
              <w:rPr>
                <w:rFonts w:hint="default" w:ascii="Times New Roman" w:hAnsi="Times New Roman" w:eastAsia="仿宋" w:cs="Times New Roman"/>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4090670</wp:posOffset>
                      </wp:positionH>
                      <wp:positionV relativeFrom="paragraph">
                        <wp:posOffset>1504950</wp:posOffset>
                      </wp:positionV>
                      <wp:extent cx="1163320" cy="31940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163320"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8D0A1">
                                  <w:pPr>
                                    <w:rPr>
                                      <w:rFonts w:hint="eastAsia" w:ascii="仿宋" w:hAnsi="仿宋" w:eastAsia="仿宋" w:cs="仿宋"/>
                                      <w:b/>
                                      <w:bCs/>
                                      <w:color w:val="FF0000"/>
                                      <w:sz w:val="21"/>
                                      <w:szCs w:val="21"/>
                                      <w:lang w:val="en-US" w:eastAsia="zh-CN"/>
                                    </w:rPr>
                                  </w:pPr>
                                  <w:r>
                                    <w:rPr>
                                      <w:rFonts w:hint="eastAsia" w:ascii="仿宋" w:hAnsi="仿宋" w:eastAsia="仿宋" w:cs="仿宋"/>
                                      <w:b/>
                                      <w:bCs/>
                                      <w:color w:val="FF0000"/>
                                      <w:sz w:val="21"/>
                                      <w:szCs w:val="21"/>
                                      <w:lang w:val="en-US" w:eastAsia="zh-CN"/>
                                    </w:rPr>
                                    <w:t>雨水排放口阀门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pt;margin-top:118.5pt;height:25.15pt;width:91.6pt;z-index:251663360;mso-width-relative:page;mso-height-relative:page;" filled="f" stroked="f" coordsize="21600,21600" o:gfxdata="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mtxudwAAAALAQAADwAAAAAAAAABACAAAAAiAAAA&#10;ZHJzL2Rvd25yZXYueG1sUEsBAhQAFAAAAAgAh07iQIk1MNA8AgAAaAQAAA4AAAAAAAAAAQAgAAAA&#10;KwEAAGRycy9lMm9Eb2MueG1sUEsFBgAAAAAGAAYAWQEAANkFAAAAAA==&#10;">
                      <v:fill on="f" focussize="0,0"/>
                      <v:stroke on="f" weight="0.5pt"/>
                      <v:imagedata o:title=""/>
                      <o:lock v:ext="edit" aspectratio="f"/>
                      <v:textbox>
                        <w:txbxContent>
                          <w:p w14:paraId="39D8D0A1">
                            <w:pPr>
                              <w:rPr>
                                <w:rFonts w:hint="eastAsia" w:ascii="仿宋" w:hAnsi="仿宋" w:eastAsia="仿宋" w:cs="仿宋"/>
                                <w:b/>
                                <w:bCs/>
                                <w:color w:val="FF0000"/>
                                <w:sz w:val="21"/>
                                <w:szCs w:val="21"/>
                                <w:lang w:val="en-US" w:eastAsia="zh-CN"/>
                              </w:rPr>
                            </w:pPr>
                            <w:r>
                              <w:rPr>
                                <w:rFonts w:hint="eastAsia" w:ascii="仿宋" w:hAnsi="仿宋" w:eastAsia="仿宋" w:cs="仿宋"/>
                                <w:b/>
                                <w:bCs/>
                                <w:color w:val="FF0000"/>
                                <w:sz w:val="21"/>
                                <w:szCs w:val="21"/>
                                <w:lang w:val="en-US" w:eastAsia="zh-CN"/>
                              </w:rPr>
                              <w:t>雨水排放口阀门</w:t>
                            </w:r>
                          </w:p>
                        </w:txbxContent>
                      </v:textbox>
                    </v:shape>
                  </w:pict>
                </mc:Fallback>
              </mc:AlternateContent>
            </w:r>
            <w:r>
              <w:rPr>
                <w:rFonts w:hint="default" w:ascii="Times New Roman" w:hAnsi="Times New Roman" w:eastAsia="仿宋" w:cs="Times New Roman"/>
                <w:color w:val="auto"/>
                <w:sz w:val="28"/>
                <w:highlight w:val="none"/>
              </w:rPr>
              <mc:AlternateContent>
                <mc:Choice Requires="wps">
                  <w:drawing>
                    <wp:anchor distT="0" distB="0" distL="114300" distR="114300" simplePos="0" relativeHeight="251662336" behindDoc="0" locked="0" layoutInCell="1" allowOverlap="1">
                      <wp:simplePos x="0" y="0"/>
                      <wp:positionH relativeFrom="column">
                        <wp:posOffset>4044315</wp:posOffset>
                      </wp:positionH>
                      <wp:positionV relativeFrom="paragraph">
                        <wp:posOffset>1304925</wp:posOffset>
                      </wp:positionV>
                      <wp:extent cx="551815" cy="280670"/>
                      <wp:effectExtent l="3175" t="5715" r="16510" b="18415"/>
                      <wp:wrapNone/>
                      <wp:docPr id="60" name="直接连接符 60"/>
                      <wp:cNvGraphicFramePr/>
                      <a:graphic xmlns:a="http://schemas.openxmlformats.org/drawingml/2006/main">
                        <a:graphicData uri="http://schemas.microsoft.com/office/word/2010/wordprocessingShape">
                          <wps:wsp>
                            <wps:cNvCnPr/>
                            <wps:spPr>
                              <a:xfrm flipH="1" flipV="1">
                                <a:off x="0" y="0"/>
                                <a:ext cx="551815" cy="280670"/>
                              </a:xfrm>
                              <a:prstGeom prst="line">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18.45pt;margin-top:102.75pt;height:22.1pt;width:43.45pt;z-index:251662336;mso-width-relative:page;mso-height-relative:page;" filled="f" stroked="t" coordsize="21600,21600" o:gfxdata="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4UGHdsAAAALAQAADwAAAAAAAAABACAAAAAiAAAAZHJzL2Rvd25yZXYueG1sUEsBAhQAFAAA&#10;AAgAh07iQP62E9vsAQAAtQMAAA4AAAAAAAAAAQAgAAAAKgEAAGRycy9lMm9Eb2MueG1sUEsFBgAA&#10;AAAGAAYAWQEAAIgFAAAAAA==&#10;">
                      <v:fill on="f" focussize="0,0"/>
                      <v:stroke weight="1pt" color="#FF0000 [3204]" joinstyle="round"/>
                      <v:imagedata o:title=""/>
                      <o:lock v:ext="edit" aspectratio="f"/>
                    </v:line>
                  </w:pict>
                </mc:Fallback>
              </mc:AlternateContent>
            </w:r>
            <w:r>
              <w:rPr>
                <w:rFonts w:hint="default" w:ascii="Times New Roman" w:hAnsi="Times New Roman" w:eastAsia="仿宋" w:cs="Times New Roman"/>
                <w:color w:val="auto"/>
                <w:sz w:val="28"/>
                <w:highlight w:val="none"/>
              </w:rPr>
              <mc:AlternateContent>
                <mc:Choice Requires="wps">
                  <w:drawing>
                    <wp:anchor distT="0" distB="0" distL="114300" distR="114300" simplePos="0" relativeHeight="251665408" behindDoc="0" locked="0" layoutInCell="1" allowOverlap="1">
                      <wp:simplePos x="0" y="0"/>
                      <wp:positionH relativeFrom="column">
                        <wp:posOffset>1566545</wp:posOffset>
                      </wp:positionH>
                      <wp:positionV relativeFrom="paragraph">
                        <wp:posOffset>1400175</wp:posOffset>
                      </wp:positionV>
                      <wp:extent cx="1129665" cy="305435"/>
                      <wp:effectExtent l="0" t="0" r="0" b="0"/>
                      <wp:wrapNone/>
                      <wp:docPr id="56" name="文本框 56"/>
                      <wp:cNvGraphicFramePr/>
                      <a:graphic xmlns:a="http://schemas.openxmlformats.org/drawingml/2006/main">
                        <a:graphicData uri="http://schemas.microsoft.com/office/word/2010/wordprocessingShape">
                          <wps:wsp>
                            <wps:cNvSpPr txBox="1"/>
                            <wps:spPr>
                              <a:xfrm>
                                <a:off x="2201545" y="6371590"/>
                                <a:ext cx="112966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5AD81">
                                  <w:pPr>
                                    <w:rPr>
                                      <w:rFonts w:hint="eastAsia" w:ascii="仿宋" w:hAnsi="仿宋" w:eastAsia="仿宋" w:cs="仿宋"/>
                                      <w:b/>
                                      <w:bCs/>
                                      <w:color w:val="FF0000"/>
                                      <w:sz w:val="21"/>
                                      <w:szCs w:val="21"/>
                                      <w:lang w:val="en-US" w:eastAsia="zh-CN"/>
                                    </w:rPr>
                                  </w:pPr>
                                  <w:r>
                                    <w:rPr>
                                      <w:rFonts w:hint="eastAsia" w:ascii="仿宋" w:hAnsi="仿宋" w:eastAsia="仿宋" w:cs="仿宋"/>
                                      <w:b/>
                                      <w:bCs/>
                                      <w:color w:val="FF0000"/>
                                      <w:sz w:val="21"/>
                                      <w:szCs w:val="21"/>
                                      <w:lang w:val="en-US" w:eastAsia="zh-CN"/>
                                    </w:rPr>
                                    <w:t>事故应急池阀门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10.25pt;height:24.05pt;width:88.95pt;z-index:251665408;mso-width-relative:page;mso-height-relative:page;" filled="f" stroked="f" coordsize="21600,21600" o:gfxdata="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UKha3bAAAACwEAAA8AAAAAAAAA&#10;AQAgAAAAIgAAAGRycy9kb3ducmV2LnhtbFBLAQIUABQAAAAIAIdO4kD9sPjXRwIAAHQEAAAOAAAA&#10;AAAAAAEAIAAAACoBAABkcnMvZTJvRG9jLnhtbFBLBQYAAAAABgAGAFkBAADjBQAAAAA=&#10;">
                      <v:fill on="f" focussize="0,0"/>
                      <v:stroke on="f" weight="0.5pt"/>
                      <v:imagedata o:title=""/>
                      <o:lock v:ext="edit" aspectratio="f"/>
                      <v:textbox>
                        <w:txbxContent>
                          <w:p w14:paraId="3655AD81">
                            <w:pPr>
                              <w:rPr>
                                <w:rFonts w:hint="eastAsia" w:ascii="仿宋" w:hAnsi="仿宋" w:eastAsia="仿宋" w:cs="仿宋"/>
                                <w:b/>
                                <w:bCs/>
                                <w:color w:val="FF0000"/>
                                <w:sz w:val="21"/>
                                <w:szCs w:val="21"/>
                                <w:lang w:val="en-US" w:eastAsia="zh-CN"/>
                              </w:rPr>
                            </w:pPr>
                            <w:r>
                              <w:rPr>
                                <w:rFonts w:hint="eastAsia" w:ascii="仿宋" w:hAnsi="仿宋" w:eastAsia="仿宋" w:cs="仿宋"/>
                                <w:b/>
                                <w:bCs/>
                                <w:color w:val="FF0000"/>
                                <w:sz w:val="21"/>
                                <w:szCs w:val="21"/>
                                <w:lang w:val="en-US" w:eastAsia="zh-CN"/>
                              </w:rPr>
                              <w:t>事故应急池阀门</w:t>
                            </w:r>
                          </w:p>
                        </w:txbxContent>
                      </v:textbox>
                    </v:shape>
                  </w:pict>
                </mc:Fallback>
              </mc:AlternateContent>
            </w:r>
            <w:r>
              <w:rPr>
                <w:rFonts w:hint="default" w:ascii="Times New Roman" w:hAnsi="Times New Roman" w:eastAsia="仿宋" w:cs="Times New Roman"/>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1960245</wp:posOffset>
                      </wp:positionH>
                      <wp:positionV relativeFrom="paragraph">
                        <wp:posOffset>1094105</wp:posOffset>
                      </wp:positionV>
                      <wp:extent cx="187960" cy="243840"/>
                      <wp:effectExtent l="5080" t="3810" r="16510" b="19050"/>
                      <wp:wrapNone/>
                      <wp:docPr id="58" name="直接连接符 58"/>
                      <wp:cNvGraphicFramePr/>
                      <a:graphic xmlns:a="http://schemas.openxmlformats.org/drawingml/2006/main">
                        <a:graphicData uri="http://schemas.microsoft.com/office/word/2010/wordprocessingShape">
                          <wps:wsp>
                            <wps:cNvCnPr/>
                            <wps:spPr>
                              <a:xfrm>
                                <a:off x="2085340" y="6636385"/>
                                <a:ext cx="187960" cy="243840"/>
                              </a:xfrm>
                              <a:prstGeom prst="line">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4.35pt;margin-top:86.15pt;height:19.2pt;width:14.8pt;z-index:251664384;mso-width-relative:page;mso-height-relative:page;" filled="f" stroked="t" coordsize="21600,21600" o:gfxdata="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VgLdL2QAAAAsBAAAPAAAAAAAAAAEAIAAAACIAAABkcnMvZG93bnJldi54bWxQSwECFAAUAAAA&#10;CACHTuJAoTWfte0BAACtAwAADgAAAAAAAAABACAAAAAoAQAAZHJzL2Uyb0RvYy54bWxQSwUGAAAA&#10;AAYABgBZAQAAhwUAAAAA&#10;">
                      <v:fill on="f" focussize="0,0"/>
                      <v:stroke weight="1pt" color="#FF0000 [3204]" joinstyle="round"/>
                      <v:imagedata o:title=""/>
                      <o:lock v:ext="edit" aspectratio="f"/>
                    </v:line>
                  </w:pict>
                </mc:Fallback>
              </mc:AlternateContent>
            </w:r>
            <w:r>
              <w:rPr>
                <w:rFonts w:hint="default" w:ascii="Times New Roman" w:hAnsi="Times New Roman" w:eastAsia="仿宋" w:cs="Times New Roman"/>
                <w:color w:val="auto"/>
                <w:sz w:val="28"/>
                <w:highlight w:val="none"/>
              </w:rPr>
              <w:drawing>
                <wp:inline distT="0" distB="0" distL="114300" distR="114300">
                  <wp:extent cx="2600325" cy="1841500"/>
                  <wp:effectExtent l="0" t="0" r="9525" b="6350"/>
                  <wp:docPr id="57" name="图片 57" descr="2fb796f31afe0ebf8e5fb0d016b04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fb796f31afe0ebf8e5fb0d016b0470c"/>
                          <pic:cNvPicPr>
                            <a:picLocks noChangeAspect="1"/>
                          </pic:cNvPicPr>
                        </pic:nvPicPr>
                        <pic:blipFill>
                          <a:blip r:embed="rId57"/>
                          <a:srcRect b="5551"/>
                          <a:stretch>
                            <a:fillRect/>
                          </a:stretch>
                        </pic:blipFill>
                        <pic:spPr>
                          <a:xfrm>
                            <a:off x="0" y="0"/>
                            <a:ext cx="2600325" cy="1841500"/>
                          </a:xfrm>
                          <a:prstGeom prst="rect">
                            <a:avLst/>
                          </a:prstGeom>
                        </pic:spPr>
                      </pic:pic>
                    </a:graphicData>
                  </a:graphic>
                </wp:inline>
              </w:drawing>
            </w:r>
            <w:r>
              <w:rPr>
                <w:rFonts w:hint="default" w:ascii="Times New Roman" w:hAnsi="Times New Roman" w:eastAsia="仿宋" w:cs="Times New Roman"/>
                <w:color w:val="auto"/>
                <w:szCs w:val="28"/>
                <w:highlight w:val="none"/>
                <w:lang w:val="en-US" w:eastAsia="zh-CN"/>
              </w:rPr>
              <w:t xml:space="preserve"> </w:t>
            </w:r>
            <w:r>
              <w:rPr>
                <w:rFonts w:hint="default" w:ascii="Times New Roman" w:hAnsi="Times New Roman" w:eastAsia="仿宋" w:cs="Times New Roman"/>
                <w:b/>
                <w:bCs w:val="0"/>
                <w:color w:val="auto"/>
                <w:sz w:val="28"/>
                <w:szCs w:val="28"/>
                <w:highlight w:val="none"/>
                <w:lang w:val="en-US" w:eastAsia="zh-CN"/>
              </w:rPr>
              <w:drawing>
                <wp:inline distT="0" distB="0" distL="114300" distR="114300">
                  <wp:extent cx="2284095" cy="1814830"/>
                  <wp:effectExtent l="0" t="0" r="1905" b="13970"/>
                  <wp:docPr id="61" name="图片 61" descr="885ce9de9215e152bb76cbd9c641d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85ce9de9215e152bb76cbd9c641d877"/>
                          <pic:cNvPicPr>
                            <a:picLocks noChangeAspect="1"/>
                          </pic:cNvPicPr>
                        </pic:nvPicPr>
                        <pic:blipFill>
                          <a:blip r:embed="rId58"/>
                          <a:srcRect t="21610" b="18819"/>
                          <a:stretch>
                            <a:fillRect/>
                          </a:stretch>
                        </pic:blipFill>
                        <pic:spPr>
                          <a:xfrm>
                            <a:off x="0" y="0"/>
                            <a:ext cx="2284095" cy="1814830"/>
                          </a:xfrm>
                          <a:prstGeom prst="rect">
                            <a:avLst/>
                          </a:prstGeom>
                        </pic:spPr>
                      </pic:pic>
                    </a:graphicData>
                  </a:graphic>
                </wp:inline>
              </w:drawing>
            </w:r>
          </w:p>
          <w:p w14:paraId="22E35799">
            <w:pPr>
              <w:spacing w:line="240" w:lineRule="auto"/>
              <w:ind w:left="0" w:leftChars="0" w:right="0" w:rightChars="0" w:firstLine="0" w:firstLineChars="0"/>
              <w:jc w:val="center"/>
              <w:rPr>
                <w:rFonts w:hint="default" w:ascii="Times New Roman" w:hAnsi="Times New Roman" w:eastAsia="仿宋" w:cs="Times New Roman"/>
                <w:color w:val="auto"/>
                <w:sz w:val="28"/>
                <w:szCs w:val="21"/>
                <w:highlight w:val="none"/>
              </w:rPr>
            </w:pPr>
            <w:r>
              <w:rPr>
                <w:rFonts w:hint="default" w:ascii="Times New Roman" w:hAnsi="Times New Roman" w:eastAsia="仿宋" w:cs="Times New Roman"/>
                <w:b/>
                <w:bCs w:val="0"/>
                <w:color w:val="auto"/>
                <w:sz w:val="24"/>
                <w:szCs w:val="24"/>
                <w:highlight w:val="none"/>
                <w:lang w:val="en-US" w:eastAsia="zh-CN"/>
              </w:rPr>
              <w:t>厂区30m</w:t>
            </w:r>
            <w:r>
              <w:rPr>
                <w:rFonts w:hint="default" w:ascii="Times New Roman" w:hAnsi="Times New Roman" w:eastAsia="仿宋" w:cs="Times New Roman"/>
                <w:b/>
                <w:bCs w:val="0"/>
                <w:color w:val="auto"/>
                <w:sz w:val="24"/>
                <w:szCs w:val="24"/>
                <w:highlight w:val="none"/>
                <w:vertAlign w:val="superscript"/>
                <w:lang w:val="en-US" w:eastAsia="zh-CN"/>
              </w:rPr>
              <w:t>3</w:t>
            </w:r>
            <w:r>
              <w:rPr>
                <w:rFonts w:hint="default" w:ascii="Times New Roman" w:hAnsi="Times New Roman" w:eastAsia="仿宋" w:cs="Times New Roman"/>
                <w:b/>
                <w:bCs w:val="0"/>
                <w:color w:val="auto"/>
                <w:sz w:val="24"/>
                <w:szCs w:val="24"/>
                <w:highlight w:val="none"/>
                <w:lang w:val="en-US" w:eastAsia="zh-CN"/>
              </w:rPr>
              <w:t>事故应急池、雨水排放口及阀门照片</w:t>
            </w:r>
          </w:p>
          <w:p w14:paraId="62D4A6E9">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6、事故应急预案</w:t>
            </w:r>
          </w:p>
          <w:p w14:paraId="38307A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根据《中华人民共和国环境保护法》（2014年修订）中</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第四十七条：企业事业单位应当按照国家有关规定制定突发环境事件应急预案，报环境保护主管部门和有关部门备案</w:t>
            </w:r>
            <w:r>
              <w:rPr>
                <w:rFonts w:hint="eastAsia" w:eastAsia="仿宋" w:cs="Times New Roman"/>
                <w:bCs/>
                <w:color w:val="auto"/>
                <w:sz w:val="24"/>
                <w:lang w:eastAsia="zh-CN"/>
              </w:rPr>
              <w:t>”</w:t>
            </w:r>
            <w:r>
              <w:rPr>
                <w:rFonts w:hint="eastAsia" w:eastAsia="仿宋" w:cs="Times New Roman"/>
                <w:bCs/>
                <w:color w:val="auto"/>
                <w:sz w:val="24"/>
                <w:lang w:val="en-US" w:eastAsia="zh-CN"/>
              </w:rPr>
              <w:t>及</w:t>
            </w:r>
            <w:r>
              <w:rPr>
                <w:rFonts w:hint="default" w:ascii="Times New Roman" w:hAnsi="Times New Roman" w:eastAsia="仿宋" w:cs="Times New Roman"/>
                <w:bCs/>
                <w:color w:val="auto"/>
                <w:sz w:val="24"/>
              </w:rPr>
              <w:t>《中华人民共和国固体废物污染环境防治法》（2020年修订）中</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第85条：产生、收集、贮存、运输、利用、处置危险废物的单位，应当依法制定意外事故的防范措施和应急预案，并向所在地生态环境主管部门和其他负有固体废物污染环境防治监督管理职责的部门备案</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，项目</w:t>
            </w:r>
            <w:r>
              <w:rPr>
                <w:rFonts w:hint="default" w:ascii="Times New Roman" w:hAnsi="Times New Roman" w:eastAsia="仿宋" w:cs="Times New Roman"/>
                <w:bCs/>
                <w:color w:val="auto"/>
                <w:sz w:val="24"/>
                <w:lang w:val="en-US" w:eastAsia="zh-CN"/>
              </w:rPr>
              <w:t>检测</w:t>
            </w:r>
            <w:r>
              <w:rPr>
                <w:rFonts w:hint="default" w:ascii="Times New Roman" w:hAnsi="Times New Roman" w:eastAsia="仿宋" w:cs="Times New Roman"/>
                <w:bCs/>
                <w:color w:val="auto"/>
                <w:sz w:val="24"/>
              </w:rPr>
              <w:t>过程中产生</w:t>
            </w:r>
            <w:r>
              <w:rPr>
                <w:rFonts w:hint="default" w:ascii="Times New Roman" w:hAnsi="Times New Roman" w:eastAsia="仿宋" w:cs="Times New Roman"/>
                <w:bCs/>
                <w:color w:val="auto"/>
                <w:sz w:val="24"/>
                <w:lang w:val="en-US" w:eastAsia="zh-CN"/>
              </w:rPr>
              <w:t>危险废物</w:t>
            </w:r>
            <w:r>
              <w:rPr>
                <w:rFonts w:hint="default" w:ascii="Times New Roman" w:hAnsi="Times New Roman" w:eastAsia="仿宋" w:cs="Times New Roman"/>
                <w:bCs/>
                <w:color w:val="auto"/>
                <w:sz w:val="24"/>
              </w:rPr>
              <w:t>，因此，企业需制定企业事业单位突发环境事件应急预案并提交环保部门备案。</w:t>
            </w:r>
          </w:p>
          <w:p w14:paraId="30F694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目前企业已编制《伊莎贝棱辉特（常州）电子科技有限公司突发环境事件应急预案》，并取得备案（</w:t>
            </w:r>
            <w:r>
              <w:rPr>
                <w:rFonts w:hint="eastAsia" w:eastAsia="仿宋" w:cs="Times New Roman"/>
                <w:bCs/>
                <w:color w:val="auto"/>
                <w:sz w:val="24"/>
                <w:highlight w:val="none"/>
                <w:lang w:val="en-US" w:eastAsia="zh-CN"/>
              </w:rPr>
              <w:t>备案编号</w:t>
            </w:r>
            <w:r>
              <w:rPr>
                <w:rFonts w:hint="eastAsia" w:eastAsia="仿宋" w:cs="Times New Roman"/>
                <w:color w:val="auto"/>
                <w:kern w:val="2"/>
                <w:sz w:val="24"/>
                <w:szCs w:val="24"/>
                <w:lang w:val="en-US" w:eastAsia="zh-CN" w:bidi="ar-SA"/>
              </w:rPr>
              <w:t>320413-2025-244-L</w:t>
            </w:r>
            <w:r>
              <w:rPr>
                <w:rFonts w:hint="default" w:ascii="Times New Roman" w:hAnsi="Times New Roman" w:eastAsia="仿宋" w:cs="Times New Roman"/>
                <w:bCs/>
                <w:color w:val="auto"/>
                <w:sz w:val="24"/>
                <w:highlight w:val="none"/>
                <w:lang w:val="en-US" w:eastAsia="zh-CN"/>
              </w:rPr>
              <w:t>），本项目通过审批后需及时进行修订。</w:t>
            </w:r>
          </w:p>
          <w:p w14:paraId="3320CCFB">
            <w:pPr>
              <w:numPr>
                <w:ilvl w:val="0"/>
                <w:numId w:val="0"/>
              </w:numPr>
              <w:adjustRightInd w:val="0"/>
              <w:snapToGrid w:val="0"/>
              <w:spacing w:line="360" w:lineRule="auto"/>
              <w:ind w:left="0" w:leftChars="0" w:firstLine="480" w:firstLineChars="200"/>
              <w:jc w:val="left"/>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kern w:val="2"/>
                <w:sz w:val="24"/>
                <w:szCs w:val="24"/>
                <w:lang w:val="en-US" w:eastAsia="zh-CN" w:bidi="ar-SA"/>
              </w:rPr>
              <w:t>7、</w:t>
            </w:r>
            <w:r>
              <w:rPr>
                <w:rFonts w:hint="default" w:ascii="Times New Roman" w:hAnsi="Times New Roman" w:eastAsia="仿宋" w:cs="Times New Roman"/>
                <w:bCs/>
                <w:color w:val="auto"/>
                <w:sz w:val="24"/>
                <w:lang w:val="en-US" w:eastAsia="zh-CN"/>
              </w:rPr>
              <w:t>结论</w:t>
            </w:r>
          </w:p>
          <w:p w14:paraId="014FF8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建设项目采取有效的事故防范、减缓措施，加强风险防范和应急预案，环境风险可控。</w:t>
            </w:r>
          </w:p>
          <w:p w14:paraId="3A9B72D7">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建设项目环境风险简单分析内容表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523"/>
              <w:gridCol w:w="1570"/>
              <w:gridCol w:w="1426"/>
              <w:gridCol w:w="1284"/>
              <w:gridCol w:w="1055"/>
            </w:tblGrid>
            <w:tr w14:paraId="0BD3A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12" w:space="0"/>
                    <w:left w:val="nil"/>
                    <w:bottom w:val="single" w:color="auto" w:sz="4" w:space="0"/>
                    <w:right w:val="single" w:color="auto" w:sz="4" w:space="0"/>
                  </w:tcBorders>
                  <w:vAlign w:val="center"/>
                </w:tcPr>
                <w:p w14:paraId="294C097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建设项目名称</w:t>
                  </w:r>
                </w:p>
              </w:tc>
              <w:tc>
                <w:tcPr>
                  <w:tcW w:w="4049" w:type="pct"/>
                  <w:gridSpan w:val="5"/>
                  <w:tcBorders>
                    <w:top w:val="single" w:color="auto" w:sz="12" w:space="0"/>
                    <w:left w:val="nil"/>
                    <w:bottom w:val="single" w:color="auto" w:sz="4" w:space="0"/>
                    <w:right w:val="nil"/>
                  </w:tcBorders>
                  <w:vAlign w:val="center"/>
                </w:tcPr>
                <w:p w14:paraId="460514F5">
                  <w:pPr>
                    <w:adjustRightInd w:val="0"/>
                    <w:snapToGrid w:val="0"/>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Cs/>
                      <w:color w:val="auto"/>
                      <w:szCs w:val="21"/>
                      <w:lang w:eastAsia="zh-CN"/>
                    </w:rPr>
                    <w:t>扩建实验室项目</w:t>
                  </w:r>
                </w:p>
              </w:tc>
            </w:tr>
            <w:tr w14:paraId="7CED9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4" w:space="0"/>
                    <w:left w:val="nil"/>
                    <w:bottom w:val="single" w:color="auto" w:sz="4" w:space="0"/>
                    <w:right w:val="single" w:color="auto" w:sz="4" w:space="0"/>
                  </w:tcBorders>
                  <w:vAlign w:val="center"/>
                </w:tcPr>
                <w:p w14:paraId="696D5F94">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建设地点</w:t>
                  </w:r>
                </w:p>
              </w:tc>
              <w:tc>
                <w:tcPr>
                  <w:tcW w:w="899" w:type="pct"/>
                  <w:tcBorders>
                    <w:top w:val="single" w:color="auto" w:sz="4" w:space="0"/>
                    <w:left w:val="nil"/>
                    <w:bottom w:val="single" w:color="auto" w:sz="4" w:space="0"/>
                    <w:right w:val="single" w:color="auto" w:sz="4" w:space="0"/>
                  </w:tcBorders>
                  <w:vAlign w:val="center"/>
                </w:tcPr>
                <w:p w14:paraId="19AA489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（江苏）省</w:t>
                  </w:r>
                </w:p>
              </w:tc>
              <w:tc>
                <w:tcPr>
                  <w:tcW w:w="927" w:type="pct"/>
                  <w:tcBorders>
                    <w:top w:val="single" w:color="auto" w:sz="4" w:space="0"/>
                    <w:left w:val="nil"/>
                    <w:bottom w:val="single" w:color="auto" w:sz="4" w:space="0"/>
                    <w:right w:val="single" w:color="auto" w:sz="4" w:space="0"/>
                  </w:tcBorders>
                  <w:vAlign w:val="center"/>
                </w:tcPr>
                <w:p w14:paraId="7810F5D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（常州）市</w:t>
                  </w:r>
                </w:p>
              </w:tc>
              <w:tc>
                <w:tcPr>
                  <w:tcW w:w="841" w:type="pct"/>
                  <w:tcBorders>
                    <w:top w:val="single" w:color="auto" w:sz="4" w:space="0"/>
                    <w:left w:val="nil"/>
                    <w:bottom w:val="single" w:color="auto" w:sz="4" w:space="0"/>
                    <w:right w:val="single" w:color="auto" w:sz="4" w:space="0"/>
                  </w:tcBorders>
                  <w:vAlign w:val="center"/>
                </w:tcPr>
                <w:p w14:paraId="766AFEE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（金坛经济开发）区</w:t>
                  </w:r>
                </w:p>
              </w:tc>
              <w:tc>
                <w:tcPr>
                  <w:tcW w:w="758" w:type="pct"/>
                  <w:tcBorders>
                    <w:top w:val="single" w:color="auto" w:sz="4" w:space="0"/>
                    <w:left w:val="nil"/>
                    <w:bottom w:val="single" w:color="auto" w:sz="4" w:space="0"/>
                    <w:right w:val="single" w:color="auto" w:sz="4" w:space="0"/>
                  </w:tcBorders>
                  <w:vAlign w:val="center"/>
                </w:tcPr>
                <w:p w14:paraId="36594E6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（/）镇</w:t>
                  </w:r>
                </w:p>
              </w:tc>
              <w:tc>
                <w:tcPr>
                  <w:tcW w:w="622" w:type="pct"/>
                  <w:tcBorders>
                    <w:top w:val="single" w:color="auto" w:sz="4" w:space="0"/>
                    <w:left w:val="nil"/>
                    <w:bottom w:val="single" w:color="auto" w:sz="4" w:space="0"/>
                    <w:right w:val="nil"/>
                  </w:tcBorders>
                  <w:vAlign w:val="center"/>
                </w:tcPr>
                <w:p w14:paraId="296A812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（/）园区</w:t>
                  </w:r>
                </w:p>
              </w:tc>
            </w:tr>
            <w:tr w14:paraId="275E5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4" w:space="0"/>
                    <w:left w:val="nil"/>
                    <w:bottom w:val="single" w:color="auto" w:sz="4" w:space="0"/>
                    <w:right w:val="single" w:color="auto" w:sz="4" w:space="0"/>
                  </w:tcBorders>
                  <w:vAlign w:val="center"/>
                </w:tcPr>
                <w:p w14:paraId="71C84FE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地理坐标</w:t>
                  </w:r>
                </w:p>
              </w:tc>
              <w:tc>
                <w:tcPr>
                  <w:tcW w:w="899" w:type="pct"/>
                  <w:tcBorders>
                    <w:top w:val="single" w:color="auto" w:sz="4" w:space="0"/>
                    <w:left w:val="nil"/>
                    <w:bottom w:val="single" w:color="auto" w:sz="4" w:space="0"/>
                    <w:right w:val="single" w:color="auto" w:sz="4" w:space="0"/>
                  </w:tcBorders>
                  <w:vAlign w:val="center"/>
                </w:tcPr>
                <w:p w14:paraId="380BEDC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经度</w:t>
                  </w:r>
                </w:p>
              </w:tc>
              <w:tc>
                <w:tcPr>
                  <w:tcW w:w="927" w:type="pct"/>
                  <w:tcBorders>
                    <w:top w:val="single" w:color="auto" w:sz="4" w:space="0"/>
                    <w:left w:val="nil"/>
                    <w:bottom w:val="single" w:color="auto" w:sz="4" w:space="0"/>
                    <w:right w:val="single" w:color="auto" w:sz="4" w:space="0"/>
                  </w:tcBorders>
                  <w:vAlign w:val="center"/>
                </w:tcPr>
                <w:p w14:paraId="22C0E90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119度39分11.44420秒</w:t>
                  </w:r>
                </w:p>
              </w:tc>
              <w:tc>
                <w:tcPr>
                  <w:tcW w:w="841" w:type="pct"/>
                  <w:tcBorders>
                    <w:top w:val="single" w:color="auto" w:sz="4" w:space="0"/>
                    <w:left w:val="nil"/>
                    <w:bottom w:val="single" w:color="auto" w:sz="4" w:space="0"/>
                    <w:right w:val="single" w:color="auto" w:sz="4" w:space="0"/>
                  </w:tcBorders>
                  <w:vAlign w:val="center"/>
                </w:tcPr>
                <w:p w14:paraId="5BA9147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纬度</w:t>
                  </w:r>
                </w:p>
              </w:tc>
              <w:tc>
                <w:tcPr>
                  <w:tcW w:w="1381" w:type="pct"/>
                  <w:gridSpan w:val="2"/>
                  <w:tcBorders>
                    <w:top w:val="single" w:color="auto" w:sz="4" w:space="0"/>
                    <w:left w:val="nil"/>
                    <w:bottom w:val="single" w:color="auto" w:sz="4" w:space="0"/>
                    <w:right w:val="nil"/>
                  </w:tcBorders>
                  <w:vAlign w:val="center"/>
                </w:tcPr>
                <w:p w14:paraId="0F36C82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31度44分1.84631秒</w:t>
                  </w:r>
                </w:p>
              </w:tc>
            </w:tr>
            <w:tr w14:paraId="18DDC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vMerge w:val="restart"/>
                  <w:tcBorders>
                    <w:top w:val="single" w:color="auto" w:sz="4" w:space="0"/>
                    <w:left w:val="nil"/>
                    <w:right w:val="single" w:color="auto" w:sz="4" w:space="0"/>
                  </w:tcBorders>
                  <w:vAlign w:val="center"/>
                </w:tcPr>
                <w:p w14:paraId="03919A0F">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主要危险物质及分布</w:t>
                  </w:r>
                </w:p>
              </w:tc>
              <w:tc>
                <w:tcPr>
                  <w:tcW w:w="2668" w:type="pct"/>
                  <w:gridSpan w:val="3"/>
                  <w:tcBorders>
                    <w:top w:val="single" w:color="auto" w:sz="4" w:space="0"/>
                    <w:left w:val="nil"/>
                    <w:bottom w:val="single" w:color="auto" w:sz="4" w:space="0"/>
                    <w:right w:val="single" w:color="auto" w:sz="4" w:space="0"/>
                  </w:tcBorders>
                  <w:vAlign w:val="center"/>
                </w:tcPr>
                <w:p w14:paraId="24067F2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主要危险物质</w:t>
                  </w:r>
                </w:p>
              </w:tc>
              <w:tc>
                <w:tcPr>
                  <w:tcW w:w="1381" w:type="pct"/>
                  <w:gridSpan w:val="2"/>
                  <w:tcBorders>
                    <w:top w:val="single" w:color="auto" w:sz="4" w:space="0"/>
                    <w:left w:val="single" w:color="auto" w:sz="4" w:space="0"/>
                    <w:bottom w:val="single" w:color="auto" w:sz="4" w:space="0"/>
                    <w:right w:val="nil"/>
                  </w:tcBorders>
                  <w:vAlign w:val="center"/>
                </w:tcPr>
                <w:p w14:paraId="3CE593B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分布情况</w:t>
                  </w:r>
                </w:p>
              </w:tc>
            </w:tr>
            <w:tr w14:paraId="4335A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vMerge w:val="continue"/>
                  <w:tcBorders>
                    <w:left w:val="nil"/>
                    <w:right w:val="single" w:color="auto" w:sz="4" w:space="0"/>
                  </w:tcBorders>
                  <w:vAlign w:val="center"/>
                </w:tcPr>
                <w:p w14:paraId="17970006">
                  <w:pPr>
                    <w:adjustRightInd w:val="0"/>
                    <w:snapToGrid w:val="0"/>
                    <w:jc w:val="center"/>
                    <w:rPr>
                      <w:rFonts w:hint="default" w:ascii="Times New Roman" w:hAnsi="Times New Roman" w:eastAsia="仿宋" w:cs="Times New Roman"/>
                      <w:bCs/>
                      <w:color w:val="auto"/>
                      <w:szCs w:val="21"/>
                    </w:rPr>
                  </w:pPr>
                </w:p>
              </w:tc>
              <w:tc>
                <w:tcPr>
                  <w:tcW w:w="2668" w:type="pct"/>
                  <w:gridSpan w:val="3"/>
                  <w:tcBorders>
                    <w:top w:val="single" w:color="auto" w:sz="4" w:space="0"/>
                    <w:left w:val="nil"/>
                    <w:bottom w:val="single" w:color="auto" w:sz="4" w:space="0"/>
                    <w:right w:val="single" w:color="auto" w:sz="4" w:space="0"/>
                  </w:tcBorders>
                  <w:vAlign w:val="center"/>
                </w:tcPr>
                <w:p w14:paraId="48D61A3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盐酸、氢氧化钠、测铜试剂、测镍试剂、</w:t>
                  </w:r>
                  <w:r>
                    <w:rPr>
                      <w:rFonts w:hint="default" w:ascii="Times New Roman" w:hAnsi="Times New Roman" w:eastAsia="仿宋" w:cs="Times New Roman"/>
                      <w:color w:val="auto"/>
                      <w:szCs w:val="21"/>
                    </w:rPr>
                    <w:t>pH校准溶液</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氯化钾、Technovit4006Powder、</w:t>
                  </w:r>
                  <w:r>
                    <w:rPr>
                      <w:rFonts w:hint="default" w:ascii="Times New Roman" w:hAnsi="Times New Roman" w:eastAsia="仿宋" w:cs="Times New Roman"/>
                      <w:color w:val="auto"/>
                      <w:szCs w:val="21"/>
                    </w:rPr>
                    <w:t>Technovit4006Liquid</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金刚石悬浮研磨液</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highlight w:val="none"/>
                    </w:rPr>
                    <w:t>乙醇氯化铁</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乙醇</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助焊剂</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rPr>
                    <w:t>SC BLF04焊锡膏</w:t>
                  </w:r>
                  <w:r>
                    <w:rPr>
                      <w:rFonts w:hint="default" w:ascii="Times New Roman" w:hAnsi="Times New Roman" w:eastAsia="仿宋" w:cs="Times New Roman"/>
                      <w:color w:val="auto"/>
                      <w:szCs w:val="21"/>
                      <w:lang w:eastAsia="zh-CN"/>
                    </w:rPr>
                    <w:t>、</w:t>
                  </w:r>
                  <w:r>
                    <w:rPr>
                      <w:rFonts w:hint="eastAsia" w:eastAsia="仿宋" w:cs="Times New Roman"/>
                      <w:color w:val="auto"/>
                      <w:szCs w:val="21"/>
                      <w:lang w:val="en-US" w:eastAsia="zh-CN"/>
                    </w:rPr>
                    <w:t>焊锡丝、</w:t>
                  </w:r>
                  <w:r>
                    <w:rPr>
                      <w:rFonts w:hint="default" w:ascii="Times New Roman" w:hAnsi="Times New Roman" w:eastAsia="仿宋" w:cs="Times New Roman"/>
                      <w:color w:val="auto"/>
                      <w:szCs w:val="21"/>
                      <w:lang w:val="en-US" w:eastAsia="zh-CN"/>
                    </w:rPr>
                    <w:t>酒石酸、ZESTRON FA+清洗剂</w:t>
                  </w:r>
                </w:p>
              </w:tc>
              <w:tc>
                <w:tcPr>
                  <w:tcW w:w="1381" w:type="pct"/>
                  <w:gridSpan w:val="2"/>
                  <w:tcBorders>
                    <w:top w:val="single" w:color="auto" w:sz="4" w:space="0"/>
                    <w:left w:val="single" w:color="auto" w:sz="4" w:space="0"/>
                    <w:bottom w:val="single" w:color="auto" w:sz="4" w:space="0"/>
                    <w:right w:val="nil"/>
                  </w:tcBorders>
                  <w:vAlign w:val="center"/>
                </w:tcPr>
                <w:p w14:paraId="4EC019D0">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实验室防爆柜</w:t>
                  </w:r>
                </w:p>
              </w:tc>
            </w:tr>
            <w:tr w14:paraId="2EDF1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50" w:type="pct"/>
                  <w:vMerge w:val="continue"/>
                  <w:tcBorders>
                    <w:left w:val="nil"/>
                    <w:right w:val="single" w:color="auto" w:sz="4" w:space="0"/>
                  </w:tcBorders>
                  <w:vAlign w:val="center"/>
                </w:tcPr>
                <w:p w14:paraId="34C437F1">
                  <w:pPr>
                    <w:adjustRightInd w:val="0"/>
                    <w:snapToGrid w:val="0"/>
                    <w:jc w:val="center"/>
                    <w:rPr>
                      <w:rFonts w:hint="default" w:ascii="Times New Roman" w:hAnsi="Times New Roman" w:eastAsia="仿宋" w:cs="Times New Roman"/>
                      <w:bCs/>
                      <w:color w:val="auto"/>
                      <w:szCs w:val="21"/>
                    </w:rPr>
                  </w:pPr>
                </w:p>
              </w:tc>
              <w:tc>
                <w:tcPr>
                  <w:tcW w:w="2668" w:type="pct"/>
                  <w:gridSpan w:val="3"/>
                  <w:tcBorders>
                    <w:top w:val="single" w:color="auto" w:sz="4" w:space="0"/>
                    <w:left w:val="nil"/>
                    <w:bottom w:val="single" w:color="auto" w:sz="4" w:space="0"/>
                    <w:right w:val="single" w:color="auto" w:sz="4" w:space="0"/>
                  </w:tcBorders>
                  <w:vAlign w:val="center"/>
                </w:tcPr>
                <w:p w14:paraId="490CA76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highlight w:val="none"/>
                      <w:lang w:val="en-US" w:eastAsia="zh-CN"/>
                    </w:rPr>
                    <w:t>碱性清洗剂、</w:t>
                  </w:r>
                  <w:r>
                    <w:rPr>
                      <w:rFonts w:hint="default" w:ascii="Times New Roman" w:hAnsi="Times New Roman" w:eastAsia="仿宋" w:cs="Times New Roman"/>
                      <w:color w:val="auto"/>
                      <w:szCs w:val="21"/>
                      <w:lang w:val="en-US" w:eastAsia="zh-CN"/>
                    </w:rPr>
                    <w:t>设备润滑剂、切削液</w:t>
                  </w:r>
                </w:p>
              </w:tc>
              <w:tc>
                <w:tcPr>
                  <w:tcW w:w="1381" w:type="pct"/>
                  <w:gridSpan w:val="2"/>
                  <w:tcBorders>
                    <w:top w:val="single" w:color="auto" w:sz="4" w:space="0"/>
                    <w:left w:val="single" w:color="auto" w:sz="4" w:space="0"/>
                    <w:bottom w:val="single" w:color="auto" w:sz="4" w:space="0"/>
                    <w:right w:val="nil"/>
                  </w:tcBorders>
                  <w:vAlign w:val="center"/>
                </w:tcPr>
                <w:p w14:paraId="08F5DEAC">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维修间</w:t>
                  </w:r>
                </w:p>
              </w:tc>
            </w:tr>
            <w:tr w14:paraId="56C1F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50" w:type="pct"/>
                  <w:vMerge w:val="continue"/>
                  <w:tcBorders>
                    <w:left w:val="nil"/>
                    <w:bottom w:val="single" w:color="auto" w:sz="4" w:space="0"/>
                    <w:right w:val="single" w:color="auto" w:sz="4" w:space="0"/>
                  </w:tcBorders>
                  <w:vAlign w:val="center"/>
                </w:tcPr>
                <w:p w14:paraId="1E156163">
                  <w:pPr>
                    <w:adjustRightInd w:val="0"/>
                    <w:snapToGrid w:val="0"/>
                    <w:jc w:val="center"/>
                    <w:rPr>
                      <w:rFonts w:hint="default" w:ascii="Times New Roman" w:hAnsi="Times New Roman" w:eastAsia="仿宋" w:cs="Times New Roman"/>
                      <w:bCs/>
                      <w:color w:val="auto"/>
                      <w:szCs w:val="21"/>
                    </w:rPr>
                  </w:pPr>
                </w:p>
              </w:tc>
              <w:tc>
                <w:tcPr>
                  <w:tcW w:w="2668" w:type="pct"/>
                  <w:gridSpan w:val="3"/>
                  <w:tcBorders>
                    <w:top w:val="single" w:color="auto" w:sz="4" w:space="0"/>
                    <w:left w:val="nil"/>
                    <w:bottom w:val="single" w:color="auto" w:sz="4" w:space="0"/>
                    <w:right w:val="single" w:color="auto" w:sz="4" w:space="0"/>
                  </w:tcBorders>
                  <w:vAlign w:val="center"/>
                </w:tcPr>
                <w:p w14:paraId="220B2488">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实验室废液、</w:t>
                  </w:r>
                  <w:r>
                    <w:rPr>
                      <w:rFonts w:hint="default" w:ascii="Times New Roman" w:hAnsi="Times New Roman" w:eastAsia="仿宋" w:cs="Times New Roman"/>
                      <w:color w:val="auto"/>
                      <w:sz w:val="21"/>
                      <w:szCs w:val="21"/>
                    </w:rPr>
                    <w:t>废包装物</w:t>
                  </w:r>
                  <w:r>
                    <w:rPr>
                      <w:rFonts w:hint="eastAsia"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废劳保用品及抹布</w:t>
                  </w:r>
                  <w:r>
                    <w:rPr>
                      <w:rFonts w:hint="eastAsia" w:eastAsia="仿宋" w:cs="Times New Roman"/>
                      <w:color w:val="auto"/>
                      <w:sz w:val="21"/>
                      <w:szCs w:val="21"/>
                      <w:lang w:val="en-US" w:eastAsia="zh-CN"/>
                    </w:rPr>
                    <w:t>、废活性炭</w:t>
                  </w:r>
                </w:p>
              </w:tc>
              <w:tc>
                <w:tcPr>
                  <w:tcW w:w="1381" w:type="pct"/>
                  <w:gridSpan w:val="2"/>
                  <w:tcBorders>
                    <w:top w:val="single" w:color="auto" w:sz="4" w:space="0"/>
                    <w:left w:val="single" w:color="auto" w:sz="4" w:space="0"/>
                    <w:bottom w:val="single" w:color="auto" w:sz="4" w:space="0"/>
                    <w:right w:val="nil"/>
                  </w:tcBorders>
                  <w:vAlign w:val="center"/>
                </w:tcPr>
                <w:p w14:paraId="02970A57">
                  <w:pPr>
                    <w:adjustRightInd w:val="0"/>
                    <w:snapToGrid w:val="0"/>
                    <w:jc w:val="center"/>
                    <w:rPr>
                      <w:rFonts w:hint="default" w:eastAsia="仿宋" w:cs="Times New Roman"/>
                      <w:color w:val="auto"/>
                      <w:szCs w:val="21"/>
                      <w:lang w:val="en-US" w:eastAsia="zh-CN"/>
                    </w:rPr>
                  </w:pPr>
                  <w:r>
                    <w:rPr>
                      <w:rFonts w:hint="eastAsia" w:eastAsia="仿宋" w:cs="Times New Roman"/>
                      <w:color w:val="auto"/>
                      <w:szCs w:val="21"/>
                      <w:lang w:val="en-US" w:eastAsia="zh-CN"/>
                    </w:rPr>
                    <w:t>危废仓库</w:t>
                  </w:r>
                </w:p>
              </w:tc>
            </w:tr>
            <w:tr w14:paraId="26AC8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4" w:space="0"/>
                    <w:left w:val="nil"/>
                    <w:bottom w:val="single" w:color="auto" w:sz="4" w:space="0"/>
                    <w:right w:val="single" w:color="auto" w:sz="4" w:space="0"/>
                  </w:tcBorders>
                  <w:vAlign w:val="center"/>
                </w:tcPr>
                <w:p w14:paraId="2A364993">
                  <w:pPr>
                    <w:adjustRightInd w:val="0"/>
                    <w:snapToGrid w:val="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环境影响途径及危害后果（大气、地表水、地下水等）</w:t>
                  </w:r>
                </w:p>
              </w:tc>
              <w:tc>
                <w:tcPr>
                  <w:tcW w:w="4049" w:type="pct"/>
                  <w:gridSpan w:val="5"/>
                  <w:tcBorders>
                    <w:top w:val="single" w:color="auto" w:sz="4" w:space="0"/>
                    <w:left w:val="nil"/>
                    <w:bottom w:val="single" w:color="auto" w:sz="4" w:space="0"/>
                    <w:right w:val="nil"/>
                  </w:tcBorders>
                  <w:vAlign w:val="center"/>
                </w:tcPr>
                <w:p w14:paraId="6A2E806D">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危险物质主要分布在</w:t>
                  </w:r>
                  <w:r>
                    <w:rPr>
                      <w:rFonts w:hint="default" w:ascii="Times New Roman" w:hAnsi="Times New Roman" w:eastAsia="仿宋" w:cs="Times New Roman"/>
                      <w:color w:val="auto"/>
                      <w:szCs w:val="21"/>
                      <w:lang w:val="en-US" w:eastAsia="zh-CN"/>
                    </w:rPr>
                    <w:t>实验室</w:t>
                  </w:r>
                  <w:r>
                    <w:rPr>
                      <w:rFonts w:hint="eastAsia" w:eastAsia="仿宋" w:cs="Times New Roman"/>
                      <w:color w:val="auto"/>
                      <w:szCs w:val="21"/>
                      <w:lang w:val="en-US" w:eastAsia="zh-CN"/>
                    </w:rPr>
                    <w:t>、维修间</w:t>
                  </w:r>
                  <w:r>
                    <w:rPr>
                      <w:rFonts w:hint="default" w:ascii="Times New Roman" w:hAnsi="Times New Roman" w:eastAsia="仿宋" w:cs="Times New Roman"/>
                      <w:color w:val="auto"/>
                      <w:szCs w:val="21"/>
                    </w:rPr>
                    <w:t>、危废仓库。对环境影响途径包括以上场所发生危险物质泄漏，液体进入雨水管网向外环境扩散，泄漏的危险物质扩散进水中，通过雨水管网进入附近水体，危险物质在下渗过程中会污染地下水，进而流入周围的河流，造成整个周围地区水环境的污染；发生火灾产生的伴生/次生污染物对环境空气造成污染。</w:t>
                  </w:r>
                </w:p>
              </w:tc>
            </w:tr>
            <w:tr w14:paraId="4B8BE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4" w:space="0"/>
                    <w:left w:val="nil"/>
                    <w:bottom w:val="single" w:color="auto" w:sz="4" w:space="0"/>
                    <w:right w:val="single" w:color="auto" w:sz="4" w:space="0"/>
                  </w:tcBorders>
                  <w:vAlign w:val="center"/>
                </w:tcPr>
                <w:p w14:paraId="41DE694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风险防范措施要求</w:t>
                  </w:r>
                </w:p>
              </w:tc>
              <w:tc>
                <w:tcPr>
                  <w:tcW w:w="4049" w:type="pct"/>
                  <w:gridSpan w:val="5"/>
                  <w:tcBorders>
                    <w:top w:val="single" w:color="auto" w:sz="4" w:space="0"/>
                    <w:left w:val="nil"/>
                    <w:bottom w:val="single" w:color="auto" w:sz="4" w:space="0"/>
                    <w:right w:val="nil"/>
                  </w:tcBorders>
                  <w:vAlign w:val="center"/>
                </w:tcPr>
                <w:p w14:paraId="7866E62C">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厂区已</w:t>
                  </w:r>
                  <w:r>
                    <w:rPr>
                      <w:rFonts w:hint="default" w:ascii="Times New Roman" w:hAnsi="Times New Roman" w:eastAsia="仿宋" w:cs="Times New Roman"/>
                      <w:color w:val="auto"/>
                      <w:szCs w:val="21"/>
                    </w:rPr>
                    <w:t>建</w:t>
                  </w:r>
                  <w:r>
                    <w:rPr>
                      <w:rFonts w:hint="default" w:ascii="Times New Roman" w:hAnsi="Times New Roman" w:eastAsia="仿宋" w:cs="Times New Roman"/>
                      <w:color w:val="auto"/>
                      <w:szCs w:val="21"/>
                      <w:lang w:val="en-US" w:eastAsia="zh-CN"/>
                    </w:rPr>
                    <w:t>有</w:t>
                  </w:r>
                  <w:r>
                    <w:rPr>
                      <w:rFonts w:hint="default" w:ascii="Times New Roman" w:hAnsi="Times New Roman" w:eastAsia="仿宋" w:cs="Times New Roman"/>
                      <w:color w:val="auto"/>
                      <w:szCs w:val="21"/>
                    </w:rPr>
                    <w:t>一</w:t>
                  </w:r>
                  <w:r>
                    <w:rPr>
                      <w:rFonts w:hint="default" w:ascii="Times New Roman" w:hAnsi="Times New Roman" w:eastAsia="仿宋" w:cs="Times New Roman"/>
                      <w:color w:val="auto"/>
                      <w:szCs w:val="21"/>
                      <w:lang w:val="en-US" w:eastAsia="zh-CN"/>
                    </w:rPr>
                    <w:t>个30</w:t>
                  </w:r>
                  <w:r>
                    <w:rPr>
                      <w:rFonts w:hint="default" w:ascii="Times New Roman" w:hAnsi="Times New Roman" w:eastAsia="仿宋" w:cs="Times New Roman"/>
                      <w:color w:val="auto"/>
                      <w:szCs w:val="21"/>
                    </w:rPr>
                    <w:t>m</w:t>
                  </w:r>
                  <w:r>
                    <w:rPr>
                      <w:rFonts w:hint="default" w:ascii="Times New Roman" w:hAnsi="Times New Roman" w:eastAsia="仿宋" w:cs="Times New Roman"/>
                      <w:color w:val="auto"/>
                      <w:szCs w:val="21"/>
                      <w:vertAlign w:val="superscript"/>
                    </w:rPr>
                    <w:t>3</w:t>
                  </w:r>
                  <w:r>
                    <w:rPr>
                      <w:rFonts w:hint="default" w:ascii="Times New Roman" w:hAnsi="Times New Roman" w:eastAsia="仿宋" w:cs="Times New Roman"/>
                      <w:color w:val="auto"/>
                      <w:szCs w:val="21"/>
                    </w:rPr>
                    <w:t>事故应急池</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 w:val="21"/>
                      <w:szCs w:val="21"/>
                      <w:highlight w:val="none"/>
                    </w:rPr>
                    <w:t>并配设事故应急切断系统</w:t>
                  </w:r>
                  <w:r>
                    <w:rPr>
                      <w:rFonts w:hint="default" w:ascii="Times New Roman" w:hAnsi="Times New Roman" w:eastAsia="仿宋" w:cs="Times New Roman"/>
                      <w:color w:val="auto"/>
                      <w:szCs w:val="21"/>
                    </w:rPr>
                    <w:t>，此外企业需要加强</w:t>
                  </w:r>
                  <w:r>
                    <w:rPr>
                      <w:rFonts w:hint="default" w:ascii="Times New Roman" w:hAnsi="Times New Roman" w:eastAsia="仿宋" w:cs="Times New Roman"/>
                      <w:color w:val="auto"/>
                      <w:szCs w:val="21"/>
                      <w:lang w:val="en-US" w:eastAsia="zh-CN"/>
                    </w:rPr>
                    <w:t>实验室</w:t>
                  </w:r>
                  <w:r>
                    <w:rPr>
                      <w:rFonts w:hint="default" w:ascii="Times New Roman" w:hAnsi="Times New Roman" w:eastAsia="仿宋" w:cs="Times New Roman"/>
                      <w:color w:val="auto"/>
                      <w:szCs w:val="21"/>
                    </w:rPr>
                    <w:t>日常运行管理。加强员工的防范风险意识，培训员工的应急技能。相应的应急器材和物资要到位，确保发生事故时能及时处置，把危险降到最低。</w:t>
                  </w:r>
                </w:p>
              </w:tc>
            </w:tr>
            <w:tr w14:paraId="13448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50" w:type="pct"/>
                  <w:tcBorders>
                    <w:top w:val="single" w:color="auto" w:sz="4" w:space="0"/>
                    <w:left w:val="nil"/>
                    <w:bottom w:val="single" w:color="auto" w:sz="12" w:space="0"/>
                    <w:right w:val="single" w:color="auto" w:sz="4" w:space="0"/>
                  </w:tcBorders>
                  <w:vAlign w:val="center"/>
                </w:tcPr>
                <w:p w14:paraId="0A3D725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填表说明</w:t>
                  </w:r>
                </w:p>
                <w:p w14:paraId="35263E4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（列出项目相关信息及评价说明）</w:t>
                  </w:r>
                </w:p>
              </w:tc>
              <w:tc>
                <w:tcPr>
                  <w:tcW w:w="4049" w:type="pct"/>
                  <w:gridSpan w:val="5"/>
                  <w:tcBorders>
                    <w:top w:val="single" w:color="auto" w:sz="4" w:space="0"/>
                    <w:left w:val="single" w:color="auto" w:sz="4" w:space="0"/>
                    <w:bottom w:val="single" w:color="auto" w:sz="12" w:space="0"/>
                    <w:right w:val="nil"/>
                  </w:tcBorders>
                  <w:vAlign w:val="center"/>
                </w:tcPr>
                <w:p w14:paraId="74B9BFD6">
                  <w:pPr>
                    <w:adjustRightInd w:val="0"/>
                    <w:snapToGrid w:val="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本表根据《建设项目环境风险评价技术导则》（HJ</w:t>
                  </w:r>
                  <w:r>
                    <w:rPr>
                      <w:rFonts w:hint="default"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169-2018）中“简单分析”工作等级在危险物质、环境影响途径、环境危害后果、风险防范措施等方面给出定性的说明。</w:t>
                  </w:r>
                </w:p>
              </w:tc>
            </w:tr>
          </w:tbl>
          <w:p w14:paraId="1F0F1290">
            <w:pPr>
              <w:spacing w:line="360" w:lineRule="auto"/>
              <w:ind w:firstLine="200" w:firstLineChars="200"/>
              <w:rPr>
                <w:rFonts w:hint="default" w:ascii="Times New Roman" w:hAnsi="Times New Roman" w:eastAsia="仿宋" w:cs="Times New Roman"/>
                <w:bCs/>
                <w:color w:val="auto"/>
                <w:sz w:val="10"/>
                <w:szCs w:val="10"/>
              </w:rPr>
            </w:pPr>
          </w:p>
          <w:p w14:paraId="1CF5616F">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八、电磁辐射</w:t>
            </w:r>
          </w:p>
          <w:p w14:paraId="5C403CE9">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本项目不涉及电磁辐射。</w:t>
            </w:r>
          </w:p>
          <w:p w14:paraId="7F3042E4">
            <w:pPr>
              <w:adjustRightInd w:val="0"/>
              <w:snapToGrid w:val="0"/>
              <w:spacing w:line="360" w:lineRule="auto"/>
              <w:jc w:val="left"/>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九、环境管理制度</w:t>
            </w:r>
          </w:p>
          <w:p w14:paraId="7C91BD32">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1、环境管理</w:t>
            </w:r>
          </w:p>
          <w:p w14:paraId="2035C7E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环境管理目的：为了缓解项目生产运行期对环境构成的不良影响，在采取环保治理工程措施解决本项目环境影响的同时，必须制定全面的企业环境管理计划，以保证企业的环境保护制度化和系统化，保证企业环保工作持久开展，保证企业能够持续发展生产。</w:t>
            </w:r>
          </w:p>
          <w:p w14:paraId="3C32E775">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②环境管理机构：项目建成后，建设单位设置专门从事环境管理的机构，专职配备环保人员1-2名，负责环境监督管理工作，同时加强对管理人员的环保培训，不断提高管理水平。</w:t>
            </w:r>
          </w:p>
          <w:p w14:paraId="7739F54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③环境管理内容：项目在生产运行过程中制定环境管理方案以保证环境管理系统的有效运行。</w:t>
            </w:r>
          </w:p>
          <w:p w14:paraId="61D0CBE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2、环境管理制度的建立</w:t>
            </w:r>
          </w:p>
          <w:p w14:paraId="2B60609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①污染处理设施的管理制度</w:t>
            </w:r>
          </w:p>
          <w:p w14:paraId="07DC34B1">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对污染治理设施和管理必须与生产经营活动一起纳入企业的日常管理中，建立岗位责任制，制定操作规程，建立</w:t>
            </w:r>
            <w:r>
              <w:rPr>
                <w:rFonts w:hint="default" w:ascii="Times New Roman" w:hAnsi="Times New Roman" w:eastAsia="仿宋" w:cs="Times New Roman"/>
                <w:bCs/>
                <w:color w:val="auto"/>
                <w:sz w:val="24"/>
                <w:lang w:eastAsia="zh-CN"/>
              </w:rPr>
              <w:t>管理台账</w:t>
            </w:r>
            <w:r>
              <w:rPr>
                <w:rFonts w:hint="default" w:ascii="Times New Roman" w:hAnsi="Times New Roman" w:eastAsia="仿宋" w:cs="Times New Roman"/>
                <w:bCs/>
                <w:color w:val="auto"/>
                <w:sz w:val="24"/>
              </w:rPr>
              <w:t>。</w:t>
            </w:r>
          </w:p>
          <w:p w14:paraId="19CB82C4">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②奖惩制度</w:t>
            </w:r>
          </w:p>
          <w:p w14:paraId="2D8FE270">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企业设置环境保护奖惩制度，对爱护环保设施，节能降耗、改善环境者给予奖励；对不按环保要求管理，造成环保设施损坏、环境污染和资源、能源浪费者予以重罚。</w:t>
            </w:r>
          </w:p>
          <w:p w14:paraId="74F7E978">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③排污许可制度</w:t>
            </w:r>
          </w:p>
          <w:p w14:paraId="5B49A806">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highlight w:val="none"/>
              </w:rPr>
              <w:t>企业已于202</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lang w:val="en-US" w:eastAsia="zh-CN"/>
              </w:rPr>
              <w:t>9</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日取得排污许可登记回执，登记编号为</w:t>
            </w:r>
            <w:r>
              <w:rPr>
                <w:rFonts w:hint="default" w:ascii="Times New Roman" w:hAnsi="Times New Roman" w:eastAsia="仿宋" w:cs="Times New Roman"/>
                <w:color w:val="auto"/>
                <w:sz w:val="24"/>
                <w:highlight w:val="none"/>
                <w:lang w:val="en-US" w:eastAsia="zh-CN"/>
              </w:rPr>
              <w:t>91320413MA7EQLYD4G001Y</w:t>
            </w:r>
            <w:r>
              <w:rPr>
                <w:rFonts w:hint="default" w:ascii="Times New Roman" w:hAnsi="Times New Roman" w:eastAsia="仿宋" w:cs="Times New Roman"/>
                <w:color w:val="auto"/>
                <w:sz w:val="24"/>
                <w:highlight w:val="none"/>
              </w:rPr>
              <w:t>。待本项目通过生态环境部门审批后，需及时进行申报。</w:t>
            </w:r>
          </w:p>
          <w:p w14:paraId="4F756E3E">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3、排污口规范化设置</w:t>
            </w:r>
          </w:p>
          <w:p w14:paraId="7534AFBD">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按《江苏省排污口设置及规范化整治管理办法》[苏环控（97）122号]要求，该建设项目废水排放口、固定噪声源扰民处、固废堆放处必须进行规范化设置。</w:t>
            </w:r>
          </w:p>
          <w:p w14:paraId="1FF8417C">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（1）废气排气筒规范化</w:t>
            </w:r>
          </w:p>
          <w:p w14:paraId="2D16DBB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eastAsia" w:eastAsia="仿宋" w:cs="Times New Roman"/>
                <w:bCs/>
                <w:color w:val="auto"/>
                <w:sz w:val="24"/>
                <w:lang w:val="en-US" w:eastAsia="zh-CN"/>
              </w:rPr>
              <w:t>本项</w:t>
            </w:r>
            <w:r>
              <w:rPr>
                <w:rFonts w:hint="default" w:ascii="Times New Roman" w:hAnsi="Times New Roman" w:eastAsia="仿宋" w:cs="Times New Roman"/>
                <w:bCs/>
                <w:color w:val="auto"/>
                <w:sz w:val="24"/>
              </w:rPr>
              <w:t>目废气排放口</w:t>
            </w:r>
            <w:r>
              <w:rPr>
                <w:rFonts w:hint="eastAsia" w:eastAsia="仿宋" w:cs="Times New Roman"/>
                <w:bCs/>
                <w:color w:val="auto"/>
                <w:sz w:val="24"/>
                <w:lang w:val="en-US" w:eastAsia="zh-CN"/>
              </w:rPr>
              <w:t>依托现有3#排气筒，已</w:t>
            </w:r>
            <w:r>
              <w:rPr>
                <w:rFonts w:hint="default" w:ascii="Times New Roman" w:hAnsi="Times New Roman" w:eastAsia="仿宋" w:cs="Times New Roman"/>
                <w:bCs/>
                <w:color w:val="auto"/>
                <w:sz w:val="24"/>
              </w:rPr>
              <w:t>按要求装好标志牌。</w:t>
            </w:r>
            <w:r>
              <w:rPr>
                <w:rFonts w:hint="eastAsia" w:eastAsia="仿宋" w:cs="Times New Roman"/>
                <w:bCs/>
                <w:color w:val="auto"/>
                <w:sz w:val="24"/>
                <w:lang w:val="en-US" w:eastAsia="zh-CN"/>
              </w:rPr>
              <w:t>3#</w:t>
            </w:r>
            <w:r>
              <w:rPr>
                <w:rFonts w:hint="default" w:ascii="Times New Roman" w:hAnsi="Times New Roman" w:eastAsia="仿宋" w:cs="Times New Roman"/>
                <w:bCs/>
                <w:color w:val="auto"/>
                <w:sz w:val="24"/>
              </w:rPr>
              <w:t>排气筒高度符合国家大气污染物排放标准的有关规定，并设置永久采样孔。采样孔、点数目和位置</w:t>
            </w:r>
            <w:r>
              <w:rPr>
                <w:rFonts w:hint="eastAsia" w:eastAsia="仿宋" w:cs="Times New Roman"/>
                <w:bCs/>
                <w:color w:val="auto"/>
                <w:sz w:val="24"/>
                <w:lang w:val="en-US" w:eastAsia="zh-CN"/>
              </w:rPr>
              <w:t>已</w:t>
            </w:r>
            <w:r>
              <w:rPr>
                <w:rFonts w:hint="default" w:ascii="Times New Roman" w:hAnsi="Times New Roman" w:eastAsia="仿宋" w:cs="Times New Roman"/>
                <w:bCs/>
                <w:color w:val="auto"/>
                <w:sz w:val="24"/>
              </w:rPr>
              <w:t>按《固定污染源排气中颗粒物测定与气态污染物采样方法》（GB/T16157-1996）的规定设置，废气排放口的环保图形标志</w:t>
            </w:r>
            <w:r>
              <w:rPr>
                <w:rFonts w:hint="eastAsia" w:eastAsia="仿宋" w:cs="Times New Roman"/>
                <w:bCs/>
                <w:color w:val="auto"/>
                <w:sz w:val="24"/>
                <w:lang w:val="en-US" w:eastAsia="zh-CN"/>
              </w:rPr>
              <w:t>已</w:t>
            </w:r>
            <w:r>
              <w:rPr>
                <w:rFonts w:hint="default" w:ascii="Times New Roman" w:hAnsi="Times New Roman" w:eastAsia="仿宋" w:cs="Times New Roman"/>
                <w:bCs/>
                <w:color w:val="auto"/>
                <w:sz w:val="24"/>
              </w:rPr>
              <w:t>设在排气筒</w:t>
            </w:r>
            <w:r>
              <w:rPr>
                <w:rFonts w:hint="eastAsia" w:eastAsia="仿宋" w:cs="Times New Roman"/>
                <w:bCs/>
                <w:color w:val="auto"/>
                <w:sz w:val="24"/>
                <w:lang w:eastAsia="zh-CN"/>
              </w:rPr>
              <w:t>附近</w:t>
            </w:r>
            <w:r>
              <w:rPr>
                <w:rFonts w:hint="default" w:ascii="Times New Roman" w:hAnsi="Times New Roman" w:eastAsia="仿宋" w:cs="Times New Roman"/>
                <w:bCs/>
                <w:color w:val="auto"/>
                <w:sz w:val="24"/>
              </w:rPr>
              <w:t>地面醒目处。</w:t>
            </w:r>
          </w:p>
          <w:p w14:paraId="061390EF">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（2）废水排放口规范化设置</w:t>
            </w:r>
          </w:p>
          <w:p w14:paraId="4E2ADB85">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根据江苏省环保厅《江苏省排污口设置及规范化整治管理办法》的要求，建设项目厂区的排水体制必须实施“雨污分流”制，本项目</w:t>
            </w:r>
            <w:r>
              <w:rPr>
                <w:rFonts w:hint="default" w:ascii="Times New Roman" w:hAnsi="Times New Roman" w:eastAsia="仿宋" w:cs="Times New Roman"/>
                <w:bCs/>
                <w:color w:val="auto"/>
                <w:sz w:val="24"/>
                <w:lang w:val="en-US" w:eastAsia="zh-CN"/>
              </w:rPr>
              <w:t>厂区已建</w:t>
            </w:r>
            <w:r>
              <w:rPr>
                <w:rFonts w:hint="default" w:ascii="Times New Roman" w:hAnsi="Times New Roman" w:eastAsia="仿宋" w:cs="Times New Roman"/>
                <w:bCs/>
                <w:color w:val="auto"/>
                <w:sz w:val="24"/>
              </w:rPr>
              <w:t>1个污水排放口以及1个雨水排放口，总排口处</w:t>
            </w:r>
            <w:r>
              <w:rPr>
                <w:rFonts w:hint="default" w:ascii="Times New Roman" w:hAnsi="Times New Roman" w:eastAsia="仿宋" w:cs="Times New Roman"/>
                <w:bCs/>
                <w:color w:val="auto"/>
                <w:sz w:val="24"/>
                <w:lang w:val="en-US" w:eastAsia="zh-CN"/>
              </w:rPr>
              <w:t>已设置</w:t>
            </w:r>
            <w:r>
              <w:rPr>
                <w:rFonts w:hint="default" w:ascii="Times New Roman" w:hAnsi="Times New Roman" w:eastAsia="仿宋" w:cs="Times New Roman"/>
                <w:bCs/>
                <w:color w:val="auto"/>
                <w:sz w:val="24"/>
              </w:rPr>
              <w:t>规范化标志牌。</w:t>
            </w:r>
          </w:p>
          <w:p w14:paraId="03A6815C">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（3）固废堆放规范化整治</w:t>
            </w:r>
          </w:p>
          <w:p w14:paraId="2FFF7DF6">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固废堆场设置环境保护图形标志牌，将生活垃圾、工业固废等分开堆放，做到防扬散、防渗漏，确保不对周围环境形成二次污染。</w:t>
            </w:r>
          </w:p>
          <w:p w14:paraId="2AD3C73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在厂区的废气排放源、废水排放口、固废堆放处设置环境保护图形标志，图形符号分为提示图形和警告图形符号两种，分别按GB15562.1-1995、GB15562.2-1995及其修改单、HJ1276-2022执行。环境保护图形标志的形状及颜色见表4-</w:t>
            </w:r>
            <w:r>
              <w:rPr>
                <w:rFonts w:hint="default" w:ascii="Times New Roman" w:hAnsi="Times New Roman" w:eastAsia="仿宋" w:cs="Times New Roman"/>
                <w:bCs/>
                <w:color w:val="auto"/>
                <w:sz w:val="24"/>
                <w:lang w:val="en-US" w:eastAsia="zh-CN"/>
              </w:rPr>
              <w:t>3</w:t>
            </w:r>
            <w:r>
              <w:rPr>
                <w:rFonts w:hint="eastAsia" w:eastAsia="仿宋" w:cs="Times New Roman"/>
                <w:bCs/>
                <w:color w:val="auto"/>
                <w:sz w:val="24"/>
                <w:lang w:val="en-US" w:eastAsia="zh-CN"/>
              </w:rPr>
              <w:t>3</w:t>
            </w:r>
            <w:r>
              <w:rPr>
                <w:rFonts w:hint="default" w:ascii="Times New Roman" w:hAnsi="Times New Roman" w:eastAsia="仿宋" w:cs="Times New Roman"/>
                <w:bCs/>
                <w:color w:val="auto"/>
                <w:sz w:val="24"/>
              </w:rPr>
              <w:t>，环境保护图形符号见表4-</w:t>
            </w:r>
            <w:r>
              <w:rPr>
                <w:rFonts w:hint="default" w:ascii="Times New Roman" w:hAnsi="Times New Roman" w:eastAsia="仿宋" w:cs="Times New Roman"/>
                <w:bCs/>
                <w:color w:val="auto"/>
                <w:sz w:val="24"/>
                <w:lang w:val="en-US" w:eastAsia="zh-CN"/>
              </w:rPr>
              <w:t>3</w:t>
            </w:r>
            <w:r>
              <w:rPr>
                <w:rFonts w:hint="eastAsia" w:eastAsia="仿宋" w:cs="Times New Roman"/>
                <w:bCs/>
                <w:color w:val="auto"/>
                <w:sz w:val="24"/>
                <w:lang w:val="en-US" w:eastAsia="zh-CN"/>
              </w:rPr>
              <w:t>4</w:t>
            </w:r>
            <w:r>
              <w:rPr>
                <w:rFonts w:hint="default" w:ascii="Times New Roman" w:hAnsi="Times New Roman" w:eastAsia="仿宋" w:cs="Times New Roman"/>
                <w:bCs/>
                <w:color w:val="auto"/>
                <w:sz w:val="24"/>
              </w:rPr>
              <w:t>，危险废物识别标识见表4-</w:t>
            </w:r>
            <w:r>
              <w:rPr>
                <w:rFonts w:hint="default" w:ascii="Times New Roman" w:hAnsi="Times New Roman" w:eastAsia="仿宋" w:cs="Times New Roman"/>
                <w:bCs/>
                <w:color w:val="auto"/>
                <w:sz w:val="24"/>
                <w:lang w:val="en-US" w:eastAsia="zh-CN"/>
              </w:rPr>
              <w:t>3</w:t>
            </w:r>
            <w:r>
              <w:rPr>
                <w:rFonts w:hint="eastAsia" w:eastAsia="仿宋" w:cs="Times New Roman"/>
                <w:bCs/>
                <w:color w:val="auto"/>
                <w:sz w:val="24"/>
                <w:lang w:val="en-US" w:eastAsia="zh-CN"/>
              </w:rPr>
              <w:t>5</w:t>
            </w:r>
            <w:r>
              <w:rPr>
                <w:rFonts w:hint="default" w:ascii="Times New Roman" w:hAnsi="Times New Roman" w:eastAsia="仿宋" w:cs="Times New Roman"/>
                <w:bCs/>
                <w:color w:val="auto"/>
                <w:sz w:val="24"/>
              </w:rPr>
              <w:t>。</w:t>
            </w:r>
          </w:p>
          <w:p w14:paraId="501F5A25">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3</w:t>
            </w:r>
            <w:r>
              <w:rPr>
                <w:rFonts w:hint="default" w:ascii="Times New Roman" w:hAnsi="Times New Roman" w:eastAsia="仿宋" w:cs="Times New Roman"/>
                <w:b/>
                <w:bCs/>
                <w:color w:val="auto"/>
                <w:sz w:val="24"/>
              </w:rPr>
              <w:t xml:space="preserve">  环境保护图形标志的形状及颜色表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72"/>
              <w:gridCol w:w="2002"/>
              <w:gridCol w:w="1865"/>
              <w:gridCol w:w="1702"/>
              <w:gridCol w:w="1827"/>
            </w:tblGrid>
            <w:tr w14:paraId="4AB28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0" w:hRule="atLeast"/>
              </w:trPr>
              <w:tc>
                <w:tcPr>
                  <w:tcW w:w="633" w:type="pct"/>
                  <w:tcBorders>
                    <w:top w:val="single" w:color="auto" w:sz="12" w:space="0"/>
                    <w:left w:val="nil"/>
                    <w:bottom w:val="single" w:color="auto" w:sz="4" w:space="0"/>
                    <w:right w:val="single" w:color="auto" w:sz="4" w:space="0"/>
                  </w:tcBorders>
                  <w:vAlign w:val="center"/>
                </w:tcPr>
                <w:p w14:paraId="4AA5D3F5">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序号</w:t>
                  </w:r>
                </w:p>
              </w:tc>
              <w:tc>
                <w:tcPr>
                  <w:tcW w:w="1182" w:type="pct"/>
                  <w:tcBorders>
                    <w:top w:val="single" w:color="auto" w:sz="12" w:space="0"/>
                    <w:left w:val="single" w:color="auto" w:sz="4" w:space="0"/>
                    <w:bottom w:val="single" w:color="auto" w:sz="4" w:space="0"/>
                    <w:right w:val="single" w:color="auto" w:sz="4" w:space="0"/>
                  </w:tcBorders>
                  <w:vAlign w:val="center"/>
                </w:tcPr>
                <w:p w14:paraId="123E4730">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标志名称</w:t>
                  </w:r>
                </w:p>
              </w:tc>
              <w:tc>
                <w:tcPr>
                  <w:tcW w:w="1101" w:type="pct"/>
                  <w:tcBorders>
                    <w:top w:val="single" w:color="auto" w:sz="12" w:space="0"/>
                    <w:left w:val="single" w:color="auto" w:sz="4" w:space="0"/>
                    <w:bottom w:val="single" w:color="auto" w:sz="4" w:space="0"/>
                    <w:right w:val="single" w:color="auto" w:sz="4" w:space="0"/>
                  </w:tcBorders>
                  <w:vAlign w:val="center"/>
                </w:tcPr>
                <w:p w14:paraId="73DF91DB">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形状</w:t>
                  </w:r>
                </w:p>
              </w:tc>
              <w:tc>
                <w:tcPr>
                  <w:tcW w:w="1005" w:type="pct"/>
                  <w:tcBorders>
                    <w:top w:val="single" w:color="auto" w:sz="12" w:space="0"/>
                    <w:left w:val="single" w:color="auto" w:sz="4" w:space="0"/>
                    <w:bottom w:val="single" w:color="auto" w:sz="4" w:space="0"/>
                    <w:right w:val="single" w:color="auto" w:sz="4" w:space="0"/>
                  </w:tcBorders>
                  <w:vAlign w:val="center"/>
                </w:tcPr>
                <w:p w14:paraId="2A1B0B92">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背景颜色</w:t>
                  </w:r>
                </w:p>
              </w:tc>
              <w:tc>
                <w:tcPr>
                  <w:tcW w:w="1079" w:type="pct"/>
                  <w:tcBorders>
                    <w:top w:val="single" w:color="auto" w:sz="12" w:space="0"/>
                    <w:left w:val="single" w:color="auto" w:sz="4" w:space="0"/>
                    <w:bottom w:val="single" w:color="auto" w:sz="4" w:space="0"/>
                    <w:right w:val="nil"/>
                  </w:tcBorders>
                  <w:vAlign w:val="center"/>
                </w:tcPr>
                <w:p w14:paraId="033EBC43">
                  <w:pPr>
                    <w:adjustRightInd w:val="0"/>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图形颜色</w:t>
                  </w:r>
                </w:p>
              </w:tc>
            </w:tr>
            <w:tr w14:paraId="502D0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8" w:hRule="atLeast"/>
              </w:trPr>
              <w:tc>
                <w:tcPr>
                  <w:tcW w:w="633" w:type="pct"/>
                  <w:tcBorders>
                    <w:top w:val="single" w:color="auto" w:sz="4" w:space="0"/>
                    <w:left w:val="nil"/>
                    <w:bottom w:val="single" w:color="auto" w:sz="4" w:space="0"/>
                    <w:right w:val="single" w:color="auto" w:sz="4" w:space="0"/>
                  </w:tcBorders>
                  <w:vAlign w:val="center"/>
                </w:tcPr>
                <w:p w14:paraId="546303E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w:t>
                  </w:r>
                </w:p>
              </w:tc>
              <w:tc>
                <w:tcPr>
                  <w:tcW w:w="1182" w:type="pct"/>
                  <w:tcBorders>
                    <w:top w:val="single" w:color="auto" w:sz="4" w:space="0"/>
                    <w:left w:val="single" w:color="auto" w:sz="4" w:space="0"/>
                    <w:bottom w:val="single" w:color="auto" w:sz="4" w:space="0"/>
                    <w:right w:val="single" w:color="auto" w:sz="4" w:space="0"/>
                  </w:tcBorders>
                  <w:vAlign w:val="center"/>
                </w:tcPr>
                <w:p w14:paraId="2B8B101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警告标志</w:t>
                  </w:r>
                </w:p>
              </w:tc>
              <w:tc>
                <w:tcPr>
                  <w:tcW w:w="1101" w:type="pct"/>
                  <w:tcBorders>
                    <w:top w:val="single" w:color="auto" w:sz="4" w:space="0"/>
                    <w:left w:val="single" w:color="auto" w:sz="4" w:space="0"/>
                    <w:bottom w:val="single" w:color="auto" w:sz="4" w:space="0"/>
                    <w:right w:val="single" w:color="auto" w:sz="4" w:space="0"/>
                  </w:tcBorders>
                  <w:vAlign w:val="center"/>
                </w:tcPr>
                <w:p w14:paraId="0891264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三角形边框</w:t>
                  </w:r>
                </w:p>
              </w:tc>
              <w:tc>
                <w:tcPr>
                  <w:tcW w:w="1005" w:type="pct"/>
                  <w:tcBorders>
                    <w:top w:val="single" w:color="auto" w:sz="4" w:space="0"/>
                    <w:left w:val="single" w:color="auto" w:sz="4" w:space="0"/>
                    <w:bottom w:val="single" w:color="auto" w:sz="4" w:space="0"/>
                    <w:right w:val="single" w:color="auto" w:sz="4" w:space="0"/>
                  </w:tcBorders>
                  <w:vAlign w:val="center"/>
                </w:tcPr>
                <w:p w14:paraId="1326BAD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黄色</w:t>
                  </w:r>
                </w:p>
              </w:tc>
              <w:tc>
                <w:tcPr>
                  <w:tcW w:w="1079" w:type="pct"/>
                  <w:tcBorders>
                    <w:top w:val="single" w:color="auto" w:sz="4" w:space="0"/>
                    <w:left w:val="single" w:color="auto" w:sz="4" w:space="0"/>
                    <w:bottom w:val="single" w:color="auto" w:sz="4" w:space="0"/>
                    <w:right w:val="nil"/>
                  </w:tcBorders>
                  <w:vAlign w:val="center"/>
                </w:tcPr>
                <w:p w14:paraId="4A58FEC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黑色</w:t>
                  </w:r>
                </w:p>
              </w:tc>
            </w:tr>
            <w:tr w14:paraId="45C3B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1" w:hRule="atLeast"/>
              </w:trPr>
              <w:tc>
                <w:tcPr>
                  <w:tcW w:w="633" w:type="pct"/>
                  <w:tcBorders>
                    <w:top w:val="single" w:color="auto" w:sz="4" w:space="0"/>
                    <w:left w:val="nil"/>
                    <w:bottom w:val="single" w:color="auto" w:sz="12" w:space="0"/>
                    <w:right w:val="single" w:color="auto" w:sz="4" w:space="0"/>
                  </w:tcBorders>
                  <w:vAlign w:val="center"/>
                </w:tcPr>
                <w:p w14:paraId="0ED6537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82" w:type="pct"/>
                  <w:tcBorders>
                    <w:top w:val="single" w:color="auto" w:sz="4" w:space="0"/>
                    <w:left w:val="single" w:color="auto" w:sz="4" w:space="0"/>
                    <w:bottom w:val="single" w:color="auto" w:sz="12" w:space="0"/>
                    <w:right w:val="single" w:color="auto" w:sz="4" w:space="0"/>
                  </w:tcBorders>
                  <w:vAlign w:val="center"/>
                </w:tcPr>
                <w:p w14:paraId="41897E9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提示标志</w:t>
                  </w:r>
                </w:p>
              </w:tc>
              <w:tc>
                <w:tcPr>
                  <w:tcW w:w="1101" w:type="pct"/>
                  <w:tcBorders>
                    <w:top w:val="single" w:color="auto" w:sz="4" w:space="0"/>
                    <w:left w:val="single" w:color="auto" w:sz="4" w:space="0"/>
                    <w:bottom w:val="single" w:color="auto" w:sz="12" w:space="0"/>
                    <w:right w:val="single" w:color="auto" w:sz="4" w:space="0"/>
                  </w:tcBorders>
                  <w:vAlign w:val="center"/>
                </w:tcPr>
                <w:p w14:paraId="6E60AD5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正方形边框</w:t>
                  </w:r>
                </w:p>
              </w:tc>
              <w:tc>
                <w:tcPr>
                  <w:tcW w:w="1005" w:type="pct"/>
                  <w:tcBorders>
                    <w:top w:val="single" w:color="auto" w:sz="4" w:space="0"/>
                    <w:left w:val="single" w:color="auto" w:sz="4" w:space="0"/>
                    <w:bottom w:val="single" w:color="auto" w:sz="12" w:space="0"/>
                    <w:right w:val="single" w:color="auto" w:sz="4" w:space="0"/>
                  </w:tcBorders>
                  <w:vAlign w:val="center"/>
                </w:tcPr>
                <w:p w14:paraId="4725BCB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绿色</w:t>
                  </w:r>
                </w:p>
              </w:tc>
              <w:tc>
                <w:tcPr>
                  <w:tcW w:w="1079" w:type="pct"/>
                  <w:tcBorders>
                    <w:top w:val="single" w:color="auto" w:sz="4" w:space="0"/>
                    <w:left w:val="single" w:color="auto" w:sz="4" w:space="0"/>
                    <w:bottom w:val="single" w:color="auto" w:sz="12" w:space="0"/>
                    <w:right w:val="nil"/>
                  </w:tcBorders>
                  <w:vAlign w:val="center"/>
                </w:tcPr>
                <w:p w14:paraId="36621C8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白色</w:t>
                  </w:r>
                </w:p>
              </w:tc>
            </w:tr>
          </w:tbl>
          <w:p w14:paraId="30EC7A13">
            <w:pPr>
              <w:pStyle w:val="25"/>
              <w:spacing w:after="0"/>
              <w:ind w:left="0" w:leftChars="0" w:firstLine="200"/>
              <w:rPr>
                <w:rFonts w:hint="default" w:ascii="Times New Roman" w:hAnsi="Times New Roman" w:eastAsia="仿宋" w:cs="Times New Roman"/>
                <w:color w:val="auto"/>
                <w:sz w:val="10"/>
                <w:szCs w:val="10"/>
              </w:rPr>
            </w:pPr>
          </w:p>
          <w:p w14:paraId="6C557E78">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4</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 xml:space="preserve"> </w:t>
            </w:r>
            <w:r>
              <w:rPr>
                <w:rFonts w:hint="default" w:ascii="Times New Roman" w:hAnsi="Times New Roman" w:eastAsia="仿宋" w:cs="Times New Roman"/>
                <w:b/>
                <w:bCs/>
                <w:color w:val="auto"/>
                <w:sz w:val="24"/>
              </w:rPr>
              <w:t>环境保护图形符号一览表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72"/>
              <w:gridCol w:w="1653"/>
              <w:gridCol w:w="1755"/>
              <w:gridCol w:w="1443"/>
              <w:gridCol w:w="2545"/>
            </w:tblGrid>
            <w:tr w14:paraId="15651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trPr>
              <w:tc>
                <w:tcPr>
                  <w:tcW w:w="633" w:type="pct"/>
                  <w:vAlign w:val="center"/>
                </w:tcPr>
                <w:p w14:paraId="594A0ED5">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序号</w:t>
                  </w:r>
                </w:p>
              </w:tc>
              <w:tc>
                <w:tcPr>
                  <w:tcW w:w="976" w:type="pct"/>
                  <w:vAlign w:val="center"/>
                </w:tcPr>
                <w:p w14:paraId="604AA26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提示图形符号</w:t>
                  </w:r>
                </w:p>
              </w:tc>
              <w:tc>
                <w:tcPr>
                  <w:tcW w:w="1036" w:type="pct"/>
                  <w:vAlign w:val="center"/>
                </w:tcPr>
                <w:p w14:paraId="0BCBF7C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警告图形符号</w:t>
                  </w:r>
                </w:p>
              </w:tc>
              <w:tc>
                <w:tcPr>
                  <w:tcW w:w="852" w:type="pct"/>
                  <w:vAlign w:val="center"/>
                </w:tcPr>
                <w:p w14:paraId="68E84F4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p>
              </w:tc>
              <w:tc>
                <w:tcPr>
                  <w:tcW w:w="1503" w:type="pct"/>
                  <w:vAlign w:val="center"/>
                </w:tcPr>
                <w:p w14:paraId="00A68FBB">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功能</w:t>
                  </w:r>
                </w:p>
              </w:tc>
            </w:tr>
            <w:tr w14:paraId="404F5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81" w:hRule="atLeast"/>
              </w:trPr>
              <w:tc>
                <w:tcPr>
                  <w:tcW w:w="633" w:type="pct"/>
                  <w:vAlign w:val="center"/>
                </w:tcPr>
                <w:p w14:paraId="01627C0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976" w:type="pct"/>
                  <w:vAlign w:val="center"/>
                </w:tcPr>
                <w:p w14:paraId="2462E14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680085" cy="672465"/>
                        <wp:effectExtent l="0" t="0" r="5715" b="13335"/>
                        <wp:docPr id="28" name="图片 2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ps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81355" cy="674028"/>
                                </a:xfrm>
                                <a:prstGeom prst="rect">
                                  <a:avLst/>
                                </a:prstGeom>
                                <a:noFill/>
                                <a:ln>
                                  <a:noFill/>
                                </a:ln>
                              </pic:spPr>
                            </pic:pic>
                          </a:graphicData>
                        </a:graphic>
                      </wp:inline>
                    </w:drawing>
                  </w:r>
                </w:p>
              </w:tc>
              <w:tc>
                <w:tcPr>
                  <w:tcW w:w="1036" w:type="pct"/>
                  <w:vAlign w:val="center"/>
                </w:tcPr>
                <w:p w14:paraId="0E4B63E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91845" cy="638810"/>
                        <wp:effectExtent l="0" t="0" r="8255" b="8890"/>
                        <wp:docPr id="29" name="图片 2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ps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97157" cy="642740"/>
                                </a:xfrm>
                                <a:prstGeom prst="rect">
                                  <a:avLst/>
                                </a:prstGeom>
                                <a:noFill/>
                                <a:ln>
                                  <a:noFill/>
                                </a:ln>
                              </pic:spPr>
                            </pic:pic>
                          </a:graphicData>
                        </a:graphic>
                      </wp:inline>
                    </w:drawing>
                  </w:r>
                </w:p>
              </w:tc>
              <w:tc>
                <w:tcPr>
                  <w:tcW w:w="852" w:type="pct"/>
                  <w:vAlign w:val="center"/>
                </w:tcPr>
                <w:p w14:paraId="0B85FA4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废气排放口</w:t>
                  </w:r>
                </w:p>
              </w:tc>
              <w:tc>
                <w:tcPr>
                  <w:tcW w:w="1503" w:type="pct"/>
                  <w:vAlign w:val="center"/>
                </w:tcPr>
                <w:p w14:paraId="3A5F2FF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表示废气向大气环境排放</w:t>
                  </w:r>
                </w:p>
              </w:tc>
            </w:tr>
            <w:tr w14:paraId="596F0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633" w:type="pct"/>
                  <w:vAlign w:val="center"/>
                </w:tcPr>
                <w:p w14:paraId="5A5E9E8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w:t>
                  </w:r>
                </w:p>
              </w:tc>
              <w:tc>
                <w:tcPr>
                  <w:tcW w:w="976" w:type="pct"/>
                  <w:vAlign w:val="center"/>
                </w:tcPr>
                <w:p w14:paraId="2693804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09295" cy="662940"/>
                        <wp:effectExtent l="0" t="0" r="14605" b="3810"/>
                        <wp:docPr id="30" name="图片 30"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ps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10660" cy="664210"/>
                                </a:xfrm>
                                <a:prstGeom prst="rect">
                                  <a:avLst/>
                                </a:prstGeom>
                                <a:noFill/>
                                <a:ln>
                                  <a:noFill/>
                                </a:ln>
                              </pic:spPr>
                            </pic:pic>
                          </a:graphicData>
                        </a:graphic>
                      </wp:inline>
                    </w:drawing>
                  </w:r>
                </w:p>
              </w:tc>
              <w:tc>
                <w:tcPr>
                  <w:tcW w:w="1036" w:type="pct"/>
                  <w:vAlign w:val="center"/>
                </w:tcPr>
                <w:p w14:paraId="7BA2D16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24535" cy="612775"/>
                        <wp:effectExtent l="0" t="0" r="18415" b="15875"/>
                        <wp:docPr id="31" name="图片 31"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ps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24535" cy="612775"/>
                                </a:xfrm>
                                <a:prstGeom prst="rect">
                                  <a:avLst/>
                                </a:prstGeom>
                                <a:noFill/>
                                <a:ln>
                                  <a:noFill/>
                                </a:ln>
                              </pic:spPr>
                            </pic:pic>
                          </a:graphicData>
                        </a:graphic>
                      </wp:inline>
                    </w:drawing>
                  </w:r>
                </w:p>
              </w:tc>
              <w:tc>
                <w:tcPr>
                  <w:tcW w:w="852" w:type="pct"/>
                  <w:vAlign w:val="center"/>
                </w:tcPr>
                <w:p w14:paraId="6386054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噪声排放源</w:t>
                  </w:r>
                </w:p>
              </w:tc>
              <w:tc>
                <w:tcPr>
                  <w:tcW w:w="1503" w:type="pct"/>
                  <w:vAlign w:val="center"/>
                </w:tcPr>
                <w:p w14:paraId="7C035CA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表示噪声向外环境排放</w:t>
                  </w:r>
                </w:p>
              </w:tc>
            </w:tr>
            <w:tr w14:paraId="174A8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633" w:type="pct"/>
                  <w:vAlign w:val="center"/>
                </w:tcPr>
                <w:p w14:paraId="7E69AB0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w:t>
                  </w:r>
                </w:p>
              </w:tc>
              <w:tc>
                <w:tcPr>
                  <w:tcW w:w="976" w:type="pct"/>
                  <w:vAlign w:val="center"/>
                </w:tcPr>
                <w:p w14:paraId="09D5A24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31520" cy="662940"/>
                        <wp:effectExtent l="0" t="0" r="11430" b="3810"/>
                        <wp:docPr id="32" name="图片 32"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ps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32639" cy="664210"/>
                                </a:xfrm>
                                <a:prstGeom prst="rect">
                                  <a:avLst/>
                                </a:prstGeom>
                                <a:noFill/>
                                <a:ln>
                                  <a:noFill/>
                                </a:ln>
                              </pic:spPr>
                            </pic:pic>
                          </a:graphicData>
                        </a:graphic>
                      </wp:inline>
                    </w:drawing>
                  </w:r>
                </w:p>
              </w:tc>
              <w:tc>
                <w:tcPr>
                  <w:tcW w:w="1036" w:type="pct"/>
                  <w:vAlign w:val="center"/>
                </w:tcPr>
                <w:p w14:paraId="65F0C62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24535" cy="655320"/>
                        <wp:effectExtent l="0" t="0" r="18415" b="11430"/>
                        <wp:docPr id="33" name="图片 33"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ps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24535" cy="655320"/>
                                </a:xfrm>
                                <a:prstGeom prst="rect">
                                  <a:avLst/>
                                </a:prstGeom>
                                <a:noFill/>
                                <a:ln>
                                  <a:noFill/>
                                </a:ln>
                              </pic:spPr>
                            </pic:pic>
                          </a:graphicData>
                        </a:graphic>
                      </wp:inline>
                    </w:drawing>
                  </w:r>
                </w:p>
              </w:tc>
              <w:tc>
                <w:tcPr>
                  <w:tcW w:w="852" w:type="pct"/>
                  <w:vAlign w:val="center"/>
                </w:tcPr>
                <w:p w14:paraId="3A70ECD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一般固体废物</w:t>
                  </w:r>
                </w:p>
              </w:tc>
              <w:tc>
                <w:tcPr>
                  <w:tcW w:w="1503" w:type="pct"/>
                  <w:vAlign w:val="center"/>
                </w:tcPr>
                <w:p w14:paraId="52C7A8C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表示一般固体废物贮存、 处置场</w:t>
                  </w:r>
                </w:p>
              </w:tc>
            </w:tr>
            <w:tr w14:paraId="2929E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633" w:type="pct"/>
                  <w:vAlign w:val="center"/>
                </w:tcPr>
                <w:p w14:paraId="453F7AF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p>
              </w:tc>
              <w:tc>
                <w:tcPr>
                  <w:tcW w:w="976" w:type="pct"/>
                  <w:vAlign w:val="center"/>
                </w:tcPr>
                <w:p w14:paraId="0C67553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24535" cy="647065"/>
                        <wp:effectExtent l="0" t="0" r="18415" b="635"/>
                        <wp:docPr id="34" name="图片 34" descr="C:\Users\ADMINI~1\AppData\Local\Temp\WeChat Files\aed3e83b4a3d0e6c3e2cb00e8af1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WeChat Files\aed3e83b4a3d0e6c3e2cb00e8af116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24535" cy="647065"/>
                                </a:xfrm>
                                <a:prstGeom prst="rect">
                                  <a:avLst/>
                                </a:prstGeom>
                                <a:noFill/>
                                <a:ln>
                                  <a:noFill/>
                                </a:ln>
                              </pic:spPr>
                            </pic:pic>
                          </a:graphicData>
                        </a:graphic>
                      </wp:inline>
                    </w:drawing>
                  </w:r>
                </w:p>
              </w:tc>
              <w:tc>
                <w:tcPr>
                  <w:tcW w:w="1036" w:type="pct"/>
                  <w:vAlign w:val="center"/>
                </w:tcPr>
                <w:p w14:paraId="6772BAC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724535" cy="647065"/>
                        <wp:effectExtent l="0" t="0" r="18415" b="635"/>
                        <wp:docPr id="40" name="图片 40" descr="C:\Users\ADMINI~1\AppData\Local\Temp\WeChat Files\646b82a7f90118e33316e3ea2acd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WeChat Files\646b82a7f90118e33316e3ea2acd95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724535" cy="647065"/>
                                </a:xfrm>
                                <a:prstGeom prst="rect">
                                  <a:avLst/>
                                </a:prstGeom>
                                <a:noFill/>
                                <a:ln>
                                  <a:noFill/>
                                </a:ln>
                              </pic:spPr>
                            </pic:pic>
                          </a:graphicData>
                        </a:graphic>
                      </wp:inline>
                    </w:drawing>
                  </w:r>
                </w:p>
              </w:tc>
              <w:tc>
                <w:tcPr>
                  <w:tcW w:w="852" w:type="pct"/>
                  <w:vAlign w:val="center"/>
                </w:tcPr>
                <w:p w14:paraId="20B7EB1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污水排放口</w:t>
                  </w:r>
                </w:p>
              </w:tc>
              <w:tc>
                <w:tcPr>
                  <w:tcW w:w="1503" w:type="pct"/>
                  <w:vAlign w:val="center"/>
                </w:tcPr>
                <w:p w14:paraId="5E18A1C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表示污水向水体排放</w:t>
                  </w:r>
                </w:p>
              </w:tc>
            </w:tr>
            <w:tr w14:paraId="2BB26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633" w:type="pct"/>
                  <w:vAlign w:val="center"/>
                </w:tcPr>
                <w:p w14:paraId="00D3E0D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w:t>
                  </w:r>
                </w:p>
              </w:tc>
              <w:tc>
                <w:tcPr>
                  <w:tcW w:w="976" w:type="pct"/>
                  <w:vAlign w:val="center"/>
                </w:tcPr>
                <w:p w14:paraId="3500161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drawing>
                      <wp:inline distT="0" distB="0" distL="0" distR="0">
                        <wp:extent cx="767715" cy="729615"/>
                        <wp:effectExtent l="0" t="0" r="13335" b="13335"/>
                        <wp:docPr id="41" name="图片 41" descr="1603342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0334275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772026" cy="733425"/>
                                </a:xfrm>
                                <a:prstGeom prst="rect">
                                  <a:avLst/>
                                </a:prstGeom>
                                <a:noFill/>
                                <a:ln>
                                  <a:noFill/>
                                </a:ln>
                              </pic:spPr>
                            </pic:pic>
                          </a:graphicData>
                        </a:graphic>
                      </wp:inline>
                    </w:drawing>
                  </w:r>
                </w:p>
              </w:tc>
              <w:tc>
                <w:tcPr>
                  <w:tcW w:w="1036" w:type="pct"/>
                  <w:vAlign w:val="center"/>
                </w:tcPr>
                <w:p w14:paraId="47BAC25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852" w:type="pct"/>
                  <w:vAlign w:val="center"/>
                </w:tcPr>
                <w:p w14:paraId="2420EC2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雨水排放口</w:t>
                  </w:r>
                </w:p>
              </w:tc>
              <w:tc>
                <w:tcPr>
                  <w:tcW w:w="1503" w:type="pct"/>
                  <w:vAlign w:val="center"/>
                </w:tcPr>
                <w:p w14:paraId="02859D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表示雨水向水体排放</w:t>
                  </w:r>
                </w:p>
              </w:tc>
            </w:tr>
          </w:tbl>
          <w:p w14:paraId="4AE76EA5">
            <w:pPr>
              <w:adjustRightInd w:val="0"/>
              <w:snapToGrid w:val="0"/>
              <w:jc w:val="center"/>
              <w:rPr>
                <w:rFonts w:hint="default" w:ascii="Times New Roman" w:hAnsi="Times New Roman" w:eastAsia="仿宋" w:cs="Times New Roman"/>
                <w:b/>
                <w:bCs/>
                <w:color w:val="auto"/>
                <w:sz w:val="10"/>
                <w:szCs w:val="10"/>
              </w:rPr>
            </w:pPr>
          </w:p>
          <w:p w14:paraId="267D6BDB">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3</w:t>
            </w:r>
            <w:r>
              <w:rPr>
                <w:rFonts w:hint="eastAsia" w:eastAsia="仿宋" w:cs="Times New Roman"/>
                <w:b/>
                <w:bCs/>
                <w:color w:val="auto"/>
                <w:sz w:val="24"/>
                <w:lang w:val="en-US" w:eastAsia="zh-CN"/>
              </w:rPr>
              <w:t>5</w:t>
            </w:r>
            <w:r>
              <w:rPr>
                <w:rFonts w:hint="default" w:ascii="Times New Roman" w:hAnsi="Times New Roman" w:eastAsia="仿宋" w:cs="Times New Roman"/>
                <w:b/>
                <w:bCs/>
                <w:color w:val="auto"/>
                <w:sz w:val="24"/>
                <w:lang w:val="en-US" w:eastAsia="zh-CN"/>
              </w:rPr>
              <w:t xml:space="preserve"> </w:t>
            </w:r>
            <w:r>
              <w:rPr>
                <w:rFonts w:hint="default" w:ascii="Times New Roman" w:hAnsi="Times New Roman" w:eastAsia="仿宋" w:cs="Times New Roman"/>
                <w:b/>
                <w:bCs/>
                <w:color w:val="auto"/>
                <w:sz w:val="24"/>
              </w:rPr>
              <w:t xml:space="preserve"> 危险废物识别标识</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751"/>
              <w:gridCol w:w="937"/>
              <w:gridCol w:w="4780"/>
            </w:tblGrid>
            <w:tr w14:paraId="008EF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1" w:hRule="atLeast"/>
              </w:trPr>
              <w:tc>
                <w:tcPr>
                  <w:tcW w:w="1624" w:type="pct"/>
                  <w:tcBorders>
                    <w:tl2br w:val="nil"/>
                    <w:tr2bl w:val="nil"/>
                  </w:tcBorders>
                  <w:vAlign w:val="center"/>
                </w:tcPr>
                <w:p w14:paraId="723830AD">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警告图形符号</w:t>
                  </w:r>
                </w:p>
              </w:tc>
              <w:tc>
                <w:tcPr>
                  <w:tcW w:w="553" w:type="pct"/>
                  <w:tcBorders>
                    <w:tl2br w:val="nil"/>
                    <w:tr2bl w:val="nil"/>
                  </w:tcBorders>
                  <w:vAlign w:val="center"/>
                </w:tcPr>
                <w:p w14:paraId="5484AAE4">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名称</w:t>
                  </w:r>
                </w:p>
              </w:tc>
              <w:tc>
                <w:tcPr>
                  <w:tcW w:w="2821" w:type="pct"/>
                  <w:tcBorders>
                    <w:tl2br w:val="nil"/>
                    <w:tr2bl w:val="nil"/>
                  </w:tcBorders>
                  <w:vAlign w:val="center"/>
                </w:tcPr>
                <w:p w14:paraId="5529C118">
                  <w:pPr>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公开内容</w:t>
                  </w:r>
                </w:p>
              </w:tc>
            </w:tr>
            <w:tr w14:paraId="48EF3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4" w:hRule="atLeast"/>
              </w:trPr>
              <w:tc>
                <w:tcPr>
                  <w:tcW w:w="1624" w:type="pct"/>
                  <w:tcBorders>
                    <w:tl2br w:val="nil"/>
                    <w:tr2bl w:val="nil"/>
                  </w:tcBorders>
                  <w:vAlign w:val="center"/>
                </w:tcPr>
                <w:p w14:paraId="0FF527B4">
                  <w:pPr>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drawing>
                      <wp:inline distT="0" distB="0" distL="0" distR="0">
                        <wp:extent cx="1116330" cy="701675"/>
                        <wp:effectExtent l="0" t="0" r="762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40113" cy="717019"/>
                                </a:xfrm>
                                <a:prstGeom prst="rect">
                                  <a:avLst/>
                                </a:prstGeom>
                                <a:noFill/>
                                <a:ln>
                                  <a:noFill/>
                                </a:ln>
                              </pic:spPr>
                            </pic:pic>
                          </a:graphicData>
                        </a:graphic>
                      </wp:inline>
                    </w:drawing>
                  </w:r>
                </w:p>
              </w:tc>
              <w:tc>
                <w:tcPr>
                  <w:tcW w:w="553" w:type="pct"/>
                  <w:tcBorders>
                    <w:tl2br w:val="nil"/>
                    <w:tr2bl w:val="nil"/>
                  </w:tcBorders>
                  <w:vAlign w:val="center"/>
                </w:tcPr>
                <w:p w14:paraId="68FB788A">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贮存设施标志</w:t>
                  </w:r>
                </w:p>
              </w:tc>
              <w:tc>
                <w:tcPr>
                  <w:tcW w:w="2821" w:type="pct"/>
                  <w:tcBorders>
                    <w:tl2br w:val="nil"/>
                    <w:tr2bl w:val="nil"/>
                  </w:tcBorders>
                  <w:vAlign w:val="center"/>
                </w:tcPr>
                <w:p w14:paraId="69251000">
                  <w:pPr>
                    <w:pStyle w:val="57"/>
                    <w:jc w:val="center"/>
                    <w:rPr>
                      <w:rFonts w:hint="default" w:ascii="Times New Roman" w:hAnsi="Times New Roman" w:eastAsia="仿宋" w:cs="Times New Roman"/>
                      <w:color w:val="auto"/>
                      <w:kern w:val="2"/>
                      <w:sz w:val="18"/>
                      <w:szCs w:val="18"/>
                    </w:rPr>
                  </w:pPr>
                  <w:r>
                    <w:rPr>
                      <w:rFonts w:hint="default" w:ascii="Times New Roman" w:hAnsi="Times New Roman" w:eastAsia="仿宋" w:cs="Times New Roman"/>
                      <w:color w:val="auto"/>
                      <w:kern w:val="2"/>
                      <w:sz w:val="18"/>
                      <w:szCs w:val="18"/>
                    </w:rPr>
                    <w:t>包括企业名称、责任人及电话、设施编码等信息。</w:t>
                  </w:r>
                </w:p>
              </w:tc>
            </w:tr>
            <w:tr w14:paraId="1806D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13" w:hRule="atLeast"/>
              </w:trPr>
              <w:tc>
                <w:tcPr>
                  <w:tcW w:w="1624" w:type="pct"/>
                  <w:tcBorders>
                    <w:tl2br w:val="nil"/>
                    <w:tr2bl w:val="nil"/>
                  </w:tcBorders>
                  <w:vAlign w:val="center"/>
                </w:tcPr>
                <w:p w14:paraId="29906657">
                  <w:pPr>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drawing>
                      <wp:inline distT="0" distB="0" distL="0" distR="0">
                        <wp:extent cx="869950" cy="727075"/>
                        <wp:effectExtent l="0" t="0" r="635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79950" cy="735350"/>
                                </a:xfrm>
                                <a:prstGeom prst="rect">
                                  <a:avLst/>
                                </a:prstGeom>
                                <a:noFill/>
                                <a:ln>
                                  <a:noFill/>
                                </a:ln>
                              </pic:spPr>
                            </pic:pic>
                          </a:graphicData>
                        </a:graphic>
                      </wp:inline>
                    </w:drawing>
                  </w:r>
                </w:p>
              </w:tc>
              <w:tc>
                <w:tcPr>
                  <w:tcW w:w="553" w:type="pct"/>
                  <w:tcBorders>
                    <w:tl2br w:val="nil"/>
                    <w:tr2bl w:val="nil"/>
                  </w:tcBorders>
                  <w:vAlign w:val="center"/>
                </w:tcPr>
                <w:p w14:paraId="45A133C2">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危险废物贮存分区标志</w:t>
                  </w:r>
                </w:p>
              </w:tc>
              <w:tc>
                <w:tcPr>
                  <w:tcW w:w="2821" w:type="pct"/>
                  <w:tcBorders>
                    <w:tl2br w:val="nil"/>
                    <w:tr2bl w:val="nil"/>
                  </w:tcBorders>
                  <w:vAlign w:val="center"/>
                </w:tcPr>
                <w:p w14:paraId="625BA5B5">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危废贮存场所平面布局</w:t>
                  </w:r>
                </w:p>
              </w:tc>
            </w:tr>
            <w:tr w14:paraId="295B0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5" w:hRule="atLeast"/>
              </w:trPr>
              <w:tc>
                <w:tcPr>
                  <w:tcW w:w="1624" w:type="pct"/>
                  <w:tcBorders>
                    <w:tl2br w:val="nil"/>
                    <w:tr2bl w:val="nil"/>
                  </w:tcBorders>
                  <w:vAlign w:val="center"/>
                </w:tcPr>
                <w:p w14:paraId="6F9B0D02">
                  <w:pPr>
                    <w:snapToGrid w:val="0"/>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drawing>
                      <wp:inline distT="0" distB="0" distL="0" distR="0">
                        <wp:extent cx="855345" cy="854710"/>
                        <wp:effectExtent l="0" t="0" r="190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887676" cy="886471"/>
                                </a:xfrm>
                                <a:prstGeom prst="rect">
                                  <a:avLst/>
                                </a:prstGeom>
                                <a:noFill/>
                                <a:ln>
                                  <a:noFill/>
                                </a:ln>
                              </pic:spPr>
                            </pic:pic>
                          </a:graphicData>
                        </a:graphic>
                      </wp:inline>
                    </w:drawing>
                  </w:r>
                </w:p>
              </w:tc>
              <w:tc>
                <w:tcPr>
                  <w:tcW w:w="553" w:type="pct"/>
                  <w:tcBorders>
                    <w:tl2br w:val="nil"/>
                    <w:tr2bl w:val="nil"/>
                  </w:tcBorders>
                  <w:vAlign w:val="center"/>
                </w:tcPr>
                <w:p w14:paraId="72D566E2">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危险废物标签</w:t>
                  </w:r>
                </w:p>
              </w:tc>
              <w:tc>
                <w:tcPr>
                  <w:tcW w:w="2821" w:type="pct"/>
                  <w:tcBorders>
                    <w:tl2br w:val="nil"/>
                    <w:tr2bl w:val="nil"/>
                  </w:tcBorders>
                  <w:vAlign w:val="center"/>
                </w:tcPr>
                <w:p w14:paraId="13335234">
                  <w:pPr>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rPr>
                    <w:t>主要成分、化学名称、危险特性、有害成分</w:t>
                  </w:r>
                </w:p>
              </w:tc>
            </w:tr>
          </w:tbl>
          <w:p w14:paraId="5321223C">
            <w:pPr>
              <w:rPr>
                <w:rFonts w:hint="default" w:ascii="Times New Roman" w:hAnsi="Times New Roman" w:eastAsia="仿宋" w:cs="Times New Roman"/>
                <w:color w:val="auto"/>
              </w:rPr>
            </w:pPr>
          </w:p>
          <w:p w14:paraId="65A596EB">
            <w:pPr>
              <w:rPr>
                <w:rFonts w:hint="default" w:ascii="Times New Roman" w:hAnsi="Times New Roman" w:eastAsia="仿宋" w:cs="Times New Roman"/>
                <w:color w:val="auto"/>
              </w:rPr>
            </w:pPr>
          </w:p>
          <w:p w14:paraId="6D3442E4">
            <w:pPr>
              <w:rPr>
                <w:rFonts w:hint="default" w:ascii="Times New Roman" w:hAnsi="Times New Roman" w:eastAsia="仿宋" w:cs="Times New Roman"/>
                <w:color w:val="auto"/>
              </w:rPr>
            </w:pPr>
          </w:p>
          <w:p w14:paraId="591C35F0">
            <w:pPr>
              <w:rPr>
                <w:rFonts w:hint="default" w:ascii="Times New Roman" w:hAnsi="Times New Roman" w:eastAsia="仿宋" w:cs="Times New Roman"/>
                <w:color w:val="auto"/>
              </w:rPr>
            </w:pPr>
          </w:p>
          <w:p w14:paraId="765C7141">
            <w:pPr>
              <w:rPr>
                <w:rFonts w:hint="default" w:ascii="Times New Roman" w:hAnsi="Times New Roman" w:eastAsia="仿宋" w:cs="Times New Roman"/>
                <w:color w:val="auto"/>
              </w:rPr>
            </w:pPr>
          </w:p>
          <w:p w14:paraId="1590EC53">
            <w:pPr>
              <w:rPr>
                <w:rFonts w:hint="default" w:ascii="Times New Roman" w:hAnsi="Times New Roman" w:eastAsia="仿宋" w:cs="Times New Roman"/>
                <w:color w:val="auto"/>
              </w:rPr>
            </w:pPr>
          </w:p>
          <w:p w14:paraId="4E7DE474">
            <w:pPr>
              <w:rPr>
                <w:rFonts w:hint="default" w:ascii="Times New Roman" w:hAnsi="Times New Roman" w:eastAsia="仿宋" w:cs="Times New Roman"/>
                <w:color w:val="auto"/>
              </w:rPr>
            </w:pPr>
          </w:p>
          <w:p w14:paraId="55A85887">
            <w:pPr>
              <w:rPr>
                <w:rFonts w:hint="default" w:ascii="Times New Roman" w:hAnsi="Times New Roman" w:eastAsia="仿宋" w:cs="Times New Roman"/>
                <w:color w:val="auto"/>
              </w:rPr>
            </w:pPr>
          </w:p>
          <w:p w14:paraId="0F10116B">
            <w:pPr>
              <w:rPr>
                <w:rFonts w:hint="default" w:ascii="Times New Roman" w:hAnsi="Times New Roman" w:eastAsia="仿宋" w:cs="Times New Roman"/>
                <w:color w:val="auto"/>
              </w:rPr>
            </w:pPr>
          </w:p>
        </w:tc>
      </w:tr>
    </w:tbl>
    <w:p w14:paraId="78B325C0">
      <w:pPr>
        <w:pStyle w:val="24"/>
        <w:ind w:firstLine="210"/>
        <w:rPr>
          <w:rFonts w:hint="default" w:ascii="Times New Roman" w:hAnsi="Times New Roman" w:eastAsia="仿宋"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CF495DC">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bookmarkStart w:id="26" w:name="_Hlk54167917"/>
      <w:bookmarkStart w:id="27" w:name="_Toc30331"/>
      <w:r>
        <w:rPr>
          <w:rFonts w:hint="default" w:ascii="Times New Roman" w:hAnsi="Times New Roman" w:eastAsia="仿宋" w:cs="Times New Roman"/>
          <w:snapToGrid w:val="0"/>
          <w:color w:val="auto"/>
          <w:sz w:val="30"/>
          <w:szCs w:val="30"/>
        </w:rPr>
        <w:t>五、环境保护措施监督检查清单</w:t>
      </w:r>
      <w:bookmarkEnd w:id="26"/>
      <w:bookmarkEnd w:id="2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9"/>
        <w:gridCol w:w="696"/>
        <w:gridCol w:w="1375"/>
        <w:gridCol w:w="1526"/>
        <w:gridCol w:w="1360"/>
        <w:gridCol w:w="2904"/>
      </w:tblGrid>
      <w:tr w14:paraId="12EC5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tcBorders>
              <w:tl2br w:val="single" w:color="auto" w:sz="4" w:space="0"/>
            </w:tcBorders>
          </w:tcPr>
          <w:p w14:paraId="726CF7A8">
            <w:pPr>
              <w:adjustRightInd w:val="0"/>
              <w:snapToGrid w:val="0"/>
              <w:jc w:val="righ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p w14:paraId="39497A00">
            <w:pPr>
              <w:adjustRightInd w:val="0"/>
              <w:snapToGrid w:val="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要素</w:t>
            </w:r>
          </w:p>
        </w:tc>
        <w:tc>
          <w:tcPr>
            <w:tcW w:w="2071" w:type="dxa"/>
            <w:gridSpan w:val="2"/>
            <w:vAlign w:val="center"/>
          </w:tcPr>
          <w:p w14:paraId="029BD0EF">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排放口</w:t>
            </w:r>
            <w:r>
              <w:rPr>
                <w:rFonts w:hint="eastAsia" w:eastAsia="仿宋" w:cs="Times New Roman"/>
                <w:b/>
                <w:color w:val="auto"/>
                <w:sz w:val="21"/>
                <w:szCs w:val="21"/>
                <w:lang w:eastAsia="zh-CN"/>
              </w:rPr>
              <w:t>（</w:t>
            </w:r>
            <w:r>
              <w:rPr>
                <w:rFonts w:hint="default" w:ascii="Times New Roman" w:hAnsi="Times New Roman" w:eastAsia="仿宋" w:cs="Times New Roman"/>
                <w:b/>
                <w:color w:val="auto"/>
                <w:sz w:val="21"/>
                <w:szCs w:val="21"/>
              </w:rPr>
              <w:t>编号、</w:t>
            </w:r>
          </w:p>
          <w:p w14:paraId="2E996D38">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r>
              <w:rPr>
                <w:rFonts w:hint="eastAsia" w:eastAsia="仿宋" w:cs="Times New Roman"/>
                <w:b/>
                <w:color w:val="auto"/>
                <w:sz w:val="21"/>
                <w:szCs w:val="21"/>
                <w:lang w:eastAsia="zh-CN"/>
              </w:rPr>
              <w:t>）</w:t>
            </w:r>
            <w:r>
              <w:rPr>
                <w:rFonts w:hint="default" w:ascii="Times New Roman" w:hAnsi="Times New Roman" w:eastAsia="仿宋" w:cs="Times New Roman"/>
                <w:b/>
                <w:color w:val="auto"/>
                <w:sz w:val="21"/>
                <w:szCs w:val="21"/>
              </w:rPr>
              <w:t>/污染源</w:t>
            </w:r>
          </w:p>
        </w:tc>
        <w:tc>
          <w:tcPr>
            <w:tcW w:w="1526" w:type="dxa"/>
            <w:vAlign w:val="center"/>
          </w:tcPr>
          <w:p w14:paraId="5B2AE22D">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污染物项目</w:t>
            </w:r>
          </w:p>
        </w:tc>
        <w:tc>
          <w:tcPr>
            <w:tcW w:w="1360" w:type="dxa"/>
            <w:vAlign w:val="center"/>
          </w:tcPr>
          <w:p w14:paraId="2A078943">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环境保护措施</w:t>
            </w:r>
          </w:p>
        </w:tc>
        <w:tc>
          <w:tcPr>
            <w:tcW w:w="2904" w:type="dxa"/>
            <w:vAlign w:val="center"/>
          </w:tcPr>
          <w:p w14:paraId="0C1AEB06">
            <w:pPr>
              <w:adjustRightInd w:val="0"/>
              <w:snapToGrid w:val="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执行标准</w:t>
            </w:r>
          </w:p>
        </w:tc>
      </w:tr>
      <w:tr w14:paraId="2371B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39" w:type="dxa"/>
            <w:vMerge w:val="restart"/>
            <w:vAlign w:val="center"/>
          </w:tcPr>
          <w:p w14:paraId="7036C9F4">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大气环境</w:t>
            </w:r>
          </w:p>
        </w:tc>
        <w:tc>
          <w:tcPr>
            <w:tcW w:w="696" w:type="dxa"/>
            <w:vAlign w:val="center"/>
          </w:tcPr>
          <w:p w14:paraId="35ED6B1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有组织</w:t>
            </w:r>
          </w:p>
        </w:tc>
        <w:tc>
          <w:tcPr>
            <w:tcW w:w="1375" w:type="dxa"/>
            <w:vAlign w:val="center"/>
          </w:tcPr>
          <w:p w14:paraId="3E0667FD">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Cs/>
                <w:color w:val="auto"/>
                <w:sz w:val="21"/>
                <w:szCs w:val="21"/>
                <w:lang w:val="en-US" w:eastAsia="zh-CN"/>
              </w:rPr>
              <w:t>滴定实验、制样测试、焊接测试</w:t>
            </w:r>
            <w:r>
              <w:rPr>
                <w:rFonts w:hint="eastAsia" w:eastAsia="仿宋" w:cs="Times New Roman"/>
                <w:bCs/>
                <w:color w:val="auto"/>
                <w:sz w:val="21"/>
                <w:szCs w:val="21"/>
                <w:lang w:val="en-US" w:eastAsia="zh-CN"/>
              </w:rPr>
              <w:t>、危废暂存</w:t>
            </w:r>
          </w:p>
        </w:tc>
        <w:tc>
          <w:tcPr>
            <w:tcW w:w="1526" w:type="dxa"/>
            <w:vAlign w:val="center"/>
          </w:tcPr>
          <w:p w14:paraId="31C7B7DA">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氯化氢、非甲烷总烃、锡及其化合物</w:t>
            </w:r>
          </w:p>
        </w:tc>
        <w:tc>
          <w:tcPr>
            <w:tcW w:w="1360" w:type="dxa"/>
            <w:vAlign w:val="center"/>
          </w:tcPr>
          <w:p w14:paraId="018BE0B8">
            <w:pPr>
              <w:adjustRightInd w:val="0"/>
              <w:snapToGrid w:val="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碱液喷淋塔</w:t>
            </w:r>
            <w:r>
              <w:rPr>
                <w:rFonts w:hint="default" w:ascii="Times New Roman" w:hAnsi="Times New Roman" w:eastAsia="仿宋" w:cs="Times New Roman"/>
                <w:color w:val="FF0000"/>
                <w:sz w:val="21"/>
                <w:szCs w:val="21"/>
                <w:lang w:eastAsia="zh-CN"/>
              </w:rPr>
              <w:t>（</w:t>
            </w:r>
            <w:r>
              <w:rPr>
                <w:rFonts w:hint="default" w:ascii="Times New Roman" w:hAnsi="Times New Roman" w:eastAsia="仿宋" w:cs="Times New Roman"/>
                <w:color w:val="FF0000"/>
                <w:sz w:val="21"/>
                <w:szCs w:val="21"/>
                <w:lang w:val="en-US" w:eastAsia="zh-CN"/>
              </w:rPr>
              <w:t>含吸水填料</w:t>
            </w:r>
            <w:r>
              <w:rPr>
                <w:rFonts w:hint="default" w:ascii="Times New Roman" w:hAnsi="Times New Roman" w:eastAsia="仿宋" w:cs="Times New Roman"/>
                <w:color w:val="FF0000"/>
                <w:sz w:val="21"/>
                <w:szCs w:val="21"/>
                <w:lang w:eastAsia="zh-CN"/>
              </w:rPr>
              <w:t>）</w:t>
            </w:r>
            <w:r>
              <w:rPr>
                <w:rFonts w:hint="default" w:ascii="Times New Roman" w:hAnsi="Times New Roman" w:eastAsia="仿宋" w:cs="Times New Roman"/>
                <w:color w:val="auto"/>
                <w:sz w:val="21"/>
                <w:szCs w:val="21"/>
              </w:rPr>
              <w:t>+3#</w:t>
            </w:r>
            <w:r>
              <w:rPr>
                <w:rFonts w:hint="default" w:ascii="Times New Roman" w:hAnsi="Times New Roman" w:eastAsia="仿宋" w:cs="Times New Roman"/>
                <w:color w:val="auto"/>
                <w:sz w:val="21"/>
                <w:szCs w:val="21"/>
                <w:lang w:eastAsia="zh-CN"/>
              </w:rPr>
              <w:t>两级活性炭吸附装置</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25米排气筒3#</w:t>
            </w:r>
          </w:p>
        </w:tc>
        <w:tc>
          <w:tcPr>
            <w:tcW w:w="2904" w:type="dxa"/>
            <w:vAlign w:val="center"/>
          </w:tcPr>
          <w:p w14:paraId="7DDD893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《大气污染物综合排放标准》（DB32/4041-2021）表1标准</w:t>
            </w:r>
          </w:p>
        </w:tc>
      </w:tr>
      <w:tr w14:paraId="5194B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39" w:type="dxa"/>
            <w:vMerge w:val="continue"/>
            <w:vAlign w:val="center"/>
          </w:tcPr>
          <w:p w14:paraId="6D18F562">
            <w:pPr>
              <w:adjustRightInd w:val="0"/>
              <w:snapToGrid w:val="0"/>
              <w:jc w:val="center"/>
              <w:rPr>
                <w:rFonts w:hint="default" w:ascii="Times New Roman" w:hAnsi="Times New Roman" w:eastAsia="仿宋" w:cs="Times New Roman"/>
                <w:color w:val="auto"/>
                <w:sz w:val="21"/>
                <w:szCs w:val="21"/>
              </w:rPr>
            </w:pPr>
          </w:p>
        </w:tc>
        <w:tc>
          <w:tcPr>
            <w:tcW w:w="696" w:type="dxa"/>
            <w:vMerge w:val="restart"/>
            <w:vAlign w:val="center"/>
          </w:tcPr>
          <w:p w14:paraId="016DD9A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无组织</w:t>
            </w:r>
          </w:p>
        </w:tc>
        <w:tc>
          <w:tcPr>
            <w:tcW w:w="1375" w:type="dxa"/>
            <w:vAlign w:val="center"/>
          </w:tcPr>
          <w:p w14:paraId="0A13682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厂界</w:t>
            </w:r>
          </w:p>
        </w:tc>
        <w:tc>
          <w:tcPr>
            <w:tcW w:w="1526" w:type="dxa"/>
            <w:tcBorders>
              <w:bottom w:val="single" w:color="auto" w:sz="4" w:space="0"/>
            </w:tcBorders>
            <w:vAlign w:val="center"/>
          </w:tcPr>
          <w:p w14:paraId="2CE52719">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锡及其化合物、非甲烷总烃、</w:t>
            </w:r>
            <w:r>
              <w:rPr>
                <w:rFonts w:hint="default" w:ascii="Times New Roman" w:hAnsi="Times New Roman" w:eastAsia="仿宋" w:cs="Times New Roman"/>
                <w:color w:val="auto"/>
                <w:sz w:val="21"/>
                <w:szCs w:val="21"/>
                <w:lang w:val="en-US" w:eastAsia="zh-CN"/>
              </w:rPr>
              <w:t>氯化氢</w:t>
            </w:r>
          </w:p>
        </w:tc>
        <w:tc>
          <w:tcPr>
            <w:tcW w:w="1360" w:type="dxa"/>
            <w:tcBorders>
              <w:bottom w:val="single" w:color="auto" w:sz="4" w:space="0"/>
            </w:tcBorders>
            <w:vAlign w:val="center"/>
          </w:tcPr>
          <w:p w14:paraId="5E41539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车间通风</w:t>
            </w:r>
          </w:p>
        </w:tc>
        <w:tc>
          <w:tcPr>
            <w:tcW w:w="2904" w:type="dxa"/>
            <w:vAlign w:val="center"/>
          </w:tcPr>
          <w:p w14:paraId="35AFA0D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《大气污染物综合排放标准》（DB32/4041-2021）</w:t>
            </w:r>
            <w:r>
              <w:rPr>
                <w:rFonts w:hint="default" w:ascii="Times New Roman" w:hAnsi="Times New Roman" w:eastAsia="仿宋" w:cs="Times New Roman"/>
                <w:color w:val="auto"/>
                <w:sz w:val="21"/>
                <w:szCs w:val="21"/>
                <w:lang w:val="en-US" w:eastAsia="zh-CN"/>
              </w:rPr>
              <w:t>表3</w:t>
            </w:r>
          </w:p>
        </w:tc>
      </w:tr>
      <w:tr w14:paraId="39157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39" w:type="dxa"/>
            <w:vMerge w:val="continue"/>
            <w:vAlign w:val="center"/>
          </w:tcPr>
          <w:p w14:paraId="7275820F">
            <w:pPr>
              <w:adjustRightInd w:val="0"/>
              <w:snapToGrid w:val="0"/>
              <w:jc w:val="center"/>
              <w:rPr>
                <w:rFonts w:hint="default" w:ascii="Times New Roman" w:hAnsi="Times New Roman" w:eastAsia="仿宋" w:cs="Times New Roman"/>
                <w:color w:val="auto"/>
                <w:sz w:val="21"/>
                <w:szCs w:val="21"/>
              </w:rPr>
            </w:pPr>
          </w:p>
        </w:tc>
        <w:tc>
          <w:tcPr>
            <w:tcW w:w="696" w:type="dxa"/>
            <w:vMerge w:val="continue"/>
            <w:vAlign w:val="center"/>
          </w:tcPr>
          <w:p w14:paraId="225F410F">
            <w:pPr>
              <w:adjustRightInd w:val="0"/>
              <w:snapToGrid w:val="0"/>
              <w:jc w:val="center"/>
              <w:rPr>
                <w:rFonts w:hint="default" w:ascii="Times New Roman" w:hAnsi="Times New Roman" w:eastAsia="仿宋" w:cs="Times New Roman"/>
                <w:color w:val="auto"/>
                <w:sz w:val="21"/>
                <w:szCs w:val="21"/>
              </w:rPr>
            </w:pPr>
          </w:p>
        </w:tc>
        <w:tc>
          <w:tcPr>
            <w:tcW w:w="1375" w:type="dxa"/>
            <w:vAlign w:val="center"/>
          </w:tcPr>
          <w:p w14:paraId="2B6310E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厂区内</w:t>
            </w:r>
          </w:p>
        </w:tc>
        <w:tc>
          <w:tcPr>
            <w:tcW w:w="1526" w:type="dxa"/>
            <w:tcBorders>
              <w:top w:val="single" w:color="auto" w:sz="4" w:space="0"/>
            </w:tcBorders>
            <w:vAlign w:val="center"/>
          </w:tcPr>
          <w:p w14:paraId="1BF955B1">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非甲烷总烃</w:t>
            </w:r>
          </w:p>
        </w:tc>
        <w:tc>
          <w:tcPr>
            <w:tcW w:w="1360" w:type="dxa"/>
            <w:tcBorders>
              <w:top w:val="single" w:color="auto" w:sz="4" w:space="0"/>
            </w:tcBorders>
            <w:vAlign w:val="center"/>
          </w:tcPr>
          <w:p w14:paraId="3240058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车间通风</w:t>
            </w:r>
          </w:p>
        </w:tc>
        <w:tc>
          <w:tcPr>
            <w:tcW w:w="2904" w:type="dxa"/>
            <w:vAlign w:val="center"/>
          </w:tcPr>
          <w:p w14:paraId="0C0E876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《大气污染物综合排放标准》（DB32/4041-2021）</w:t>
            </w:r>
            <w:r>
              <w:rPr>
                <w:rFonts w:hint="default" w:ascii="Times New Roman" w:hAnsi="Times New Roman" w:eastAsia="仿宋" w:cs="Times New Roman"/>
                <w:color w:val="auto"/>
                <w:sz w:val="21"/>
                <w:szCs w:val="21"/>
                <w:lang w:val="en-US" w:eastAsia="zh-CN"/>
              </w:rPr>
              <w:t>表2</w:t>
            </w:r>
          </w:p>
        </w:tc>
      </w:tr>
      <w:tr w14:paraId="508D3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Align w:val="center"/>
          </w:tcPr>
          <w:p w14:paraId="0B5CB963">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地表水</w:t>
            </w:r>
          </w:p>
          <w:p w14:paraId="4ED0056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w:t>
            </w:r>
          </w:p>
        </w:tc>
        <w:tc>
          <w:tcPr>
            <w:tcW w:w="2071" w:type="dxa"/>
            <w:gridSpan w:val="2"/>
            <w:vAlign w:val="center"/>
          </w:tcPr>
          <w:p w14:paraId="1BAA97C8">
            <w:pPr>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制纯水弃水</w:t>
            </w:r>
          </w:p>
        </w:tc>
        <w:tc>
          <w:tcPr>
            <w:tcW w:w="1526" w:type="dxa"/>
            <w:vAlign w:val="center"/>
          </w:tcPr>
          <w:p w14:paraId="43DE493F">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pH、COD、SS</w:t>
            </w:r>
          </w:p>
        </w:tc>
        <w:tc>
          <w:tcPr>
            <w:tcW w:w="1360" w:type="dxa"/>
            <w:vAlign w:val="center"/>
          </w:tcPr>
          <w:p w14:paraId="50EE092F">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用于员工冲厕</w:t>
            </w:r>
          </w:p>
        </w:tc>
        <w:tc>
          <w:tcPr>
            <w:tcW w:w="2904" w:type="dxa"/>
            <w:vAlign w:val="center"/>
          </w:tcPr>
          <w:p w14:paraId="23551118">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14:paraId="5AD42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39" w:type="dxa"/>
            <w:vMerge w:val="restart"/>
            <w:vAlign w:val="center"/>
          </w:tcPr>
          <w:p w14:paraId="5CB14B6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2071" w:type="dxa"/>
            <w:gridSpan w:val="2"/>
            <w:vAlign w:val="center"/>
          </w:tcPr>
          <w:p w14:paraId="7B519EFD">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1526" w:type="dxa"/>
            <w:vAlign w:val="center"/>
          </w:tcPr>
          <w:p w14:paraId="4174A28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废样品</w:t>
            </w:r>
          </w:p>
        </w:tc>
        <w:tc>
          <w:tcPr>
            <w:tcW w:w="1360" w:type="dxa"/>
            <w:vMerge w:val="restart"/>
            <w:vAlign w:val="center"/>
          </w:tcPr>
          <w:p w14:paraId="486CD57E">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外售</w:t>
            </w:r>
            <w:r>
              <w:rPr>
                <w:rFonts w:hint="default" w:ascii="Times New Roman" w:hAnsi="Times New Roman" w:eastAsia="仿宋" w:cs="Times New Roman"/>
                <w:color w:val="auto"/>
                <w:sz w:val="21"/>
                <w:szCs w:val="21"/>
              </w:rPr>
              <w:t>综合利用</w:t>
            </w:r>
          </w:p>
        </w:tc>
        <w:tc>
          <w:tcPr>
            <w:tcW w:w="2904" w:type="dxa"/>
            <w:vMerge w:val="restart"/>
            <w:vAlign w:val="center"/>
          </w:tcPr>
          <w:p w14:paraId="5AA4F1B9">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合理处置</w:t>
            </w:r>
          </w:p>
        </w:tc>
      </w:tr>
      <w:tr w14:paraId="7C83B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39" w:type="dxa"/>
            <w:vMerge w:val="continue"/>
            <w:vAlign w:val="center"/>
          </w:tcPr>
          <w:p w14:paraId="4EC07B5A">
            <w:pPr>
              <w:adjustRightInd w:val="0"/>
              <w:snapToGrid w:val="0"/>
              <w:jc w:val="center"/>
              <w:rPr>
                <w:rFonts w:hint="default" w:ascii="Times New Roman" w:hAnsi="Times New Roman" w:eastAsia="仿宋" w:cs="Times New Roman"/>
                <w:color w:val="auto"/>
                <w:sz w:val="21"/>
                <w:szCs w:val="21"/>
              </w:rPr>
            </w:pPr>
            <w:bookmarkStart w:id="28" w:name="_Hlk111212312"/>
          </w:p>
        </w:tc>
        <w:tc>
          <w:tcPr>
            <w:tcW w:w="2071" w:type="dxa"/>
            <w:gridSpan w:val="2"/>
            <w:vAlign w:val="center"/>
          </w:tcPr>
          <w:p w14:paraId="71CA5252">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制纯水</w:t>
            </w:r>
          </w:p>
        </w:tc>
        <w:tc>
          <w:tcPr>
            <w:tcW w:w="1526" w:type="dxa"/>
            <w:vAlign w:val="center"/>
          </w:tcPr>
          <w:p w14:paraId="5386A317">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废过滤材料</w:t>
            </w:r>
          </w:p>
        </w:tc>
        <w:tc>
          <w:tcPr>
            <w:tcW w:w="1360" w:type="dxa"/>
            <w:vMerge w:val="continue"/>
            <w:vAlign w:val="center"/>
          </w:tcPr>
          <w:p w14:paraId="20673EAE">
            <w:pPr>
              <w:jc w:val="center"/>
              <w:rPr>
                <w:rFonts w:hint="default" w:ascii="Times New Roman" w:hAnsi="Times New Roman" w:eastAsia="仿宋" w:cs="Times New Roman"/>
                <w:color w:val="auto"/>
                <w:sz w:val="21"/>
                <w:szCs w:val="21"/>
                <w:lang w:val="en-US" w:eastAsia="zh-CN"/>
              </w:rPr>
            </w:pPr>
          </w:p>
        </w:tc>
        <w:tc>
          <w:tcPr>
            <w:tcW w:w="2904" w:type="dxa"/>
            <w:vMerge w:val="continue"/>
            <w:vAlign w:val="center"/>
          </w:tcPr>
          <w:p w14:paraId="7DF799CB">
            <w:pPr>
              <w:adjustRightInd w:val="0"/>
              <w:snapToGrid w:val="0"/>
              <w:jc w:val="center"/>
              <w:rPr>
                <w:rFonts w:hint="default" w:ascii="Times New Roman" w:hAnsi="Times New Roman" w:eastAsia="仿宋" w:cs="Times New Roman"/>
                <w:color w:val="auto"/>
                <w:sz w:val="21"/>
                <w:szCs w:val="21"/>
                <w:lang w:val="en-US" w:eastAsia="zh-CN"/>
              </w:rPr>
            </w:pPr>
          </w:p>
        </w:tc>
      </w:tr>
      <w:tr w14:paraId="5076F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939" w:type="dxa"/>
            <w:vMerge w:val="continue"/>
            <w:vAlign w:val="center"/>
          </w:tcPr>
          <w:p w14:paraId="2011215A">
            <w:pPr>
              <w:adjustRightInd w:val="0"/>
              <w:snapToGrid w:val="0"/>
              <w:jc w:val="center"/>
              <w:rPr>
                <w:rFonts w:hint="default" w:ascii="Times New Roman" w:hAnsi="Times New Roman" w:eastAsia="仿宋" w:cs="Times New Roman"/>
                <w:color w:val="auto"/>
                <w:sz w:val="21"/>
                <w:szCs w:val="21"/>
              </w:rPr>
            </w:pPr>
          </w:p>
        </w:tc>
        <w:tc>
          <w:tcPr>
            <w:tcW w:w="2071" w:type="dxa"/>
            <w:gridSpan w:val="2"/>
            <w:vAlign w:val="center"/>
          </w:tcPr>
          <w:p w14:paraId="45F87016">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1526" w:type="dxa"/>
            <w:vAlign w:val="center"/>
          </w:tcPr>
          <w:p w14:paraId="675ACF4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实验室废液</w:t>
            </w:r>
          </w:p>
        </w:tc>
        <w:tc>
          <w:tcPr>
            <w:tcW w:w="1360" w:type="dxa"/>
            <w:vMerge w:val="restart"/>
            <w:vAlign w:val="center"/>
          </w:tcPr>
          <w:p w14:paraId="3F32F73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委托有资质单位处置</w:t>
            </w:r>
          </w:p>
        </w:tc>
        <w:tc>
          <w:tcPr>
            <w:tcW w:w="2904" w:type="dxa"/>
            <w:vMerge w:val="continue"/>
            <w:vAlign w:val="center"/>
          </w:tcPr>
          <w:p w14:paraId="4CD9C554">
            <w:pPr>
              <w:adjustRightInd w:val="0"/>
              <w:snapToGrid w:val="0"/>
              <w:jc w:val="center"/>
              <w:rPr>
                <w:rFonts w:hint="default" w:ascii="Times New Roman" w:hAnsi="Times New Roman" w:eastAsia="仿宋" w:cs="Times New Roman"/>
                <w:color w:val="auto"/>
                <w:sz w:val="21"/>
                <w:szCs w:val="21"/>
              </w:rPr>
            </w:pPr>
          </w:p>
        </w:tc>
      </w:tr>
      <w:tr w14:paraId="1C07A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939" w:type="dxa"/>
            <w:vMerge w:val="continue"/>
            <w:vAlign w:val="center"/>
          </w:tcPr>
          <w:p w14:paraId="18E7CF29">
            <w:pPr>
              <w:adjustRightInd w:val="0"/>
              <w:snapToGrid w:val="0"/>
              <w:jc w:val="center"/>
              <w:rPr>
                <w:rFonts w:hint="default" w:ascii="Times New Roman" w:hAnsi="Times New Roman" w:eastAsia="仿宋" w:cs="Times New Roman"/>
                <w:color w:val="auto"/>
                <w:sz w:val="21"/>
                <w:szCs w:val="21"/>
              </w:rPr>
            </w:pPr>
          </w:p>
        </w:tc>
        <w:tc>
          <w:tcPr>
            <w:tcW w:w="2071" w:type="dxa"/>
            <w:gridSpan w:val="2"/>
            <w:vAlign w:val="center"/>
          </w:tcPr>
          <w:p w14:paraId="0ECB48C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原辅材料使用</w:t>
            </w:r>
          </w:p>
        </w:tc>
        <w:tc>
          <w:tcPr>
            <w:tcW w:w="1526" w:type="dxa"/>
            <w:vAlign w:val="center"/>
          </w:tcPr>
          <w:p w14:paraId="42C7677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废包装物</w:t>
            </w:r>
          </w:p>
        </w:tc>
        <w:tc>
          <w:tcPr>
            <w:tcW w:w="1360" w:type="dxa"/>
            <w:vMerge w:val="continue"/>
            <w:vAlign w:val="center"/>
          </w:tcPr>
          <w:p w14:paraId="13765333">
            <w:pPr>
              <w:adjustRightInd w:val="0"/>
              <w:snapToGrid w:val="0"/>
              <w:jc w:val="center"/>
              <w:rPr>
                <w:rFonts w:hint="default" w:ascii="Times New Roman" w:hAnsi="Times New Roman" w:eastAsia="仿宋" w:cs="Times New Roman"/>
                <w:color w:val="auto"/>
                <w:sz w:val="21"/>
                <w:szCs w:val="21"/>
              </w:rPr>
            </w:pPr>
          </w:p>
        </w:tc>
        <w:tc>
          <w:tcPr>
            <w:tcW w:w="2904" w:type="dxa"/>
            <w:vMerge w:val="continue"/>
            <w:vAlign w:val="center"/>
          </w:tcPr>
          <w:p w14:paraId="02E4BE90">
            <w:pPr>
              <w:adjustRightInd w:val="0"/>
              <w:snapToGrid w:val="0"/>
              <w:jc w:val="center"/>
              <w:rPr>
                <w:rFonts w:hint="default" w:ascii="Times New Roman" w:hAnsi="Times New Roman" w:eastAsia="仿宋" w:cs="Times New Roman"/>
                <w:color w:val="auto"/>
                <w:sz w:val="21"/>
                <w:szCs w:val="21"/>
              </w:rPr>
            </w:pPr>
          </w:p>
        </w:tc>
      </w:tr>
      <w:tr w14:paraId="750BF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939" w:type="dxa"/>
            <w:vMerge w:val="continue"/>
            <w:vAlign w:val="center"/>
          </w:tcPr>
          <w:p w14:paraId="0EB81010">
            <w:pPr>
              <w:adjustRightInd w:val="0"/>
              <w:snapToGrid w:val="0"/>
              <w:jc w:val="center"/>
              <w:rPr>
                <w:rFonts w:hint="default" w:ascii="Times New Roman" w:hAnsi="Times New Roman" w:eastAsia="仿宋" w:cs="Times New Roman"/>
                <w:color w:val="auto"/>
                <w:sz w:val="21"/>
                <w:szCs w:val="21"/>
              </w:rPr>
            </w:pPr>
          </w:p>
        </w:tc>
        <w:tc>
          <w:tcPr>
            <w:tcW w:w="2071" w:type="dxa"/>
            <w:gridSpan w:val="2"/>
            <w:vAlign w:val="center"/>
          </w:tcPr>
          <w:p w14:paraId="73B1611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实验</w:t>
            </w:r>
          </w:p>
        </w:tc>
        <w:tc>
          <w:tcPr>
            <w:tcW w:w="1526" w:type="dxa"/>
            <w:vAlign w:val="center"/>
          </w:tcPr>
          <w:p w14:paraId="4424DE8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废劳保用品及抹布</w:t>
            </w:r>
          </w:p>
        </w:tc>
        <w:tc>
          <w:tcPr>
            <w:tcW w:w="1360" w:type="dxa"/>
            <w:vMerge w:val="continue"/>
            <w:vAlign w:val="center"/>
          </w:tcPr>
          <w:p w14:paraId="30F11EE4">
            <w:pPr>
              <w:adjustRightInd w:val="0"/>
              <w:snapToGrid w:val="0"/>
              <w:jc w:val="center"/>
              <w:rPr>
                <w:rFonts w:hint="default" w:ascii="Times New Roman" w:hAnsi="Times New Roman" w:eastAsia="仿宋" w:cs="Times New Roman"/>
                <w:color w:val="auto"/>
                <w:sz w:val="21"/>
                <w:szCs w:val="21"/>
              </w:rPr>
            </w:pPr>
          </w:p>
        </w:tc>
        <w:tc>
          <w:tcPr>
            <w:tcW w:w="2904" w:type="dxa"/>
            <w:vMerge w:val="continue"/>
            <w:vAlign w:val="center"/>
          </w:tcPr>
          <w:p w14:paraId="07985B9A">
            <w:pPr>
              <w:adjustRightInd w:val="0"/>
              <w:snapToGrid w:val="0"/>
              <w:jc w:val="center"/>
              <w:rPr>
                <w:rFonts w:hint="default" w:ascii="Times New Roman" w:hAnsi="Times New Roman" w:eastAsia="仿宋" w:cs="Times New Roman"/>
                <w:color w:val="auto"/>
                <w:sz w:val="21"/>
                <w:szCs w:val="21"/>
              </w:rPr>
            </w:pPr>
          </w:p>
        </w:tc>
      </w:tr>
      <w:tr w14:paraId="7159C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939" w:type="dxa"/>
            <w:vMerge w:val="continue"/>
            <w:vAlign w:val="center"/>
          </w:tcPr>
          <w:p w14:paraId="4F10BE98">
            <w:pPr>
              <w:adjustRightInd w:val="0"/>
              <w:snapToGrid w:val="0"/>
              <w:jc w:val="center"/>
              <w:rPr>
                <w:rFonts w:hint="default" w:ascii="Times New Roman" w:hAnsi="Times New Roman" w:eastAsia="仿宋" w:cs="Times New Roman"/>
                <w:color w:val="auto"/>
                <w:sz w:val="21"/>
                <w:szCs w:val="21"/>
              </w:rPr>
            </w:pPr>
          </w:p>
        </w:tc>
        <w:tc>
          <w:tcPr>
            <w:tcW w:w="2071" w:type="dxa"/>
            <w:gridSpan w:val="2"/>
            <w:vAlign w:val="center"/>
          </w:tcPr>
          <w:p w14:paraId="37E9DFBF">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废气处理</w:t>
            </w:r>
          </w:p>
        </w:tc>
        <w:tc>
          <w:tcPr>
            <w:tcW w:w="1526" w:type="dxa"/>
            <w:vAlign w:val="center"/>
          </w:tcPr>
          <w:p w14:paraId="7230E732">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废活性炭</w:t>
            </w:r>
          </w:p>
        </w:tc>
        <w:tc>
          <w:tcPr>
            <w:tcW w:w="1360" w:type="dxa"/>
            <w:vMerge w:val="continue"/>
            <w:vAlign w:val="center"/>
          </w:tcPr>
          <w:p w14:paraId="4AF8A5DE">
            <w:pPr>
              <w:adjustRightInd w:val="0"/>
              <w:snapToGrid w:val="0"/>
              <w:jc w:val="center"/>
              <w:rPr>
                <w:rFonts w:hint="default" w:ascii="Times New Roman" w:hAnsi="Times New Roman" w:eastAsia="仿宋" w:cs="Times New Roman"/>
                <w:color w:val="auto"/>
                <w:sz w:val="21"/>
                <w:szCs w:val="21"/>
              </w:rPr>
            </w:pPr>
          </w:p>
        </w:tc>
        <w:tc>
          <w:tcPr>
            <w:tcW w:w="2904" w:type="dxa"/>
            <w:vMerge w:val="continue"/>
            <w:vAlign w:val="center"/>
          </w:tcPr>
          <w:p w14:paraId="6C7A78E6">
            <w:pPr>
              <w:adjustRightInd w:val="0"/>
              <w:snapToGrid w:val="0"/>
              <w:jc w:val="center"/>
              <w:rPr>
                <w:rFonts w:hint="default" w:ascii="Times New Roman" w:hAnsi="Times New Roman" w:eastAsia="仿宋" w:cs="Times New Roman"/>
                <w:color w:val="auto"/>
                <w:sz w:val="21"/>
                <w:szCs w:val="21"/>
              </w:rPr>
            </w:pPr>
          </w:p>
        </w:tc>
      </w:tr>
      <w:bookmarkEnd w:id="28"/>
      <w:tr w14:paraId="5AC8D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9" w:type="dxa"/>
            <w:vAlign w:val="center"/>
          </w:tcPr>
          <w:p w14:paraId="0E013D4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声环境</w:t>
            </w:r>
          </w:p>
        </w:tc>
        <w:tc>
          <w:tcPr>
            <w:tcW w:w="2071" w:type="dxa"/>
            <w:gridSpan w:val="2"/>
            <w:vAlign w:val="center"/>
          </w:tcPr>
          <w:p w14:paraId="68CA164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研磨机</w:t>
            </w:r>
          </w:p>
        </w:tc>
        <w:tc>
          <w:tcPr>
            <w:tcW w:w="1526" w:type="dxa"/>
            <w:vAlign w:val="center"/>
          </w:tcPr>
          <w:p w14:paraId="0E5B0678">
            <w:pPr>
              <w:wordWrap w:val="0"/>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噪声</w:t>
            </w:r>
          </w:p>
        </w:tc>
        <w:tc>
          <w:tcPr>
            <w:tcW w:w="1360" w:type="dxa"/>
            <w:vAlign w:val="center"/>
          </w:tcPr>
          <w:p w14:paraId="5B4AD241">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隔声、消声、减振</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降噪</w:t>
            </w:r>
          </w:p>
        </w:tc>
        <w:tc>
          <w:tcPr>
            <w:tcW w:w="2904" w:type="dxa"/>
            <w:vAlign w:val="center"/>
          </w:tcPr>
          <w:p w14:paraId="645377C6">
            <w:pPr>
              <w:wordWrap w:val="0"/>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rPr>
              <w:t>《工业企业厂界环境噪声排放标准》（GB12348-2008）表1中</w:t>
            </w:r>
            <w:r>
              <w:rPr>
                <w:rFonts w:hint="default" w:ascii="Times New Roman" w:hAnsi="Times New Roman" w:eastAsia="仿宋" w:cs="Times New Roman"/>
                <w:color w:val="auto"/>
                <w:szCs w:val="21"/>
                <w:lang w:val="en-US" w:eastAsia="zh-CN"/>
              </w:rPr>
              <w:t>3</w:t>
            </w:r>
            <w:r>
              <w:rPr>
                <w:rFonts w:hint="default" w:ascii="Times New Roman" w:hAnsi="Times New Roman" w:eastAsia="仿宋" w:cs="Times New Roman"/>
                <w:color w:val="auto"/>
                <w:szCs w:val="21"/>
              </w:rPr>
              <w:t>类功能区对应标准限值</w:t>
            </w:r>
          </w:p>
        </w:tc>
      </w:tr>
      <w:tr w14:paraId="71847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9" w:type="dxa"/>
            <w:vAlign w:val="center"/>
          </w:tcPr>
          <w:p w14:paraId="172A01F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电磁辐射</w:t>
            </w:r>
          </w:p>
        </w:tc>
        <w:tc>
          <w:tcPr>
            <w:tcW w:w="2071" w:type="dxa"/>
            <w:gridSpan w:val="2"/>
            <w:vAlign w:val="center"/>
          </w:tcPr>
          <w:p w14:paraId="72018842">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526" w:type="dxa"/>
            <w:vAlign w:val="center"/>
          </w:tcPr>
          <w:p w14:paraId="15A5D15A">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1360" w:type="dxa"/>
            <w:vAlign w:val="center"/>
          </w:tcPr>
          <w:p w14:paraId="26FD1E3E">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2904" w:type="dxa"/>
            <w:vAlign w:val="center"/>
          </w:tcPr>
          <w:p w14:paraId="66ACA950">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7FB03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39" w:type="dxa"/>
            <w:vAlign w:val="center"/>
          </w:tcPr>
          <w:p w14:paraId="4B098A58">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土壤及地下水污染防治措施</w:t>
            </w:r>
          </w:p>
        </w:tc>
        <w:tc>
          <w:tcPr>
            <w:tcW w:w="7861" w:type="dxa"/>
            <w:gridSpan w:val="5"/>
            <w:vAlign w:val="center"/>
          </w:tcPr>
          <w:p w14:paraId="0B224C35">
            <w:pPr>
              <w:adjustRightInd w:val="0"/>
              <w:snapToGrid w:val="0"/>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本项目使用的化学试剂</w:t>
            </w:r>
            <w:r>
              <w:rPr>
                <w:rFonts w:hint="eastAsia" w:eastAsia="仿宋" w:cs="Times New Roman"/>
                <w:color w:val="auto"/>
                <w:sz w:val="21"/>
                <w:szCs w:val="21"/>
                <w:lang w:val="en-US" w:eastAsia="zh-CN"/>
              </w:rPr>
              <w:t>等原辅料</w:t>
            </w:r>
            <w:r>
              <w:rPr>
                <w:rFonts w:hint="default" w:ascii="Times New Roman" w:hAnsi="Times New Roman" w:eastAsia="仿宋" w:cs="Times New Roman"/>
                <w:color w:val="auto"/>
                <w:sz w:val="21"/>
                <w:szCs w:val="21"/>
              </w:rPr>
              <w:t>均通过封闭货车运输至厂内，然后存放于</w:t>
            </w:r>
            <w:r>
              <w:rPr>
                <w:rFonts w:hint="default" w:ascii="Times New Roman" w:hAnsi="Times New Roman" w:eastAsia="仿宋" w:cs="Times New Roman"/>
                <w:color w:val="auto"/>
                <w:sz w:val="21"/>
                <w:szCs w:val="21"/>
                <w:lang w:val="en-US" w:eastAsia="zh-CN"/>
              </w:rPr>
              <w:t>实验室防爆柜</w:t>
            </w:r>
            <w:r>
              <w:rPr>
                <w:rFonts w:hint="eastAsia" w:eastAsia="仿宋" w:cs="Times New Roman"/>
                <w:color w:val="auto"/>
                <w:sz w:val="21"/>
                <w:szCs w:val="21"/>
                <w:lang w:val="en-US" w:eastAsia="zh-CN"/>
              </w:rPr>
              <w:t>、维修间</w:t>
            </w:r>
            <w:r>
              <w:rPr>
                <w:rFonts w:hint="default" w:ascii="Times New Roman" w:hAnsi="Times New Roman" w:eastAsia="仿宋" w:cs="Times New Roman"/>
                <w:color w:val="auto"/>
                <w:sz w:val="21"/>
                <w:szCs w:val="21"/>
              </w:rPr>
              <w:t>，危废暂存于危废仓库，无露天堆放，</w:t>
            </w:r>
            <w:r>
              <w:rPr>
                <w:rFonts w:hint="default" w:ascii="Times New Roman" w:hAnsi="Times New Roman" w:eastAsia="仿宋" w:cs="Times New Roman"/>
                <w:color w:val="auto"/>
                <w:sz w:val="21"/>
                <w:szCs w:val="21"/>
                <w:lang w:val="en-US" w:eastAsia="zh-CN"/>
              </w:rPr>
              <w:t>实验室</w:t>
            </w:r>
            <w:r>
              <w:rPr>
                <w:rFonts w:hint="default" w:ascii="Times New Roman" w:hAnsi="Times New Roman" w:eastAsia="仿宋" w:cs="Times New Roman"/>
                <w:color w:val="auto"/>
                <w:sz w:val="21"/>
                <w:szCs w:val="21"/>
              </w:rPr>
              <w:t>、危废仓库均已做好地面硬化并采取防渗处理，正常实验时</w:t>
            </w:r>
            <w:r>
              <w:rPr>
                <w:rFonts w:hint="default" w:ascii="Times New Roman" w:hAnsi="Times New Roman" w:eastAsia="仿宋" w:cs="Times New Roman"/>
                <w:color w:val="auto"/>
                <w:sz w:val="21"/>
                <w:szCs w:val="21"/>
                <w:lang w:val="en-US" w:eastAsia="zh-CN"/>
              </w:rPr>
              <w:t>化学试剂</w:t>
            </w:r>
            <w:r>
              <w:rPr>
                <w:rFonts w:hint="default" w:ascii="Times New Roman" w:hAnsi="Times New Roman" w:eastAsia="仿宋" w:cs="Times New Roman"/>
                <w:color w:val="auto"/>
                <w:sz w:val="21"/>
                <w:szCs w:val="21"/>
              </w:rPr>
              <w:t>跑冒滴漏不会下渗到地下水、土壤中。在确保各项防渗措施得以落实、加强维护和厂区环境管理的前提下，本项目对地下水、土壤的污染可能性极小。</w:t>
            </w:r>
          </w:p>
        </w:tc>
      </w:tr>
      <w:tr w14:paraId="6BB1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39" w:type="dxa"/>
            <w:vAlign w:val="center"/>
          </w:tcPr>
          <w:p w14:paraId="5877D8BD">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w:t>
            </w:r>
          </w:p>
          <w:p w14:paraId="75898BDC">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护措施</w:t>
            </w:r>
          </w:p>
        </w:tc>
        <w:tc>
          <w:tcPr>
            <w:tcW w:w="7861" w:type="dxa"/>
            <w:gridSpan w:val="5"/>
            <w:vAlign w:val="center"/>
          </w:tcPr>
          <w:p w14:paraId="159C4B06">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无。</w:t>
            </w:r>
          </w:p>
        </w:tc>
      </w:tr>
      <w:tr w14:paraId="6431D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39" w:type="dxa"/>
            <w:vAlign w:val="center"/>
          </w:tcPr>
          <w:p w14:paraId="4D4CD79A">
            <w:pPr>
              <w:adjustRightInd w:val="0"/>
              <w:snapToGrid w:val="0"/>
              <w:jc w:val="center"/>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rPr>
              <w:t>环境风险防范措施</w:t>
            </w:r>
          </w:p>
        </w:tc>
        <w:tc>
          <w:tcPr>
            <w:tcW w:w="7861" w:type="dxa"/>
            <w:gridSpan w:val="5"/>
            <w:vAlign w:val="center"/>
          </w:tcPr>
          <w:p w14:paraId="347B6A53">
            <w:pPr>
              <w:adjustRightInd w:val="0"/>
              <w:snapToGrid w:val="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做好厂区环境风险管理</w:t>
            </w:r>
            <w:r>
              <w:rPr>
                <w:rFonts w:hint="default" w:ascii="Times New Roman" w:hAnsi="Times New Roman" w:eastAsia="仿宋" w:cs="Times New Roman"/>
                <w:color w:val="auto"/>
                <w:sz w:val="21"/>
                <w:szCs w:val="21"/>
                <w:lang w:eastAsia="zh-CN"/>
              </w:rPr>
              <w:t>，配备事故应急设施装备及物资</w:t>
            </w:r>
            <w:r>
              <w:rPr>
                <w:rFonts w:hint="default" w:ascii="Times New Roman" w:hAnsi="Times New Roman" w:eastAsia="仿宋" w:cs="Times New Roman"/>
                <w:color w:val="auto"/>
                <w:sz w:val="21"/>
                <w:szCs w:val="21"/>
              </w:rPr>
              <w:t>，定期进行应急演练。</w:t>
            </w:r>
            <w:r>
              <w:rPr>
                <w:rFonts w:hint="default" w:ascii="Times New Roman" w:hAnsi="Times New Roman" w:eastAsia="仿宋" w:cs="Times New Roman"/>
                <w:color w:val="auto"/>
                <w:sz w:val="21"/>
                <w:szCs w:val="21"/>
                <w:lang w:val="en-US" w:eastAsia="zh-CN"/>
              </w:rPr>
              <w:t>厂区已建1个30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vertAlign w:val="baseline"/>
                <w:lang w:val="en-US" w:eastAsia="zh-CN"/>
              </w:rPr>
              <w:t>的</w:t>
            </w:r>
            <w:r>
              <w:rPr>
                <w:rFonts w:hint="default" w:ascii="Times New Roman" w:hAnsi="Times New Roman" w:eastAsia="仿宋" w:cs="Times New Roman"/>
                <w:color w:val="auto"/>
                <w:sz w:val="21"/>
                <w:szCs w:val="21"/>
              </w:rPr>
              <w:t>事故池</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highlight w:val="none"/>
              </w:rPr>
              <w:t>并配设事故应急切断系统</w:t>
            </w:r>
            <w:r>
              <w:rPr>
                <w:rFonts w:hint="default" w:ascii="Times New Roman" w:hAnsi="Times New Roman" w:eastAsia="仿宋" w:cs="Times New Roman"/>
                <w:color w:val="auto"/>
                <w:sz w:val="21"/>
                <w:szCs w:val="21"/>
                <w:highlight w:val="none"/>
                <w:lang w:eastAsia="zh-CN"/>
              </w:rPr>
              <w:t>。</w:t>
            </w:r>
          </w:p>
        </w:tc>
      </w:tr>
      <w:tr w14:paraId="0459D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939" w:type="dxa"/>
            <w:vAlign w:val="center"/>
          </w:tcPr>
          <w:p w14:paraId="6D808DCC">
            <w:pPr>
              <w:adjustRightInd w:val="0"/>
              <w:snapToGrid w:val="0"/>
              <w:jc w:val="center"/>
              <w:rPr>
                <w:rFonts w:hint="default" w:ascii="Times New Roman" w:hAnsi="Times New Roman" w:eastAsia="仿宋" w:cs="Times New Roman"/>
                <w:color w:val="auto"/>
                <w:spacing w:val="-8"/>
                <w:sz w:val="21"/>
                <w:szCs w:val="21"/>
                <w:highlight w:val="yellow"/>
              </w:rPr>
            </w:pPr>
            <w:r>
              <w:rPr>
                <w:rFonts w:hint="default" w:ascii="Times New Roman" w:hAnsi="Times New Roman" w:eastAsia="仿宋" w:cs="Times New Roman"/>
                <w:color w:val="auto"/>
                <w:spacing w:val="-8"/>
                <w:sz w:val="21"/>
                <w:szCs w:val="21"/>
              </w:rPr>
              <w:t>其他环境管理要求</w:t>
            </w:r>
          </w:p>
        </w:tc>
        <w:tc>
          <w:tcPr>
            <w:tcW w:w="7861" w:type="dxa"/>
            <w:gridSpan w:val="5"/>
            <w:vAlign w:val="center"/>
          </w:tcPr>
          <w:p w14:paraId="1FAFCB71">
            <w:pPr>
              <w:adjustRightInd w:val="0"/>
              <w:snapToGrid w:val="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企业对污染治理设施和管理必须与生产经营活动一起纳入企业的日常管理中，要建立岗位责任制，制定操作规程，建立</w:t>
            </w:r>
            <w:r>
              <w:rPr>
                <w:rFonts w:hint="default" w:ascii="Times New Roman" w:hAnsi="Times New Roman" w:eastAsia="仿宋" w:cs="Times New Roman"/>
                <w:color w:val="auto"/>
                <w:sz w:val="21"/>
                <w:szCs w:val="21"/>
                <w:lang w:eastAsia="zh-CN"/>
              </w:rPr>
              <w:t>管理台账</w:t>
            </w:r>
            <w:r>
              <w:rPr>
                <w:rFonts w:hint="default" w:ascii="Times New Roman" w:hAnsi="Times New Roman" w:eastAsia="仿宋" w:cs="Times New Roman"/>
                <w:color w:val="auto"/>
                <w:sz w:val="21"/>
                <w:szCs w:val="21"/>
              </w:rPr>
              <w:t>，并对排污口进行规范化设置。</w:t>
            </w:r>
          </w:p>
          <w:p w14:paraId="63735690">
            <w:pPr>
              <w:adjustRightInd w:val="0"/>
              <w:snapToGrid w:val="0"/>
              <w:rPr>
                <w:rFonts w:hint="default" w:ascii="Times New Roman" w:hAnsi="Times New Roman" w:eastAsia="仿宋" w:cs="Times New Roman"/>
                <w:color w:val="auto"/>
                <w:sz w:val="21"/>
                <w:szCs w:val="21"/>
                <w:highlight w:val="yellow"/>
              </w:rPr>
            </w:pPr>
            <w:r>
              <w:rPr>
                <w:rFonts w:hint="default" w:ascii="Times New Roman" w:hAnsi="Times New Roman" w:eastAsia="仿宋" w:cs="Times New Roman"/>
                <w:color w:val="auto"/>
                <w:sz w:val="21"/>
                <w:szCs w:val="21"/>
              </w:rPr>
              <w:t>全厂卫生防护距离是以生产车间外扩100m形成的包络区。该范围内无居民、学校等环境敏感保护目标，可满足卫生防护距离设置要求，将来在该卫生防护距离范围也不得新建居民、学校、医院等环境保护目标。</w:t>
            </w:r>
          </w:p>
        </w:tc>
      </w:tr>
    </w:tbl>
    <w:p w14:paraId="6AD29764">
      <w:pPr>
        <w:pStyle w:val="21"/>
        <w:spacing w:before="120" w:beforeLines="50" w:beforeAutospacing="0" w:after="120" w:afterLines="50" w:afterAutospacing="0"/>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rPr>
        <w:br w:type="page"/>
      </w:r>
      <w:bookmarkStart w:id="29" w:name="_Toc24070"/>
      <w:r>
        <w:rPr>
          <w:rFonts w:hint="default" w:ascii="Times New Roman" w:hAnsi="Times New Roman" w:eastAsia="仿宋" w:cs="Times New Roman"/>
          <w:snapToGrid w:val="0"/>
          <w:color w:val="auto"/>
          <w:sz w:val="30"/>
          <w:szCs w:val="30"/>
        </w:rPr>
        <w:t>结论</w:t>
      </w:r>
      <w:bookmarkEnd w:id="29"/>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5A3D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3C8947C">
            <w:pPr>
              <w:spacing w:before="120" w:beforeLines="50"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综上所述，本项目为</w:t>
            </w:r>
            <w:r>
              <w:rPr>
                <w:rFonts w:hint="default" w:ascii="Times New Roman" w:hAnsi="Times New Roman" w:eastAsia="仿宋" w:cs="Times New Roman"/>
                <w:color w:val="auto"/>
                <w:sz w:val="24"/>
                <w:lang w:val="en-US" w:eastAsia="zh-CN"/>
              </w:rPr>
              <w:t>扩建</w:t>
            </w:r>
            <w:r>
              <w:rPr>
                <w:rFonts w:hint="default" w:ascii="Times New Roman" w:hAnsi="Times New Roman" w:eastAsia="仿宋" w:cs="Times New Roman"/>
                <w:color w:val="auto"/>
                <w:sz w:val="24"/>
              </w:rPr>
              <w:t>项目，</w:t>
            </w:r>
            <w:r>
              <w:rPr>
                <w:rFonts w:hint="default" w:ascii="Times New Roman" w:hAnsi="Times New Roman" w:eastAsia="仿宋" w:cs="Times New Roman"/>
                <w:color w:val="auto"/>
                <w:sz w:val="24"/>
                <w:lang w:val="en-US" w:eastAsia="zh-CN"/>
              </w:rPr>
              <w:t>为自有</w:t>
            </w:r>
            <w:r>
              <w:rPr>
                <w:rFonts w:hint="default" w:ascii="Times New Roman" w:hAnsi="Times New Roman" w:eastAsia="仿宋" w:cs="Times New Roman"/>
                <w:b w:val="0"/>
                <w:bCs w:val="0"/>
                <w:color w:val="auto"/>
                <w:sz w:val="24"/>
                <w:lang w:val="en-US" w:eastAsia="zh-CN"/>
              </w:rPr>
              <w:t>产品及生产配套需求提供实验及检测服务</w:t>
            </w:r>
            <w:r>
              <w:rPr>
                <w:rFonts w:hint="default" w:ascii="Times New Roman" w:hAnsi="Times New Roman" w:eastAsia="仿宋" w:cs="Times New Roman"/>
                <w:color w:val="auto"/>
                <w:sz w:val="24"/>
              </w:rPr>
              <w:t>，车间布局合理，建设内容及规模、工艺成熟，符合国家及地方产业政策、法律法规及相关规划要求；本项目位于环境质量非达标区，拟采取的各项环保措施合理可行，能确保污染物达标排放，不会造成区域环境质量下降；采取污染防治措施后可确保污染物排放达到国家和地方排放标准。因此，本项目在该地建设是可行的。</w:t>
            </w:r>
          </w:p>
        </w:tc>
      </w:tr>
    </w:tbl>
    <w:p w14:paraId="09202FE6">
      <w:pPr>
        <w:rPr>
          <w:rFonts w:hint="default" w:ascii="Times New Roman" w:hAnsi="Times New Roman" w:eastAsia="仿宋"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A27B3B6">
      <w:pPr>
        <w:pStyle w:val="21"/>
        <w:adjustRightInd w:val="0"/>
        <w:snapToGrid w:val="0"/>
        <w:spacing w:before="0" w:beforeAutospacing="0" w:after="0" w:afterAutospacing="0" w:line="360" w:lineRule="auto"/>
        <w:outlineLvl w:val="0"/>
        <w:rPr>
          <w:rFonts w:hint="default" w:ascii="Times New Roman" w:hAnsi="Times New Roman" w:eastAsia="仿宋" w:cs="Times New Roman"/>
          <w:snapToGrid w:val="0"/>
          <w:color w:val="auto"/>
          <w:sz w:val="32"/>
          <w:szCs w:val="32"/>
        </w:rPr>
      </w:pPr>
      <w:bookmarkStart w:id="30" w:name="_Toc20229"/>
      <w:r>
        <w:rPr>
          <w:rFonts w:hint="default" w:ascii="Times New Roman" w:hAnsi="Times New Roman" w:eastAsia="仿宋" w:cs="Times New Roman"/>
          <w:snapToGrid w:val="0"/>
          <w:color w:val="auto"/>
          <w:sz w:val="32"/>
          <w:szCs w:val="32"/>
        </w:rPr>
        <w:t>附表</w:t>
      </w:r>
      <w:bookmarkEnd w:id="30"/>
    </w:p>
    <w:p w14:paraId="6EB6E5B1">
      <w:pPr>
        <w:spacing w:line="300" w:lineRule="auto"/>
        <w:jc w:val="center"/>
        <w:rPr>
          <w:rFonts w:hint="default" w:ascii="Times New Roman" w:hAnsi="Times New Roman" w:eastAsia="仿宋" w:cs="Times New Roman"/>
          <w:b/>
          <w:snapToGrid w:val="0"/>
          <w:color w:val="auto"/>
          <w:sz w:val="22"/>
          <w:szCs w:val="30"/>
        </w:rPr>
      </w:pPr>
      <w:r>
        <w:rPr>
          <w:rFonts w:hint="default" w:ascii="Times New Roman" w:hAnsi="Times New Roman" w:eastAsia="仿宋" w:cs="Times New Roman"/>
          <w:b/>
          <w:snapToGrid w:val="0"/>
          <w:color w:val="auto"/>
          <w:sz w:val="30"/>
          <w:szCs w:val="30"/>
        </w:rPr>
        <w:t xml:space="preserve">建设项目污染物排放量汇总表      </w:t>
      </w:r>
      <w:r>
        <w:rPr>
          <w:rFonts w:hint="default" w:ascii="Times New Roman" w:hAnsi="Times New Roman" w:eastAsia="仿宋" w:cs="Times New Roman"/>
          <w:b/>
          <w:snapToGrid w:val="0"/>
          <w:color w:val="auto"/>
          <w:sz w:val="22"/>
          <w:szCs w:val="30"/>
        </w:rPr>
        <w:t>单位：t/a</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417"/>
        <w:gridCol w:w="1694"/>
        <w:gridCol w:w="1418"/>
        <w:gridCol w:w="1559"/>
        <w:gridCol w:w="1559"/>
        <w:gridCol w:w="1418"/>
        <w:gridCol w:w="1417"/>
        <w:gridCol w:w="1144"/>
      </w:tblGrid>
      <w:tr w14:paraId="68341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162" w:type="dxa"/>
            <w:tcBorders>
              <w:tl2br w:val="single" w:color="auto" w:sz="4" w:space="0"/>
            </w:tcBorders>
            <w:tcMar>
              <w:left w:w="28" w:type="dxa"/>
              <w:right w:w="28" w:type="dxa"/>
            </w:tcMar>
            <w:vAlign w:val="center"/>
          </w:tcPr>
          <w:p w14:paraId="01E0866C">
            <w:pPr>
              <w:pStyle w:val="51"/>
              <w:spacing w:beforeLines="0" w:afterLines="0" w:line="240" w:lineRule="auto"/>
              <w:jc w:val="right"/>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项目</w:t>
            </w:r>
          </w:p>
          <w:p w14:paraId="02DDF4DF">
            <w:pPr>
              <w:pStyle w:val="51"/>
              <w:spacing w:beforeLines="0" w:afterLines="0" w:line="240" w:lineRule="auto"/>
              <w:jc w:val="left"/>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分类</w:t>
            </w:r>
          </w:p>
        </w:tc>
        <w:tc>
          <w:tcPr>
            <w:tcW w:w="2417" w:type="dxa"/>
            <w:tcMar>
              <w:left w:w="28" w:type="dxa"/>
              <w:right w:w="28" w:type="dxa"/>
            </w:tcMar>
            <w:vAlign w:val="center"/>
          </w:tcPr>
          <w:p w14:paraId="4C58D2D8">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污染物名称</w:t>
            </w:r>
          </w:p>
        </w:tc>
        <w:tc>
          <w:tcPr>
            <w:tcW w:w="1694" w:type="dxa"/>
            <w:tcMar>
              <w:left w:w="28" w:type="dxa"/>
              <w:right w:w="28" w:type="dxa"/>
            </w:tcMar>
            <w:vAlign w:val="center"/>
          </w:tcPr>
          <w:p w14:paraId="1B0B46E0">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现有工程</w:t>
            </w:r>
          </w:p>
          <w:p w14:paraId="31AC7405">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排放量（固体废物产生量）</w:t>
            </w:r>
            <w:r>
              <w:rPr>
                <w:rFonts w:hint="default" w:ascii="Times New Roman" w:hAnsi="Times New Roman" w:eastAsia="仿宋" w:cs="Times New Roman"/>
                <w:b/>
                <w:snapToGrid w:val="0"/>
                <w:color w:val="auto"/>
                <w:spacing w:val="-6"/>
                <w:kern w:val="21"/>
                <w:szCs w:val="21"/>
              </w:rPr>
              <w:fldChar w:fldCharType="begin"/>
            </w:r>
            <w:r>
              <w:rPr>
                <w:rFonts w:hint="default" w:ascii="Times New Roman" w:hAnsi="Times New Roman" w:eastAsia="仿宋" w:cs="Times New Roman"/>
                <w:b/>
                <w:snapToGrid w:val="0"/>
                <w:color w:val="auto"/>
                <w:spacing w:val="-6"/>
                <w:kern w:val="21"/>
                <w:szCs w:val="21"/>
              </w:rPr>
              <w:instrText xml:space="preserve"> = 1 \* GB3 \* MERGEFORMAT </w:instrText>
            </w:r>
            <w:r>
              <w:rPr>
                <w:rFonts w:hint="default" w:ascii="Times New Roman" w:hAnsi="Times New Roman" w:eastAsia="仿宋" w:cs="Times New Roman"/>
                <w:b/>
                <w:snapToGrid w:val="0"/>
                <w:color w:val="auto"/>
                <w:spacing w:val="-6"/>
                <w:kern w:val="21"/>
                <w:szCs w:val="21"/>
              </w:rPr>
              <w:fldChar w:fldCharType="separate"/>
            </w:r>
            <w:r>
              <w:rPr>
                <w:rFonts w:hint="default" w:ascii="Times New Roman" w:hAnsi="Times New Roman" w:eastAsia="仿宋" w:cs="Times New Roman"/>
                <w:b/>
                <w:color w:val="auto"/>
                <w:kern w:val="2"/>
                <w:szCs w:val="21"/>
              </w:rPr>
              <w:t>①</w:t>
            </w:r>
            <w:r>
              <w:rPr>
                <w:rFonts w:hint="default" w:ascii="Times New Roman" w:hAnsi="Times New Roman" w:eastAsia="仿宋" w:cs="Times New Roman"/>
                <w:b/>
                <w:snapToGrid w:val="0"/>
                <w:color w:val="auto"/>
                <w:spacing w:val="-6"/>
                <w:kern w:val="21"/>
                <w:szCs w:val="21"/>
              </w:rPr>
              <w:fldChar w:fldCharType="end"/>
            </w:r>
          </w:p>
        </w:tc>
        <w:tc>
          <w:tcPr>
            <w:tcW w:w="1418" w:type="dxa"/>
            <w:tcMar>
              <w:left w:w="28" w:type="dxa"/>
              <w:right w:w="28" w:type="dxa"/>
            </w:tcMar>
            <w:vAlign w:val="center"/>
          </w:tcPr>
          <w:p w14:paraId="2D1847C1">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现有工程</w:t>
            </w:r>
          </w:p>
          <w:p w14:paraId="0E67AA2C">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许可排放量</w:t>
            </w:r>
          </w:p>
          <w:p w14:paraId="5D8DCCAE">
            <w:pPr>
              <w:pStyle w:val="51"/>
              <w:spacing w:beforeLines="0" w:afterLines="0"/>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fldChar w:fldCharType="begin"/>
            </w:r>
            <w:r>
              <w:rPr>
                <w:rFonts w:hint="default" w:ascii="Times New Roman" w:hAnsi="Times New Roman" w:eastAsia="仿宋" w:cs="Times New Roman"/>
                <w:b/>
                <w:snapToGrid w:val="0"/>
                <w:color w:val="auto"/>
                <w:spacing w:val="-6"/>
                <w:kern w:val="21"/>
                <w:szCs w:val="21"/>
              </w:rPr>
              <w:instrText xml:space="preserve"> = 2 \* GB3 \* MERGEFORMAT </w:instrText>
            </w:r>
            <w:r>
              <w:rPr>
                <w:rFonts w:hint="default" w:ascii="Times New Roman" w:hAnsi="Times New Roman" w:eastAsia="仿宋" w:cs="Times New Roman"/>
                <w:b/>
                <w:snapToGrid w:val="0"/>
                <w:color w:val="auto"/>
                <w:spacing w:val="-6"/>
                <w:kern w:val="21"/>
                <w:szCs w:val="21"/>
              </w:rPr>
              <w:fldChar w:fldCharType="separate"/>
            </w:r>
            <w:r>
              <w:rPr>
                <w:rFonts w:hint="default" w:ascii="Times New Roman" w:hAnsi="Times New Roman" w:eastAsia="仿宋" w:cs="Times New Roman"/>
                <w:b/>
                <w:snapToGrid w:val="0"/>
                <w:color w:val="auto"/>
                <w:spacing w:val="-6"/>
                <w:kern w:val="21"/>
                <w:szCs w:val="21"/>
              </w:rPr>
              <w:t>②</w:t>
            </w:r>
            <w:r>
              <w:rPr>
                <w:rFonts w:hint="default" w:ascii="Times New Roman" w:hAnsi="Times New Roman" w:eastAsia="仿宋" w:cs="Times New Roman"/>
                <w:b/>
                <w:snapToGrid w:val="0"/>
                <w:color w:val="auto"/>
                <w:spacing w:val="-6"/>
                <w:kern w:val="21"/>
                <w:szCs w:val="21"/>
              </w:rPr>
              <w:fldChar w:fldCharType="end"/>
            </w:r>
          </w:p>
        </w:tc>
        <w:tc>
          <w:tcPr>
            <w:tcW w:w="1559" w:type="dxa"/>
            <w:tcMar>
              <w:left w:w="28" w:type="dxa"/>
              <w:right w:w="28" w:type="dxa"/>
            </w:tcMar>
            <w:vAlign w:val="center"/>
          </w:tcPr>
          <w:p w14:paraId="74D8633D">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在建工程</w:t>
            </w:r>
          </w:p>
          <w:p w14:paraId="6457C0B6">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排放量（固体废物产生量）</w:t>
            </w:r>
            <w:r>
              <w:rPr>
                <w:rFonts w:hint="default" w:ascii="Times New Roman" w:hAnsi="Times New Roman" w:eastAsia="仿宋" w:cs="Times New Roman"/>
                <w:b/>
                <w:snapToGrid w:val="0"/>
                <w:color w:val="auto"/>
                <w:spacing w:val="-6"/>
                <w:kern w:val="21"/>
                <w:szCs w:val="21"/>
              </w:rPr>
              <w:fldChar w:fldCharType="begin"/>
            </w:r>
            <w:r>
              <w:rPr>
                <w:rFonts w:hint="default" w:ascii="Times New Roman" w:hAnsi="Times New Roman" w:eastAsia="仿宋" w:cs="Times New Roman"/>
                <w:b/>
                <w:snapToGrid w:val="0"/>
                <w:color w:val="auto"/>
                <w:spacing w:val="-6"/>
                <w:kern w:val="21"/>
                <w:szCs w:val="21"/>
              </w:rPr>
              <w:instrText xml:space="preserve"> = 3 \* GB3 \* MERGEFORMAT </w:instrText>
            </w:r>
            <w:r>
              <w:rPr>
                <w:rFonts w:hint="default" w:ascii="Times New Roman" w:hAnsi="Times New Roman" w:eastAsia="仿宋" w:cs="Times New Roman"/>
                <w:b/>
                <w:snapToGrid w:val="0"/>
                <w:color w:val="auto"/>
                <w:spacing w:val="-6"/>
                <w:kern w:val="21"/>
                <w:szCs w:val="21"/>
              </w:rPr>
              <w:fldChar w:fldCharType="separate"/>
            </w:r>
            <w:r>
              <w:rPr>
                <w:rFonts w:hint="default" w:ascii="Times New Roman" w:hAnsi="Times New Roman" w:eastAsia="仿宋" w:cs="Times New Roman"/>
                <w:b/>
                <w:color w:val="auto"/>
                <w:kern w:val="2"/>
                <w:szCs w:val="21"/>
              </w:rPr>
              <w:t>③</w:t>
            </w:r>
            <w:r>
              <w:rPr>
                <w:rFonts w:hint="default" w:ascii="Times New Roman" w:hAnsi="Times New Roman" w:eastAsia="仿宋" w:cs="Times New Roman"/>
                <w:b/>
                <w:snapToGrid w:val="0"/>
                <w:color w:val="auto"/>
                <w:spacing w:val="-6"/>
                <w:kern w:val="21"/>
                <w:szCs w:val="21"/>
              </w:rPr>
              <w:fldChar w:fldCharType="end"/>
            </w:r>
          </w:p>
        </w:tc>
        <w:tc>
          <w:tcPr>
            <w:tcW w:w="1559" w:type="dxa"/>
            <w:tcMar>
              <w:left w:w="28" w:type="dxa"/>
              <w:right w:w="28" w:type="dxa"/>
            </w:tcMar>
            <w:vAlign w:val="center"/>
          </w:tcPr>
          <w:p w14:paraId="71485A32">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本项目</w:t>
            </w:r>
          </w:p>
          <w:p w14:paraId="061B383E">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排放量（固体废物产生量）</w:t>
            </w:r>
            <w:r>
              <w:rPr>
                <w:rFonts w:hint="default" w:ascii="Times New Roman" w:hAnsi="Times New Roman" w:eastAsia="仿宋" w:cs="Times New Roman"/>
                <w:b/>
                <w:snapToGrid w:val="0"/>
                <w:color w:val="auto"/>
                <w:spacing w:val="-6"/>
                <w:kern w:val="21"/>
                <w:szCs w:val="21"/>
              </w:rPr>
              <w:fldChar w:fldCharType="begin"/>
            </w:r>
            <w:r>
              <w:rPr>
                <w:rFonts w:hint="default" w:ascii="Times New Roman" w:hAnsi="Times New Roman" w:eastAsia="仿宋" w:cs="Times New Roman"/>
                <w:b/>
                <w:snapToGrid w:val="0"/>
                <w:color w:val="auto"/>
                <w:spacing w:val="-6"/>
                <w:kern w:val="21"/>
                <w:szCs w:val="21"/>
              </w:rPr>
              <w:instrText xml:space="preserve"> = 4 \* GB3 \* MERGEFORMAT </w:instrText>
            </w:r>
            <w:r>
              <w:rPr>
                <w:rFonts w:hint="default" w:ascii="Times New Roman" w:hAnsi="Times New Roman" w:eastAsia="仿宋" w:cs="Times New Roman"/>
                <w:b/>
                <w:snapToGrid w:val="0"/>
                <w:color w:val="auto"/>
                <w:spacing w:val="-6"/>
                <w:kern w:val="21"/>
                <w:szCs w:val="21"/>
              </w:rPr>
              <w:fldChar w:fldCharType="separate"/>
            </w:r>
            <w:r>
              <w:rPr>
                <w:rFonts w:hint="default" w:ascii="Times New Roman" w:hAnsi="Times New Roman" w:eastAsia="仿宋" w:cs="Times New Roman"/>
                <w:b/>
                <w:color w:val="auto"/>
                <w:kern w:val="2"/>
                <w:szCs w:val="21"/>
              </w:rPr>
              <w:t>④</w:t>
            </w:r>
            <w:r>
              <w:rPr>
                <w:rFonts w:hint="default" w:ascii="Times New Roman" w:hAnsi="Times New Roman" w:eastAsia="仿宋" w:cs="Times New Roman"/>
                <w:b/>
                <w:snapToGrid w:val="0"/>
                <w:color w:val="auto"/>
                <w:spacing w:val="-6"/>
                <w:kern w:val="21"/>
                <w:szCs w:val="21"/>
              </w:rPr>
              <w:fldChar w:fldCharType="end"/>
            </w:r>
          </w:p>
        </w:tc>
        <w:tc>
          <w:tcPr>
            <w:tcW w:w="1418" w:type="dxa"/>
            <w:tcMar>
              <w:left w:w="28" w:type="dxa"/>
              <w:right w:w="28" w:type="dxa"/>
            </w:tcMar>
            <w:vAlign w:val="center"/>
          </w:tcPr>
          <w:p w14:paraId="74FCDA3E">
            <w:pPr>
              <w:pStyle w:val="51"/>
              <w:spacing w:beforeLines="0" w:afterLines="0" w:line="240" w:lineRule="auto"/>
              <w:rPr>
                <w:rFonts w:hint="default" w:ascii="Times New Roman" w:hAnsi="Times New Roman" w:eastAsia="仿宋" w:cs="Times New Roman"/>
                <w:b/>
                <w:snapToGrid w:val="0"/>
                <w:color w:val="auto"/>
                <w:spacing w:val="-16"/>
                <w:kern w:val="21"/>
                <w:szCs w:val="21"/>
              </w:rPr>
            </w:pPr>
            <w:r>
              <w:rPr>
                <w:rFonts w:hint="default" w:ascii="Times New Roman" w:hAnsi="Times New Roman" w:eastAsia="仿宋" w:cs="Times New Roman"/>
                <w:b/>
                <w:snapToGrid w:val="0"/>
                <w:color w:val="auto"/>
                <w:spacing w:val="-16"/>
                <w:kern w:val="21"/>
                <w:szCs w:val="21"/>
              </w:rPr>
              <w:t>以新带老削减量</w:t>
            </w:r>
          </w:p>
          <w:p w14:paraId="6811F078">
            <w:pPr>
              <w:pStyle w:val="51"/>
              <w:spacing w:beforeLines="0" w:afterLines="0" w:line="240" w:lineRule="auto"/>
              <w:rPr>
                <w:rFonts w:hint="default" w:ascii="Times New Roman" w:hAnsi="Times New Roman" w:eastAsia="仿宋" w:cs="Times New Roman"/>
                <w:b/>
                <w:snapToGrid w:val="0"/>
                <w:color w:val="auto"/>
                <w:spacing w:val="-16"/>
                <w:kern w:val="21"/>
                <w:szCs w:val="21"/>
              </w:rPr>
            </w:pPr>
            <w:r>
              <w:rPr>
                <w:rFonts w:hint="default" w:ascii="Times New Roman" w:hAnsi="Times New Roman" w:eastAsia="仿宋" w:cs="Times New Roman"/>
                <w:b/>
                <w:snapToGrid w:val="0"/>
                <w:color w:val="auto"/>
                <w:spacing w:val="-16"/>
                <w:kern w:val="21"/>
                <w:szCs w:val="21"/>
              </w:rPr>
              <w:t>（新建项目不填）</w:t>
            </w:r>
            <w:r>
              <w:rPr>
                <w:rFonts w:hint="default" w:ascii="Times New Roman" w:hAnsi="Times New Roman" w:eastAsia="仿宋" w:cs="Times New Roman"/>
                <w:b/>
                <w:snapToGrid w:val="0"/>
                <w:color w:val="auto"/>
                <w:spacing w:val="-16"/>
                <w:kern w:val="21"/>
                <w:szCs w:val="21"/>
              </w:rPr>
              <w:fldChar w:fldCharType="begin"/>
            </w:r>
            <w:r>
              <w:rPr>
                <w:rFonts w:hint="default" w:ascii="Times New Roman" w:hAnsi="Times New Roman" w:eastAsia="仿宋" w:cs="Times New Roman"/>
                <w:b/>
                <w:snapToGrid w:val="0"/>
                <w:color w:val="auto"/>
                <w:spacing w:val="-16"/>
                <w:kern w:val="21"/>
                <w:szCs w:val="21"/>
              </w:rPr>
              <w:instrText xml:space="preserve"> = 5 \* GB3 \* MERGEFORMAT </w:instrText>
            </w:r>
            <w:r>
              <w:rPr>
                <w:rFonts w:hint="default" w:ascii="Times New Roman" w:hAnsi="Times New Roman" w:eastAsia="仿宋" w:cs="Times New Roman"/>
                <w:b/>
                <w:snapToGrid w:val="0"/>
                <w:color w:val="auto"/>
                <w:spacing w:val="-16"/>
                <w:kern w:val="21"/>
                <w:szCs w:val="21"/>
              </w:rPr>
              <w:fldChar w:fldCharType="separate"/>
            </w:r>
            <w:r>
              <w:rPr>
                <w:rFonts w:hint="default" w:ascii="Times New Roman" w:hAnsi="Times New Roman" w:eastAsia="仿宋" w:cs="Times New Roman"/>
                <w:b/>
                <w:color w:val="auto"/>
                <w:kern w:val="2"/>
                <w:szCs w:val="21"/>
              </w:rPr>
              <w:t>⑤</w:t>
            </w:r>
            <w:r>
              <w:rPr>
                <w:rFonts w:hint="default" w:ascii="Times New Roman" w:hAnsi="Times New Roman" w:eastAsia="仿宋" w:cs="Times New Roman"/>
                <w:b/>
                <w:snapToGrid w:val="0"/>
                <w:color w:val="auto"/>
                <w:spacing w:val="-16"/>
                <w:kern w:val="21"/>
                <w:szCs w:val="21"/>
              </w:rPr>
              <w:fldChar w:fldCharType="end"/>
            </w:r>
          </w:p>
        </w:tc>
        <w:tc>
          <w:tcPr>
            <w:tcW w:w="1417" w:type="dxa"/>
            <w:tcMar>
              <w:left w:w="28" w:type="dxa"/>
              <w:right w:w="28" w:type="dxa"/>
            </w:tcMar>
            <w:vAlign w:val="center"/>
          </w:tcPr>
          <w:p w14:paraId="066782BE">
            <w:pPr>
              <w:pStyle w:val="51"/>
              <w:spacing w:beforeLines="0" w:afterLines="0" w:line="240" w:lineRule="auto"/>
              <w:rPr>
                <w:rFonts w:hint="default" w:ascii="Times New Roman" w:hAnsi="Times New Roman" w:eastAsia="仿宋" w:cs="Times New Roman"/>
                <w:b/>
                <w:snapToGrid w:val="0"/>
                <w:color w:val="auto"/>
                <w:spacing w:val="-16"/>
                <w:kern w:val="21"/>
                <w:szCs w:val="21"/>
              </w:rPr>
            </w:pPr>
            <w:r>
              <w:rPr>
                <w:rFonts w:hint="default" w:ascii="Times New Roman" w:hAnsi="Times New Roman" w:eastAsia="仿宋" w:cs="Times New Roman"/>
                <w:b/>
                <w:snapToGrid w:val="0"/>
                <w:color w:val="auto"/>
                <w:spacing w:val="-16"/>
                <w:kern w:val="21"/>
                <w:szCs w:val="21"/>
              </w:rPr>
              <w:t>本项目建成后</w:t>
            </w:r>
          </w:p>
          <w:p w14:paraId="06298765">
            <w:pPr>
              <w:pStyle w:val="51"/>
              <w:spacing w:beforeLines="0" w:afterLines="0" w:line="240" w:lineRule="auto"/>
              <w:rPr>
                <w:rFonts w:hint="default" w:ascii="Times New Roman" w:hAnsi="Times New Roman" w:eastAsia="仿宋" w:cs="Times New Roman"/>
                <w:b/>
                <w:snapToGrid w:val="0"/>
                <w:color w:val="auto"/>
                <w:spacing w:val="-16"/>
                <w:kern w:val="21"/>
                <w:szCs w:val="21"/>
              </w:rPr>
            </w:pPr>
            <w:r>
              <w:rPr>
                <w:rFonts w:hint="default" w:ascii="Times New Roman" w:hAnsi="Times New Roman" w:eastAsia="仿宋" w:cs="Times New Roman"/>
                <w:b/>
                <w:snapToGrid w:val="0"/>
                <w:color w:val="auto"/>
                <w:spacing w:val="-16"/>
                <w:kern w:val="21"/>
                <w:szCs w:val="21"/>
              </w:rPr>
              <w:t>全厂排放量（固体废物产生量）</w:t>
            </w:r>
            <w:r>
              <w:rPr>
                <w:rFonts w:hint="default" w:ascii="Times New Roman" w:hAnsi="Times New Roman" w:eastAsia="仿宋" w:cs="Times New Roman"/>
                <w:b/>
                <w:snapToGrid w:val="0"/>
                <w:color w:val="auto"/>
                <w:spacing w:val="-16"/>
                <w:kern w:val="21"/>
                <w:szCs w:val="21"/>
              </w:rPr>
              <w:fldChar w:fldCharType="begin"/>
            </w:r>
            <w:r>
              <w:rPr>
                <w:rFonts w:hint="default" w:ascii="Times New Roman" w:hAnsi="Times New Roman" w:eastAsia="仿宋" w:cs="Times New Roman"/>
                <w:b/>
                <w:snapToGrid w:val="0"/>
                <w:color w:val="auto"/>
                <w:spacing w:val="-16"/>
                <w:kern w:val="21"/>
                <w:szCs w:val="21"/>
              </w:rPr>
              <w:instrText xml:space="preserve"> = 6 \* GB3 \* MERGEFORMAT </w:instrText>
            </w:r>
            <w:r>
              <w:rPr>
                <w:rFonts w:hint="default" w:ascii="Times New Roman" w:hAnsi="Times New Roman" w:eastAsia="仿宋" w:cs="Times New Roman"/>
                <w:b/>
                <w:snapToGrid w:val="0"/>
                <w:color w:val="auto"/>
                <w:spacing w:val="-16"/>
                <w:kern w:val="21"/>
                <w:szCs w:val="21"/>
              </w:rPr>
              <w:fldChar w:fldCharType="separate"/>
            </w:r>
            <w:r>
              <w:rPr>
                <w:rFonts w:hint="default" w:ascii="Times New Roman" w:hAnsi="Times New Roman" w:eastAsia="仿宋" w:cs="Times New Roman"/>
                <w:b/>
                <w:color w:val="auto"/>
                <w:kern w:val="2"/>
                <w:szCs w:val="21"/>
              </w:rPr>
              <w:t>⑥</w:t>
            </w:r>
            <w:r>
              <w:rPr>
                <w:rFonts w:hint="default" w:ascii="Times New Roman" w:hAnsi="Times New Roman" w:eastAsia="仿宋" w:cs="Times New Roman"/>
                <w:b/>
                <w:snapToGrid w:val="0"/>
                <w:color w:val="auto"/>
                <w:spacing w:val="-16"/>
                <w:kern w:val="21"/>
                <w:szCs w:val="21"/>
              </w:rPr>
              <w:fldChar w:fldCharType="end"/>
            </w:r>
          </w:p>
        </w:tc>
        <w:tc>
          <w:tcPr>
            <w:tcW w:w="1144" w:type="dxa"/>
            <w:tcMar>
              <w:left w:w="28" w:type="dxa"/>
              <w:right w:w="28" w:type="dxa"/>
            </w:tcMar>
            <w:vAlign w:val="center"/>
          </w:tcPr>
          <w:p w14:paraId="6CEEE588">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t>变化量</w:t>
            </w:r>
          </w:p>
          <w:p w14:paraId="18AB23CE">
            <w:pPr>
              <w:pStyle w:val="51"/>
              <w:spacing w:beforeLines="0" w:afterLines="0" w:line="240" w:lineRule="auto"/>
              <w:rPr>
                <w:rFonts w:hint="default" w:ascii="Times New Roman" w:hAnsi="Times New Roman" w:eastAsia="仿宋" w:cs="Times New Roman"/>
                <w:b/>
                <w:snapToGrid w:val="0"/>
                <w:color w:val="auto"/>
                <w:spacing w:val="-6"/>
                <w:kern w:val="21"/>
                <w:szCs w:val="21"/>
              </w:rPr>
            </w:pPr>
            <w:r>
              <w:rPr>
                <w:rFonts w:hint="default" w:ascii="Times New Roman" w:hAnsi="Times New Roman" w:eastAsia="仿宋" w:cs="Times New Roman"/>
                <w:b/>
                <w:snapToGrid w:val="0"/>
                <w:color w:val="auto"/>
                <w:spacing w:val="-6"/>
                <w:kern w:val="21"/>
                <w:szCs w:val="21"/>
              </w:rPr>
              <w:fldChar w:fldCharType="begin"/>
            </w:r>
            <w:r>
              <w:rPr>
                <w:rFonts w:hint="default" w:ascii="Times New Roman" w:hAnsi="Times New Roman" w:eastAsia="仿宋" w:cs="Times New Roman"/>
                <w:b/>
                <w:snapToGrid w:val="0"/>
                <w:color w:val="auto"/>
                <w:spacing w:val="-6"/>
                <w:kern w:val="21"/>
                <w:szCs w:val="21"/>
              </w:rPr>
              <w:instrText xml:space="preserve"> = 7 \* GB3 \* MERGEFORMAT </w:instrText>
            </w:r>
            <w:r>
              <w:rPr>
                <w:rFonts w:hint="default" w:ascii="Times New Roman" w:hAnsi="Times New Roman" w:eastAsia="仿宋" w:cs="Times New Roman"/>
                <w:b/>
                <w:snapToGrid w:val="0"/>
                <w:color w:val="auto"/>
                <w:spacing w:val="-6"/>
                <w:kern w:val="21"/>
                <w:szCs w:val="21"/>
              </w:rPr>
              <w:fldChar w:fldCharType="separate"/>
            </w:r>
            <w:r>
              <w:rPr>
                <w:rFonts w:hint="default" w:ascii="Times New Roman" w:hAnsi="Times New Roman" w:eastAsia="仿宋" w:cs="Times New Roman"/>
                <w:b/>
                <w:color w:val="auto"/>
                <w:kern w:val="2"/>
                <w:szCs w:val="21"/>
              </w:rPr>
              <w:t>⑦</w:t>
            </w:r>
            <w:r>
              <w:rPr>
                <w:rFonts w:hint="default" w:ascii="Times New Roman" w:hAnsi="Times New Roman" w:eastAsia="仿宋" w:cs="Times New Roman"/>
                <w:b/>
                <w:snapToGrid w:val="0"/>
                <w:color w:val="auto"/>
                <w:spacing w:val="-6"/>
                <w:kern w:val="21"/>
                <w:szCs w:val="21"/>
              </w:rPr>
              <w:fldChar w:fldCharType="end"/>
            </w:r>
          </w:p>
        </w:tc>
      </w:tr>
      <w:tr w14:paraId="629BA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62" w:type="dxa"/>
            <w:vMerge w:val="restart"/>
            <w:vAlign w:val="center"/>
          </w:tcPr>
          <w:p w14:paraId="36545CE0">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废气</w:t>
            </w:r>
          </w:p>
        </w:tc>
        <w:tc>
          <w:tcPr>
            <w:tcW w:w="2417" w:type="dxa"/>
            <w:vAlign w:val="center"/>
          </w:tcPr>
          <w:p w14:paraId="0C6F5370">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Cs w:val="21"/>
              </w:rPr>
              <w:t>非甲烷总烃</w:t>
            </w:r>
          </w:p>
        </w:tc>
        <w:tc>
          <w:tcPr>
            <w:tcW w:w="1694" w:type="dxa"/>
            <w:vAlign w:val="center"/>
          </w:tcPr>
          <w:p w14:paraId="4CA01C6E">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lang w:val="en-US" w:eastAsia="zh-CN"/>
              </w:rPr>
              <w:t>1.569</w:t>
            </w:r>
          </w:p>
        </w:tc>
        <w:tc>
          <w:tcPr>
            <w:tcW w:w="1418" w:type="dxa"/>
            <w:vAlign w:val="center"/>
          </w:tcPr>
          <w:p w14:paraId="0FF37A2A">
            <w:pPr>
              <w:pStyle w:val="51"/>
              <w:spacing w:beforeLines="0" w:afterLines="0" w:line="240" w:lineRule="auto"/>
              <w:jc w:val="center"/>
              <w:rPr>
                <w:rFonts w:hint="default" w:ascii="Times New Roman" w:hAnsi="Times New Roman" w:eastAsia="仿宋" w:cs="Times New Roman"/>
                <w:snapToGrid w:val="0"/>
                <w:color w:val="auto"/>
                <w:kern w:val="21"/>
                <w:szCs w:val="21"/>
                <w:lang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0A101AB2">
            <w:pPr>
              <w:keepNext w:val="0"/>
              <w:keepLines w:val="0"/>
              <w:widowControl/>
              <w:suppressLineNumbers w:val="0"/>
              <w:jc w:val="center"/>
              <w:textAlignment w:val="center"/>
              <w:rPr>
                <w:rFonts w:hint="default" w:ascii="Times New Roman" w:hAnsi="Times New Roman" w:eastAsia="仿宋" w:cs="Times New Roman"/>
                <w:snapToGrid w:val="0"/>
                <w:color w:val="auto"/>
                <w:kern w:val="21"/>
                <w:szCs w:val="21"/>
                <w:lang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1D9A8176">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0.0019</w:t>
            </w:r>
            <w:r>
              <w:rPr>
                <w:rFonts w:hint="eastAsia" w:ascii="Times New Roman" w:eastAsia="仿宋" w:cs="Times New Roman"/>
                <w:snapToGrid w:val="0"/>
                <w:color w:val="auto"/>
                <w:kern w:val="21"/>
                <w:szCs w:val="21"/>
                <w:lang w:val="en-US" w:eastAsia="zh-CN"/>
              </w:rPr>
              <w:t>38</w:t>
            </w:r>
          </w:p>
        </w:tc>
        <w:tc>
          <w:tcPr>
            <w:tcW w:w="1418" w:type="dxa"/>
            <w:vAlign w:val="center"/>
          </w:tcPr>
          <w:p w14:paraId="3A6C4FE7">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7" w:type="dxa"/>
            <w:vAlign w:val="center"/>
          </w:tcPr>
          <w:p w14:paraId="7AA48766">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1.5709</w:t>
            </w:r>
            <w:r>
              <w:rPr>
                <w:rFonts w:hint="eastAsia" w:ascii="Times New Roman" w:eastAsia="仿宋" w:cs="Times New Roman"/>
                <w:snapToGrid w:val="0"/>
                <w:color w:val="auto"/>
                <w:kern w:val="21"/>
                <w:szCs w:val="21"/>
                <w:lang w:val="en-US" w:eastAsia="zh-CN"/>
              </w:rPr>
              <w:t>38</w:t>
            </w:r>
          </w:p>
        </w:tc>
        <w:tc>
          <w:tcPr>
            <w:tcW w:w="1144" w:type="dxa"/>
            <w:vAlign w:val="center"/>
          </w:tcPr>
          <w:p w14:paraId="1DF34FDA">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+0.0019</w:t>
            </w:r>
            <w:r>
              <w:rPr>
                <w:rFonts w:hint="eastAsia" w:ascii="Times New Roman" w:eastAsia="仿宋" w:cs="Times New Roman"/>
                <w:snapToGrid w:val="0"/>
                <w:color w:val="auto"/>
                <w:kern w:val="21"/>
                <w:szCs w:val="21"/>
                <w:lang w:val="en-US" w:eastAsia="zh-CN"/>
              </w:rPr>
              <w:t>38</w:t>
            </w:r>
          </w:p>
        </w:tc>
      </w:tr>
      <w:tr w14:paraId="1C646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62" w:type="dxa"/>
            <w:vMerge w:val="continue"/>
            <w:vAlign w:val="center"/>
          </w:tcPr>
          <w:p w14:paraId="2F3A0278">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273D4DB3">
            <w:pPr>
              <w:adjustRightInd w:val="0"/>
              <w:snapToGrid w:val="0"/>
              <w:spacing w:line="0" w:lineRule="atLeas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锡及其化合物</w:t>
            </w:r>
          </w:p>
        </w:tc>
        <w:tc>
          <w:tcPr>
            <w:tcW w:w="1694" w:type="dxa"/>
            <w:vAlign w:val="center"/>
          </w:tcPr>
          <w:p w14:paraId="002FFD3A">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lang w:val="en-US" w:eastAsia="zh-CN"/>
              </w:rPr>
              <w:t>0.0006</w:t>
            </w:r>
          </w:p>
        </w:tc>
        <w:tc>
          <w:tcPr>
            <w:tcW w:w="1418" w:type="dxa"/>
            <w:vAlign w:val="center"/>
          </w:tcPr>
          <w:p w14:paraId="52D09270">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649C95E6">
            <w:pPr>
              <w:keepNext w:val="0"/>
              <w:keepLines w:val="0"/>
              <w:widowControl/>
              <w:suppressLineNumbers w:val="0"/>
              <w:jc w:val="center"/>
              <w:textAlignment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4C53AA9B">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8" w:type="dxa"/>
            <w:vAlign w:val="center"/>
          </w:tcPr>
          <w:p w14:paraId="674D876A">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7" w:type="dxa"/>
            <w:vAlign w:val="center"/>
          </w:tcPr>
          <w:p w14:paraId="543089E8">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0.0006</w:t>
            </w:r>
          </w:p>
        </w:tc>
        <w:tc>
          <w:tcPr>
            <w:tcW w:w="1144" w:type="dxa"/>
            <w:vAlign w:val="center"/>
          </w:tcPr>
          <w:p w14:paraId="37B222F0">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r>
      <w:tr w14:paraId="3EF08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62" w:type="dxa"/>
            <w:vMerge w:val="continue"/>
            <w:vAlign w:val="center"/>
          </w:tcPr>
          <w:p w14:paraId="4C8A9513">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5A1E2C0E">
            <w:pPr>
              <w:adjustRightInd w:val="0"/>
              <w:snapToGrid w:val="0"/>
              <w:spacing w:line="0" w:lineRule="atLeast"/>
              <w:ind w:left="-105" w:leftChars="-50" w:right="-105" w:right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硫酸雾</w:t>
            </w:r>
          </w:p>
        </w:tc>
        <w:tc>
          <w:tcPr>
            <w:tcW w:w="1694" w:type="dxa"/>
            <w:vAlign w:val="center"/>
          </w:tcPr>
          <w:p w14:paraId="2F9516C0">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lang w:val="en-US" w:eastAsia="zh-CN"/>
              </w:rPr>
              <w:t>0.078</w:t>
            </w:r>
          </w:p>
        </w:tc>
        <w:tc>
          <w:tcPr>
            <w:tcW w:w="1418" w:type="dxa"/>
            <w:vAlign w:val="center"/>
          </w:tcPr>
          <w:p w14:paraId="44B4AA1E">
            <w:pPr>
              <w:pStyle w:val="51"/>
              <w:spacing w:beforeLines="0" w:afterLines="0" w:line="240" w:lineRule="auto"/>
              <w:jc w:val="center"/>
              <w:rPr>
                <w:rFonts w:hint="default" w:ascii="Times New Roman" w:hAnsi="Times New Roman" w:eastAsia="仿宋" w:cs="Times New Roman"/>
                <w:snapToGrid w:val="0"/>
                <w:color w:val="auto"/>
                <w:kern w:val="21"/>
                <w:szCs w:val="21"/>
                <w:lang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4668BBE0">
            <w:pPr>
              <w:keepNext w:val="0"/>
              <w:keepLines w:val="0"/>
              <w:widowControl/>
              <w:suppressLineNumbers w:val="0"/>
              <w:jc w:val="center"/>
              <w:textAlignment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7DB12214">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8" w:type="dxa"/>
            <w:vAlign w:val="center"/>
          </w:tcPr>
          <w:p w14:paraId="5AA6FC30">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7" w:type="dxa"/>
            <w:vAlign w:val="center"/>
          </w:tcPr>
          <w:p w14:paraId="3DF88AC2">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0.078</w:t>
            </w:r>
          </w:p>
        </w:tc>
        <w:tc>
          <w:tcPr>
            <w:tcW w:w="1144" w:type="dxa"/>
            <w:vAlign w:val="center"/>
          </w:tcPr>
          <w:p w14:paraId="25C7FC19">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r>
      <w:tr w14:paraId="731AB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62" w:type="dxa"/>
            <w:vMerge w:val="continue"/>
            <w:vAlign w:val="center"/>
          </w:tcPr>
          <w:p w14:paraId="26999F4A">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597AE9B1">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氯化氢</w:t>
            </w:r>
          </w:p>
        </w:tc>
        <w:tc>
          <w:tcPr>
            <w:tcW w:w="1694" w:type="dxa"/>
            <w:vAlign w:val="center"/>
          </w:tcPr>
          <w:p w14:paraId="6C3EAC3F">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lang w:val="en-US" w:eastAsia="zh-CN"/>
              </w:rPr>
              <w:t>0</w:t>
            </w:r>
          </w:p>
        </w:tc>
        <w:tc>
          <w:tcPr>
            <w:tcW w:w="1418" w:type="dxa"/>
            <w:vAlign w:val="center"/>
          </w:tcPr>
          <w:p w14:paraId="39AB3D5F">
            <w:pPr>
              <w:pStyle w:val="51"/>
              <w:spacing w:beforeLines="0" w:afterLines="0" w:line="240" w:lineRule="auto"/>
              <w:jc w:val="center"/>
              <w:rPr>
                <w:rFonts w:hint="default" w:ascii="Times New Roman" w:hAnsi="Times New Roman" w:eastAsia="仿宋" w:cs="Times New Roman"/>
                <w:snapToGrid w:val="0"/>
                <w:color w:val="auto"/>
                <w:kern w:val="21"/>
                <w:szCs w:val="21"/>
                <w:lang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152A475E">
            <w:pPr>
              <w:keepNext w:val="0"/>
              <w:keepLines w:val="0"/>
              <w:widowControl/>
              <w:suppressLineNumbers w:val="0"/>
              <w:jc w:val="center"/>
              <w:textAlignment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w:t>
            </w:r>
          </w:p>
        </w:tc>
        <w:tc>
          <w:tcPr>
            <w:tcW w:w="1559" w:type="dxa"/>
            <w:vAlign w:val="center"/>
          </w:tcPr>
          <w:p w14:paraId="128574E7">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eastAsia" w:ascii="Times New Roman" w:eastAsia="仿宋" w:cs="Times New Roman"/>
                <w:snapToGrid w:val="0"/>
                <w:color w:val="auto"/>
                <w:kern w:val="21"/>
                <w:szCs w:val="21"/>
                <w:lang w:val="en-US" w:eastAsia="zh-CN"/>
              </w:rPr>
              <w:t>0.000131</w:t>
            </w:r>
          </w:p>
        </w:tc>
        <w:tc>
          <w:tcPr>
            <w:tcW w:w="1418" w:type="dxa"/>
          </w:tcPr>
          <w:p w14:paraId="7E165DAF">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0</w:t>
            </w:r>
          </w:p>
        </w:tc>
        <w:tc>
          <w:tcPr>
            <w:tcW w:w="1417" w:type="dxa"/>
            <w:vAlign w:val="center"/>
          </w:tcPr>
          <w:p w14:paraId="16140135">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eastAsia" w:ascii="Times New Roman" w:eastAsia="仿宋" w:cs="Times New Roman"/>
                <w:snapToGrid w:val="0"/>
                <w:color w:val="auto"/>
                <w:kern w:val="21"/>
                <w:szCs w:val="21"/>
                <w:lang w:val="en-US" w:eastAsia="zh-CN"/>
              </w:rPr>
              <w:t>0.000131</w:t>
            </w:r>
          </w:p>
        </w:tc>
        <w:tc>
          <w:tcPr>
            <w:tcW w:w="1144" w:type="dxa"/>
            <w:vAlign w:val="center"/>
          </w:tcPr>
          <w:p w14:paraId="6BBDE147">
            <w:pPr>
              <w:pStyle w:val="51"/>
              <w:spacing w:beforeLines="0" w:afterLines="0" w:line="240" w:lineRule="auto"/>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w:t>
            </w:r>
            <w:r>
              <w:rPr>
                <w:rFonts w:hint="eastAsia" w:ascii="Times New Roman" w:eastAsia="仿宋" w:cs="Times New Roman"/>
                <w:snapToGrid w:val="0"/>
                <w:color w:val="auto"/>
                <w:kern w:val="21"/>
                <w:szCs w:val="21"/>
                <w:lang w:val="en-US" w:eastAsia="zh-CN"/>
              </w:rPr>
              <w:t>0.000131</w:t>
            </w:r>
          </w:p>
        </w:tc>
      </w:tr>
      <w:tr w14:paraId="73B55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62" w:type="dxa"/>
            <w:vMerge w:val="restart"/>
            <w:vAlign w:val="center"/>
          </w:tcPr>
          <w:p w14:paraId="2F1ED83B">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生活废水</w:t>
            </w:r>
          </w:p>
        </w:tc>
        <w:tc>
          <w:tcPr>
            <w:tcW w:w="2417" w:type="dxa"/>
            <w:vAlign w:val="center"/>
          </w:tcPr>
          <w:p w14:paraId="5472A99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694" w:type="dxa"/>
            <w:vAlign w:val="center"/>
          </w:tcPr>
          <w:p w14:paraId="43F883B9">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0.72</w:t>
            </w:r>
          </w:p>
        </w:tc>
        <w:tc>
          <w:tcPr>
            <w:tcW w:w="1418" w:type="dxa"/>
            <w:vAlign w:val="center"/>
          </w:tcPr>
          <w:p w14:paraId="337B9285">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D0534CF">
            <w:pPr>
              <w:pStyle w:val="51"/>
              <w:spacing w:beforeLines="0" w:afterLines="0" w:line="240" w:lineRule="auto"/>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B4C16C9">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3E2C9AB6">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78A15A6F">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0.72</w:t>
            </w:r>
          </w:p>
        </w:tc>
        <w:tc>
          <w:tcPr>
            <w:tcW w:w="1144" w:type="dxa"/>
            <w:vAlign w:val="center"/>
          </w:tcPr>
          <w:p w14:paraId="62C44823">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r>
      <w:tr w14:paraId="49F7D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62" w:type="dxa"/>
            <w:vMerge w:val="continue"/>
            <w:vAlign w:val="center"/>
          </w:tcPr>
          <w:p w14:paraId="4FB2F34A">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676AED9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694" w:type="dxa"/>
            <w:vAlign w:val="center"/>
          </w:tcPr>
          <w:p w14:paraId="2D60391F">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0.36</w:t>
            </w:r>
          </w:p>
        </w:tc>
        <w:tc>
          <w:tcPr>
            <w:tcW w:w="1418" w:type="dxa"/>
            <w:vAlign w:val="center"/>
          </w:tcPr>
          <w:p w14:paraId="2FBBF175">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57F47668">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68955D88">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1DDA21E7">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486B07AF">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0.36</w:t>
            </w:r>
          </w:p>
        </w:tc>
        <w:tc>
          <w:tcPr>
            <w:tcW w:w="1144" w:type="dxa"/>
            <w:vAlign w:val="center"/>
          </w:tcPr>
          <w:p w14:paraId="58CC502B">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r>
      <w:tr w14:paraId="08B71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62" w:type="dxa"/>
            <w:vMerge w:val="continue"/>
            <w:vAlign w:val="center"/>
          </w:tcPr>
          <w:p w14:paraId="6B8139E4">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3D84AB3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1694" w:type="dxa"/>
            <w:vAlign w:val="center"/>
          </w:tcPr>
          <w:p w14:paraId="05DC7AE7">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0.045</w:t>
            </w:r>
          </w:p>
        </w:tc>
        <w:tc>
          <w:tcPr>
            <w:tcW w:w="1418" w:type="dxa"/>
            <w:vAlign w:val="center"/>
          </w:tcPr>
          <w:p w14:paraId="5308E879">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66A658CB">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C4597EE">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1B37486F">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33744813">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0.045</w:t>
            </w:r>
          </w:p>
        </w:tc>
        <w:tc>
          <w:tcPr>
            <w:tcW w:w="1144" w:type="dxa"/>
            <w:vAlign w:val="center"/>
          </w:tcPr>
          <w:p w14:paraId="4243D341">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r>
      <w:tr w14:paraId="2A8DD5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210B2DEE">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4E78BA2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总磷</w:t>
            </w:r>
          </w:p>
        </w:tc>
        <w:tc>
          <w:tcPr>
            <w:tcW w:w="1694" w:type="dxa"/>
            <w:vAlign w:val="center"/>
          </w:tcPr>
          <w:p w14:paraId="274D4399">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0.0054</w:t>
            </w:r>
          </w:p>
        </w:tc>
        <w:tc>
          <w:tcPr>
            <w:tcW w:w="1418" w:type="dxa"/>
            <w:vAlign w:val="center"/>
          </w:tcPr>
          <w:p w14:paraId="66225A9D">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52BBCEE8">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44827D2">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78C3D8F3">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364293F9">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0.0054</w:t>
            </w:r>
          </w:p>
        </w:tc>
        <w:tc>
          <w:tcPr>
            <w:tcW w:w="1144" w:type="dxa"/>
            <w:vAlign w:val="center"/>
          </w:tcPr>
          <w:p w14:paraId="211F0BA0">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r>
      <w:tr w14:paraId="59DA6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6DBE55F7">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2603335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总氮</w:t>
            </w:r>
          </w:p>
        </w:tc>
        <w:tc>
          <w:tcPr>
            <w:tcW w:w="1694" w:type="dxa"/>
            <w:vAlign w:val="center"/>
          </w:tcPr>
          <w:p w14:paraId="790B06EE">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0.072</w:t>
            </w:r>
          </w:p>
        </w:tc>
        <w:tc>
          <w:tcPr>
            <w:tcW w:w="1418" w:type="dxa"/>
            <w:vAlign w:val="center"/>
          </w:tcPr>
          <w:p w14:paraId="5124B8F9">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DDE236B">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26554CF0">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68FA8614">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2E6D5E74">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0.072</w:t>
            </w:r>
          </w:p>
        </w:tc>
        <w:tc>
          <w:tcPr>
            <w:tcW w:w="1144" w:type="dxa"/>
            <w:vAlign w:val="center"/>
          </w:tcPr>
          <w:p w14:paraId="7A54CEFA">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r>
      <w:tr w14:paraId="6F828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restart"/>
            <w:vAlign w:val="center"/>
          </w:tcPr>
          <w:p w14:paraId="0BD6FB10">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生产废水</w:t>
            </w:r>
          </w:p>
        </w:tc>
        <w:tc>
          <w:tcPr>
            <w:tcW w:w="2417" w:type="dxa"/>
            <w:vAlign w:val="center"/>
          </w:tcPr>
          <w:p w14:paraId="561DB17D">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COD</w:t>
            </w:r>
          </w:p>
        </w:tc>
        <w:tc>
          <w:tcPr>
            <w:tcW w:w="1694" w:type="dxa"/>
            <w:vAlign w:val="center"/>
          </w:tcPr>
          <w:p w14:paraId="6CDFED20">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0.139</w:t>
            </w:r>
          </w:p>
        </w:tc>
        <w:tc>
          <w:tcPr>
            <w:tcW w:w="1418" w:type="dxa"/>
            <w:vAlign w:val="center"/>
          </w:tcPr>
          <w:p w14:paraId="623E7618">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FEBFF7A">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090183F3">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052FDC74">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7BD326B2">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0.139</w:t>
            </w:r>
          </w:p>
        </w:tc>
        <w:tc>
          <w:tcPr>
            <w:tcW w:w="1144" w:type="dxa"/>
            <w:vAlign w:val="center"/>
          </w:tcPr>
          <w:p w14:paraId="476F8110">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3EC8D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4B42F8B0">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02978ED5">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SS</w:t>
            </w:r>
          </w:p>
        </w:tc>
        <w:tc>
          <w:tcPr>
            <w:tcW w:w="1694" w:type="dxa"/>
            <w:vAlign w:val="center"/>
          </w:tcPr>
          <w:p w14:paraId="72F7FAE1">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0.014</w:t>
            </w:r>
          </w:p>
        </w:tc>
        <w:tc>
          <w:tcPr>
            <w:tcW w:w="1418" w:type="dxa"/>
            <w:vAlign w:val="center"/>
          </w:tcPr>
          <w:p w14:paraId="221CFF43">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D681D4F">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1C6F52C4">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6A5EE4F8">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3FFB41E3">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0.014</w:t>
            </w:r>
          </w:p>
        </w:tc>
        <w:tc>
          <w:tcPr>
            <w:tcW w:w="1144" w:type="dxa"/>
            <w:vAlign w:val="center"/>
          </w:tcPr>
          <w:p w14:paraId="48446E06">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3AD1E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241517F9">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53943667">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氨氮</w:t>
            </w:r>
          </w:p>
        </w:tc>
        <w:tc>
          <w:tcPr>
            <w:tcW w:w="1694" w:type="dxa"/>
            <w:vAlign w:val="center"/>
          </w:tcPr>
          <w:p w14:paraId="144719E6">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0.0005</w:t>
            </w:r>
          </w:p>
        </w:tc>
        <w:tc>
          <w:tcPr>
            <w:tcW w:w="1418" w:type="dxa"/>
            <w:vAlign w:val="center"/>
          </w:tcPr>
          <w:p w14:paraId="7864F30D">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6EA3B66C">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0DB63428">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4DA30F1D">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3C2FEF7A">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0.0005</w:t>
            </w:r>
          </w:p>
        </w:tc>
        <w:tc>
          <w:tcPr>
            <w:tcW w:w="1144" w:type="dxa"/>
            <w:vAlign w:val="center"/>
          </w:tcPr>
          <w:p w14:paraId="6D9CDBD8">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62FD6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4C37A985">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5735321F">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总磷</w:t>
            </w:r>
          </w:p>
        </w:tc>
        <w:tc>
          <w:tcPr>
            <w:tcW w:w="1694" w:type="dxa"/>
            <w:vAlign w:val="center"/>
          </w:tcPr>
          <w:p w14:paraId="1A0F352A">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0.0001</w:t>
            </w:r>
          </w:p>
        </w:tc>
        <w:tc>
          <w:tcPr>
            <w:tcW w:w="1418" w:type="dxa"/>
            <w:vAlign w:val="center"/>
          </w:tcPr>
          <w:p w14:paraId="5DB73292">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249107A">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6A8D4133">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3998726A">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446C6D6A">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0.0001</w:t>
            </w:r>
          </w:p>
        </w:tc>
        <w:tc>
          <w:tcPr>
            <w:tcW w:w="1144" w:type="dxa"/>
            <w:vAlign w:val="center"/>
          </w:tcPr>
          <w:p w14:paraId="73E030B3">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7FA9E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77480DEF">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63CA2AD6">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总氮</w:t>
            </w:r>
          </w:p>
        </w:tc>
        <w:tc>
          <w:tcPr>
            <w:tcW w:w="1694" w:type="dxa"/>
            <w:vAlign w:val="center"/>
          </w:tcPr>
          <w:p w14:paraId="7E56728F">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0.0007</w:t>
            </w:r>
          </w:p>
        </w:tc>
        <w:tc>
          <w:tcPr>
            <w:tcW w:w="1418" w:type="dxa"/>
            <w:vAlign w:val="center"/>
          </w:tcPr>
          <w:p w14:paraId="3B961999">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23A49C10">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94CE439">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0BA6E8AB">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0FF06BE3">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0.0007</w:t>
            </w:r>
          </w:p>
        </w:tc>
        <w:tc>
          <w:tcPr>
            <w:tcW w:w="1144" w:type="dxa"/>
            <w:vAlign w:val="center"/>
          </w:tcPr>
          <w:p w14:paraId="0198E6C8">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30A1B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6DA65318">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2634D35F">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LAS</w:t>
            </w:r>
          </w:p>
        </w:tc>
        <w:tc>
          <w:tcPr>
            <w:tcW w:w="1694" w:type="dxa"/>
            <w:vAlign w:val="center"/>
          </w:tcPr>
          <w:p w14:paraId="1DE21044">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0.0002</w:t>
            </w:r>
          </w:p>
        </w:tc>
        <w:tc>
          <w:tcPr>
            <w:tcW w:w="1418" w:type="dxa"/>
            <w:vAlign w:val="center"/>
          </w:tcPr>
          <w:p w14:paraId="23F96C3A">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D064A97">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1ED4E419">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54E6417F">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18FED468">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0.0002</w:t>
            </w:r>
          </w:p>
        </w:tc>
        <w:tc>
          <w:tcPr>
            <w:tcW w:w="1144" w:type="dxa"/>
            <w:vAlign w:val="center"/>
          </w:tcPr>
          <w:p w14:paraId="6AE40304">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169CA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162" w:type="dxa"/>
            <w:vMerge w:val="continue"/>
            <w:vAlign w:val="center"/>
          </w:tcPr>
          <w:p w14:paraId="5E1D6AD7">
            <w:pPr>
              <w:pStyle w:val="51"/>
              <w:spacing w:beforeLines="0" w:afterLines="0" w:line="240" w:lineRule="auto"/>
              <w:rPr>
                <w:rFonts w:hint="default" w:ascii="Times New Roman" w:hAnsi="Times New Roman" w:eastAsia="仿宋" w:cs="Times New Roman"/>
                <w:snapToGrid w:val="0"/>
                <w:color w:val="auto"/>
                <w:kern w:val="21"/>
                <w:szCs w:val="21"/>
              </w:rPr>
            </w:pPr>
          </w:p>
        </w:tc>
        <w:tc>
          <w:tcPr>
            <w:tcW w:w="2417" w:type="dxa"/>
            <w:vAlign w:val="center"/>
          </w:tcPr>
          <w:p w14:paraId="3641349B">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kern w:val="0"/>
                <w:szCs w:val="21"/>
                <w:lang w:bidi="ar"/>
              </w:rPr>
              <w:t>石油类</w:t>
            </w:r>
          </w:p>
        </w:tc>
        <w:tc>
          <w:tcPr>
            <w:tcW w:w="1694" w:type="dxa"/>
            <w:vAlign w:val="center"/>
          </w:tcPr>
          <w:p w14:paraId="2492EEF3">
            <w:pPr>
              <w:adjustRightInd w:val="0"/>
              <w:snapToGrid w:val="0"/>
              <w:spacing w:line="0" w:lineRule="atLeast"/>
              <w:ind w:left="-105" w:leftChars="-50" w:right="-105" w:rightChars="-50"/>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color w:val="auto"/>
                <w:sz w:val="21"/>
                <w:szCs w:val="21"/>
                <w:lang w:val="en-US" w:eastAsia="zh-CN"/>
              </w:rPr>
              <w:t>0.139</w:t>
            </w:r>
          </w:p>
        </w:tc>
        <w:tc>
          <w:tcPr>
            <w:tcW w:w="1418" w:type="dxa"/>
            <w:vAlign w:val="center"/>
          </w:tcPr>
          <w:p w14:paraId="642C611F">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61D98DA">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1261B035">
            <w:pPr>
              <w:widowControl/>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8" w:type="dxa"/>
            <w:vAlign w:val="center"/>
          </w:tcPr>
          <w:p w14:paraId="21572272">
            <w:pPr>
              <w:jc w:val="center"/>
              <w:rPr>
                <w:rFonts w:hint="default" w:ascii="Times New Roman" w:hAnsi="Times New Roman" w:eastAsia="仿宋" w:cs="Times New Roman"/>
                <w:color w:val="auto"/>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42A57F27">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color w:val="auto"/>
                <w:kern w:val="0"/>
                <w:szCs w:val="21"/>
                <w:lang w:bidi="ar"/>
              </w:rPr>
              <w:t>0.0003</w:t>
            </w:r>
          </w:p>
        </w:tc>
        <w:tc>
          <w:tcPr>
            <w:tcW w:w="1144" w:type="dxa"/>
            <w:vAlign w:val="center"/>
          </w:tcPr>
          <w:p w14:paraId="36C27650">
            <w:pPr>
              <w:widowControl/>
              <w:jc w:val="center"/>
              <w:textAlignment w:val="center"/>
              <w:rPr>
                <w:rFonts w:hint="default" w:ascii="Times New Roman" w:hAnsi="Times New Roman" w:eastAsia="仿宋" w:cs="Times New Roman"/>
                <w:color w:val="auto"/>
                <w:kern w:val="0"/>
                <w:szCs w:val="21"/>
                <w:lang w:bidi="ar"/>
              </w:rPr>
            </w:pPr>
            <w:r>
              <w:rPr>
                <w:rFonts w:hint="default" w:ascii="Times New Roman" w:hAnsi="Times New Roman" w:eastAsia="仿宋" w:cs="Times New Roman"/>
                <w:snapToGrid w:val="0"/>
                <w:color w:val="auto"/>
                <w:kern w:val="21"/>
                <w:szCs w:val="21"/>
              </w:rPr>
              <w:t>0</w:t>
            </w:r>
          </w:p>
        </w:tc>
      </w:tr>
      <w:tr w14:paraId="564F8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Align w:val="center"/>
          </w:tcPr>
          <w:p w14:paraId="6E53C516">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一般工业</w:t>
            </w:r>
          </w:p>
          <w:p w14:paraId="3EED3554">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固体废物</w:t>
            </w:r>
          </w:p>
        </w:tc>
        <w:tc>
          <w:tcPr>
            <w:tcW w:w="2417" w:type="dxa"/>
            <w:vAlign w:val="center"/>
          </w:tcPr>
          <w:p w14:paraId="7FA7A24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 w:val="21"/>
                <w:szCs w:val="21"/>
                <w:lang w:val="en-US" w:eastAsia="zh-CN"/>
              </w:rPr>
              <w:t>一般固废</w:t>
            </w:r>
          </w:p>
        </w:tc>
        <w:tc>
          <w:tcPr>
            <w:tcW w:w="1694" w:type="dxa"/>
            <w:vAlign w:val="center"/>
          </w:tcPr>
          <w:p w14:paraId="2D00FC1A">
            <w:pPr>
              <w:jc w:val="center"/>
              <w:rPr>
                <w:rFonts w:hint="default" w:ascii="Times New Roman" w:hAnsi="Times New Roman" w:eastAsia="仿宋" w:cs="Times New Roman"/>
                <w:snapToGrid w:val="0"/>
                <w:color w:val="auto"/>
                <w:kern w:val="21"/>
                <w:szCs w:val="21"/>
                <w:lang w:val="en-US" w:eastAsia="zh-CN"/>
              </w:rPr>
            </w:pPr>
            <w:r>
              <w:rPr>
                <w:rFonts w:hint="default" w:ascii="Times New Roman" w:hAnsi="Times New Roman" w:eastAsia="仿宋" w:cs="Times New Roman"/>
                <w:snapToGrid w:val="0"/>
                <w:color w:val="auto"/>
                <w:kern w:val="21"/>
                <w:szCs w:val="21"/>
                <w:lang w:val="en-US" w:eastAsia="zh-CN"/>
              </w:rPr>
              <w:t>54.15</w:t>
            </w:r>
          </w:p>
        </w:tc>
        <w:tc>
          <w:tcPr>
            <w:tcW w:w="1418" w:type="dxa"/>
            <w:vAlign w:val="center"/>
          </w:tcPr>
          <w:p w14:paraId="03125913">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6DD3CDD1">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27C81BCD">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2.25</w:t>
            </w:r>
          </w:p>
        </w:tc>
        <w:tc>
          <w:tcPr>
            <w:tcW w:w="1418" w:type="dxa"/>
            <w:vAlign w:val="center"/>
          </w:tcPr>
          <w:p w14:paraId="6A706B2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417" w:type="dxa"/>
            <w:vAlign w:val="center"/>
          </w:tcPr>
          <w:p w14:paraId="78501FBB">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56.</w:t>
            </w:r>
            <w:r>
              <w:rPr>
                <w:rFonts w:hint="eastAsia" w:eastAsia="仿宋" w:cs="Times New Roman"/>
                <w:color w:val="auto"/>
                <w:szCs w:val="21"/>
                <w:lang w:val="en-US" w:eastAsia="zh-CN"/>
              </w:rPr>
              <w:t>4</w:t>
            </w:r>
          </w:p>
        </w:tc>
        <w:tc>
          <w:tcPr>
            <w:tcW w:w="1144" w:type="dxa"/>
            <w:vAlign w:val="center"/>
          </w:tcPr>
          <w:p w14:paraId="60FF5298">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2.</w:t>
            </w:r>
            <w:r>
              <w:rPr>
                <w:rFonts w:hint="eastAsia" w:eastAsia="仿宋" w:cs="Times New Roman"/>
                <w:color w:val="auto"/>
                <w:szCs w:val="21"/>
                <w:lang w:val="en-US" w:eastAsia="zh-CN"/>
              </w:rPr>
              <w:t>25</w:t>
            </w:r>
          </w:p>
        </w:tc>
      </w:tr>
      <w:tr w14:paraId="06B37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62" w:type="dxa"/>
            <w:vAlign w:val="center"/>
          </w:tcPr>
          <w:p w14:paraId="2F8FC7DF">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危险废物</w:t>
            </w:r>
          </w:p>
        </w:tc>
        <w:tc>
          <w:tcPr>
            <w:tcW w:w="2417" w:type="dxa"/>
            <w:vAlign w:val="center"/>
          </w:tcPr>
          <w:p w14:paraId="2DEE505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危险废物</w:t>
            </w:r>
          </w:p>
        </w:tc>
        <w:tc>
          <w:tcPr>
            <w:tcW w:w="1694" w:type="dxa"/>
            <w:shd w:val="clear" w:color="auto" w:fill="auto"/>
            <w:vAlign w:val="center"/>
          </w:tcPr>
          <w:p w14:paraId="0EDE9B2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870.6</w:t>
            </w:r>
            <w:r>
              <w:rPr>
                <w:rFonts w:hint="eastAsia" w:eastAsia="仿宋" w:cs="Times New Roman"/>
                <w:color w:val="auto"/>
                <w:szCs w:val="21"/>
                <w:lang w:val="en-US" w:eastAsia="zh-CN"/>
              </w:rPr>
              <w:t>237</w:t>
            </w:r>
          </w:p>
        </w:tc>
        <w:tc>
          <w:tcPr>
            <w:tcW w:w="1418" w:type="dxa"/>
            <w:vAlign w:val="center"/>
          </w:tcPr>
          <w:p w14:paraId="3CF9F17E">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9522D81">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72E6970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2.5</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83</w:t>
            </w:r>
          </w:p>
        </w:tc>
        <w:tc>
          <w:tcPr>
            <w:tcW w:w="1418" w:type="dxa"/>
          </w:tcPr>
          <w:p w14:paraId="4663EF2A">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48DC664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873.1</w:t>
            </w:r>
            <w:r>
              <w:rPr>
                <w:rFonts w:hint="eastAsia" w:eastAsia="仿宋" w:cs="Times New Roman"/>
                <w:color w:val="auto"/>
                <w:szCs w:val="21"/>
                <w:lang w:val="en-US" w:eastAsia="zh-CN"/>
              </w:rPr>
              <w:t>42</w:t>
            </w:r>
          </w:p>
        </w:tc>
        <w:tc>
          <w:tcPr>
            <w:tcW w:w="1144" w:type="dxa"/>
            <w:vAlign w:val="center"/>
          </w:tcPr>
          <w:p w14:paraId="545F230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+2.5</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83</w:t>
            </w:r>
          </w:p>
        </w:tc>
      </w:tr>
      <w:tr w14:paraId="66305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62" w:type="dxa"/>
          </w:tcPr>
          <w:p w14:paraId="7B14694E">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生活垃圾</w:t>
            </w:r>
          </w:p>
        </w:tc>
        <w:tc>
          <w:tcPr>
            <w:tcW w:w="2417" w:type="dxa"/>
            <w:vAlign w:val="center"/>
          </w:tcPr>
          <w:p w14:paraId="22C3609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生活垃圾</w:t>
            </w:r>
          </w:p>
        </w:tc>
        <w:tc>
          <w:tcPr>
            <w:tcW w:w="1694" w:type="dxa"/>
            <w:shd w:val="clear" w:color="auto" w:fill="auto"/>
            <w:vAlign w:val="center"/>
          </w:tcPr>
          <w:p w14:paraId="1F14BDC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22.5</w:t>
            </w:r>
          </w:p>
        </w:tc>
        <w:tc>
          <w:tcPr>
            <w:tcW w:w="1418" w:type="dxa"/>
          </w:tcPr>
          <w:p w14:paraId="7773F62D">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tcPr>
          <w:p w14:paraId="6F889836">
            <w:pPr>
              <w:jc w:val="center"/>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559" w:type="dxa"/>
            <w:vAlign w:val="center"/>
          </w:tcPr>
          <w:p w14:paraId="4307F4B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c>
          <w:tcPr>
            <w:tcW w:w="1418" w:type="dxa"/>
          </w:tcPr>
          <w:p w14:paraId="23F1C823">
            <w:pPr>
              <w:pStyle w:val="51"/>
              <w:spacing w:beforeLines="0" w:afterLines="0" w:line="240" w:lineRule="auto"/>
              <w:rPr>
                <w:rFonts w:hint="default" w:ascii="Times New Roman" w:hAnsi="Times New Roman" w:eastAsia="仿宋" w:cs="Times New Roman"/>
                <w:snapToGrid w:val="0"/>
                <w:color w:val="auto"/>
                <w:kern w:val="21"/>
                <w:szCs w:val="21"/>
              </w:rPr>
            </w:pPr>
            <w:r>
              <w:rPr>
                <w:rFonts w:hint="default" w:ascii="Times New Roman" w:hAnsi="Times New Roman" w:eastAsia="仿宋" w:cs="Times New Roman"/>
                <w:snapToGrid w:val="0"/>
                <w:color w:val="auto"/>
                <w:kern w:val="21"/>
                <w:szCs w:val="21"/>
              </w:rPr>
              <w:t>0</w:t>
            </w:r>
          </w:p>
        </w:tc>
        <w:tc>
          <w:tcPr>
            <w:tcW w:w="1417" w:type="dxa"/>
            <w:vAlign w:val="center"/>
          </w:tcPr>
          <w:p w14:paraId="02773BA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22.5</w:t>
            </w:r>
          </w:p>
        </w:tc>
        <w:tc>
          <w:tcPr>
            <w:tcW w:w="1144" w:type="dxa"/>
            <w:vAlign w:val="center"/>
          </w:tcPr>
          <w:p w14:paraId="4E0A618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r>
    </w:tbl>
    <w:p w14:paraId="7E629DE4">
      <w:pPr>
        <w:pStyle w:val="51"/>
        <w:spacing w:before="192" w:beforeLines="80" w:after="24"/>
        <w:jc w:val="left"/>
        <w:rPr>
          <w:rFonts w:hint="default" w:ascii="Times New Roman" w:hAnsi="Times New Roman" w:eastAsia="仿宋"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14:paraId="00E8984E">
      <w:pPr>
        <w:rPr>
          <w:rFonts w:hint="default" w:ascii="Times New Roman" w:hAnsi="Times New Roman" w:eastAsia="仿宋" w:cs="Times New Roman"/>
          <w:color w:val="auto"/>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B32C8A7">
      <w:pPr>
        <w:widowControl/>
        <w:jc w:val="left"/>
        <w:outlineLvl w:val="0"/>
        <w:rPr>
          <w:rFonts w:hint="default" w:ascii="Times New Roman" w:hAnsi="Times New Roman" w:eastAsia="仿宋" w:cs="Times New Roman"/>
          <w:snapToGrid w:val="0"/>
          <w:color w:val="auto"/>
          <w:kern w:val="0"/>
          <w:sz w:val="30"/>
          <w:szCs w:val="30"/>
        </w:rPr>
      </w:pPr>
      <w:bookmarkStart w:id="31" w:name="_Toc30099"/>
      <w:r>
        <w:rPr>
          <w:rFonts w:hint="default" w:ascii="Times New Roman" w:hAnsi="Times New Roman" w:eastAsia="仿宋" w:cs="Times New Roman"/>
          <w:snapToGrid w:val="0"/>
          <w:color w:val="auto"/>
          <w:kern w:val="0"/>
          <w:sz w:val="30"/>
          <w:szCs w:val="30"/>
        </w:rPr>
        <w:t>附件</w:t>
      </w:r>
      <w:bookmarkEnd w:id="31"/>
      <w:r>
        <w:rPr>
          <w:rFonts w:hint="default" w:ascii="Times New Roman" w:hAnsi="Times New Roman" w:eastAsia="仿宋" w:cs="Times New Roman"/>
          <w:snapToGrid w:val="0"/>
          <w:color w:val="auto"/>
          <w:kern w:val="0"/>
          <w:sz w:val="30"/>
          <w:szCs w:val="30"/>
        </w:rPr>
        <w:t xml:space="preserve"> </w:t>
      </w:r>
    </w:p>
    <w:p w14:paraId="61A82285">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  江苏省投资项目备案证；</w:t>
      </w:r>
    </w:p>
    <w:p w14:paraId="12720F76">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附件2  营业执照</w:t>
      </w:r>
    </w:p>
    <w:p w14:paraId="084974BA">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附件3  法人护照复印件</w:t>
      </w:r>
      <w:r>
        <w:rPr>
          <w:rFonts w:hint="default" w:ascii="Times New Roman" w:hAnsi="Times New Roman" w:eastAsia="仿宋" w:cs="Times New Roman"/>
          <w:color w:val="auto"/>
          <w:szCs w:val="21"/>
          <w:lang w:val="en-US" w:eastAsia="zh-CN"/>
        </w:rPr>
        <w:t>及联系人身份</w:t>
      </w:r>
      <w:r>
        <w:rPr>
          <w:rFonts w:hint="eastAsia" w:eastAsia="仿宋" w:cs="Times New Roman"/>
          <w:color w:val="auto"/>
          <w:szCs w:val="21"/>
          <w:lang w:val="en-US" w:eastAsia="zh-CN"/>
        </w:rPr>
        <w:t>证</w:t>
      </w:r>
      <w:r>
        <w:rPr>
          <w:rFonts w:hint="default" w:ascii="Times New Roman" w:hAnsi="Times New Roman" w:eastAsia="仿宋" w:cs="Times New Roman"/>
          <w:color w:val="auto"/>
          <w:szCs w:val="21"/>
          <w:lang w:val="en-US" w:eastAsia="zh-CN"/>
        </w:rPr>
        <w:t>复印件</w:t>
      </w:r>
      <w:r>
        <w:rPr>
          <w:rFonts w:hint="default" w:ascii="Times New Roman" w:hAnsi="Times New Roman" w:eastAsia="仿宋" w:cs="Times New Roman"/>
          <w:color w:val="auto"/>
          <w:szCs w:val="21"/>
        </w:rPr>
        <w:t>；</w:t>
      </w:r>
    </w:p>
    <w:p w14:paraId="0E86381C">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附件4  </w:t>
      </w:r>
      <w:r>
        <w:rPr>
          <w:rFonts w:hint="eastAsia" w:eastAsia="仿宋" w:cs="Times New Roman"/>
          <w:color w:val="auto"/>
          <w:szCs w:val="21"/>
          <w:lang w:val="en-US" w:eastAsia="zh-CN"/>
        </w:rPr>
        <w:t>不动产权证</w:t>
      </w:r>
      <w:r>
        <w:rPr>
          <w:rFonts w:hint="default" w:ascii="Times New Roman" w:hAnsi="Times New Roman" w:eastAsia="仿宋" w:cs="Times New Roman"/>
          <w:color w:val="auto"/>
          <w:szCs w:val="21"/>
        </w:rPr>
        <w:t>；</w:t>
      </w:r>
    </w:p>
    <w:p w14:paraId="5368BF83">
      <w:pPr>
        <w:adjustRightInd w:val="0"/>
        <w:snapToGrid w:val="0"/>
        <w:spacing w:line="360" w:lineRule="auto"/>
        <w:rPr>
          <w:rFonts w:hint="eastAsia"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附件5  环境质量现状检测报告</w:t>
      </w:r>
      <w:r>
        <w:rPr>
          <w:rFonts w:hint="eastAsia" w:eastAsia="仿宋" w:cs="Times New Roman"/>
          <w:color w:val="auto"/>
          <w:szCs w:val="21"/>
          <w:lang w:eastAsia="zh-CN"/>
        </w:rPr>
        <w:t>；</w:t>
      </w:r>
    </w:p>
    <w:p w14:paraId="2BBE008A">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附件6  </w:t>
      </w:r>
      <w:r>
        <w:rPr>
          <w:rFonts w:hint="eastAsia" w:ascii="Times New Roman" w:hAnsi="Times New Roman" w:eastAsia="仿宋" w:cs="Times New Roman"/>
          <w:color w:val="auto"/>
          <w:szCs w:val="21"/>
          <w:lang w:val="en-US" w:eastAsia="zh-CN"/>
        </w:rPr>
        <w:t>现有项目</w:t>
      </w:r>
      <w:r>
        <w:rPr>
          <w:rFonts w:hint="eastAsia" w:eastAsia="仿宋" w:cs="Times New Roman"/>
          <w:color w:val="auto"/>
          <w:szCs w:val="21"/>
          <w:lang w:val="en-US" w:eastAsia="zh-CN"/>
        </w:rPr>
        <w:t>验收</w:t>
      </w:r>
      <w:r>
        <w:rPr>
          <w:rFonts w:hint="eastAsia" w:ascii="Times New Roman" w:hAnsi="Times New Roman" w:eastAsia="仿宋" w:cs="Times New Roman"/>
          <w:color w:val="auto"/>
          <w:szCs w:val="21"/>
          <w:lang w:val="en-US" w:eastAsia="zh-CN"/>
        </w:rPr>
        <w:t>检测报告</w:t>
      </w:r>
      <w:r>
        <w:rPr>
          <w:rFonts w:hint="default" w:ascii="Times New Roman" w:hAnsi="Times New Roman" w:eastAsia="仿宋" w:cs="Times New Roman"/>
          <w:color w:val="auto"/>
          <w:szCs w:val="21"/>
        </w:rPr>
        <w:t>；</w:t>
      </w:r>
    </w:p>
    <w:p w14:paraId="3E1F19A7">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w:t>
      </w:r>
      <w:r>
        <w:rPr>
          <w:rFonts w:hint="eastAsia" w:eastAsia="仿宋" w:cs="Times New Roman"/>
          <w:color w:val="auto"/>
          <w:szCs w:val="21"/>
          <w:lang w:val="en-US" w:eastAsia="zh-CN"/>
        </w:rPr>
        <w:t>7</w:t>
      </w:r>
      <w:r>
        <w:rPr>
          <w:rFonts w:hint="default" w:ascii="Times New Roman" w:hAnsi="Times New Roman" w:eastAsia="仿宋" w:cs="Times New Roman"/>
          <w:color w:val="auto"/>
          <w:szCs w:val="21"/>
        </w:rPr>
        <w:t xml:space="preserve">  危废处置承诺书；</w:t>
      </w:r>
    </w:p>
    <w:p w14:paraId="37A193BE">
      <w:pPr>
        <w:adjustRightInd w:val="0"/>
        <w:snapToGrid w:val="0"/>
        <w:spacing w:line="360" w:lineRule="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附件</w:t>
      </w:r>
      <w:r>
        <w:rPr>
          <w:rFonts w:hint="eastAsia" w:eastAsia="仿宋" w:cs="Times New Roman"/>
          <w:color w:val="auto"/>
          <w:szCs w:val="21"/>
          <w:lang w:val="en-US" w:eastAsia="zh-CN"/>
        </w:rPr>
        <w:t>8</w:t>
      </w:r>
      <w:r>
        <w:rPr>
          <w:rFonts w:hint="default" w:ascii="Times New Roman" w:hAnsi="Times New Roman" w:eastAsia="仿宋" w:cs="Times New Roman"/>
          <w:color w:val="auto"/>
          <w:szCs w:val="21"/>
          <w:lang w:val="en-US" w:eastAsia="zh-CN"/>
        </w:rPr>
        <w:t xml:space="preserve">  现有环保手续；</w:t>
      </w:r>
    </w:p>
    <w:p w14:paraId="41AB6F7F">
      <w:pPr>
        <w:adjustRightInd w:val="0"/>
        <w:snapToGrid w:val="0"/>
        <w:spacing w:line="360" w:lineRule="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附件</w:t>
      </w:r>
      <w:r>
        <w:rPr>
          <w:rFonts w:hint="eastAsia" w:eastAsia="仿宋" w:cs="Times New Roman"/>
          <w:color w:val="auto"/>
          <w:szCs w:val="21"/>
          <w:lang w:val="en-US" w:eastAsia="zh-CN"/>
        </w:rPr>
        <w:t>9</w:t>
      </w:r>
      <w:r>
        <w:rPr>
          <w:rFonts w:hint="default" w:ascii="Times New Roman" w:hAnsi="Times New Roman" w:eastAsia="仿宋" w:cs="Times New Roman"/>
          <w:color w:val="auto"/>
          <w:szCs w:val="21"/>
          <w:lang w:val="en-US" w:eastAsia="zh-CN"/>
        </w:rPr>
        <w:t xml:space="preserve">  突发环境事件应急预案备案表；</w:t>
      </w:r>
    </w:p>
    <w:p w14:paraId="59B0C172">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w:t>
      </w:r>
      <w:r>
        <w:rPr>
          <w:rFonts w:hint="default" w:ascii="Times New Roman" w:hAnsi="Times New Roman" w:eastAsia="仿宋" w:cs="Times New Roman"/>
          <w:color w:val="auto"/>
          <w:szCs w:val="21"/>
          <w:lang w:val="en-US" w:eastAsia="zh-CN"/>
        </w:rPr>
        <w:t>1</w:t>
      </w:r>
      <w:r>
        <w:rPr>
          <w:rFonts w:hint="eastAsia" w:eastAsia="仿宋" w:cs="Times New Roman"/>
          <w:color w:val="auto"/>
          <w:szCs w:val="21"/>
          <w:lang w:val="en-US" w:eastAsia="zh-CN"/>
        </w:rPr>
        <w:t>0</w:t>
      </w:r>
      <w:r>
        <w:rPr>
          <w:rFonts w:hint="default" w:ascii="Times New Roman" w:hAnsi="Times New Roman" w:eastAsia="仿宋" w:cs="Times New Roman"/>
          <w:color w:val="auto"/>
          <w:szCs w:val="21"/>
        </w:rPr>
        <w:t xml:space="preserve"> 原辅料MSDS；</w:t>
      </w:r>
    </w:p>
    <w:p w14:paraId="18A863B8">
      <w:pPr>
        <w:adjustRightInd w:val="0"/>
        <w:snapToGrid w:val="0"/>
        <w:spacing w:line="36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Cs w:val="21"/>
          <w:lang w:val="en-US" w:eastAsia="zh-CN"/>
        </w:rPr>
        <w:t>附件1</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rPr>
        <w:t>《关于金坛经济开发区发展规划环境影响评价审查意见》（苏环审</w:t>
      </w:r>
      <w:r>
        <w:rPr>
          <w:rFonts w:hint="default" w:ascii="Times New Roman" w:hAnsi="Times New Roman" w:eastAsia="仿宋" w:cs="Times New Roman"/>
          <w:color w:val="auto"/>
          <w:szCs w:val="21"/>
          <w:lang w:eastAsia="zh-CN"/>
        </w:rPr>
        <w:t>〔2015〕52号</w:t>
      </w:r>
      <w:r>
        <w:rPr>
          <w:rFonts w:hint="default" w:ascii="Times New Roman" w:hAnsi="Times New Roman" w:eastAsia="仿宋" w:cs="Times New Roman"/>
          <w:color w:val="auto"/>
          <w:szCs w:val="21"/>
        </w:rPr>
        <w:t>）；</w:t>
      </w:r>
    </w:p>
    <w:p w14:paraId="66A0FE54">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2</w:t>
      </w:r>
      <w:r>
        <w:rPr>
          <w:rFonts w:hint="default" w:ascii="Times New Roman" w:hAnsi="Times New Roman" w:eastAsia="仿宋" w:cs="Times New Roman"/>
          <w:color w:val="auto"/>
          <w:szCs w:val="21"/>
        </w:rPr>
        <w:t xml:space="preserve"> 环评委托书</w:t>
      </w:r>
    </w:p>
    <w:p w14:paraId="40182FA0">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3</w:t>
      </w:r>
      <w:r>
        <w:rPr>
          <w:rFonts w:hint="default" w:ascii="Times New Roman" w:hAnsi="Times New Roman" w:eastAsia="仿宋" w:cs="Times New Roman"/>
          <w:color w:val="auto"/>
          <w:szCs w:val="21"/>
        </w:rPr>
        <w:t xml:space="preserve"> 建设单位作出的环评基础数据真实性承诺；</w:t>
      </w:r>
    </w:p>
    <w:p w14:paraId="57C63E99">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4</w:t>
      </w:r>
      <w:r>
        <w:rPr>
          <w:rFonts w:hint="default" w:ascii="Times New Roman" w:hAnsi="Times New Roman" w:eastAsia="仿宋" w:cs="Times New Roman"/>
          <w:color w:val="auto"/>
          <w:szCs w:val="21"/>
        </w:rPr>
        <w:t xml:space="preserve"> 建设单位作出的相关环境保护措施承诺</w:t>
      </w:r>
    </w:p>
    <w:p w14:paraId="1643D776">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w:t>
      </w:r>
      <w:r>
        <w:rPr>
          <w:rFonts w:hint="default" w:ascii="Times New Roman" w:hAnsi="Times New Roman" w:eastAsia="仿宋" w:cs="Times New Roman"/>
          <w:color w:val="auto"/>
          <w:szCs w:val="21"/>
          <w:lang w:val="en-US" w:eastAsia="zh-CN"/>
        </w:rPr>
        <w:t>1</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 xml:space="preserve"> 主要环境影响及预防或者减轻不良环境影响的对策和措施；</w:t>
      </w:r>
    </w:p>
    <w:p w14:paraId="0F952D61">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6</w:t>
      </w:r>
      <w:r>
        <w:rPr>
          <w:rFonts w:hint="default" w:ascii="Times New Roman" w:hAnsi="Times New Roman" w:eastAsia="仿宋" w:cs="Times New Roman"/>
          <w:color w:val="auto"/>
          <w:szCs w:val="21"/>
        </w:rPr>
        <w:t xml:space="preserve"> 委托函；</w:t>
      </w:r>
    </w:p>
    <w:p w14:paraId="17269A13">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7</w:t>
      </w:r>
      <w:r>
        <w:rPr>
          <w:rFonts w:hint="default" w:ascii="Times New Roman" w:hAnsi="Times New Roman" w:eastAsia="仿宋" w:cs="Times New Roman"/>
          <w:color w:val="auto"/>
          <w:szCs w:val="21"/>
        </w:rPr>
        <w:t xml:space="preserve"> 环境影响报告表全本信息公开证明材料；</w:t>
      </w:r>
    </w:p>
    <w:p w14:paraId="07F736F1">
      <w:pPr>
        <w:adjustRightInd w:val="0"/>
        <w:snapToGrid w:val="0"/>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8</w:t>
      </w:r>
      <w:r>
        <w:rPr>
          <w:rFonts w:hint="default" w:ascii="Times New Roman" w:hAnsi="Times New Roman" w:eastAsia="仿宋" w:cs="Times New Roman"/>
          <w:color w:val="auto"/>
          <w:szCs w:val="21"/>
        </w:rPr>
        <w:t xml:space="preserve"> 公示承诺说明；</w:t>
      </w:r>
    </w:p>
    <w:p w14:paraId="44E13174">
      <w:pPr>
        <w:adjustRightInd w:val="0"/>
        <w:snapToGrid w:val="0"/>
        <w:spacing w:line="360" w:lineRule="auto"/>
        <w:rPr>
          <w:rFonts w:hint="eastAsia" w:eastAsia="仿宋" w:cs="Times New Roman"/>
          <w:color w:val="auto"/>
          <w:szCs w:val="21"/>
          <w:lang w:eastAsia="zh-CN"/>
        </w:rPr>
      </w:pPr>
      <w:r>
        <w:rPr>
          <w:rFonts w:hint="default" w:ascii="Times New Roman" w:hAnsi="Times New Roman" w:eastAsia="仿宋" w:cs="Times New Roman"/>
          <w:color w:val="auto"/>
          <w:szCs w:val="21"/>
        </w:rPr>
        <w:t>附件</w:t>
      </w:r>
      <w:r>
        <w:rPr>
          <w:rFonts w:hint="eastAsia" w:eastAsia="仿宋" w:cs="Times New Roman"/>
          <w:color w:val="auto"/>
          <w:szCs w:val="21"/>
          <w:lang w:val="en-US" w:eastAsia="zh-CN"/>
        </w:rPr>
        <w:t>19</w:t>
      </w:r>
      <w:r>
        <w:rPr>
          <w:rFonts w:hint="default" w:ascii="Times New Roman" w:hAnsi="Times New Roman" w:eastAsia="仿宋" w:cs="Times New Roman"/>
          <w:color w:val="auto"/>
          <w:szCs w:val="21"/>
        </w:rPr>
        <w:t xml:space="preserve"> 环评工程师现场照片</w:t>
      </w:r>
      <w:r>
        <w:rPr>
          <w:rFonts w:hint="eastAsia" w:eastAsia="仿宋" w:cs="Times New Roman"/>
          <w:color w:val="auto"/>
          <w:szCs w:val="21"/>
          <w:lang w:eastAsia="zh-CN"/>
        </w:rPr>
        <w:t>；</w:t>
      </w:r>
    </w:p>
    <w:p w14:paraId="6F859B01">
      <w:pPr>
        <w:adjustRightInd w:val="0"/>
        <w:snapToGrid w:val="0"/>
        <w:spacing w:line="360" w:lineRule="auto"/>
        <w:rPr>
          <w:rFonts w:hint="eastAsia" w:ascii="Times New Roman" w:hAnsi="Times New Roman" w:eastAsia="仿宋" w:cs="Times New Roman"/>
          <w:color w:val="auto"/>
          <w:szCs w:val="21"/>
          <w:lang w:eastAsia="zh-CN"/>
        </w:rPr>
      </w:pPr>
      <w:r>
        <w:rPr>
          <w:rFonts w:hint="eastAsia" w:eastAsia="仿宋" w:cs="Times New Roman"/>
          <w:color w:val="auto"/>
          <w:szCs w:val="21"/>
          <w:lang w:val="en-US" w:eastAsia="zh-CN"/>
        </w:rPr>
        <w:t>附件20 污水接管意向书</w:t>
      </w:r>
      <w:r>
        <w:rPr>
          <w:rFonts w:hint="eastAsia" w:eastAsia="仿宋" w:cs="Times New Roman"/>
          <w:color w:val="auto"/>
          <w:szCs w:val="21"/>
          <w:lang w:eastAsia="zh-CN"/>
        </w:rPr>
        <w:t>。</w:t>
      </w:r>
    </w:p>
    <w:p w14:paraId="0E8D0AD7">
      <w:pPr>
        <w:widowControl/>
        <w:jc w:val="left"/>
        <w:outlineLvl w:val="0"/>
        <w:rPr>
          <w:rFonts w:hint="default" w:ascii="Times New Roman" w:hAnsi="Times New Roman" w:eastAsia="仿宋" w:cs="Times New Roman"/>
          <w:snapToGrid w:val="0"/>
          <w:color w:val="auto"/>
          <w:kern w:val="0"/>
          <w:sz w:val="30"/>
          <w:szCs w:val="30"/>
        </w:rPr>
      </w:pPr>
      <w:bookmarkStart w:id="32" w:name="_Toc1013"/>
      <w:r>
        <w:rPr>
          <w:rFonts w:hint="default" w:ascii="Times New Roman" w:hAnsi="Times New Roman" w:eastAsia="仿宋" w:cs="Times New Roman"/>
          <w:snapToGrid w:val="0"/>
          <w:color w:val="auto"/>
          <w:kern w:val="0"/>
          <w:sz w:val="30"/>
          <w:szCs w:val="30"/>
        </w:rPr>
        <w:t>附图</w:t>
      </w:r>
      <w:bookmarkEnd w:id="32"/>
    </w:p>
    <w:p w14:paraId="697F6FF1">
      <w:pPr>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附图1  建设项目地理位置图；</w:t>
      </w:r>
    </w:p>
    <w:p w14:paraId="1F43E534">
      <w:pPr>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 xml:space="preserve">附图2  </w:t>
      </w:r>
      <w:r>
        <w:rPr>
          <w:rFonts w:hint="default" w:ascii="Times New Roman" w:hAnsi="Times New Roman" w:eastAsia="仿宋" w:cs="Times New Roman"/>
          <w:color w:val="auto"/>
          <w:sz w:val="21"/>
          <w:szCs w:val="21"/>
        </w:rPr>
        <w:t>建设项目周边500米范围用地现状图</w:t>
      </w:r>
      <w:r>
        <w:rPr>
          <w:rFonts w:hint="default" w:ascii="Times New Roman" w:hAnsi="Times New Roman" w:eastAsia="仿宋" w:cs="Times New Roman"/>
          <w:color w:val="auto"/>
          <w:szCs w:val="21"/>
        </w:rPr>
        <w:t>；</w:t>
      </w:r>
    </w:p>
    <w:p w14:paraId="345EFC9C">
      <w:pPr>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附图3  厂区平面布置图；</w:t>
      </w:r>
    </w:p>
    <w:p w14:paraId="2AE82F6D">
      <w:pPr>
        <w:spacing w:line="360" w:lineRule="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lang w:val="en-US" w:eastAsia="zh-CN"/>
        </w:rPr>
        <w:t xml:space="preserve">附图4-1  </w:t>
      </w:r>
      <w:r>
        <w:rPr>
          <w:rFonts w:hint="default" w:ascii="Times New Roman" w:hAnsi="Times New Roman" w:eastAsia="仿宋" w:cs="Times New Roman"/>
          <w:color w:val="auto"/>
          <w:sz w:val="21"/>
          <w:szCs w:val="21"/>
          <w:lang w:val="en-US" w:eastAsia="zh-CN"/>
        </w:rPr>
        <w:t>生产车间1F平面布置图；</w:t>
      </w:r>
    </w:p>
    <w:p w14:paraId="0AD64551">
      <w:pPr>
        <w:spacing w:line="360" w:lineRule="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 w:val="21"/>
          <w:szCs w:val="21"/>
          <w:lang w:val="en-US" w:eastAsia="zh-CN"/>
        </w:rPr>
        <w:t>附图4-2  生产车间2F平面布置图；</w:t>
      </w:r>
    </w:p>
    <w:p w14:paraId="1A3F4422">
      <w:pPr>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附图</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 xml:space="preserve">  金坛经济开发区土地利用规划图；</w:t>
      </w:r>
    </w:p>
    <w:p w14:paraId="7555399B">
      <w:pPr>
        <w:spacing w:line="360"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附图</w:t>
      </w:r>
      <w:r>
        <w:rPr>
          <w:rFonts w:hint="default" w:ascii="Times New Roman" w:hAnsi="Times New Roman" w:eastAsia="仿宋" w:cs="Times New Roman"/>
          <w:color w:val="auto"/>
          <w:szCs w:val="21"/>
          <w:lang w:val="en-US" w:eastAsia="zh-CN"/>
        </w:rPr>
        <w:t>6</w:t>
      </w:r>
      <w:r>
        <w:rPr>
          <w:rFonts w:hint="default" w:ascii="Times New Roman" w:hAnsi="Times New Roman" w:eastAsia="仿宋" w:cs="Times New Roman"/>
          <w:color w:val="auto"/>
          <w:szCs w:val="21"/>
        </w:rPr>
        <w:t xml:space="preserve">  常州市环境管控</w:t>
      </w:r>
      <w:r>
        <w:rPr>
          <w:rFonts w:hint="eastAsia" w:eastAsia="仿宋" w:cs="Times New Roman"/>
          <w:color w:val="auto"/>
          <w:szCs w:val="21"/>
          <w:lang w:val="en-US" w:eastAsia="zh-CN"/>
        </w:rPr>
        <w:t>单元图</w:t>
      </w:r>
      <w:r>
        <w:rPr>
          <w:rFonts w:hint="default" w:ascii="Times New Roman" w:hAnsi="Times New Roman" w:eastAsia="仿宋" w:cs="Times New Roman"/>
          <w:color w:val="auto"/>
          <w:szCs w:val="21"/>
        </w:rPr>
        <w:t>；</w:t>
      </w:r>
    </w:p>
    <w:p w14:paraId="106011BF">
      <w:pPr>
        <w:spacing w:line="360" w:lineRule="auto"/>
        <w:rPr>
          <w:rFonts w:hint="eastAsia" w:eastAsia="仿宋" w:cs="Times New Roman"/>
          <w:color w:val="auto"/>
          <w:szCs w:val="21"/>
          <w:lang w:val="en-US" w:eastAsia="zh-CN"/>
        </w:rPr>
      </w:pPr>
      <w:r>
        <w:rPr>
          <w:rFonts w:hint="eastAsia" w:eastAsia="仿宋" w:cs="Times New Roman"/>
          <w:color w:val="auto"/>
          <w:szCs w:val="21"/>
          <w:lang w:val="en-US" w:eastAsia="zh-CN"/>
        </w:rPr>
        <w:t>附图7  常州市生态空间保护区域分布图；</w:t>
      </w:r>
    </w:p>
    <w:p w14:paraId="49F6907F">
      <w:pPr>
        <w:spacing w:line="360" w:lineRule="auto"/>
        <w:rPr>
          <w:rFonts w:hint="eastAsia" w:eastAsia="仿宋" w:cs="Times New Roman"/>
          <w:color w:val="auto"/>
          <w:szCs w:val="21"/>
          <w:lang w:val="en-US" w:eastAsia="zh-CN"/>
        </w:rPr>
      </w:pPr>
      <w:r>
        <w:rPr>
          <w:rFonts w:hint="eastAsia" w:eastAsia="仿宋" w:cs="Times New Roman"/>
          <w:color w:val="auto"/>
          <w:szCs w:val="21"/>
          <w:lang w:val="en-US" w:eastAsia="zh-CN"/>
        </w:rPr>
        <w:t>附图8-1  江苏省生态环境管控单元图；</w:t>
      </w:r>
    </w:p>
    <w:p w14:paraId="12DB42B5">
      <w:pPr>
        <w:spacing w:line="360" w:lineRule="auto"/>
        <w:rPr>
          <w:rFonts w:hint="default" w:eastAsia="仿宋" w:cs="Times New Roman"/>
          <w:color w:val="auto"/>
          <w:szCs w:val="21"/>
          <w:lang w:val="en-US" w:eastAsia="zh-CN"/>
        </w:rPr>
      </w:pPr>
      <w:r>
        <w:rPr>
          <w:rFonts w:hint="default" w:eastAsia="仿宋" w:cs="Times New Roman"/>
          <w:color w:val="auto"/>
          <w:szCs w:val="21"/>
          <w:lang w:val="en-US" w:eastAsia="zh-CN"/>
        </w:rPr>
        <w:t xml:space="preserve">附图8-2 </w:t>
      </w:r>
      <w:r>
        <w:rPr>
          <w:rFonts w:hint="eastAsia" w:eastAsia="仿宋" w:cs="Times New Roman"/>
          <w:color w:val="auto"/>
          <w:szCs w:val="21"/>
          <w:lang w:val="en-US" w:eastAsia="zh-CN"/>
        </w:rPr>
        <w:t xml:space="preserve"> </w:t>
      </w:r>
      <w:r>
        <w:rPr>
          <w:rFonts w:hint="default" w:eastAsia="仿宋" w:cs="Times New Roman"/>
          <w:color w:val="auto"/>
          <w:szCs w:val="21"/>
          <w:lang w:val="en-US" w:eastAsia="zh-CN"/>
        </w:rPr>
        <w:t>江苏省生态环境管控单元图（卫星图）</w:t>
      </w:r>
      <w:r>
        <w:rPr>
          <w:rFonts w:hint="eastAsia" w:eastAsia="仿宋" w:cs="Times New Roman"/>
          <w:color w:val="auto"/>
          <w:szCs w:val="21"/>
          <w:lang w:val="en-US" w:eastAsia="zh-CN"/>
        </w:rPr>
        <w:t>；</w:t>
      </w:r>
    </w:p>
    <w:p w14:paraId="33B1FD24">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color w:val="auto"/>
          <w:szCs w:val="21"/>
        </w:rPr>
        <w:t>附图</w:t>
      </w:r>
      <w:r>
        <w:rPr>
          <w:rFonts w:hint="eastAsia" w:eastAsia="仿宋" w:cs="Times New Roman"/>
          <w:color w:val="auto"/>
          <w:szCs w:val="21"/>
          <w:lang w:val="en-US" w:eastAsia="zh-CN"/>
        </w:rPr>
        <w:t>9</w:t>
      </w:r>
      <w:r>
        <w:rPr>
          <w:rFonts w:hint="default" w:ascii="Times New Roman" w:hAnsi="Times New Roman" w:eastAsia="仿宋" w:cs="Times New Roman"/>
          <w:color w:val="auto"/>
          <w:szCs w:val="21"/>
        </w:rPr>
        <w:t xml:space="preserve">  </w:t>
      </w:r>
      <w:r>
        <w:rPr>
          <w:rFonts w:hint="default" w:ascii="Times New Roman" w:hAnsi="Times New Roman" w:eastAsia="仿宋" w:cs="Times New Roman"/>
          <w:color w:val="auto"/>
          <w:szCs w:val="21"/>
          <w:lang w:val="en-US" w:eastAsia="zh-CN"/>
        </w:rPr>
        <w:t>常州市国土空间总体规划图</w:t>
      </w:r>
      <w:r>
        <w:rPr>
          <w:rFonts w:hint="default" w:ascii="Times New Roman" w:hAnsi="Times New Roman" w:eastAsia="仿宋" w:cs="Times New Roman"/>
          <w:color w:val="auto"/>
          <w:szCs w:val="21"/>
        </w:rPr>
        <w:t>。</w:t>
      </w:r>
    </w:p>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rial Black">
    <w:panose1 w:val="020B0A04020102020204"/>
    <w:charset w:val="00"/>
    <w:family w:val="swiss"/>
    <w:pitch w:val="default"/>
    <w:sig w:usb0="00000287" w:usb1="00000000" w:usb2="00000000" w:usb3="00000000" w:csb0="2000009F" w:csb1="DFD70000"/>
  </w:font>
  <w:font w:name="方正仿宋_GBK">
    <w:panose1 w:val="03000509000000000000"/>
    <w:charset w:val="86"/>
    <w:family w:val="script"/>
    <w:pitch w:val="default"/>
    <w:sig w:usb0="00000001" w:usb1="080E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802E3">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5CD4A">
                          <w:pPr>
                            <w:pStyle w:val="16"/>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175CD4A">
                    <w:pPr>
                      <w:pStyle w:val="16"/>
                    </w:pPr>
                    <w:r>
                      <w:fldChar w:fldCharType="begin"/>
                    </w:r>
                    <w:r>
                      <w:instrText xml:space="preserve"> PAGE  \* MERGEFORMAT </w:instrText>
                    </w:r>
                    <w:r>
                      <w:fldChar w:fldCharType="separate"/>
                    </w:r>
                    <w:r>
                      <w:t>140</w:t>
                    </w:r>
                    <w:r>
                      <w:fldChar w:fldCharType="end"/>
                    </w:r>
                  </w:p>
                </w:txbxContent>
              </v:textbox>
            </v:shape>
          </w:pict>
        </mc:Fallback>
      </mc:AlternateContent>
    </w:r>
  </w:p>
  <w:p w14:paraId="7318B40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47A3">
    <w:pPr>
      <w:pStyle w:val="16"/>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CC1F4">
                          <w:pPr>
                            <w:pStyle w:val="16"/>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CCC1F4">
                    <w:pPr>
                      <w:pStyle w:val="16"/>
                    </w:pPr>
                    <w:r>
                      <w:fldChar w:fldCharType="begin"/>
                    </w:r>
                    <w:r>
                      <w:instrText xml:space="preserve"> PAGE  \* MERGEFORMAT </w:instrText>
                    </w:r>
                    <w:r>
                      <w:fldChar w:fldCharType="separate"/>
                    </w:r>
                    <w:r>
                      <w:t>141</w:t>
                    </w:r>
                    <w:r>
                      <w:fldChar w:fldCharType="end"/>
                    </w:r>
                  </w:p>
                </w:txbxContent>
              </v:textbox>
            </v:shape>
          </w:pict>
        </mc:Fallback>
      </mc:AlternateContent>
    </w:r>
  </w:p>
  <w:p w14:paraId="62AD8876">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93385">
    <w:pPr>
      <w:pStyle w:val="16"/>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53399">
                          <w:pPr>
                            <w:pStyle w:val="16"/>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7A53399">
                    <w:pPr>
                      <w:pStyle w:val="16"/>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A976B"/>
    <w:multiLevelType w:val="singleLevel"/>
    <w:tmpl w:val="876A976B"/>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D7AD6025"/>
    <w:multiLevelType w:val="singleLevel"/>
    <w:tmpl w:val="D7AD6025"/>
    <w:lvl w:ilvl="0" w:tentative="0">
      <w:start w:val="3"/>
      <w:numFmt w:val="decimal"/>
      <w:suff w:val="nothing"/>
      <w:lvlText w:val="（%1）"/>
      <w:lvlJc w:val="left"/>
    </w:lvl>
  </w:abstractNum>
  <w:abstractNum w:abstractNumId="2">
    <w:nsid w:val="16756770"/>
    <w:multiLevelType w:val="singleLevel"/>
    <w:tmpl w:val="16756770"/>
    <w:lvl w:ilvl="0" w:tentative="0">
      <w:start w:val="1"/>
      <w:numFmt w:val="chineseCounting"/>
      <w:suff w:val="nothing"/>
      <w:lvlText w:val="%1、"/>
      <w:lvlJc w:val="left"/>
      <w:rPr>
        <w:rFonts w:hint="eastAsia"/>
      </w:rPr>
    </w:lvl>
  </w:abstractNum>
  <w:abstractNum w:abstractNumId="3">
    <w:nsid w:val="186B9FA1"/>
    <w:multiLevelType w:val="singleLevel"/>
    <w:tmpl w:val="186B9FA1"/>
    <w:lvl w:ilvl="0" w:tentative="0">
      <w:start w:val="1"/>
      <w:numFmt w:val="decimal"/>
      <w:suff w:val="nothing"/>
      <w:lvlText w:val="%1、"/>
      <w:lvlJc w:val="left"/>
    </w:lvl>
  </w:abstractNum>
  <w:abstractNum w:abstractNumId="4">
    <w:nsid w:val="1BAB20EB"/>
    <w:multiLevelType w:val="singleLevel"/>
    <w:tmpl w:val="1BAB20EB"/>
    <w:lvl w:ilvl="0" w:tentative="0">
      <w:start w:val="1"/>
      <w:numFmt w:val="decimal"/>
      <w:suff w:val="nothing"/>
      <w:lvlText w:val="%1）"/>
      <w:lvlJc w:val="left"/>
    </w:lvl>
  </w:abstractNum>
  <w:abstractNum w:abstractNumId="5">
    <w:nsid w:val="1CE52F89"/>
    <w:multiLevelType w:val="singleLevel"/>
    <w:tmpl w:val="1CE52F89"/>
    <w:lvl w:ilvl="0" w:tentative="0">
      <w:start w:val="1"/>
      <w:numFmt w:val="lowerLetter"/>
      <w:lvlText w:val="%1)"/>
      <w:lvlJc w:val="left"/>
      <w:pPr>
        <w:tabs>
          <w:tab w:val="left" w:pos="312"/>
        </w:tabs>
      </w:pPr>
    </w:lvl>
  </w:abstractNum>
  <w:abstractNum w:abstractNumId="6">
    <w:nsid w:val="30544353"/>
    <w:multiLevelType w:val="singleLevel"/>
    <w:tmpl w:val="30544353"/>
    <w:lvl w:ilvl="0" w:tentative="0">
      <w:start w:val="1"/>
      <w:numFmt w:val="decimal"/>
      <w:suff w:val="nothing"/>
      <w:lvlText w:val="%1、"/>
      <w:lvlJc w:val="left"/>
    </w:lvl>
  </w:abstractNum>
  <w:abstractNum w:abstractNumId="7">
    <w:nsid w:val="3A023F31"/>
    <w:multiLevelType w:val="singleLevel"/>
    <w:tmpl w:val="3A023F31"/>
    <w:lvl w:ilvl="0" w:tentative="0">
      <w:start w:val="1"/>
      <w:numFmt w:val="lowerLetter"/>
      <w:lvlText w:val="%1)"/>
      <w:lvlJc w:val="left"/>
      <w:pPr>
        <w:tabs>
          <w:tab w:val="left" w:pos="312"/>
        </w:tabs>
      </w:pPr>
    </w:lvl>
  </w:abstractNum>
  <w:abstractNum w:abstractNumId="8">
    <w:nsid w:val="52979218"/>
    <w:multiLevelType w:val="singleLevel"/>
    <w:tmpl w:val="52979218"/>
    <w:lvl w:ilvl="0" w:tentative="0">
      <w:start w:val="2"/>
      <w:numFmt w:val="decimal"/>
      <w:suff w:val="nothing"/>
      <w:lvlText w:val="（%1）"/>
      <w:lvlJc w:val="left"/>
    </w:lvl>
  </w:abstractNum>
  <w:abstractNum w:abstractNumId="9">
    <w:nsid w:val="75C440C3"/>
    <w:multiLevelType w:val="singleLevel"/>
    <w:tmpl w:val="75C440C3"/>
    <w:lvl w:ilvl="0" w:tentative="0">
      <w:start w:val="2"/>
      <w:numFmt w:val="chineseCounting"/>
      <w:suff w:val="nothing"/>
      <w:lvlText w:val="%1、"/>
      <w:lvlJc w:val="left"/>
      <w:rPr>
        <w:rFonts w:hint="eastAsia"/>
      </w:rPr>
    </w:lvl>
  </w:abstractNum>
  <w:num w:numId="1">
    <w:abstractNumId w:val="0"/>
  </w:num>
  <w:num w:numId="2">
    <w:abstractNumId w:val="2"/>
  </w:num>
  <w:num w:numId="3">
    <w:abstractNumId w:val="7"/>
  </w:num>
  <w:num w:numId="4">
    <w:abstractNumId w:val="5"/>
  </w:num>
  <w:num w:numId="5">
    <w:abstractNumId w:val="9"/>
  </w:num>
  <w:num w:numId="6">
    <w:abstractNumId w:val="3"/>
  </w:num>
  <w:num w:numId="7">
    <w:abstractNumId w:val="6"/>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kYjFjZjZhY2Q5YjkyNjA4OTNjMDlkNDcwZjkxNjYifQ=="/>
  </w:docVars>
  <w:rsids>
    <w:rsidRoot w:val="00172A27"/>
    <w:rsid w:val="0000070E"/>
    <w:rsid w:val="00000C8E"/>
    <w:rsid w:val="00001C4F"/>
    <w:rsid w:val="00001DB3"/>
    <w:rsid w:val="0000356A"/>
    <w:rsid w:val="00005A48"/>
    <w:rsid w:val="000060B3"/>
    <w:rsid w:val="0000634A"/>
    <w:rsid w:val="0000667F"/>
    <w:rsid w:val="00007693"/>
    <w:rsid w:val="00010429"/>
    <w:rsid w:val="0001247F"/>
    <w:rsid w:val="00012869"/>
    <w:rsid w:val="00012A4B"/>
    <w:rsid w:val="00014896"/>
    <w:rsid w:val="00015142"/>
    <w:rsid w:val="00015584"/>
    <w:rsid w:val="000156D6"/>
    <w:rsid w:val="00015B1F"/>
    <w:rsid w:val="00016424"/>
    <w:rsid w:val="00017D91"/>
    <w:rsid w:val="0002208F"/>
    <w:rsid w:val="0002226C"/>
    <w:rsid w:val="00022FB0"/>
    <w:rsid w:val="000234CD"/>
    <w:rsid w:val="00023507"/>
    <w:rsid w:val="0002508D"/>
    <w:rsid w:val="00025382"/>
    <w:rsid w:val="00026679"/>
    <w:rsid w:val="00027191"/>
    <w:rsid w:val="00027DF4"/>
    <w:rsid w:val="00030ECA"/>
    <w:rsid w:val="000353EA"/>
    <w:rsid w:val="00037A27"/>
    <w:rsid w:val="00041076"/>
    <w:rsid w:val="0004364B"/>
    <w:rsid w:val="000470C7"/>
    <w:rsid w:val="000506B8"/>
    <w:rsid w:val="000506F4"/>
    <w:rsid w:val="000521D8"/>
    <w:rsid w:val="000533EA"/>
    <w:rsid w:val="00054672"/>
    <w:rsid w:val="00060ED3"/>
    <w:rsid w:val="00061B1F"/>
    <w:rsid w:val="00061F76"/>
    <w:rsid w:val="00065F1C"/>
    <w:rsid w:val="00066A46"/>
    <w:rsid w:val="000677C5"/>
    <w:rsid w:val="0007085A"/>
    <w:rsid w:val="00070F15"/>
    <w:rsid w:val="0007210A"/>
    <w:rsid w:val="00072C34"/>
    <w:rsid w:val="00073348"/>
    <w:rsid w:val="000733C4"/>
    <w:rsid w:val="00074783"/>
    <w:rsid w:val="00075ACF"/>
    <w:rsid w:val="00076932"/>
    <w:rsid w:val="00076A46"/>
    <w:rsid w:val="000775F8"/>
    <w:rsid w:val="0008070B"/>
    <w:rsid w:val="000810AC"/>
    <w:rsid w:val="00081A02"/>
    <w:rsid w:val="00081A87"/>
    <w:rsid w:val="00082231"/>
    <w:rsid w:val="0008308B"/>
    <w:rsid w:val="00085341"/>
    <w:rsid w:val="000907E2"/>
    <w:rsid w:val="00091994"/>
    <w:rsid w:val="000919DE"/>
    <w:rsid w:val="00091FB7"/>
    <w:rsid w:val="00092B92"/>
    <w:rsid w:val="00092D38"/>
    <w:rsid w:val="00092F62"/>
    <w:rsid w:val="0009377B"/>
    <w:rsid w:val="00094576"/>
    <w:rsid w:val="00095B5D"/>
    <w:rsid w:val="00096976"/>
    <w:rsid w:val="00097182"/>
    <w:rsid w:val="000977BC"/>
    <w:rsid w:val="000A0366"/>
    <w:rsid w:val="000A03BE"/>
    <w:rsid w:val="000A1D1B"/>
    <w:rsid w:val="000A20C9"/>
    <w:rsid w:val="000A3A1B"/>
    <w:rsid w:val="000B01FE"/>
    <w:rsid w:val="000B03DD"/>
    <w:rsid w:val="000B058F"/>
    <w:rsid w:val="000B1868"/>
    <w:rsid w:val="000B429D"/>
    <w:rsid w:val="000B43F8"/>
    <w:rsid w:val="000B4467"/>
    <w:rsid w:val="000B4DB9"/>
    <w:rsid w:val="000B5082"/>
    <w:rsid w:val="000B594B"/>
    <w:rsid w:val="000B5DFC"/>
    <w:rsid w:val="000B605D"/>
    <w:rsid w:val="000B6F6C"/>
    <w:rsid w:val="000B730C"/>
    <w:rsid w:val="000C09AC"/>
    <w:rsid w:val="000C16BF"/>
    <w:rsid w:val="000C4BC6"/>
    <w:rsid w:val="000C64EF"/>
    <w:rsid w:val="000C767F"/>
    <w:rsid w:val="000D17D0"/>
    <w:rsid w:val="000D1974"/>
    <w:rsid w:val="000D265A"/>
    <w:rsid w:val="000D5A44"/>
    <w:rsid w:val="000D6532"/>
    <w:rsid w:val="000D6F35"/>
    <w:rsid w:val="000E03AE"/>
    <w:rsid w:val="000E09E9"/>
    <w:rsid w:val="000E0F9D"/>
    <w:rsid w:val="000E2000"/>
    <w:rsid w:val="000E32F8"/>
    <w:rsid w:val="000E3ED2"/>
    <w:rsid w:val="000E4B22"/>
    <w:rsid w:val="000E79E7"/>
    <w:rsid w:val="000E7CC8"/>
    <w:rsid w:val="000F0D25"/>
    <w:rsid w:val="000F1E48"/>
    <w:rsid w:val="000F231D"/>
    <w:rsid w:val="000F25C7"/>
    <w:rsid w:val="000F3E81"/>
    <w:rsid w:val="000F3F3F"/>
    <w:rsid w:val="000F468B"/>
    <w:rsid w:val="000F585B"/>
    <w:rsid w:val="000F5E7E"/>
    <w:rsid w:val="000F712E"/>
    <w:rsid w:val="00100614"/>
    <w:rsid w:val="00100A2B"/>
    <w:rsid w:val="00100DA5"/>
    <w:rsid w:val="00101B2B"/>
    <w:rsid w:val="00101E55"/>
    <w:rsid w:val="00102868"/>
    <w:rsid w:val="00104BD0"/>
    <w:rsid w:val="00105C46"/>
    <w:rsid w:val="00106946"/>
    <w:rsid w:val="001078C9"/>
    <w:rsid w:val="00111BA4"/>
    <w:rsid w:val="00112ECE"/>
    <w:rsid w:val="001134F7"/>
    <w:rsid w:val="00114039"/>
    <w:rsid w:val="001156B0"/>
    <w:rsid w:val="00116505"/>
    <w:rsid w:val="00116B03"/>
    <w:rsid w:val="001200EE"/>
    <w:rsid w:val="00123053"/>
    <w:rsid w:val="001243D5"/>
    <w:rsid w:val="001252ED"/>
    <w:rsid w:val="001300A2"/>
    <w:rsid w:val="00131608"/>
    <w:rsid w:val="00131C22"/>
    <w:rsid w:val="00131D17"/>
    <w:rsid w:val="00131F42"/>
    <w:rsid w:val="001338A5"/>
    <w:rsid w:val="00133DA8"/>
    <w:rsid w:val="001346A6"/>
    <w:rsid w:val="001357F1"/>
    <w:rsid w:val="001401E7"/>
    <w:rsid w:val="0014030D"/>
    <w:rsid w:val="00140FA8"/>
    <w:rsid w:val="00141FCD"/>
    <w:rsid w:val="00142CEA"/>
    <w:rsid w:val="00142FEB"/>
    <w:rsid w:val="00143A2D"/>
    <w:rsid w:val="00145A41"/>
    <w:rsid w:val="001467E9"/>
    <w:rsid w:val="0014754F"/>
    <w:rsid w:val="00151675"/>
    <w:rsid w:val="00152B10"/>
    <w:rsid w:val="00153167"/>
    <w:rsid w:val="0015345D"/>
    <w:rsid w:val="00153E1D"/>
    <w:rsid w:val="00153F8D"/>
    <w:rsid w:val="001560E3"/>
    <w:rsid w:val="001564FD"/>
    <w:rsid w:val="00157435"/>
    <w:rsid w:val="00157D2E"/>
    <w:rsid w:val="00165890"/>
    <w:rsid w:val="0017163A"/>
    <w:rsid w:val="00171DC8"/>
    <w:rsid w:val="00173387"/>
    <w:rsid w:val="00173B0E"/>
    <w:rsid w:val="00174B46"/>
    <w:rsid w:val="00174F3E"/>
    <w:rsid w:val="0017504D"/>
    <w:rsid w:val="001753F3"/>
    <w:rsid w:val="0017551B"/>
    <w:rsid w:val="0017671A"/>
    <w:rsid w:val="00176F0E"/>
    <w:rsid w:val="001771C4"/>
    <w:rsid w:val="00177422"/>
    <w:rsid w:val="00177B55"/>
    <w:rsid w:val="00180050"/>
    <w:rsid w:val="001816B2"/>
    <w:rsid w:val="00184590"/>
    <w:rsid w:val="00184CF4"/>
    <w:rsid w:val="00185620"/>
    <w:rsid w:val="00185B2E"/>
    <w:rsid w:val="00186D26"/>
    <w:rsid w:val="001870D1"/>
    <w:rsid w:val="001871EB"/>
    <w:rsid w:val="0018781E"/>
    <w:rsid w:val="00191965"/>
    <w:rsid w:val="0019262D"/>
    <w:rsid w:val="00192870"/>
    <w:rsid w:val="0019464F"/>
    <w:rsid w:val="00195D1E"/>
    <w:rsid w:val="00196DAE"/>
    <w:rsid w:val="001A1B35"/>
    <w:rsid w:val="001A1DA0"/>
    <w:rsid w:val="001A48A2"/>
    <w:rsid w:val="001A5C57"/>
    <w:rsid w:val="001A6F61"/>
    <w:rsid w:val="001A7056"/>
    <w:rsid w:val="001A7377"/>
    <w:rsid w:val="001B0D63"/>
    <w:rsid w:val="001B0D91"/>
    <w:rsid w:val="001B1861"/>
    <w:rsid w:val="001B3191"/>
    <w:rsid w:val="001B5BFA"/>
    <w:rsid w:val="001B72B8"/>
    <w:rsid w:val="001B7EF2"/>
    <w:rsid w:val="001C0922"/>
    <w:rsid w:val="001C15C8"/>
    <w:rsid w:val="001C1CE2"/>
    <w:rsid w:val="001C1D42"/>
    <w:rsid w:val="001C1F20"/>
    <w:rsid w:val="001C4149"/>
    <w:rsid w:val="001C4344"/>
    <w:rsid w:val="001C5210"/>
    <w:rsid w:val="001C67AF"/>
    <w:rsid w:val="001C69B3"/>
    <w:rsid w:val="001C7D11"/>
    <w:rsid w:val="001D0983"/>
    <w:rsid w:val="001D0D2F"/>
    <w:rsid w:val="001D20FA"/>
    <w:rsid w:val="001D36B3"/>
    <w:rsid w:val="001D553E"/>
    <w:rsid w:val="001D5595"/>
    <w:rsid w:val="001D7299"/>
    <w:rsid w:val="001D7874"/>
    <w:rsid w:val="001D7EAA"/>
    <w:rsid w:val="001D7F22"/>
    <w:rsid w:val="001E00A2"/>
    <w:rsid w:val="001E1082"/>
    <w:rsid w:val="001E20E7"/>
    <w:rsid w:val="001E4385"/>
    <w:rsid w:val="001E5576"/>
    <w:rsid w:val="001E5F90"/>
    <w:rsid w:val="001E789B"/>
    <w:rsid w:val="001F0F17"/>
    <w:rsid w:val="001F3347"/>
    <w:rsid w:val="001F55D3"/>
    <w:rsid w:val="001F61B5"/>
    <w:rsid w:val="001F69E4"/>
    <w:rsid w:val="002005B2"/>
    <w:rsid w:val="00201279"/>
    <w:rsid w:val="00201C01"/>
    <w:rsid w:val="00204DBC"/>
    <w:rsid w:val="0020609C"/>
    <w:rsid w:val="002125B4"/>
    <w:rsid w:val="0021293B"/>
    <w:rsid w:val="00213131"/>
    <w:rsid w:val="0021318B"/>
    <w:rsid w:val="002148A3"/>
    <w:rsid w:val="0021494E"/>
    <w:rsid w:val="002155B8"/>
    <w:rsid w:val="002175B4"/>
    <w:rsid w:val="002208FF"/>
    <w:rsid w:val="00220C79"/>
    <w:rsid w:val="0022259B"/>
    <w:rsid w:val="0022400D"/>
    <w:rsid w:val="00224839"/>
    <w:rsid w:val="002249B2"/>
    <w:rsid w:val="00224C15"/>
    <w:rsid w:val="00225567"/>
    <w:rsid w:val="00226574"/>
    <w:rsid w:val="00226DE5"/>
    <w:rsid w:val="002278EC"/>
    <w:rsid w:val="00230E60"/>
    <w:rsid w:val="0023280E"/>
    <w:rsid w:val="00232C59"/>
    <w:rsid w:val="00233566"/>
    <w:rsid w:val="002336ED"/>
    <w:rsid w:val="00233B69"/>
    <w:rsid w:val="00234483"/>
    <w:rsid w:val="00234E98"/>
    <w:rsid w:val="00236817"/>
    <w:rsid w:val="00236CD2"/>
    <w:rsid w:val="002371F5"/>
    <w:rsid w:val="002377D1"/>
    <w:rsid w:val="00237DFC"/>
    <w:rsid w:val="0024192D"/>
    <w:rsid w:val="00246619"/>
    <w:rsid w:val="00246946"/>
    <w:rsid w:val="0025023C"/>
    <w:rsid w:val="002506BC"/>
    <w:rsid w:val="00250BA4"/>
    <w:rsid w:val="00252C86"/>
    <w:rsid w:val="00253638"/>
    <w:rsid w:val="002540C0"/>
    <w:rsid w:val="00254345"/>
    <w:rsid w:val="00255BAE"/>
    <w:rsid w:val="002579ED"/>
    <w:rsid w:val="00260A22"/>
    <w:rsid w:val="00262154"/>
    <w:rsid w:val="00262775"/>
    <w:rsid w:val="00263FE0"/>
    <w:rsid w:val="00264557"/>
    <w:rsid w:val="00267F72"/>
    <w:rsid w:val="00270C42"/>
    <w:rsid w:val="00271F51"/>
    <w:rsid w:val="0027393B"/>
    <w:rsid w:val="00274476"/>
    <w:rsid w:val="0027449F"/>
    <w:rsid w:val="00274EAC"/>
    <w:rsid w:val="00276F67"/>
    <w:rsid w:val="002803F5"/>
    <w:rsid w:val="002805AB"/>
    <w:rsid w:val="00282E4F"/>
    <w:rsid w:val="0028321E"/>
    <w:rsid w:val="002836E6"/>
    <w:rsid w:val="00283F40"/>
    <w:rsid w:val="00284204"/>
    <w:rsid w:val="00284734"/>
    <w:rsid w:val="00284AE7"/>
    <w:rsid w:val="002853C7"/>
    <w:rsid w:val="00291773"/>
    <w:rsid w:val="0029225E"/>
    <w:rsid w:val="00292C3C"/>
    <w:rsid w:val="00292E70"/>
    <w:rsid w:val="00293FAE"/>
    <w:rsid w:val="002948B1"/>
    <w:rsid w:val="00294A47"/>
    <w:rsid w:val="00295750"/>
    <w:rsid w:val="00295E0C"/>
    <w:rsid w:val="00297D33"/>
    <w:rsid w:val="002A015E"/>
    <w:rsid w:val="002A168C"/>
    <w:rsid w:val="002A3DC7"/>
    <w:rsid w:val="002A4051"/>
    <w:rsid w:val="002A7180"/>
    <w:rsid w:val="002B0808"/>
    <w:rsid w:val="002B49E2"/>
    <w:rsid w:val="002B6490"/>
    <w:rsid w:val="002B6494"/>
    <w:rsid w:val="002B6D0F"/>
    <w:rsid w:val="002B7B00"/>
    <w:rsid w:val="002B7C44"/>
    <w:rsid w:val="002C06C7"/>
    <w:rsid w:val="002C15E4"/>
    <w:rsid w:val="002C2B17"/>
    <w:rsid w:val="002C2BAC"/>
    <w:rsid w:val="002C3E9D"/>
    <w:rsid w:val="002C59B3"/>
    <w:rsid w:val="002D03EB"/>
    <w:rsid w:val="002D239C"/>
    <w:rsid w:val="002D2B52"/>
    <w:rsid w:val="002D2F70"/>
    <w:rsid w:val="002D3943"/>
    <w:rsid w:val="002D3DD0"/>
    <w:rsid w:val="002D45E2"/>
    <w:rsid w:val="002D66F8"/>
    <w:rsid w:val="002D7446"/>
    <w:rsid w:val="002D7DCF"/>
    <w:rsid w:val="002D7E0B"/>
    <w:rsid w:val="002E04FA"/>
    <w:rsid w:val="002E0F4E"/>
    <w:rsid w:val="002E13E4"/>
    <w:rsid w:val="002E167C"/>
    <w:rsid w:val="002E1F3A"/>
    <w:rsid w:val="002E298A"/>
    <w:rsid w:val="002E54C4"/>
    <w:rsid w:val="002E7246"/>
    <w:rsid w:val="002E73D7"/>
    <w:rsid w:val="002E7996"/>
    <w:rsid w:val="002F1CB3"/>
    <w:rsid w:val="002F490E"/>
    <w:rsid w:val="002F6B11"/>
    <w:rsid w:val="002F6FFB"/>
    <w:rsid w:val="002F7437"/>
    <w:rsid w:val="002F7D6C"/>
    <w:rsid w:val="00301978"/>
    <w:rsid w:val="003029EC"/>
    <w:rsid w:val="00302F12"/>
    <w:rsid w:val="0030332C"/>
    <w:rsid w:val="003051C2"/>
    <w:rsid w:val="00305C8F"/>
    <w:rsid w:val="00307339"/>
    <w:rsid w:val="0030766B"/>
    <w:rsid w:val="0031038D"/>
    <w:rsid w:val="003118DE"/>
    <w:rsid w:val="00312296"/>
    <w:rsid w:val="00314F0E"/>
    <w:rsid w:val="00321D8E"/>
    <w:rsid w:val="0032397C"/>
    <w:rsid w:val="003245C7"/>
    <w:rsid w:val="003256C7"/>
    <w:rsid w:val="00325928"/>
    <w:rsid w:val="00325DC9"/>
    <w:rsid w:val="003271C2"/>
    <w:rsid w:val="00327271"/>
    <w:rsid w:val="00330356"/>
    <w:rsid w:val="00332863"/>
    <w:rsid w:val="00332D20"/>
    <w:rsid w:val="003333A4"/>
    <w:rsid w:val="00336510"/>
    <w:rsid w:val="003366A9"/>
    <w:rsid w:val="0033684D"/>
    <w:rsid w:val="00336E02"/>
    <w:rsid w:val="00336E49"/>
    <w:rsid w:val="00337B42"/>
    <w:rsid w:val="00340886"/>
    <w:rsid w:val="00341B42"/>
    <w:rsid w:val="00343147"/>
    <w:rsid w:val="0034348F"/>
    <w:rsid w:val="00343EF1"/>
    <w:rsid w:val="00345F39"/>
    <w:rsid w:val="00346292"/>
    <w:rsid w:val="003470F6"/>
    <w:rsid w:val="00350AF1"/>
    <w:rsid w:val="00350B0C"/>
    <w:rsid w:val="0035147C"/>
    <w:rsid w:val="00353FA4"/>
    <w:rsid w:val="003550AC"/>
    <w:rsid w:val="00355897"/>
    <w:rsid w:val="0035615A"/>
    <w:rsid w:val="00356653"/>
    <w:rsid w:val="0035743F"/>
    <w:rsid w:val="00357BE2"/>
    <w:rsid w:val="00360236"/>
    <w:rsid w:val="0036169C"/>
    <w:rsid w:val="0036170C"/>
    <w:rsid w:val="003620B6"/>
    <w:rsid w:val="0036223B"/>
    <w:rsid w:val="00363AAF"/>
    <w:rsid w:val="00364B35"/>
    <w:rsid w:val="0036625F"/>
    <w:rsid w:val="00366E0F"/>
    <w:rsid w:val="00370BE4"/>
    <w:rsid w:val="00370FA2"/>
    <w:rsid w:val="0037329E"/>
    <w:rsid w:val="00373E0B"/>
    <w:rsid w:val="0038033F"/>
    <w:rsid w:val="003812EF"/>
    <w:rsid w:val="0038155E"/>
    <w:rsid w:val="0038195B"/>
    <w:rsid w:val="00381A72"/>
    <w:rsid w:val="00381BE6"/>
    <w:rsid w:val="0038360B"/>
    <w:rsid w:val="00384676"/>
    <w:rsid w:val="00385A39"/>
    <w:rsid w:val="003863A4"/>
    <w:rsid w:val="0038797A"/>
    <w:rsid w:val="00387DFF"/>
    <w:rsid w:val="00390857"/>
    <w:rsid w:val="00390931"/>
    <w:rsid w:val="00393C99"/>
    <w:rsid w:val="00394F7F"/>
    <w:rsid w:val="00395834"/>
    <w:rsid w:val="00396419"/>
    <w:rsid w:val="003977F2"/>
    <w:rsid w:val="003A1A03"/>
    <w:rsid w:val="003A24A2"/>
    <w:rsid w:val="003A2E20"/>
    <w:rsid w:val="003A452C"/>
    <w:rsid w:val="003A4BF3"/>
    <w:rsid w:val="003A4D72"/>
    <w:rsid w:val="003A6ADF"/>
    <w:rsid w:val="003A6ED4"/>
    <w:rsid w:val="003B0990"/>
    <w:rsid w:val="003B1DE2"/>
    <w:rsid w:val="003B420D"/>
    <w:rsid w:val="003B54BF"/>
    <w:rsid w:val="003B6745"/>
    <w:rsid w:val="003B7606"/>
    <w:rsid w:val="003C3941"/>
    <w:rsid w:val="003C411B"/>
    <w:rsid w:val="003C6509"/>
    <w:rsid w:val="003C6C16"/>
    <w:rsid w:val="003D1F03"/>
    <w:rsid w:val="003D2AE7"/>
    <w:rsid w:val="003D405B"/>
    <w:rsid w:val="003D6589"/>
    <w:rsid w:val="003D679B"/>
    <w:rsid w:val="003D794D"/>
    <w:rsid w:val="003E3058"/>
    <w:rsid w:val="003E3525"/>
    <w:rsid w:val="003E36E0"/>
    <w:rsid w:val="003E66F1"/>
    <w:rsid w:val="003E761D"/>
    <w:rsid w:val="003E7658"/>
    <w:rsid w:val="003E76A9"/>
    <w:rsid w:val="003E77B3"/>
    <w:rsid w:val="003F0025"/>
    <w:rsid w:val="003F06A6"/>
    <w:rsid w:val="003F0809"/>
    <w:rsid w:val="003F46F5"/>
    <w:rsid w:val="003F5714"/>
    <w:rsid w:val="003F6A8C"/>
    <w:rsid w:val="003F755C"/>
    <w:rsid w:val="003F7CCE"/>
    <w:rsid w:val="003F7EFC"/>
    <w:rsid w:val="00405E46"/>
    <w:rsid w:val="00406CE9"/>
    <w:rsid w:val="00406F01"/>
    <w:rsid w:val="00410452"/>
    <w:rsid w:val="00413B1D"/>
    <w:rsid w:val="00414DE5"/>
    <w:rsid w:val="00416C70"/>
    <w:rsid w:val="00416D50"/>
    <w:rsid w:val="00416FD5"/>
    <w:rsid w:val="004176CE"/>
    <w:rsid w:val="00417772"/>
    <w:rsid w:val="00420E6A"/>
    <w:rsid w:val="004241F2"/>
    <w:rsid w:val="00425A9E"/>
    <w:rsid w:val="00425BEC"/>
    <w:rsid w:val="00426D6B"/>
    <w:rsid w:val="00427164"/>
    <w:rsid w:val="00427577"/>
    <w:rsid w:val="00427686"/>
    <w:rsid w:val="00427A57"/>
    <w:rsid w:val="00427AB6"/>
    <w:rsid w:val="00430177"/>
    <w:rsid w:val="0043162E"/>
    <w:rsid w:val="0043182C"/>
    <w:rsid w:val="0043196B"/>
    <w:rsid w:val="00431E6C"/>
    <w:rsid w:val="00432B35"/>
    <w:rsid w:val="00433CE7"/>
    <w:rsid w:val="00434696"/>
    <w:rsid w:val="00436A82"/>
    <w:rsid w:val="00436EDE"/>
    <w:rsid w:val="00441D40"/>
    <w:rsid w:val="00442DEF"/>
    <w:rsid w:val="00443072"/>
    <w:rsid w:val="0044350A"/>
    <w:rsid w:val="00443A7D"/>
    <w:rsid w:val="00443F5F"/>
    <w:rsid w:val="00445F0C"/>
    <w:rsid w:val="0044620E"/>
    <w:rsid w:val="004475FD"/>
    <w:rsid w:val="00447B32"/>
    <w:rsid w:val="004515BC"/>
    <w:rsid w:val="00452738"/>
    <w:rsid w:val="0045370B"/>
    <w:rsid w:val="00453A98"/>
    <w:rsid w:val="00453D5F"/>
    <w:rsid w:val="0045507F"/>
    <w:rsid w:val="00455BD6"/>
    <w:rsid w:val="00456091"/>
    <w:rsid w:val="004572BE"/>
    <w:rsid w:val="00460029"/>
    <w:rsid w:val="00461E4C"/>
    <w:rsid w:val="00461F35"/>
    <w:rsid w:val="00463D0D"/>
    <w:rsid w:val="00465AF5"/>
    <w:rsid w:val="00466141"/>
    <w:rsid w:val="00466321"/>
    <w:rsid w:val="00470664"/>
    <w:rsid w:val="00470CB5"/>
    <w:rsid w:val="00471412"/>
    <w:rsid w:val="004715C9"/>
    <w:rsid w:val="00471748"/>
    <w:rsid w:val="00472B19"/>
    <w:rsid w:val="0047406D"/>
    <w:rsid w:val="00474AD7"/>
    <w:rsid w:val="00475A28"/>
    <w:rsid w:val="00476EA0"/>
    <w:rsid w:val="0048017F"/>
    <w:rsid w:val="00480275"/>
    <w:rsid w:val="00480F75"/>
    <w:rsid w:val="00481A84"/>
    <w:rsid w:val="004820E2"/>
    <w:rsid w:val="00482F8B"/>
    <w:rsid w:val="00484757"/>
    <w:rsid w:val="004847EF"/>
    <w:rsid w:val="00484B9B"/>
    <w:rsid w:val="004855F6"/>
    <w:rsid w:val="004859C7"/>
    <w:rsid w:val="00485D32"/>
    <w:rsid w:val="00486331"/>
    <w:rsid w:val="0048661E"/>
    <w:rsid w:val="00486A32"/>
    <w:rsid w:val="00486ADE"/>
    <w:rsid w:val="004874E2"/>
    <w:rsid w:val="00487ECE"/>
    <w:rsid w:val="00491530"/>
    <w:rsid w:val="0049192D"/>
    <w:rsid w:val="00491BFC"/>
    <w:rsid w:val="00493028"/>
    <w:rsid w:val="00494670"/>
    <w:rsid w:val="004955B3"/>
    <w:rsid w:val="00496365"/>
    <w:rsid w:val="00497EEE"/>
    <w:rsid w:val="004A0569"/>
    <w:rsid w:val="004A0D04"/>
    <w:rsid w:val="004A3823"/>
    <w:rsid w:val="004A40A3"/>
    <w:rsid w:val="004A4802"/>
    <w:rsid w:val="004A512A"/>
    <w:rsid w:val="004A52D5"/>
    <w:rsid w:val="004A5EC1"/>
    <w:rsid w:val="004A6192"/>
    <w:rsid w:val="004A65BB"/>
    <w:rsid w:val="004A7231"/>
    <w:rsid w:val="004B2957"/>
    <w:rsid w:val="004B6421"/>
    <w:rsid w:val="004B708C"/>
    <w:rsid w:val="004C0841"/>
    <w:rsid w:val="004C0F64"/>
    <w:rsid w:val="004C1F5C"/>
    <w:rsid w:val="004C2DEA"/>
    <w:rsid w:val="004C339F"/>
    <w:rsid w:val="004C340A"/>
    <w:rsid w:val="004C4789"/>
    <w:rsid w:val="004C6C36"/>
    <w:rsid w:val="004D11FA"/>
    <w:rsid w:val="004D2AC0"/>
    <w:rsid w:val="004D7E91"/>
    <w:rsid w:val="004E0BA6"/>
    <w:rsid w:val="004E4F52"/>
    <w:rsid w:val="004E50AE"/>
    <w:rsid w:val="004E585E"/>
    <w:rsid w:val="004E6946"/>
    <w:rsid w:val="004E6C0C"/>
    <w:rsid w:val="004F006A"/>
    <w:rsid w:val="004F1AD8"/>
    <w:rsid w:val="004F1CE3"/>
    <w:rsid w:val="004F34D0"/>
    <w:rsid w:val="004F56D4"/>
    <w:rsid w:val="004F7618"/>
    <w:rsid w:val="005006B7"/>
    <w:rsid w:val="005012CF"/>
    <w:rsid w:val="005014E8"/>
    <w:rsid w:val="005018E4"/>
    <w:rsid w:val="005039CB"/>
    <w:rsid w:val="00504677"/>
    <w:rsid w:val="0050538D"/>
    <w:rsid w:val="0050558F"/>
    <w:rsid w:val="00506286"/>
    <w:rsid w:val="00506C15"/>
    <w:rsid w:val="0050708B"/>
    <w:rsid w:val="00510813"/>
    <w:rsid w:val="00511990"/>
    <w:rsid w:val="00511DE0"/>
    <w:rsid w:val="00512AF3"/>
    <w:rsid w:val="00514389"/>
    <w:rsid w:val="00514870"/>
    <w:rsid w:val="00514B9B"/>
    <w:rsid w:val="0051511A"/>
    <w:rsid w:val="005156AA"/>
    <w:rsid w:val="005159CC"/>
    <w:rsid w:val="00515CA3"/>
    <w:rsid w:val="005161CF"/>
    <w:rsid w:val="0051637B"/>
    <w:rsid w:val="0051696C"/>
    <w:rsid w:val="00517F02"/>
    <w:rsid w:val="00520637"/>
    <w:rsid w:val="0052225C"/>
    <w:rsid w:val="00522F3E"/>
    <w:rsid w:val="00524303"/>
    <w:rsid w:val="00524AD4"/>
    <w:rsid w:val="0052505C"/>
    <w:rsid w:val="005258A2"/>
    <w:rsid w:val="005258D6"/>
    <w:rsid w:val="00525E3F"/>
    <w:rsid w:val="00526362"/>
    <w:rsid w:val="00526E82"/>
    <w:rsid w:val="005304D5"/>
    <w:rsid w:val="00530BEF"/>
    <w:rsid w:val="00536BAD"/>
    <w:rsid w:val="00537407"/>
    <w:rsid w:val="005401AE"/>
    <w:rsid w:val="00541618"/>
    <w:rsid w:val="00542E07"/>
    <w:rsid w:val="00545424"/>
    <w:rsid w:val="00546040"/>
    <w:rsid w:val="00547213"/>
    <w:rsid w:val="00547C4D"/>
    <w:rsid w:val="00550324"/>
    <w:rsid w:val="00551FA1"/>
    <w:rsid w:val="00552DA3"/>
    <w:rsid w:val="0055303C"/>
    <w:rsid w:val="00553A90"/>
    <w:rsid w:val="00553C36"/>
    <w:rsid w:val="00554017"/>
    <w:rsid w:val="00554A7B"/>
    <w:rsid w:val="0055572C"/>
    <w:rsid w:val="0055594E"/>
    <w:rsid w:val="00556629"/>
    <w:rsid w:val="0056106A"/>
    <w:rsid w:val="00561692"/>
    <w:rsid w:val="0056180F"/>
    <w:rsid w:val="00561C0A"/>
    <w:rsid w:val="00561F99"/>
    <w:rsid w:val="00561F9A"/>
    <w:rsid w:val="00564F45"/>
    <w:rsid w:val="00564F7F"/>
    <w:rsid w:val="00565E45"/>
    <w:rsid w:val="005666E9"/>
    <w:rsid w:val="00570071"/>
    <w:rsid w:val="005720AE"/>
    <w:rsid w:val="005731A2"/>
    <w:rsid w:val="00573841"/>
    <w:rsid w:val="00573B71"/>
    <w:rsid w:val="005748CC"/>
    <w:rsid w:val="00576A7B"/>
    <w:rsid w:val="00576D94"/>
    <w:rsid w:val="005803A4"/>
    <w:rsid w:val="00580ABB"/>
    <w:rsid w:val="00580ACB"/>
    <w:rsid w:val="00580D25"/>
    <w:rsid w:val="00581985"/>
    <w:rsid w:val="00581B9D"/>
    <w:rsid w:val="00582119"/>
    <w:rsid w:val="005824EA"/>
    <w:rsid w:val="0058523E"/>
    <w:rsid w:val="005856A3"/>
    <w:rsid w:val="00586118"/>
    <w:rsid w:val="00586FEC"/>
    <w:rsid w:val="00594D77"/>
    <w:rsid w:val="005969E4"/>
    <w:rsid w:val="00596B3D"/>
    <w:rsid w:val="005A06B7"/>
    <w:rsid w:val="005A1759"/>
    <w:rsid w:val="005A1F84"/>
    <w:rsid w:val="005A2BE1"/>
    <w:rsid w:val="005A2CD7"/>
    <w:rsid w:val="005A42E4"/>
    <w:rsid w:val="005A68A7"/>
    <w:rsid w:val="005A6A50"/>
    <w:rsid w:val="005A7C21"/>
    <w:rsid w:val="005A7C97"/>
    <w:rsid w:val="005B1219"/>
    <w:rsid w:val="005B2E89"/>
    <w:rsid w:val="005B3702"/>
    <w:rsid w:val="005B5DBC"/>
    <w:rsid w:val="005B60CA"/>
    <w:rsid w:val="005C0101"/>
    <w:rsid w:val="005C07CD"/>
    <w:rsid w:val="005C1C90"/>
    <w:rsid w:val="005C28F3"/>
    <w:rsid w:val="005C2919"/>
    <w:rsid w:val="005C2C4D"/>
    <w:rsid w:val="005C348D"/>
    <w:rsid w:val="005C5C6F"/>
    <w:rsid w:val="005C6F3C"/>
    <w:rsid w:val="005D17FF"/>
    <w:rsid w:val="005D1990"/>
    <w:rsid w:val="005D2FE7"/>
    <w:rsid w:val="005D36AB"/>
    <w:rsid w:val="005D473B"/>
    <w:rsid w:val="005D599E"/>
    <w:rsid w:val="005D6D10"/>
    <w:rsid w:val="005D7C9A"/>
    <w:rsid w:val="005E19B1"/>
    <w:rsid w:val="005E43FC"/>
    <w:rsid w:val="005F16FC"/>
    <w:rsid w:val="005F198A"/>
    <w:rsid w:val="005F34FE"/>
    <w:rsid w:val="005F51F0"/>
    <w:rsid w:val="005F5574"/>
    <w:rsid w:val="005F5745"/>
    <w:rsid w:val="005F7B5A"/>
    <w:rsid w:val="005F7CC3"/>
    <w:rsid w:val="005F7D69"/>
    <w:rsid w:val="005F7E61"/>
    <w:rsid w:val="006009E1"/>
    <w:rsid w:val="00600FBE"/>
    <w:rsid w:val="006010AD"/>
    <w:rsid w:val="006017F2"/>
    <w:rsid w:val="00602C91"/>
    <w:rsid w:val="006033D6"/>
    <w:rsid w:val="006067E3"/>
    <w:rsid w:val="00606BD6"/>
    <w:rsid w:val="006072B8"/>
    <w:rsid w:val="006073E2"/>
    <w:rsid w:val="00610E64"/>
    <w:rsid w:val="00613411"/>
    <w:rsid w:val="0061346F"/>
    <w:rsid w:val="0061406D"/>
    <w:rsid w:val="00615AB3"/>
    <w:rsid w:val="00616791"/>
    <w:rsid w:val="00617CC3"/>
    <w:rsid w:val="00620E3B"/>
    <w:rsid w:val="006213E6"/>
    <w:rsid w:val="006240A9"/>
    <w:rsid w:val="00624A3C"/>
    <w:rsid w:val="00624E44"/>
    <w:rsid w:val="00625213"/>
    <w:rsid w:val="00627B8A"/>
    <w:rsid w:val="00633D39"/>
    <w:rsid w:val="00636C9A"/>
    <w:rsid w:val="006377A6"/>
    <w:rsid w:val="00637A3D"/>
    <w:rsid w:val="00637DF5"/>
    <w:rsid w:val="00637E1F"/>
    <w:rsid w:val="00640407"/>
    <w:rsid w:val="006410DA"/>
    <w:rsid w:val="006411EF"/>
    <w:rsid w:val="00641305"/>
    <w:rsid w:val="00645991"/>
    <w:rsid w:val="00646299"/>
    <w:rsid w:val="006520E1"/>
    <w:rsid w:val="00652260"/>
    <w:rsid w:val="00653718"/>
    <w:rsid w:val="00653C63"/>
    <w:rsid w:val="00653E3C"/>
    <w:rsid w:val="0065440D"/>
    <w:rsid w:val="00654676"/>
    <w:rsid w:val="00656562"/>
    <w:rsid w:val="00661EB5"/>
    <w:rsid w:val="00662BC5"/>
    <w:rsid w:val="00663EA7"/>
    <w:rsid w:val="006646F1"/>
    <w:rsid w:val="00664F02"/>
    <w:rsid w:val="006703B4"/>
    <w:rsid w:val="006706FF"/>
    <w:rsid w:val="00670D03"/>
    <w:rsid w:val="006748B8"/>
    <w:rsid w:val="006775C3"/>
    <w:rsid w:val="006819CA"/>
    <w:rsid w:val="0068216C"/>
    <w:rsid w:val="00683CA8"/>
    <w:rsid w:val="006865F6"/>
    <w:rsid w:val="00686A86"/>
    <w:rsid w:val="00687900"/>
    <w:rsid w:val="00690555"/>
    <w:rsid w:val="00691FCA"/>
    <w:rsid w:val="00692257"/>
    <w:rsid w:val="0069260D"/>
    <w:rsid w:val="0069290A"/>
    <w:rsid w:val="0069775A"/>
    <w:rsid w:val="00697813"/>
    <w:rsid w:val="006A10E2"/>
    <w:rsid w:val="006A12B4"/>
    <w:rsid w:val="006A1A70"/>
    <w:rsid w:val="006A3EE8"/>
    <w:rsid w:val="006A422B"/>
    <w:rsid w:val="006A4B45"/>
    <w:rsid w:val="006A5DA1"/>
    <w:rsid w:val="006A675D"/>
    <w:rsid w:val="006A72BF"/>
    <w:rsid w:val="006B030A"/>
    <w:rsid w:val="006B03F2"/>
    <w:rsid w:val="006B0498"/>
    <w:rsid w:val="006B1A09"/>
    <w:rsid w:val="006B37DC"/>
    <w:rsid w:val="006B3861"/>
    <w:rsid w:val="006B4F68"/>
    <w:rsid w:val="006C0592"/>
    <w:rsid w:val="006C0D96"/>
    <w:rsid w:val="006C272E"/>
    <w:rsid w:val="006C3AC3"/>
    <w:rsid w:val="006C3D7B"/>
    <w:rsid w:val="006C5479"/>
    <w:rsid w:val="006C7646"/>
    <w:rsid w:val="006D02AE"/>
    <w:rsid w:val="006D0C66"/>
    <w:rsid w:val="006D0F64"/>
    <w:rsid w:val="006D13B5"/>
    <w:rsid w:val="006D281E"/>
    <w:rsid w:val="006D6526"/>
    <w:rsid w:val="006E0D27"/>
    <w:rsid w:val="006E12FF"/>
    <w:rsid w:val="006E1BE5"/>
    <w:rsid w:val="006E3337"/>
    <w:rsid w:val="006E4E4F"/>
    <w:rsid w:val="006E607E"/>
    <w:rsid w:val="006F0149"/>
    <w:rsid w:val="006F08D3"/>
    <w:rsid w:val="006F1037"/>
    <w:rsid w:val="006F20D3"/>
    <w:rsid w:val="006F2BBB"/>
    <w:rsid w:val="006F3119"/>
    <w:rsid w:val="006F331D"/>
    <w:rsid w:val="006F3F8A"/>
    <w:rsid w:val="006F48ED"/>
    <w:rsid w:val="006F4CF8"/>
    <w:rsid w:val="006F4FEF"/>
    <w:rsid w:val="006F57EE"/>
    <w:rsid w:val="006F5F40"/>
    <w:rsid w:val="006F6198"/>
    <w:rsid w:val="00700B75"/>
    <w:rsid w:val="00700F6F"/>
    <w:rsid w:val="007013BB"/>
    <w:rsid w:val="00701425"/>
    <w:rsid w:val="00702588"/>
    <w:rsid w:val="00704FD7"/>
    <w:rsid w:val="007053EC"/>
    <w:rsid w:val="00706C5D"/>
    <w:rsid w:val="007109CA"/>
    <w:rsid w:val="00714B50"/>
    <w:rsid w:val="007158D5"/>
    <w:rsid w:val="00715C13"/>
    <w:rsid w:val="00720B67"/>
    <w:rsid w:val="007215F6"/>
    <w:rsid w:val="007237F5"/>
    <w:rsid w:val="00724203"/>
    <w:rsid w:val="00724939"/>
    <w:rsid w:val="00724F0D"/>
    <w:rsid w:val="00731630"/>
    <w:rsid w:val="00731663"/>
    <w:rsid w:val="007323E1"/>
    <w:rsid w:val="00732922"/>
    <w:rsid w:val="00732A55"/>
    <w:rsid w:val="00733115"/>
    <w:rsid w:val="007332B9"/>
    <w:rsid w:val="00733344"/>
    <w:rsid w:val="00740974"/>
    <w:rsid w:val="00740E33"/>
    <w:rsid w:val="00741152"/>
    <w:rsid w:val="00741917"/>
    <w:rsid w:val="00741AE6"/>
    <w:rsid w:val="0075162E"/>
    <w:rsid w:val="00753447"/>
    <w:rsid w:val="007535BE"/>
    <w:rsid w:val="00754034"/>
    <w:rsid w:val="0075494F"/>
    <w:rsid w:val="007561D1"/>
    <w:rsid w:val="00756556"/>
    <w:rsid w:val="007572B0"/>
    <w:rsid w:val="00757D60"/>
    <w:rsid w:val="00760923"/>
    <w:rsid w:val="007618C4"/>
    <w:rsid w:val="00761D96"/>
    <w:rsid w:val="007633F7"/>
    <w:rsid w:val="007634E4"/>
    <w:rsid w:val="0076501E"/>
    <w:rsid w:val="00765680"/>
    <w:rsid w:val="0076619F"/>
    <w:rsid w:val="0076751F"/>
    <w:rsid w:val="00767980"/>
    <w:rsid w:val="00770B19"/>
    <w:rsid w:val="00771AC0"/>
    <w:rsid w:val="0077272D"/>
    <w:rsid w:val="00772EBF"/>
    <w:rsid w:val="00773EC1"/>
    <w:rsid w:val="0077463F"/>
    <w:rsid w:val="00774AB2"/>
    <w:rsid w:val="00774CDD"/>
    <w:rsid w:val="007750EA"/>
    <w:rsid w:val="00775CD6"/>
    <w:rsid w:val="00777365"/>
    <w:rsid w:val="00782CBC"/>
    <w:rsid w:val="00783029"/>
    <w:rsid w:val="00783573"/>
    <w:rsid w:val="007836EA"/>
    <w:rsid w:val="00784CDA"/>
    <w:rsid w:val="00785C86"/>
    <w:rsid w:val="00785D12"/>
    <w:rsid w:val="00785F95"/>
    <w:rsid w:val="007860BD"/>
    <w:rsid w:val="007906C4"/>
    <w:rsid w:val="00790AC7"/>
    <w:rsid w:val="00790AEB"/>
    <w:rsid w:val="00790D0F"/>
    <w:rsid w:val="007930C1"/>
    <w:rsid w:val="0079347E"/>
    <w:rsid w:val="00793921"/>
    <w:rsid w:val="007940EA"/>
    <w:rsid w:val="00794CA8"/>
    <w:rsid w:val="007952ED"/>
    <w:rsid w:val="00795497"/>
    <w:rsid w:val="00796491"/>
    <w:rsid w:val="007967E8"/>
    <w:rsid w:val="00796DF2"/>
    <w:rsid w:val="007A046D"/>
    <w:rsid w:val="007A0A3B"/>
    <w:rsid w:val="007A183E"/>
    <w:rsid w:val="007A2170"/>
    <w:rsid w:val="007A22BF"/>
    <w:rsid w:val="007A231B"/>
    <w:rsid w:val="007A3323"/>
    <w:rsid w:val="007A4BFA"/>
    <w:rsid w:val="007A4E4B"/>
    <w:rsid w:val="007A5CFD"/>
    <w:rsid w:val="007B0302"/>
    <w:rsid w:val="007B093A"/>
    <w:rsid w:val="007B1839"/>
    <w:rsid w:val="007B1D75"/>
    <w:rsid w:val="007B4A4E"/>
    <w:rsid w:val="007B6928"/>
    <w:rsid w:val="007B72B8"/>
    <w:rsid w:val="007B7A58"/>
    <w:rsid w:val="007C04EC"/>
    <w:rsid w:val="007C1A67"/>
    <w:rsid w:val="007C21B5"/>
    <w:rsid w:val="007C3528"/>
    <w:rsid w:val="007C5CF7"/>
    <w:rsid w:val="007C62D0"/>
    <w:rsid w:val="007C7FE9"/>
    <w:rsid w:val="007D0A85"/>
    <w:rsid w:val="007D3A1D"/>
    <w:rsid w:val="007D4C3D"/>
    <w:rsid w:val="007E04AB"/>
    <w:rsid w:val="007E0B03"/>
    <w:rsid w:val="007E0E6A"/>
    <w:rsid w:val="007E160D"/>
    <w:rsid w:val="007E1801"/>
    <w:rsid w:val="007E29C7"/>
    <w:rsid w:val="007E2EF7"/>
    <w:rsid w:val="007E46C9"/>
    <w:rsid w:val="007E4BD2"/>
    <w:rsid w:val="007E5FDE"/>
    <w:rsid w:val="007E6E37"/>
    <w:rsid w:val="007F1881"/>
    <w:rsid w:val="007F3510"/>
    <w:rsid w:val="007F5186"/>
    <w:rsid w:val="007F5C78"/>
    <w:rsid w:val="007F7746"/>
    <w:rsid w:val="007F7A17"/>
    <w:rsid w:val="00801393"/>
    <w:rsid w:val="008016A1"/>
    <w:rsid w:val="00801A88"/>
    <w:rsid w:val="00801EA1"/>
    <w:rsid w:val="00801F3F"/>
    <w:rsid w:val="00802A67"/>
    <w:rsid w:val="00802F88"/>
    <w:rsid w:val="00804112"/>
    <w:rsid w:val="00804A9C"/>
    <w:rsid w:val="00804F71"/>
    <w:rsid w:val="00806789"/>
    <w:rsid w:val="00806D52"/>
    <w:rsid w:val="00811BC3"/>
    <w:rsid w:val="00811F1A"/>
    <w:rsid w:val="0081293E"/>
    <w:rsid w:val="008130E6"/>
    <w:rsid w:val="00814CE3"/>
    <w:rsid w:val="00815465"/>
    <w:rsid w:val="0081555D"/>
    <w:rsid w:val="00817E9A"/>
    <w:rsid w:val="0082069B"/>
    <w:rsid w:val="008218DF"/>
    <w:rsid w:val="00822687"/>
    <w:rsid w:val="00823EDE"/>
    <w:rsid w:val="00824B8A"/>
    <w:rsid w:val="00825A0E"/>
    <w:rsid w:val="00826047"/>
    <w:rsid w:val="00826FFE"/>
    <w:rsid w:val="00827782"/>
    <w:rsid w:val="008306BD"/>
    <w:rsid w:val="00831A80"/>
    <w:rsid w:val="008324B5"/>
    <w:rsid w:val="00833743"/>
    <w:rsid w:val="00833D31"/>
    <w:rsid w:val="008340A4"/>
    <w:rsid w:val="008359A9"/>
    <w:rsid w:val="0083754B"/>
    <w:rsid w:val="008412E9"/>
    <w:rsid w:val="00841892"/>
    <w:rsid w:val="00841D86"/>
    <w:rsid w:val="00842EFE"/>
    <w:rsid w:val="008431D6"/>
    <w:rsid w:val="00843700"/>
    <w:rsid w:val="00844D3F"/>
    <w:rsid w:val="008474E3"/>
    <w:rsid w:val="00847961"/>
    <w:rsid w:val="0085199E"/>
    <w:rsid w:val="00854520"/>
    <w:rsid w:val="00855584"/>
    <w:rsid w:val="00860007"/>
    <w:rsid w:val="00861A25"/>
    <w:rsid w:val="00861BF5"/>
    <w:rsid w:val="00862283"/>
    <w:rsid w:val="008647FB"/>
    <w:rsid w:val="008655B8"/>
    <w:rsid w:val="00866384"/>
    <w:rsid w:val="00866D97"/>
    <w:rsid w:val="00870740"/>
    <w:rsid w:val="0087135F"/>
    <w:rsid w:val="0087167F"/>
    <w:rsid w:val="00872D94"/>
    <w:rsid w:val="008750F1"/>
    <w:rsid w:val="00876428"/>
    <w:rsid w:val="0087747C"/>
    <w:rsid w:val="00880364"/>
    <w:rsid w:val="008815B0"/>
    <w:rsid w:val="00881804"/>
    <w:rsid w:val="00881FA1"/>
    <w:rsid w:val="008830B9"/>
    <w:rsid w:val="0088353D"/>
    <w:rsid w:val="008837F3"/>
    <w:rsid w:val="00884F81"/>
    <w:rsid w:val="00890B94"/>
    <w:rsid w:val="00890F4A"/>
    <w:rsid w:val="0089100D"/>
    <w:rsid w:val="00891592"/>
    <w:rsid w:val="00891E9E"/>
    <w:rsid w:val="0089275D"/>
    <w:rsid w:val="008936AB"/>
    <w:rsid w:val="00893F2A"/>
    <w:rsid w:val="00895A8E"/>
    <w:rsid w:val="00895D48"/>
    <w:rsid w:val="008962E4"/>
    <w:rsid w:val="008A08B1"/>
    <w:rsid w:val="008A0A70"/>
    <w:rsid w:val="008A0D70"/>
    <w:rsid w:val="008A12A0"/>
    <w:rsid w:val="008A167B"/>
    <w:rsid w:val="008A2651"/>
    <w:rsid w:val="008A2F68"/>
    <w:rsid w:val="008A41BD"/>
    <w:rsid w:val="008A5161"/>
    <w:rsid w:val="008A51B9"/>
    <w:rsid w:val="008B1196"/>
    <w:rsid w:val="008B2928"/>
    <w:rsid w:val="008B2F2D"/>
    <w:rsid w:val="008B4FA6"/>
    <w:rsid w:val="008B5282"/>
    <w:rsid w:val="008B6B8E"/>
    <w:rsid w:val="008B7B5A"/>
    <w:rsid w:val="008B7C17"/>
    <w:rsid w:val="008B7D1D"/>
    <w:rsid w:val="008C009E"/>
    <w:rsid w:val="008C06EB"/>
    <w:rsid w:val="008C06FC"/>
    <w:rsid w:val="008C2D01"/>
    <w:rsid w:val="008C3279"/>
    <w:rsid w:val="008C3E5D"/>
    <w:rsid w:val="008C3EC5"/>
    <w:rsid w:val="008C40E6"/>
    <w:rsid w:val="008C42FF"/>
    <w:rsid w:val="008C5741"/>
    <w:rsid w:val="008D0F7A"/>
    <w:rsid w:val="008D1E44"/>
    <w:rsid w:val="008D276E"/>
    <w:rsid w:val="008D3520"/>
    <w:rsid w:val="008D35FB"/>
    <w:rsid w:val="008D5BCF"/>
    <w:rsid w:val="008D640A"/>
    <w:rsid w:val="008D68E4"/>
    <w:rsid w:val="008D7A16"/>
    <w:rsid w:val="008E0506"/>
    <w:rsid w:val="008E0CFF"/>
    <w:rsid w:val="008E24A4"/>
    <w:rsid w:val="008E3F21"/>
    <w:rsid w:val="008E4580"/>
    <w:rsid w:val="008E48F4"/>
    <w:rsid w:val="008E5D6B"/>
    <w:rsid w:val="008E6922"/>
    <w:rsid w:val="008E74D7"/>
    <w:rsid w:val="008E76F0"/>
    <w:rsid w:val="008F15FE"/>
    <w:rsid w:val="008F1973"/>
    <w:rsid w:val="008F2277"/>
    <w:rsid w:val="008F2D29"/>
    <w:rsid w:val="008F4C47"/>
    <w:rsid w:val="008F5187"/>
    <w:rsid w:val="008F5BEA"/>
    <w:rsid w:val="008F60C4"/>
    <w:rsid w:val="008F60D8"/>
    <w:rsid w:val="008F6588"/>
    <w:rsid w:val="009001AC"/>
    <w:rsid w:val="009022AA"/>
    <w:rsid w:val="00902727"/>
    <w:rsid w:val="009027FD"/>
    <w:rsid w:val="0090312B"/>
    <w:rsid w:val="00903185"/>
    <w:rsid w:val="0090411A"/>
    <w:rsid w:val="009058F9"/>
    <w:rsid w:val="0090640D"/>
    <w:rsid w:val="00910187"/>
    <w:rsid w:val="00910AEE"/>
    <w:rsid w:val="0091508E"/>
    <w:rsid w:val="00915878"/>
    <w:rsid w:val="0091736D"/>
    <w:rsid w:val="00917AB3"/>
    <w:rsid w:val="00917D96"/>
    <w:rsid w:val="00925FE0"/>
    <w:rsid w:val="0093037A"/>
    <w:rsid w:val="009316A9"/>
    <w:rsid w:val="00934799"/>
    <w:rsid w:val="00935017"/>
    <w:rsid w:val="00935128"/>
    <w:rsid w:val="00935B71"/>
    <w:rsid w:val="00935C74"/>
    <w:rsid w:val="0093690D"/>
    <w:rsid w:val="00936A6B"/>
    <w:rsid w:val="009370E3"/>
    <w:rsid w:val="00937638"/>
    <w:rsid w:val="00937AB2"/>
    <w:rsid w:val="00940A02"/>
    <w:rsid w:val="0094154D"/>
    <w:rsid w:val="00941A48"/>
    <w:rsid w:val="00942F04"/>
    <w:rsid w:val="00943FB2"/>
    <w:rsid w:val="009450EC"/>
    <w:rsid w:val="00950EE9"/>
    <w:rsid w:val="0095155F"/>
    <w:rsid w:val="00954429"/>
    <w:rsid w:val="009556DB"/>
    <w:rsid w:val="009563CE"/>
    <w:rsid w:val="00956827"/>
    <w:rsid w:val="00957AF2"/>
    <w:rsid w:val="00960715"/>
    <w:rsid w:val="009609AC"/>
    <w:rsid w:val="009621EB"/>
    <w:rsid w:val="009629A5"/>
    <w:rsid w:val="00962D7F"/>
    <w:rsid w:val="009634B6"/>
    <w:rsid w:val="00963E27"/>
    <w:rsid w:val="009645EE"/>
    <w:rsid w:val="00964941"/>
    <w:rsid w:val="0096534C"/>
    <w:rsid w:val="00966CCF"/>
    <w:rsid w:val="0096782A"/>
    <w:rsid w:val="0097051B"/>
    <w:rsid w:val="00970C44"/>
    <w:rsid w:val="00972D0C"/>
    <w:rsid w:val="00972F2F"/>
    <w:rsid w:val="0097344D"/>
    <w:rsid w:val="00973A1A"/>
    <w:rsid w:val="009747DC"/>
    <w:rsid w:val="00975C8C"/>
    <w:rsid w:val="00976328"/>
    <w:rsid w:val="0097680D"/>
    <w:rsid w:val="009776C3"/>
    <w:rsid w:val="00980DC0"/>
    <w:rsid w:val="00982438"/>
    <w:rsid w:val="00983E96"/>
    <w:rsid w:val="0098404C"/>
    <w:rsid w:val="00984A8B"/>
    <w:rsid w:val="00985283"/>
    <w:rsid w:val="009855AD"/>
    <w:rsid w:val="0098574D"/>
    <w:rsid w:val="0098632D"/>
    <w:rsid w:val="0098696A"/>
    <w:rsid w:val="00987A70"/>
    <w:rsid w:val="00990810"/>
    <w:rsid w:val="00991997"/>
    <w:rsid w:val="00991DBF"/>
    <w:rsid w:val="00992AC8"/>
    <w:rsid w:val="00994359"/>
    <w:rsid w:val="00995992"/>
    <w:rsid w:val="009A03E5"/>
    <w:rsid w:val="009A0737"/>
    <w:rsid w:val="009A0F3B"/>
    <w:rsid w:val="009A14CD"/>
    <w:rsid w:val="009A1A12"/>
    <w:rsid w:val="009A1BB4"/>
    <w:rsid w:val="009A1CA9"/>
    <w:rsid w:val="009A2628"/>
    <w:rsid w:val="009A3200"/>
    <w:rsid w:val="009A4454"/>
    <w:rsid w:val="009A4535"/>
    <w:rsid w:val="009A4E43"/>
    <w:rsid w:val="009A581B"/>
    <w:rsid w:val="009A662D"/>
    <w:rsid w:val="009A6680"/>
    <w:rsid w:val="009A6E40"/>
    <w:rsid w:val="009B07C7"/>
    <w:rsid w:val="009B087E"/>
    <w:rsid w:val="009B0897"/>
    <w:rsid w:val="009B1900"/>
    <w:rsid w:val="009B2594"/>
    <w:rsid w:val="009B2D00"/>
    <w:rsid w:val="009B39D7"/>
    <w:rsid w:val="009B5CA8"/>
    <w:rsid w:val="009B7BD9"/>
    <w:rsid w:val="009C291D"/>
    <w:rsid w:val="009C2E55"/>
    <w:rsid w:val="009C54F4"/>
    <w:rsid w:val="009C7DD5"/>
    <w:rsid w:val="009D0DE3"/>
    <w:rsid w:val="009D34BF"/>
    <w:rsid w:val="009E046D"/>
    <w:rsid w:val="009E227D"/>
    <w:rsid w:val="009E32AD"/>
    <w:rsid w:val="009E423B"/>
    <w:rsid w:val="009E4678"/>
    <w:rsid w:val="009E5019"/>
    <w:rsid w:val="009E5293"/>
    <w:rsid w:val="009F2251"/>
    <w:rsid w:val="009F26A0"/>
    <w:rsid w:val="009F2ED8"/>
    <w:rsid w:val="009F3181"/>
    <w:rsid w:val="009F642D"/>
    <w:rsid w:val="009F6702"/>
    <w:rsid w:val="009F699C"/>
    <w:rsid w:val="00A00984"/>
    <w:rsid w:val="00A011A2"/>
    <w:rsid w:val="00A014AF"/>
    <w:rsid w:val="00A01635"/>
    <w:rsid w:val="00A01C1A"/>
    <w:rsid w:val="00A022F4"/>
    <w:rsid w:val="00A02C34"/>
    <w:rsid w:val="00A0438E"/>
    <w:rsid w:val="00A04F1B"/>
    <w:rsid w:val="00A0501B"/>
    <w:rsid w:val="00A05669"/>
    <w:rsid w:val="00A1006F"/>
    <w:rsid w:val="00A10FD5"/>
    <w:rsid w:val="00A12741"/>
    <w:rsid w:val="00A12902"/>
    <w:rsid w:val="00A139CE"/>
    <w:rsid w:val="00A1460C"/>
    <w:rsid w:val="00A14947"/>
    <w:rsid w:val="00A17104"/>
    <w:rsid w:val="00A17AB8"/>
    <w:rsid w:val="00A17DA0"/>
    <w:rsid w:val="00A17F4D"/>
    <w:rsid w:val="00A21D77"/>
    <w:rsid w:val="00A227F3"/>
    <w:rsid w:val="00A249F0"/>
    <w:rsid w:val="00A26894"/>
    <w:rsid w:val="00A31B4C"/>
    <w:rsid w:val="00A322F8"/>
    <w:rsid w:val="00A32A83"/>
    <w:rsid w:val="00A33D6F"/>
    <w:rsid w:val="00A368DB"/>
    <w:rsid w:val="00A379F5"/>
    <w:rsid w:val="00A409C5"/>
    <w:rsid w:val="00A40F0F"/>
    <w:rsid w:val="00A416F2"/>
    <w:rsid w:val="00A423AA"/>
    <w:rsid w:val="00A4241D"/>
    <w:rsid w:val="00A4255C"/>
    <w:rsid w:val="00A46404"/>
    <w:rsid w:val="00A469AB"/>
    <w:rsid w:val="00A479CE"/>
    <w:rsid w:val="00A47C6D"/>
    <w:rsid w:val="00A47ED0"/>
    <w:rsid w:val="00A50AE5"/>
    <w:rsid w:val="00A5239C"/>
    <w:rsid w:val="00A53EC6"/>
    <w:rsid w:val="00A54FC8"/>
    <w:rsid w:val="00A556A4"/>
    <w:rsid w:val="00A55C0F"/>
    <w:rsid w:val="00A56CF9"/>
    <w:rsid w:val="00A60125"/>
    <w:rsid w:val="00A61CA2"/>
    <w:rsid w:val="00A63045"/>
    <w:rsid w:val="00A6605F"/>
    <w:rsid w:val="00A66380"/>
    <w:rsid w:val="00A70F5B"/>
    <w:rsid w:val="00A7314F"/>
    <w:rsid w:val="00A7323B"/>
    <w:rsid w:val="00A73697"/>
    <w:rsid w:val="00A737F4"/>
    <w:rsid w:val="00A7417C"/>
    <w:rsid w:val="00A74EA2"/>
    <w:rsid w:val="00A74F6A"/>
    <w:rsid w:val="00A83E00"/>
    <w:rsid w:val="00A86FB0"/>
    <w:rsid w:val="00A8713F"/>
    <w:rsid w:val="00A87ACC"/>
    <w:rsid w:val="00A87B0E"/>
    <w:rsid w:val="00A9044A"/>
    <w:rsid w:val="00A90478"/>
    <w:rsid w:val="00A9066A"/>
    <w:rsid w:val="00A90BA1"/>
    <w:rsid w:val="00A9136E"/>
    <w:rsid w:val="00A91E12"/>
    <w:rsid w:val="00A9301F"/>
    <w:rsid w:val="00A936AE"/>
    <w:rsid w:val="00A94CB0"/>
    <w:rsid w:val="00A95A0A"/>
    <w:rsid w:val="00A965A0"/>
    <w:rsid w:val="00A96719"/>
    <w:rsid w:val="00A974F4"/>
    <w:rsid w:val="00A979E8"/>
    <w:rsid w:val="00A97A9A"/>
    <w:rsid w:val="00AA0171"/>
    <w:rsid w:val="00AA0671"/>
    <w:rsid w:val="00AA06C2"/>
    <w:rsid w:val="00AA0B21"/>
    <w:rsid w:val="00AA13CB"/>
    <w:rsid w:val="00AA2531"/>
    <w:rsid w:val="00AA3F20"/>
    <w:rsid w:val="00AB1E09"/>
    <w:rsid w:val="00AB29FE"/>
    <w:rsid w:val="00AB3552"/>
    <w:rsid w:val="00AB4D36"/>
    <w:rsid w:val="00AB52A3"/>
    <w:rsid w:val="00AB5330"/>
    <w:rsid w:val="00AB5A2B"/>
    <w:rsid w:val="00AB5A68"/>
    <w:rsid w:val="00AB6E40"/>
    <w:rsid w:val="00AB7747"/>
    <w:rsid w:val="00AC12C9"/>
    <w:rsid w:val="00AC14CE"/>
    <w:rsid w:val="00AC1CFE"/>
    <w:rsid w:val="00AC1D5F"/>
    <w:rsid w:val="00AC2064"/>
    <w:rsid w:val="00AC2A56"/>
    <w:rsid w:val="00AC2B3D"/>
    <w:rsid w:val="00AC43D7"/>
    <w:rsid w:val="00AC445E"/>
    <w:rsid w:val="00AC5375"/>
    <w:rsid w:val="00AC6896"/>
    <w:rsid w:val="00AC6A20"/>
    <w:rsid w:val="00AD055E"/>
    <w:rsid w:val="00AD0AEE"/>
    <w:rsid w:val="00AD1D77"/>
    <w:rsid w:val="00AD22DD"/>
    <w:rsid w:val="00AD26DC"/>
    <w:rsid w:val="00AD2833"/>
    <w:rsid w:val="00AD2BA1"/>
    <w:rsid w:val="00AD47A7"/>
    <w:rsid w:val="00AD4872"/>
    <w:rsid w:val="00AD6856"/>
    <w:rsid w:val="00AD6D39"/>
    <w:rsid w:val="00AE1EEE"/>
    <w:rsid w:val="00AE3CC1"/>
    <w:rsid w:val="00AE4035"/>
    <w:rsid w:val="00AE4202"/>
    <w:rsid w:val="00AE5577"/>
    <w:rsid w:val="00AE70AC"/>
    <w:rsid w:val="00AE763C"/>
    <w:rsid w:val="00AF0CBF"/>
    <w:rsid w:val="00AF257F"/>
    <w:rsid w:val="00AF33CF"/>
    <w:rsid w:val="00AF4587"/>
    <w:rsid w:val="00AF4D50"/>
    <w:rsid w:val="00AF5537"/>
    <w:rsid w:val="00AF6179"/>
    <w:rsid w:val="00AF6CF1"/>
    <w:rsid w:val="00AF747C"/>
    <w:rsid w:val="00AF7B35"/>
    <w:rsid w:val="00AF7E6A"/>
    <w:rsid w:val="00B00CCB"/>
    <w:rsid w:val="00B02255"/>
    <w:rsid w:val="00B02B85"/>
    <w:rsid w:val="00B02F08"/>
    <w:rsid w:val="00B0425A"/>
    <w:rsid w:val="00B05894"/>
    <w:rsid w:val="00B05BBC"/>
    <w:rsid w:val="00B0768E"/>
    <w:rsid w:val="00B101A4"/>
    <w:rsid w:val="00B11CA9"/>
    <w:rsid w:val="00B11FCF"/>
    <w:rsid w:val="00B124F1"/>
    <w:rsid w:val="00B1295A"/>
    <w:rsid w:val="00B12B1A"/>
    <w:rsid w:val="00B13C99"/>
    <w:rsid w:val="00B16FCB"/>
    <w:rsid w:val="00B17417"/>
    <w:rsid w:val="00B17B0D"/>
    <w:rsid w:val="00B200AF"/>
    <w:rsid w:val="00B20A45"/>
    <w:rsid w:val="00B2184A"/>
    <w:rsid w:val="00B21A9D"/>
    <w:rsid w:val="00B22C5C"/>
    <w:rsid w:val="00B22D1B"/>
    <w:rsid w:val="00B241F4"/>
    <w:rsid w:val="00B24715"/>
    <w:rsid w:val="00B24F30"/>
    <w:rsid w:val="00B25415"/>
    <w:rsid w:val="00B25758"/>
    <w:rsid w:val="00B2584B"/>
    <w:rsid w:val="00B273FB"/>
    <w:rsid w:val="00B3000E"/>
    <w:rsid w:val="00B31ABF"/>
    <w:rsid w:val="00B31FE3"/>
    <w:rsid w:val="00B33BE3"/>
    <w:rsid w:val="00B36599"/>
    <w:rsid w:val="00B3689B"/>
    <w:rsid w:val="00B36D97"/>
    <w:rsid w:val="00B37301"/>
    <w:rsid w:val="00B37FE6"/>
    <w:rsid w:val="00B426B0"/>
    <w:rsid w:val="00B42836"/>
    <w:rsid w:val="00B441E5"/>
    <w:rsid w:val="00B4551A"/>
    <w:rsid w:val="00B45AAB"/>
    <w:rsid w:val="00B461A3"/>
    <w:rsid w:val="00B467A1"/>
    <w:rsid w:val="00B4718C"/>
    <w:rsid w:val="00B471D6"/>
    <w:rsid w:val="00B51268"/>
    <w:rsid w:val="00B529E4"/>
    <w:rsid w:val="00B536EC"/>
    <w:rsid w:val="00B53B5D"/>
    <w:rsid w:val="00B540B6"/>
    <w:rsid w:val="00B54A15"/>
    <w:rsid w:val="00B5647A"/>
    <w:rsid w:val="00B56C91"/>
    <w:rsid w:val="00B6055E"/>
    <w:rsid w:val="00B618EA"/>
    <w:rsid w:val="00B625D1"/>
    <w:rsid w:val="00B6317D"/>
    <w:rsid w:val="00B661AD"/>
    <w:rsid w:val="00B670F5"/>
    <w:rsid w:val="00B67F4B"/>
    <w:rsid w:val="00B7138F"/>
    <w:rsid w:val="00B7185E"/>
    <w:rsid w:val="00B72C4E"/>
    <w:rsid w:val="00B74CBF"/>
    <w:rsid w:val="00B75520"/>
    <w:rsid w:val="00B762E6"/>
    <w:rsid w:val="00B76F83"/>
    <w:rsid w:val="00B7723F"/>
    <w:rsid w:val="00B80534"/>
    <w:rsid w:val="00B80E05"/>
    <w:rsid w:val="00B82934"/>
    <w:rsid w:val="00B8293F"/>
    <w:rsid w:val="00B82DB3"/>
    <w:rsid w:val="00B82FCD"/>
    <w:rsid w:val="00B83539"/>
    <w:rsid w:val="00B842E0"/>
    <w:rsid w:val="00B8433C"/>
    <w:rsid w:val="00B86C3E"/>
    <w:rsid w:val="00B87491"/>
    <w:rsid w:val="00B87BEE"/>
    <w:rsid w:val="00B90D8E"/>
    <w:rsid w:val="00B91D75"/>
    <w:rsid w:val="00B92F19"/>
    <w:rsid w:val="00B93551"/>
    <w:rsid w:val="00B95E00"/>
    <w:rsid w:val="00B96D88"/>
    <w:rsid w:val="00B9796F"/>
    <w:rsid w:val="00BA29E9"/>
    <w:rsid w:val="00BA4E08"/>
    <w:rsid w:val="00BA528D"/>
    <w:rsid w:val="00BA5495"/>
    <w:rsid w:val="00BA57FF"/>
    <w:rsid w:val="00BA5921"/>
    <w:rsid w:val="00BA7142"/>
    <w:rsid w:val="00BB1FB9"/>
    <w:rsid w:val="00BB237C"/>
    <w:rsid w:val="00BB2B17"/>
    <w:rsid w:val="00BB2D4D"/>
    <w:rsid w:val="00BB41A3"/>
    <w:rsid w:val="00BB461A"/>
    <w:rsid w:val="00BB52D6"/>
    <w:rsid w:val="00BB55C4"/>
    <w:rsid w:val="00BB5A58"/>
    <w:rsid w:val="00BB6AF6"/>
    <w:rsid w:val="00BB7E01"/>
    <w:rsid w:val="00BB7EEC"/>
    <w:rsid w:val="00BC2B90"/>
    <w:rsid w:val="00BC32DC"/>
    <w:rsid w:val="00BC35B6"/>
    <w:rsid w:val="00BC3A6A"/>
    <w:rsid w:val="00BC3CDB"/>
    <w:rsid w:val="00BC559C"/>
    <w:rsid w:val="00BC57C3"/>
    <w:rsid w:val="00BD0823"/>
    <w:rsid w:val="00BD0CB4"/>
    <w:rsid w:val="00BD121A"/>
    <w:rsid w:val="00BD1B51"/>
    <w:rsid w:val="00BD2165"/>
    <w:rsid w:val="00BD30D3"/>
    <w:rsid w:val="00BD4596"/>
    <w:rsid w:val="00BD48D3"/>
    <w:rsid w:val="00BD5C8B"/>
    <w:rsid w:val="00BD64A5"/>
    <w:rsid w:val="00BD6B06"/>
    <w:rsid w:val="00BD6CCC"/>
    <w:rsid w:val="00BD7684"/>
    <w:rsid w:val="00BE03D9"/>
    <w:rsid w:val="00BE081D"/>
    <w:rsid w:val="00BE1405"/>
    <w:rsid w:val="00BE2626"/>
    <w:rsid w:val="00BE2D17"/>
    <w:rsid w:val="00BE312D"/>
    <w:rsid w:val="00BE32CE"/>
    <w:rsid w:val="00BE3304"/>
    <w:rsid w:val="00BE4B41"/>
    <w:rsid w:val="00BE4F5A"/>
    <w:rsid w:val="00BE530A"/>
    <w:rsid w:val="00BE5B7E"/>
    <w:rsid w:val="00BE714A"/>
    <w:rsid w:val="00BF1436"/>
    <w:rsid w:val="00BF1B66"/>
    <w:rsid w:val="00BF1C20"/>
    <w:rsid w:val="00BF2635"/>
    <w:rsid w:val="00BF2A31"/>
    <w:rsid w:val="00BF3A70"/>
    <w:rsid w:val="00BF478B"/>
    <w:rsid w:val="00BF4FA1"/>
    <w:rsid w:val="00BF507B"/>
    <w:rsid w:val="00BF5D63"/>
    <w:rsid w:val="00BF7C28"/>
    <w:rsid w:val="00C01977"/>
    <w:rsid w:val="00C02CFB"/>
    <w:rsid w:val="00C037E5"/>
    <w:rsid w:val="00C03F78"/>
    <w:rsid w:val="00C05AB2"/>
    <w:rsid w:val="00C05BD2"/>
    <w:rsid w:val="00C06649"/>
    <w:rsid w:val="00C06662"/>
    <w:rsid w:val="00C07880"/>
    <w:rsid w:val="00C07C87"/>
    <w:rsid w:val="00C10578"/>
    <w:rsid w:val="00C1185B"/>
    <w:rsid w:val="00C135BC"/>
    <w:rsid w:val="00C15860"/>
    <w:rsid w:val="00C15C95"/>
    <w:rsid w:val="00C15FA3"/>
    <w:rsid w:val="00C1790A"/>
    <w:rsid w:val="00C17B4D"/>
    <w:rsid w:val="00C20367"/>
    <w:rsid w:val="00C207CE"/>
    <w:rsid w:val="00C207DE"/>
    <w:rsid w:val="00C20A0A"/>
    <w:rsid w:val="00C228D3"/>
    <w:rsid w:val="00C2389A"/>
    <w:rsid w:val="00C23AF1"/>
    <w:rsid w:val="00C2487B"/>
    <w:rsid w:val="00C2596A"/>
    <w:rsid w:val="00C26420"/>
    <w:rsid w:val="00C27537"/>
    <w:rsid w:val="00C27D32"/>
    <w:rsid w:val="00C3054A"/>
    <w:rsid w:val="00C325BE"/>
    <w:rsid w:val="00C328FE"/>
    <w:rsid w:val="00C33507"/>
    <w:rsid w:val="00C337C4"/>
    <w:rsid w:val="00C37C90"/>
    <w:rsid w:val="00C4046A"/>
    <w:rsid w:val="00C40763"/>
    <w:rsid w:val="00C415D3"/>
    <w:rsid w:val="00C4409D"/>
    <w:rsid w:val="00C44E72"/>
    <w:rsid w:val="00C44F59"/>
    <w:rsid w:val="00C45A06"/>
    <w:rsid w:val="00C461FD"/>
    <w:rsid w:val="00C46F15"/>
    <w:rsid w:val="00C46F82"/>
    <w:rsid w:val="00C4756F"/>
    <w:rsid w:val="00C47E5B"/>
    <w:rsid w:val="00C50337"/>
    <w:rsid w:val="00C503CD"/>
    <w:rsid w:val="00C50502"/>
    <w:rsid w:val="00C5241C"/>
    <w:rsid w:val="00C52669"/>
    <w:rsid w:val="00C53AFF"/>
    <w:rsid w:val="00C544C1"/>
    <w:rsid w:val="00C55075"/>
    <w:rsid w:val="00C5534A"/>
    <w:rsid w:val="00C55527"/>
    <w:rsid w:val="00C570F0"/>
    <w:rsid w:val="00C60727"/>
    <w:rsid w:val="00C609DE"/>
    <w:rsid w:val="00C60C61"/>
    <w:rsid w:val="00C61E4B"/>
    <w:rsid w:val="00C6301C"/>
    <w:rsid w:val="00C633D3"/>
    <w:rsid w:val="00C64BFF"/>
    <w:rsid w:val="00C65576"/>
    <w:rsid w:val="00C66653"/>
    <w:rsid w:val="00C66677"/>
    <w:rsid w:val="00C704E9"/>
    <w:rsid w:val="00C7170D"/>
    <w:rsid w:val="00C72753"/>
    <w:rsid w:val="00C72818"/>
    <w:rsid w:val="00C74AB0"/>
    <w:rsid w:val="00C763C9"/>
    <w:rsid w:val="00C76C24"/>
    <w:rsid w:val="00C77281"/>
    <w:rsid w:val="00C80057"/>
    <w:rsid w:val="00C821FB"/>
    <w:rsid w:val="00C82232"/>
    <w:rsid w:val="00C82913"/>
    <w:rsid w:val="00C85951"/>
    <w:rsid w:val="00C9074F"/>
    <w:rsid w:val="00C92EFD"/>
    <w:rsid w:val="00C930A1"/>
    <w:rsid w:val="00C934AE"/>
    <w:rsid w:val="00C93845"/>
    <w:rsid w:val="00C944A6"/>
    <w:rsid w:val="00C964CD"/>
    <w:rsid w:val="00C9674D"/>
    <w:rsid w:val="00C970FC"/>
    <w:rsid w:val="00C972B1"/>
    <w:rsid w:val="00C97DC3"/>
    <w:rsid w:val="00CA0C75"/>
    <w:rsid w:val="00CA2CCE"/>
    <w:rsid w:val="00CA2D8A"/>
    <w:rsid w:val="00CA3083"/>
    <w:rsid w:val="00CA43FD"/>
    <w:rsid w:val="00CA4F54"/>
    <w:rsid w:val="00CA5084"/>
    <w:rsid w:val="00CA609D"/>
    <w:rsid w:val="00CA7EF8"/>
    <w:rsid w:val="00CB0E83"/>
    <w:rsid w:val="00CB1F4E"/>
    <w:rsid w:val="00CB28E9"/>
    <w:rsid w:val="00CB3697"/>
    <w:rsid w:val="00CB443A"/>
    <w:rsid w:val="00CB6754"/>
    <w:rsid w:val="00CB67AF"/>
    <w:rsid w:val="00CC0C41"/>
    <w:rsid w:val="00CC2906"/>
    <w:rsid w:val="00CC489B"/>
    <w:rsid w:val="00CC4BDE"/>
    <w:rsid w:val="00CC5BBE"/>
    <w:rsid w:val="00CD00AD"/>
    <w:rsid w:val="00CD19A5"/>
    <w:rsid w:val="00CD2632"/>
    <w:rsid w:val="00CD2BCD"/>
    <w:rsid w:val="00CD2F2D"/>
    <w:rsid w:val="00CD3A4C"/>
    <w:rsid w:val="00CD5AEC"/>
    <w:rsid w:val="00CD60DF"/>
    <w:rsid w:val="00CD6D3D"/>
    <w:rsid w:val="00CE10E9"/>
    <w:rsid w:val="00CE2910"/>
    <w:rsid w:val="00CE2970"/>
    <w:rsid w:val="00CE2A03"/>
    <w:rsid w:val="00CE3A65"/>
    <w:rsid w:val="00CE5393"/>
    <w:rsid w:val="00CE629C"/>
    <w:rsid w:val="00CE787F"/>
    <w:rsid w:val="00CF07DF"/>
    <w:rsid w:val="00CF36BE"/>
    <w:rsid w:val="00CF5084"/>
    <w:rsid w:val="00CF5F44"/>
    <w:rsid w:val="00CF6000"/>
    <w:rsid w:val="00D003F3"/>
    <w:rsid w:val="00D013A5"/>
    <w:rsid w:val="00D0248B"/>
    <w:rsid w:val="00D03069"/>
    <w:rsid w:val="00D0364F"/>
    <w:rsid w:val="00D03CB2"/>
    <w:rsid w:val="00D04693"/>
    <w:rsid w:val="00D06834"/>
    <w:rsid w:val="00D07635"/>
    <w:rsid w:val="00D10A80"/>
    <w:rsid w:val="00D116E2"/>
    <w:rsid w:val="00D12056"/>
    <w:rsid w:val="00D12346"/>
    <w:rsid w:val="00D15327"/>
    <w:rsid w:val="00D1645E"/>
    <w:rsid w:val="00D1695E"/>
    <w:rsid w:val="00D205E1"/>
    <w:rsid w:val="00D2193E"/>
    <w:rsid w:val="00D225B6"/>
    <w:rsid w:val="00D2267E"/>
    <w:rsid w:val="00D22C0F"/>
    <w:rsid w:val="00D23884"/>
    <w:rsid w:val="00D243AF"/>
    <w:rsid w:val="00D24F57"/>
    <w:rsid w:val="00D308ED"/>
    <w:rsid w:val="00D30A00"/>
    <w:rsid w:val="00D310C7"/>
    <w:rsid w:val="00D330A0"/>
    <w:rsid w:val="00D344B8"/>
    <w:rsid w:val="00D34B5A"/>
    <w:rsid w:val="00D35A5A"/>
    <w:rsid w:val="00D36666"/>
    <w:rsid w:val="00D36D86"/>
    <w:rsid w:val="00D405B4"/>
    <w:rsid w:val="00D41616"/>
    <w:rsid w:val="00D422A1"/>
    <w:rsid w:val="00D428AA"/>
    <w:rsid w:val="00D42CD0"/>
    <w:rsid w:val="00D46C76"/>
    <w:rsid w:val="00D47179"/>
    <w:rsid w:val="00D50A34"/>
    <w:rsid w:val="00D51D39"/>
    <w:rsid w:val="00D539BD"/>
    <w:rsid w:val="00D53DE7"/>
    <w:rsid w:val="00D53EFA"/>
    <w:rsid w:val="00D55310"/>
    <w:rsid w:val="00D56FF5"/>
    <w:rsid w:val="00D60631"/>
    <w:rsid w:val="00D60968"/>
    <w:rsid w:val="00D62058"/>
    <w:rsid w:val="00D63338"/>
    <w:rsid w:val="00D65398"/>
    <w:rsid w:val="00D658DA"/>
    <w:rsid w:val="00D65A17"/>
    <w:rsid w:val="00D65FB4"/>
    <w:rsid w:val="00D6760A"/>
    <w:rsid w:val="00D70A5B"/>
    <w:rsid w:val="00D70DDC"/>
    <w:rsid w:val="00D71A0B"/>
    <w:rsid w:val="00D71BA0"/>
    <w:rsid w:val="00D72CB2"/>
    <w:rsid w:val="00D73024"/>
    <w:rsid w:val="00D73427"/>
    <w:rsid w:val="00D73B92"/>
    <w:rsid w:val="00D74AFA"/>
    <w:rsid w:val="00D74CE1"/>
    <w:rsid w:val="00D765DC"/>
    <w:rsid w:val="00D76861"/>
    <w:rsid w:val="00D800BB"/>
    <w:rsid w:val="00D80A5B"/>
    <w:rsid w:val="00D8677B"/>
    <w:rsid w:val="00D875A0"/>
    <w:rsid w:val="00D90041"/>
    <w:rsid w:val="00D91EDB"/>
    <w:rsid w:val="00D91FDE"/>
    <w:rsid w:val="00D92A85"/>
    <w:rsid w:val="00D94846"/>
    <w:rsid w:val="00D94A7C"/>
    <w:rsid w:val="00D95896"/>
    <w:rsid w:val="00D95D8B"/>
    <w:rsid w:val="00D96BB5"/>
    <w:rsid w:val="00DA0C98"/>
    <w:rsid w:val="00DA19EF"/>
    <w:rsid w:val="00DA29B9"/>
    <w:rsid w:val="00DA306E"/>
    <w:rsid w:val="00DA325F"/>
    <w:rsid w:val="00DA36E4"/>
    <w:rsid w:val="00DA3CDF"/>
    <w:rsid w:val="00DA45D4"/>
    <w:rsid w:val="00DA4A9F"/>
    <w:rsid w:val="00DA5B24"/>
    <w:rsid w:val="00DA618D"/>
    <w:rsid w:val="00DB119C"/>
    <w:rsid w:val="00DB1775"/>
    <w:rsid w:val="00DB2727"/>
    <w:rsid w:val="00DB2983"/>
    <w:rsid w:val="00DB4194"/>
    <w:rsid w:val="00DB47DD"/>
    <w:rsid w:val="00DB7727"/>
    <w:rsid w:val="00DC0AC5"/>
    <w:rsid w:val="00DC1257"/>
    <w:rsid w:val="00DC1AA4"/>
    <w:rsid w:val="00DC35C0"/>
    <w:rsid w:val="00DC3DC0"/>
    <w:rsid w:val="00DC5B2B"/>
    <w:rsid w:val="00DC5FA0"/>
    <w:rsid w:val="00DC624F"/>
    <w:rsid w:val="00DD318D"/>
    <w:rsid w:val="00DD4BAE"/>
    <w:rsid w:val="00DD4F42"/>
    <w:rsid w:val="00DD7722"/>
    <w:rsid w:val="00DE104D"/>
    <w:rsid w:val="00DE1228"/>
    <w:rsid w:val="00DE2D31"/>
    <w:rsid w:val="00DE2F8C"/>
    <w:rsid w:val="00DE4223"/>
    <w:rsid w:val="00DE4E48"/>
    <w:rsid w:val="00DE5266"/>
    <w:rsid w:val="00DE52DD"/>
    <w:rsid w:val="00DE54AC"/>
    <w:rsid w:val="00DE5743"/>
    <w:rsid w:val="00DE644F"/>
    <w:rsid w:val="00DE7ED5"/>
    <w:rsid w:val="00DF13A1"/>
    <w:rsid w:val="00DF1687"/>
    <w:rsid w:val="00DF1E57"/>
    <w:rsid w:val="00DF2A62"/>
    <w:rsid w:val="00DF2E12"/>
    <w:rsid w:val="00DF3365"/>
    <w:rsid w:val="00DF3BF4"/>
    <w:rsid w:val="00DF407D"/>
    <w:rsid w:val="00DF4682"/>
    <w:rsid w:val="00DF514A"/>
    <w:rsid w:val="00DF6513"/>
    <w:rsid w:val="00DF6690"/>
    <w:rsid w:val="00DF6804"/>
    <w:rsid w:val="00DF78F9"/>
    <w:rsid w:val="00E00D84"/>
    <w:rsid w:val="00E0125E"/>
    <w:rsid w:val="00E0157A"/>
    <w:rsid w:val="00E0358D"/>
    <w:rsid w:val="00E041FE"/>
    <w:rsid w:val="00E04323"/>
    <w:rsid w:val="00E04A5D"/>
    <w:rsid w:val="00E04BE9"/>
    <w:rsid w:val="00E070A2"/>
    <w:rsid w:val="00E1050C"/>
    <w:rsid w:val="00E10E29"/>
    <w:rsid w:val="00E11BF6"/>
    <w:rsid w:val="00E14D52"/>
    <w:rsid w:val="00E17948"/>
    <w:rsid w:val="00E17A62"/>
    <w:rsid w:val="00E17E1D"/>
    <w:rsid w:val="00E2130C"/>
    <w:rsid w:val="00E21514"/>
    <w:rsid w:val="00E215B0"/>
    <w:rsid w:val="00E2303D"/>
    <w:rsid w:val="00E231E8"/>
    <w:rsid w:val="00E235E3"/>
    <w:rsid w:val="00E23F10"/>
    <w:rsid w:val="00E24D84"/>
    <w:rsid w:val="00E25DC4"/>
    <w:rsid w:val="00E260B2"/>
    <w:rsid w:val="00E2656A"/>
    <w:rsid w:val="00E3026D"/>
    <w:rsid w:val="00E30686"/>
    <w:rsid w:val="00E3286D"/>
    <w:rsid w:val="00E32ACB"/>
    <w:rsid w:val="00E33445"/>
    <w:rsid w:val="00E3464A"/>
    <w:rsid w:val="00E35947"/>
    <w:rsid w:val="00E37761"/>
    <w:rsid w:val="00E37D79"/>
    <w:rsid w:val="00E37F10"/>
    <w:rsid w:val="00E4101E"/>
    <w:rsid w:val="00E412D0"/>
    <w:rsid w:val="00E41A1D"/>
    <w:rsid w:val="00E42440"/>
    <w:rsid w:val="00E43E58"/>
    <w:rsid w:val="00E4495F"/>
    <w:rsid w:val="00E449E6"/>
    <w:rsid w:val="00E44B61"/>
    <w:rsid w:val="00E462F1"/>
    <w:rsid w:val="00E468CF"/>
    <w:rsid w:val="00E5174A"/>
    <w:rsid w:val="00E5189C"/>
    <w:rsid w:val="00E518DD"/>
    <w:rsid w:val="00E523F9"/>
    <w:rsid w:val="00E540BA"/>
    <w:rsid w:val="00E54199"/>
    <w:rsid w:val="00E556D4"/>
    <w:rsid w:val="00E56322"/>
    <w:rsid w:val="00E572C3"/>
    <w:rsid w:val="00E573FD"/>
    <w:rsid w:val="00E60982"/>
    <w:rsid w:val="00E61878"/>
    <w:rsid w:val="00E626F0"/>
    <w:rsid w:val="00E62C62"/>
    <w:rsid w:val="00E63363"/>
    <w:rsid w:val="00E6396B"/>
    <w:rsid w:val="00E63DE8"/>
    <w:rsid w:val="00E64C77"/>
    <w:rsid w:val="00E64EC3"/>
    <w:rsid w:val="00E654C1"/>
    <w:rsid w:val="00E65D97"/>
    <w:rsid w:val="00E70496"/>
    <w:rsid w:val="00E72A5A"/>
    <w:rsid w:val="00E73354"/>
    <w:rsid w:val="00E74EE8"/>
    <w:rsid w:val="00E7564C"/>
    <w:rsid w:val="00E756E1"/>
    <w:rsid w:val="00E76137"/>
    <w:rsid w:val="00E77056"/>
    <w:rsid w:val="00E770AA"/>
    <w:rsid w:val="00E77C88"/>
    <w:rsid w:val="00E812EF"/>
    <w:rsid w:val="00E816D4"/>
    <w:rsid w:val="00E81770"/>
    <w:rsid w:val="00E85031"/>
    <w:rsid w:val="00E865C2"/>
    <w:rsid w:val="00E879BB"/>
    <w:rsid w:val="00E909ED"/>
    <w:rsid w:val="00E9242D"/>
    <w:rsid w:val="00E92E5A"/>
    <w:rsid w:val="00E93222"/>
    <w:rsid w:val="00E93D21"/>
    <w:rsid w:val="00E93FDC"/>
    <w:rsid w:val="00E946E5"/>
    <w:rsid w:val="00E94E59"/>
    <w:rsid w:val="00E96327"/>
    <w:rsid w:val="00E967F0"/>
    <w:rsid w:val="00E96DE8"/>
    <w:rsid w:val="00EA12AD"/>
    <w:rsid w:val="00EA191E"/>
    <w:rsid w:val="00EA32DD"/>
    <w:rsid w:val="00EA5333"/>
    <w:rsid w:val="00EA6161"/>
    <w:rsid w:val="00EA6321"/>
    <w:rsid w:val="00EB123E"/>
    <w:rsid w:val="00EB2153"/>
    <w:rsid w:val="00EB2342"/>
    <w:rsid w:val="00EB3B75"/>
    <w:rsid w:val="00EB45DB"/>
    <w:rsid w:val="00EB5255"/>
    <w:rsid w:val="00EB5C47"/>
    <w:rsid w:val="00EB75F1"/>
    <w:rsid w:val="00EB7727"/>
    <w:rsid w:val="00EC1257"/>
    <w:rsid w:val="00EC14F9"/>
    <w:rsid w:val="00EC31E7"/>
    <w:rsid w:val="00EC3425"/>
    <w:rsid w:val="00EC3631"/>
    <w:rsid w:val="00EC423E"/>
    <w:rsid w:val="00EC59AF"/>
    <w:rsid w:val="00EC59B5"/>
    <w:rsid w:val="00EC6592"/>
    <w:rsid w:val="00ED0639"/>
    <w:rsid w:val="00ED2DDA"/>
    <w:rsid w:val="00ED39F0"/>
    <w:rsid w:val="00ED6EFB"/>
    <w:rsid w:val="00ED6FEC"/>
    <w:rsid w:val="00ED74A2"/>
    <w:rsid w:val="00EE0957"/>
    <w:rsid w:val="00EE1DB0"/>
    <w:rsid w:val="00EE23A5"/>
    <w:rsid w:val="00EE44A8"/>
    <w:rsid w:val="00EE46B4"/>
    <w:rsid w:val="00EE6716"/>
    <w:rsid w:val="00EE6E2E"/>
    <w:rsid w:val="00EE7BBC"/>
    <w:rsid w:val="00EE7DF7"/>
    <w:rsid w:val="00EF054E"/>
    <w:rsid w:val="00EF1976"/>
    <w:rsid w:val="00EF290A"/>
    <w:rsid w:val="00EF4755"/>
    <w:rsid w:val="00EF55D8"/>
    <w:rsid w:val="00EF7135"/>
    <w:rsid w:val="00F01E1E"/>
    <w:rsid w:val="00F0248A"/>
    <w:rsid w:val="00F027DB"/>
    <w:rsid w:val="00F0364C"/>
    <w:rsid w:val="00F0562C"/>
    <w:rsid w:val="00F05B66"/>
    <w:rsid w:val="00F060A3"/>
    <w:rsid w:val="00F067F5"/>
    <w:rsid w:val="00F0712F"/>
    <w:rsid w:val="00F10CA8"/>
    <w:rsid w:val="00F113F8"/>
    <w:rsid w:val="00F116CB"/>
    <w:rsid w:val="00F1290B"/>
    <w:rsid w:val="00F12F80"/>
    <w:rsid w:val="00F1312E"/>
    <w:rsid w:val="00F13181"/>
    <w:rsid w:val="00F13EEA"/>
    <w:rsid w:val="00F14A7A"/>
    <w:rsid w:val="00F15288"/>
    <w:rsid w:val="00F15F13"/>
    <w:rsid w:val="00F160D6"/>
    <w:rsid w:val="00F169CC"/>
    <w:rsid w:val="00F172B2"/>
    <w:rsid w:val="00F173BF"/>
    <w:rsid w:val="00F20150"/>
    <w:rsid w:val="00F2155A"/>
    <w:rsid w:val="00F22269"/>
    <w:rsid w:val="00F22985"/>
    <w:rsid w:val="00F22EB3"/>
    <w:rsid w:val="00F25D78"/>
    <w:rsid w:val="00F25DA2"/>
    <w:rsid w:val="00F31789"/>
    <w:rsid w:val="00F31F40"/>
    <w:rsid w:val="00F32A8C"/>
    <w:rsid w:val="00F3383E"/>
    <w:rsid w:val="00F338E2"/>
    <w:rsid w:val="00F3430B"/>
    <w:rsid w:val="00F34E55"/>
    <w:rsid w:val="00F36407"/>
    <w:rsid w:val="00F411EF"/>
    <w:rsid w:val="00F41969"/>
    <w:rsid w:val="00F44174"/>
    <w:rsid w:val="00F44978"/>
    <w:rsid w:val="00F465A7"/>
    <w:rsid w:val="00F46AD3"/>
    <w:rsid w:val="00F46BBC"/>
    <w:rsid w:val="00F50B7C"/>
    <w:rsid w:val="00F519AE"/>
    <w:rsid w:val="00F51A90"/>
    <w:rsid w:val="00F5277D"/>
    <w:rsid w:val="00F54D63"/>
    <w:rsid w:val="00F54FFF"/>
    <w:rsid w:val="00F550E6"/>
    <w:rsid w:val="00F56349"/>
    <w:rsid w:val="00F5736A"/>
    <w:rsid w:val="00F57BBE"/>
    <w:rsid w:val="00F60884"/>
    <w:rsid w:val="00F60903"/>
    <w:rsid w:val="00F6105D"/>
    <w:rsid w:val="00F62D7D"/>
    <w:rsid w:val="00F66A8B"/>
    <w:rsid w:val="00F66BED"/>
    <w:rsid w:val="00F70527"/>
    <w:rsid w:val="00F7068C"/>
    <w:rsid w:val="00F7101C"/>
    <w:rsid w:val="00F72053"/>
    <w:rsid w:val="00F7207A"/>
    <w:rsid w:val="00F7230A"/>
    <w:rsid w:val="00F74345"/>
    <w:rsid w:val="00F744F5"/>
    <w:rsid w:val="00F805AB"/>
    <w:rsid w:val="00F80A0A"/>
    <w:rsid w:val="00F80F40"/>
    <w:rsid w:val="00F81C88"/>
    <w:rsid w:val="00F82005"/>
    <w:rsid w:val="00F82B19"/>
    <w:rsid w:val="00F83C51"/>
    <w:rsid w:val="00F85070"/>
    <w:rsid w:val="00F9073A"/>
    <w:rsid w:val="00F90A61"/>
    <w:rsid w:val="00F916F8"/>
    <w:rsid w:val="00F9212D"/>
    <w:rsid w:val="00F92436"/>
    <w:rsid w:val="00F9275E"/>
    <w:rsid w:val="00F93AA2"/>
    <w:rsid w:val="00F95BAD"/>
    <w:rsid w:val="00F965DA"/>
    <w:rsid w:val="00F978F0"/>
    <w:rsid w:val="00FA0EAC"/>
    <w:rsid w:val="00FA1473"/>
    <w:rsid w:val="00FA406A"/>
    <w:rsid w:val="00FA4820"/>
    <w:rsid w:val="00FB12A9"/>
    <w:rsid w:val="00FB32E6"/>
    <w:rsid w:val="00FB385F"/>
    <w:rsid w:val="00FB3CC5"/>
    <w:rsid w:val="00FB503A"/>
    <w:rsid w:val="00FB516C"/>
    <w:rsid w:val="00FB5899"/>
    <w:rsid w:val="00FB7953"/>
    <w:rsid w:val="00FC03D6"/>
    <w:rsid w:val="00FC206D"/>
    <w:rsid w:val="00FC28FF"/>
    <w:rsid w:val="00FC6425"/>
    <w:rsid w:val="00FC6B62"/>
    <w:rsid w:val="00FD021F"/>
    <w:rsid w:val="00FD0236"/>
    <w:rsid w:val="00FD154D"/>
    <w:rsid w:val="00FD18F4"/>
    <w:rsid w:val="00FD27AC"/>
    <w:rsid w:val="00FD2E6F"/>
    <w:rsid w:val="00FD3FA7"/>
    <w:rsid w:val="00FD4B68"/>
    <w:rsid w:val="00FD4D88"/>
    <w:rsid w:val="00FD54DB"/>
    <w:rsid w:val="00FD5713"/>
    <w:rsid w:val="00FD619F"/>
    <w:rsid w:val="00FD7462"/>
    <w:rsid w:val="00FE034E"/>
    <w:rsid w:val="00FE1CA9"/>
    <w:rsid w:val="00FE21BE"/>
    <w:rsid w:val="00FE2664"/>
    <w:rsid w:val="00FE5833"/>
    <w:rsid w:val="00FE7A8F"/>
    <w:rsid w:val="00FF0E8B"/>
    <w:rsid w:val="00FF14E4"/>
    <w:rsid w:val="00FF2B6B"/>
    <w:rsid w:val="00FF3A91"/>
    <w:rsid w:val="00FF4455"/>
    <w:rsid w:val="00FF4D5C"/>
    <w:rsid w:val="010051DE"/>
    <w:rsid w:val="01275A69"/>
    <w:rsid w:val="01290F7E"/>
    <w:rsid w:val="01341807"/>
    <w:rsid w:val="01372829"/>
    <w:rsid w:val="014A6652"/>
    <w:rsid w:val="014F5F03"/>
    <w:rsid w:val="015D1E09"/>
    <w:rsid w:val="01644424"/>
    <w:rsid w:val="016E4F8E"/>
    <w:rsid w:val="01735AA2"/>
    <w:rsid w:val="01761E20"/>
    <w:rsid w:val="01763BCE"/>
    <w:rsid w:val="017817AA"/>
    <w:rsid w:val="01786AFF"/>
    <w:rsid w:val="017C1472"/>
    <w:rsid w:val="019329D2"/>
    <w:rsid w:val="019D73AC"/>
    <w:rsid w:val="019F4814"/>
    <w:rsid w:val="01AA7D1B"/>
    <w:rsid w:val="01AD5116"/>
    <w:rsid w:val="01AE3368"/>
    <w:rsid w:val="01B01E90"/>
    <w:rsid w:val="01BB5A85"/>
    <w:rsid w:val="01C761D7"/>
    <w:rsid w:val="01CB4ADC"/>
    <w:rsid w:val="01D6155C"/>
    <w:rsid w:val="01E02A67"/>
    <w:rsid w:val="01E8640A"/>
    <w:rsid w:val="01F11BDB"/>
    <w:rsid w:val="01F34211"/>
    <w:rsid w:val="01F71594"/>
    <w:rsid w:val="01FE54C5"/>
    <w:rsid w:val="02056D00"/>
    <w:rsid w:val="020654CE"/>
    <w:rsid w:val="020C4532"/>
    <w:rsid w:val="020D4519"/>
    <w:rsid w:val="021624A7"/>
    <w:rsid w:val="02171622"/>
    <w:rsid w:val="022C260F"/>
    <w:rsid w:val="023043CB"/>
    <w:rsid w:val="0246400E"/>
    <w:rsid w:val="025008C3"/>
    <w:rsid w:val="02697903"/>
    <w:rsid w:val="026D3223"/>
    <w:rsid w:val="026E5883"/>
    <w:rsid w:val="02785724"/>
    <w:rsid w:val="027A6433"/>
    <w:rsid w:val="0286092F"/>
    <w:rsid w:val="02862DDD"/>
    <w:rsid w:val="028C3F6F"/>
    <w:rsid w:val="02906F11"/>
    <w:rsid w:val="02A91D81"/>
    <w:rsid w:val="02B32C00"/>
    <w:rsid w:val="02B96468"/>
    <w:rsid w:val="02C10E79"/>
    <w:rsid w:val="02C60B85"/>
    <w:rsid w:val="02CC2A9C"/>
    <w:rsid w:val="02CE3403"/>
    <w:rsid w:val="02D23086"/>
    <w:rsid w:val="02D917DF"/>
    <w:rsid w:val="02DF39F5"/>
    <w:rsid w:val="02E132C9"/>
    <w:rsid w:val="02E636F7"/>
    <w:rsid w:val="02F254D6"/>
    <w:rsid w:val="02F96569"/>
    <w:rsid w:val="02FC610F"/>
    <w:rsid w:val="02FD2FBC"/>
    <w:rsid w:val="03103BAE"/>
    <w:rsid w:val="031E0CDA"/>
    <w:rsid w:val="0328539C"/>
    <w:rsid w:val="03334048"/>
    <w:rsid w:val="03402A34"/>
    <w:rsid w:val="03433F84"/>
    <w:rsid w:val="03443858"/>
    <w:rsid w:val="03465B2E"/>
    <w:rsid w:val="03525F75"/>
    <w:rsid w:val="03547F3F"/>
    <w:rsid w:val="035937A7"/>
    <w:rsid w:val="035E75A7"/>
    <w:rsid w:val="03675921"/>
    <w:rsid w:val="036D2DAF"/>
    <w:rsid w:val="03877D01"/>
    <w:rsid w:val="038B1487"/>
    <w:rsid w:val="039447DF"/>
    <w:rsid w:val="039D18E6"/>
    <w:rsid w:val="03A03184"/>
    <w:rsid w:val="03A668A8"/>
    <w:rsid w:val="03E95731"/>
    <w:rsid w:val="03EA7B21"/>
    <w:rsid w:val="041F054D"/>
    <w:rsid w:val="042C1FC5"/>
    <w:rsid w:val="04504BAA"/>
    <w:rsid w:val="04506958"/>
    <w:rsid w:val="04732647"/>
    <w:rsid w:val="04787C5D"/>
    <w:rsid w:val="047C62A1"/>
    <w:rsid w:val="047D3011"/>
    <w:rsid w:val="0482288A"/>
    <w:rsid w:val="04921D42"/>
    <w:rsid w:val="04B3475E"/>
    <w:rsid w:val="04C17856"/>
    <w:rsid w:val="04C609C8"/>
    <w:rsid w:val="04C86418"/>
    <w:rsid w:val="04D72BD5"/>
    <w:rsid w:val="04D87478"/>
    <w:rsid w:val="04ED064B"/>
    <w:rsid w:val="04F00C9A"/>
    <w:rsid w:val="04F65B99"/>
    <w:rsid w:val="050339CA"/>
    <w:rsid w:val="050E411D"/>
    <w:rsid w:val="05100B54"/>
    <w:rsid w:val="05157BA2"/>
    <w:rsid w:val="053973EC"/>
    <w:rsid w:val="053D5B7D"/>
    <w:rsid w:val="054E63DF"/>
    <w:rsid w:val="05563E65"/>
    <w:rsid w:val="05597A8E"/>
    <w:rsid w:val="056401E1"/>
    <w:rsid w:val="056D178C"/>
    <w:rsid w:val="056D353A"/>
    <w:rsid w:val="056F214B"/>
    <w:rsid w:val="056F22B8"/>
    <w:rsid w:val="056F4A4A"/>
    <w:rsid w:val="05AD04F3"/>
    <w:rsid w:val="05B00D44"/>
    <w:rsid w:val="05B82D5C"/>
    <w:rsid w:val="05BE584E"/>
    <w:rsid w:val="05BE786D"/>
    <w:rsid w:val="05C07B0D"/>
    <w:rsid w:val="05C51508"/>
    <w:rsid w:val="05E6189E"/>
    <w:rsid w:val="05F83EAE"/>
    <w:rsid w:val="0609003F"/>
    <w:rsid w:val="060F639F"/>
    <w:rsid w:val="06367DD0"/>
    <w:rsid w:val="063E7D85"/>
    <w:rsid w:val="06581AF4"/>
    <w:rsid w:val="066A7A79"/>
    <w:rsid w:val="067938E1"/>
    <w:rsid w:val="067B1C86"/>
    <w:rsid w:val="067D155B"/>
    <w:rsid w:val="068D6789"/>
    <w:rsid w:val="068F3272"/>
    <w:rsid w:val="069A210C"/>
    <w:rsid w:val="069A5515"/>
    <w:rsid w:val="069B5E85"/>
    <w:rsid w:val="069E717D"/>
    <w:rsid w:val="06A04281"/>
    <w:rsid w:val="06A9468D"/>
    <w:rsid w:val="06AE1287"/>
    <w:rsid w:val="06C54CB0"/>
    <w:rsid w:val="06C673A5"/>
    <w:rsid w:val="06CC1FFF"/>
    <w:rsid w:val="06D575E9"/>
    <w:rsid w:val="06D6469C"/>
    <w:rsid w:val="06D97516"/>
    <w:rsid w:val="06DC2725"/>
    <w:rsid w:val="06F07A4A"/>
    <w:rsid w:val="06FA0DFD"/>
    <w:rsid w:val="06FC249D"/>
    <w:rsid w:val="0709241E"/>
    <w:rsid w:val="070B300A"/>
    <w:rsid w:val="071300EA"/>
    <w:rsid w:val="07131EBF"/>
    <w:rsid w:val="071442A8"/>
    <w:rsid w:val="071579E5"/>
    <w:rsid w:val="071B561E"/>
    <w:rsid w:val="07281197"/>
    <w:rsid w:val="07293586"/>
    <w:rsid w:val="07295285"/>
    <w:rsid w:val="07361BC4"/>
    <w:rsid w:val="073A38EF"/>
    <w:rsid w:val="073F4A62"/>
    <w:rsid w:val="074B7895"/>
    <w:rsid w:val="074F70E8"/>
    <w:rsid w:val="075952DE"/>
    <w:rsid w:val="075E313A"/>
    <w:rsid w:val="07636392"/>
    <w:rsid w:val="07683180"/>
    <w:rsid w:val="076A6052"/>
    <w:rsid w:val="07716FC5"/>
    <w:rsid w:val="0776397C"/>
    <w:rsid w:val="07770C56"/>
    <w:rsid w:val="077D5D05"/>
    <w:rsid w:val="078132CC"/>
    <w:rsid w:val="07893F2F"/>
    <w:rsid w:val="079D3722"/>
    <w:rsid w:val="07A86AAB"/>
    <w:rsid w:val="07AA546D"/>
    <w:rsid w:val="07AD40C1"/>
    <w:rsid w:val="07B0310A"/>
    <w:rsid w:val="07B16BCF"/>
    <w:rsid w:val="07C84A57"/>
    <w:rsid w:val="07D3758D"/>
    <w:rsid w:val="07DC0503"/>
    <w:rsid w:val="07DE427B"/>
    <w:rsid w:val="07E437E0"/>
    <w:rsid w:val="07E757B0"/>
    <w:rsid w:val="07ED25AB"/>
    <w:rsid w:val="080A32C2"/>
    <w:rsid w:val="081552CA"/>
    <w:rsid w:val="082425D6"/>
    <w:rsid w:val="08252B36"/>
    <w:rsid w:val="082C4FE6"/>
    <w:rsid w:val="08360110"/>
    <w:rsid w:val="0838258B"/>
    <w:rsid w:val="08444A26"/>
    <w:rsid w:val="084D31AF"/>
    <w:rsid w:val="08504A7B"/>
    <w:rsid w:val="08510EF1"/>
    <w:rsid w:val="0853582E"/>
    <w:rsid w:val="08597DA5"/>
    <w:rsid w:val="085B3F2A"/>
    <w:rsid w:val="086D07EE"/>
    <w:rsid w:val="086D4913"/>
    <w:rsid w:val="086F1377"/>
    <w:rsid w:val="087370B9"/>
    <w:rsid w:val="087D57CE"/>
    <w:rsid w:val="089814EC"/>
    <w:rsid w:val="08AB0304"/>
    <w:rsid w:val="08AF5C17"/>
    <w:rsid w:val="08D2448E"/>
    <w:rsid w:val="08D77648"/>
    <w:rsid w:val="08D85BB1"/>
    <w:rsid w:val="08D87341"/>
    <w:rsid w:val="08DA3FC1"/>
    <w:rsid w:val="08F33D56"/>
    <w:rsid w:val="08FC0E5C"/>
    <w:rsid w:val="0912207F"/>
    <w:rsid w:val="09150170"/>
    <w:rsid w:val="092217DD"/>
    <w:rsid w:val="09250978"/>
    <w:rsid w:val="09287EA3"/>
    <w:rsid w:val="09306D58"/>
    <w:rsid w:val="093525C0"/>
    <w:rsid w:val="093A7294"/>
    <w:rsid w:val="09434CDD"/>
    <w:rsid w:val="094445B2"/>
    <w:rsid w:val="094451A8"/>
    <w:rsid w:val="094840A2"/>
    <w:rsid w:val="094A38C6"/>
    <w:rsid w:val="09507B23"/>
    <w:rsid w:val="095E1B17"/>
    <w:rsid w:val="096D5A2B"/>
    <w:rsid w:val="09722ECD"/>
    <w:rsid w:val="09762A0A"/>
    <w:rsid w:val="098250F2"/>
    <w:rsid w:val="09840F77"/>
    <w:rsid w:val="09883CF7"/>
    <w:rsid w:val="09905E74"/>
    <w:rsid w:val="09A41A1D"/>
    <w:rsid w:val="09B16EAB"/>
    <w:rsid w:val="09B26CED"/>
    <w:rsid w:val="09B47989"/>
    <w:rsid w:val="09B51008"/>
    <w:rsid w:val="09BA1450"/>
    <w:rsid w:val="09C63218"/>
    <w:rsid w:val="09EA33AB"/>
    <w:rsid w:val="09F75FDB"/>
    <w:rsid w:val="09FB5325"/>
    <w:rsid w:val="0A002AA2"/>
    <w:rsid w:val="0A0246AB"/>
    <w:rsid w:val="0A0501E5"/>
    <w:rsid w:val="0A051F93"/>
    <w:rsid w:val="0A053D41"/>
    <w:rsid w:val="0A0D52EB"/>
    <w:rsid w:val="0A1246B0"/>
    <w:rsid w:val="0A1918EE"/>
    <w:rsid w:val="0A195A3E"/>
    <w:rsid w:val="0A20096D"/>
    <w:rsid w:val="0A263491"/>
    <w:rsid w:val="0A263993"/>
    <w:rsid w:val="0A283ED3"/>
    <w:rsid w:val="0A2C74AD"/>
    <w:rsid w:val="0A2D3AC2"/>
    <w:rsid w:val="0A2F5774"/>
    <w:rsid w:val="0A32563B"/>
    <w:rsid w:val="0A3B2B06"/>
    <w:rsid w:val="0A3E36F7"/>
    <w:rsid w:val="0A4F1460"/>
    <w:rsid w:val="0A5922DF"/>
    <w:rsid w:val="0A742C74"/>
    <w:rsid w:val="0A791C80"/>
    <w:rsid w:val="0AA755DF"/>
    <w:rsid w:val="0AAC1CA1"/>
    <w:rsid w:val="0AB16F81"/>
    <w:rsid w:val="0AB87005"/>
    <w:rsid w:val="0AB94B2B"/>
    <w:rsid w:val="0AC47DDC"/>
    <w:rsid w:val="0AC734B0"/>
    <w:rsid w:val="0AC736EC"/>
    <w:rsid w:val="0AC9163F"/>
    <w:rsid w:val="0AC95B9B"/>
    <w:rsid w:val="0ACB1409"/>
    <w:rsid w:val="0ADD081A"/>
    <w:rsid w:val="0AE778EA"/>
    <w:rsid w:val="0B02681E"/>
    <w:rsid w:val="0B112BB9"/>
    <w:rsid w:val="0B120D44"/>
    <w:rsid w:val="0B14601A"/>
    <w:rsid w:val="0B185CF6"/>
    <w:rsid w:val="0B220922"/>
    <w:rsid w:val="0B293459"/>
    <w:rsid w:val="0B2C67AC"/>
    <w:rsid w:val="0B3F7726"/>
    <w:rsid w:val="0B464F3D"/>
    <w:rsid w:val="0B4C599F"/>
    <w:rsid w:val="0B6D6FA7"/>
    <w:rsid w:val="0B6E3868"/>
    <w:rsid w:val="0B753431"/>
    <w:rsid w:val="0B7C44D7"/>
    <w:rsid w:val="0B8F2FA5"/>
    <w:rsid w:val="0B953168"/>
    <w:rsid w:val="0B9754E3"/>
    <w:rsid w:val="0BA30B54"/>
    <w:rsid w:val="0BB14B9D"/>
    <w:rsid w:val="0BD13BA5"/>
    <w:rsid w:val="0BD242E7"/>
    <w:rsid w:val="0BD27BF6"/>
    <w:rsid w:val="0BE45BD8"/>
    <w:rsid w:val="0BFB3CD5"/>
    <w:rsid w:val="0C043A3A"/>
    <w:rsid w:val="0C073A93"/>
    <w:rsid w:val="0C0C08DC"/>
    <w:rsid w:val="0C321039"/>
    <w:rsid w:val="0C346B5F"/>
    <w:rsid w:val="0C3B3C7D"/>
    <w:rsid w:val="0C452B1A"/>
    <w:rsid w:val="0C521E4D"/>
    <w:rsid w:val="0C542D5E"/>
    <w:rsid w:val="0C5965C6"/>
    <w:rsid w:val="0C670CE3"/>
    <w:rsid w:val="0C767C9F"/>
    <w:rsid w:val="0C873D7F"/>
    <w:rsid w:val="0C8A2C23"/>
    <w:rsid w:val="0C914896"/>
    <w:rsid w:val="0CAB2EAE"/>
    <w:rsid w:val="0CB37C64"/>
    <w:rsid w:val="0CC57184"/>
    <w:rsid w:val="0CD345CA"/>
    <w:rsid w:val="0CD90EE9"/>
    <w:rsid w:val="0CDC4300"/>
    <w:rsid w:val="0CE916F8"/>
    <w:rsid w:val="0CEA0AED"/>
    <w:rsid w:val="0CEA298A"/>
    <w:rsid w:val="0CF27F98"/>
    <w:rsid w:val="0CF9285A"/>
    <w:rsid w:val="0D0C3638"/>
    <w:rsid w:val="0D1F336B"/>
    <w:rsid w:val="0D336E17"/>
    <w:rsid w:val="0D40797F"/>
    <w:rsid w:val="0D450E61"/>
    <w:rsid w:val="0D5A43A4"/>
    <w:rsid w:val="0D621C7D"/>
    <w:rsid w:val="0D814026"/>
    <w:rsid w:val="0D870F11"/>
    <w:rsid w:val="0D8B3148"/>
    <w:rsid w:val="0D930915"/>
    <w:rsid w:val="0DA91EF6"/>
    <w:rsid w:val="0DB31D06"/>
    <w:rsid w:val="0DB77A48"/>
    <w:rsid w:val="0DBB73CE"/>
    <w:rsid w:val="0DC14881"/>
    <w:rsid w:val="0DC363ED"/>
    <w:rsid w:val="0DC74F36"/>
    <w:rsid w:val="0DCE543E"/>
    <w:rsid w:val="0DD51C7C"/>
    <w:rsid w:val="0DDE3227"/>
    <w:rsid w:val="0DE51FB8"/>
    <w:rsid w:val="0DED5218"/>
    <w:rsid w:val="0DF02F5A"/>
    <w:rsid w:val="0DF17A24"/>
    <w:rsid w:val="0DFD5B33"/>
    <w:rsid w:val="0E197DBB"/>
    <w:rsid w:val="0E201C1D"/>
    <w:rsid w:val="0E2350DD"/>
    <w:rsid w:val="0E2464FA"/>
    <w:rsid w:val="0E285773"/>
    <w:rsid w:val="0E286250"/>
    <w:rsid w:val="0E4312DC"/>
    <w:rsid w:val="0E686F94"/>
    <w:rsid w:val="0E702EED"/>
    <w:rsid w:val="0E73034D"/>
    <w:rsid w:val="0E774EDA"/>
    <w:rsid w:val="0E8006AC"/>
    <w:rsid w:val="0E8A2A67"/>
    <w:rsid w:val="0E8A3FA4"/>
    <w:rsid w:val="0E8C4A31"/>
    <w:rsid w:val="0E8F45F1"/>
    <w:rsid w:val="0E943EB8"/>
    <w:rsid w:val="0EA95DC6"/>
    <w:rsid w:val="0EB27295"/>
    <w:rsid w:val="0EB96E6A"/>
    <w:rsid w:val="0EC95C85"/>
    <w:rsid w:val="0ECF31C5"/>
    <w:rsid w:val="0ED1566D"/>
    <w:rsid w:val="0ED23171"/>
    <w:rsid w:val="0ED62150"/>
    <w:rsid w:val="0EDA2CE3"/>
    <w:rsid w:val="0EDF2B13"/>
    <w:rsid w:val="0EE77EB9"/>
    <w:rsid w:val="0EEA1757"/>
    <w:rsid w:val="0EF33DBC"/>
    <w:rsid w:val="0F00541F"/>
    <w:rsid w:val="0F0E3698"/>
    <w:rsid w:val="0F13775A"/>
    <w:rsid w:val="0F253EF3"/>
    <w:rsid w:val="0F2D1E62"/>
    <w:rsid w:val="0F33078C"/>
    <w:rsid w:val="0F3E6040"/>
    <w:rsid w:val="0F3E7C84"/>
    <w:rsid w:val="0F407486"/>
    <w:rsid w:val="0F451691"/>
    <w:rsid w:val="0F4F5A5E"/>
    <w:rsid w:val="0F5E25C2"/>
    <w:rsid w:val="0F5F45FE"/>
    <w:rsid w:val="0F607C6B"/>
    <w:rsid w:val="0F6269F1"/>
    <w:rsid w:val="0F657030"/>
    <w:rsid w:val="0F7A6F7F"/>
    <w:rsid w:val="0F8412C5"/>
    <w:rsid w:val="0F851DF9"/>
    <w:rsid w:val="0F862801"/>
    <w:rsid w:val="0F8D168B"/>
    <w:rsid w:val="0F9A112B"/>
    <w:rsid w:val="0FAC0586"/>
    <w:rsid w:val="0FAC4C5F"/>
    <w:rsid w:val="0FB67AC8"/>
    <w:rsid w:val="0FB706F9"/>
    <w:rsid w:val="0FC41FA8"/>
    <w:rsid w:val="0FCC0FF0"/>
    <w:rsid w:val="0FD52B41"/>
    <w:rsid w:val="0FD717B9"/>
    <w:rsid w:val="0FD9478B"/>
    <w:rsid w:val="0FE20680"/>
    <w:rsid w:val="0FF62F7C"/>
    <w:rsid w:val="0FF705D0"/>
    <w:rsid w:val="0FF70961"/>
    <w:rsid w:val="0FF7412C"/>
    <w:rsid w:val="0FF97814"/>
    <w:rsid w:val="1001144E"/>
    <w:rsid w:val="10013384"/>
    <w:rsid w:val="10085F0D"/>
    <w:rsid w:val="10233173"/>
    <w:rsid w:val="10254936"/>
    <w:rsid w:val="103827AB"/>
    <w:rsid w:val="104D0B3D"/>
    <w:rsid w:val="104D4694"/>
    <w:rsid w:val="10507CE0"/>
    <w:rsid w:val="10511222"/>
    <w:rsid w:val="105A46BB"/>
    <w:rsid w:val="10603A9A"/>
    <w:rsid w:val="106D2F64"/>
    <w:rsid w:val="10A03EA3"/>
    <w:rsid w:val="10A9782B"/>
    <w:rsid w:val="10AB58DC"/>
    <w:rsid w:val="10B63710"/>
    <w:rsid w:val="10BD3A5E"/>
    <w:rsid w:val="10C91AE9"/>
    <w:rsid w:val="10CE5D66"/>
    <w:rsid w:val="10D1528F"/>
    <w:rsid w:val="10D51453"/>
    <w:rsid w:val="10E2302E"/>
    <w:rsid w:val="10E32902"/>
    <w:rsid w:val="10E43002"/>
    <w:rsid w:val="10E8045C"/>
    <w:rsid w:val="10F10820"/>
    <w:rsid w:val="10FD4EE8"/>
    <w:rsid w:val="111C2F7A"/>
    <w:rsid w:val="11390DA8"/>
    <w:rsid w:val="114E41C0"/>
    <w:rsid w:val="1162265A"/>
    <w:rsid w:val="11665CA1"/>
    <w:rsid w:val="116752E1"/>
    <w:rsid w:val="116A0748"/>
    <w:rsid w:val="116C67E6"/>
    <w:rsid w:val="116C6D9B"/>
    <w:rsid w:val="1173012A"/>
    <w:rsid w:val="117A036C"/>
    <w:rsid w:val="11846029"/>
    <w:rsid w:val="118E3BB8"/>
    <w:rsid w:val="11A00FBA"/>
    <w:rsid w:val="11A958FA"/>
    <w:rsid w:val="11AB1672"/>
    <w:rsid w:val="11BF6ECB"/>
    <w:rsid w:val="11C64F77"/>
    <w:rsid w:val="11CE60CB"/>
    <w:rsid w:val="11DF756D"/>
    <w:rsid w:val="11E06E41"/>
    <w:rsid w:val="11E72304"/>
    <w:rsid w:val="11E76024"/>
    <w:rsid w:val="11F563E8"/>
    <w:rsid w:val="121E0096"/>
    <w:rsid w:val="122E65E3"/>
    <w:rsid w:val="12366161"/>
    <w:rsid w:val="123810CD"/>
    <w:rsid w:val="123F1DBA"/>
    <w:rsid w:val="125878B8"/>
    <w:rsid w:val="12604C3E"/>
    <w:rsid w:val="12677142"/>
    <w:rsid w:val="127777A6"/>
    <w:rsid w:val="12802CFC"/>
    <w:rsid w:val="12851EC3"/>
    <w:rsid w:val="128B1B14"/>
    <w:rsid w:val="12942106"/>
    <w:rsid w:val="12A06CFD"/>
    <w:rsid w:val="12A1158B"/>
    <w:rsid w:val="12A6730B"/>
    <w:rsid w:val="12C14EC5"/>
    <w:rsid w:val="12CC2A67"/>
    <w:rsid w:val="12CE6334"/>
    <w:rsid w:val="12D07315"/>
    <w:rsid w:val="12D67AB1"/>
    <w:rsid w:val="12E365E6"/>
    <w:rsid w:val="12E40CD5"/>
    <w:rsid w:val="12E41216"/>
    <w:rsid w:val="12E52961"/>
    <w:rsid w:val="12E973C9"/>
    <w:rsid w:val="12EA7F78"/>
    <w:rsid w:val="12F62799"/>
    <w:rsid w:val="130A4904"/>
    <w:rsid w:val="130F367D"/>
    <w:rsid w:val="13186B1A"/>
    <w:rsid w:val="131B0DBD"/>
    <w:rsid w:val="131D034D"/>
    <w:rsid w:val="132316DC"/>
    <w:rsid w:val="13285D8A"/>
    <w:rsid w:val="133B7343"/>
    <w:rsid w:val="1342495C"/>
    <w:rsid w:val="13474541"/>
    <w:rsid w:val="134B2C62"/>
    <w:rsid w:val="136046DE"/>
    <w:rsid w:val="13687F0E"/>
    <w:rsid w:val="136C7D4D"/>
    <w:rsid w:val="138E3A5E"/>
    <w:rsid w:val="13951726"/>
    <w:rsid w:val="13A04C9A"/>
    <w:rsid w:val="13B54242"/>
    <w:rsid w:val="13B567D8"/>
    <w:rsid w:val="13C152E0"/>
    <w:rsid w:val="13C37816"/>
    <w:rsid w:val="13C42478"/>
    <w:rsid w:val="13C8126A"/>
    <w:rsid w:val="13CB3A86"/>
    <w:rsid w:val="13DB7BA1"/>
    <w:rsid w:val="13DE1E03"/>
    <w:rsid w:val="13E03090"/>
    <w:rsid w:val="13E23345"/>
    <w:rsid w:val="13E25E26"/>
    <w:rsid w:val="13ED5318"/>
    <w:rsid w:val="13F51150"/>
    <w:rsid w:val="13F54E26"/>
    <w:rsid w:val="13F6294C"/>
    <w:rsid w:val="13F82B68"/>
    <w:rsid w:val="141334FE"/>
    <w:rsid w:val="142E20E6"/>
    <w:rsid w:val="14396509"/>
    <w:rsid w:val="14402FDA"/>
    <w:rsid w:val="14423DE3"/>
    <w:rsid w:val="14467CEA"/>
    <w:rsid w:val="14496F20"/>
    <w:rsid w:val="144F02E9"/>
    <w:rsid w:val="14574AE4"/>
    <w:rsid w:val="14667AD2"/>
    <w:rsid w:val="146C4D24"/>
    <w:rsid w:val="147433E0"/>
    <w:rsid w:val="1478518D"/>
    <w:rsid w:val="14812B5E"/>
    <w:rsid w:val="148E0DD7"/>
    <w:rsid w:val="14997C58"/>
    <w:rsid w:val="149A777C"/>
    <w:rsid w:val="14A32AD4"/>
    <w:rsid w:val="14A5684C"/>
    <w:rsid w:val="14B44CE1"/>
    <w:rsid w:val="14B7657F"/>
    <w:rsid w:val="14BD2115"/>
    <w:rsid w:val="14BE16BC"/>
    <w:rsid w:val="14C152EA"/>
    <w:rsid w:val="14C53111"/>
    <w:rsid w:val="14CF3EBF"/>
    <w:rsid w:val="14DD2C3C"/>
    <w:rsid w:val="14E97070"/>
    <w:rsid w:val="14F075E7"/>
    <w:rsid w:val="14F926F4"/>
    <w:rsid w:val="150A2B53"/>
    <w:rsid w:val="150F2AFE"/>
    <w:rsid w:val="1523507B"/>
    <w:rsid w:val="152A3A00"/>
    <w:rsid w:val="152E4A94"/>
    <w:rsid w:val="152E6A3B"/>
    <w:rsid w:val="153457FB"/>
    <w:rsid w:val="1537321C"/>
    <w:rsid w:val="153876C0"/>
    <w:rsid w:val="15420546"/>
    <w:rsid w:val="15432254"/>
    <w:rsid w:val="154A73F4"/>
    <w:rsid w:val="154C6CC8"/>
    <w:rsid w:val="1551198D"/>
    <w:rsid w:val="155A6BB7"/>
    <w:rsid w:val="15664F80"/>
    <w:rsid w:val="15724254"/>
    <w:rsid w:val="15732BFE"/>
    <w:rsid w:val="15802E15"/>
    <w:rsid w:val="158152E0"/>
    <w:rsid w:val="158B1288"/>
    <w:rsid w:val="159026C2"/>
    <w:rsid w:val="15B36D47"/>
    <w:rsid w:val="15C560DF"/>
    <w:rsid w:val="15CA6820"/>
    <w:rsid w:val="15CB5E0E"/>
    <w:rsid w:val="15D31197"/>
    <w:rsid w:val="15E26217"/>
    <w:rsid w:val="15E52C78"/>
    <w:rsid w:val="15E95E94"/>
    <w:rsid w:val="15EB4733"/>
    <w:rsid w:val="15FA2BC8"/>
    <w:rsid w:val="15FB146B"/>
    <w:rsid w:val="16047751"/>
    <w:rsid w:val="16087E1D"/>
    <w:rsid w:val="160A26DF"/>
    <w:rsid w:val="16151A06"/>
    <w:rsid w:val="16236DAE"/>
    <w:rsid w:val="16253BE7"/>
    <w:rsid w:val="16265243"/>
    <w:rsid w:val="162D4D4B"/>
    <w:rsid w:val="162D75EC"/>
    <w:rsid w:val="165403D5"/>
    <w:rsid w:val="16571B59"/>
    <w:rsid w:val="165878EE"/>
    <w:rsid w:val="165E2283"/>
    <w:rsid w:val="16621F64"/>
    <w:rsid w:val="166273F7"/>
    <w:rsid w:val="1663076D"/>
    <w:rsid w:val="16632DF6"/>
    <w:rsid w:val="16666551"/>
    <w:rsid w:val="167119B1"/>
    <w:rsid w:val="168319F9"/>
    <w:rsid w:val="168626AD"/>
    <w:rsid w:val="1695469E"/>
    <w:rsid w:val="16976668"/>
    <w:rsid w:val="16A16FE1"/>
    <w:rsid w:val="16A91EF8"/>
    <w:rsid w:val="16AB0BAA"/>
    <w:rsid w:val="16AB42B3"/>
    <w:rsid w:val="16B526F9"/>
    <w:rsid w:val="16C64020"/>
    <w:rsid w:val="16C94348"/>
    <w:rsid w:val="16DB2490"/>
    <w:rsid w:val="16E12CF7"/>
    <w:rsid w:val="16F578DE"/>
    <w:rsid w:val="170311CB"/>
    <w:rsid w:val="17056EE2"/>
    <w:rsid w:val="170A53EE"/>
    <w:rsid w:val="171C4DC0"/>
    <w:rsid w:val="171D637C"/>
    <w:rsid w:val="17222EEC"/>
    <w:rsid w:val="172278CB"/>
    <w:rsid w:val="17253C74"/>
    <w:rsid w:val="17343EB7"/>
    <w:rsid w:val="174340FA"/>
    <w:rsid w:val="17463BEB"/>
    <w:rsid w:val="174E7736"/>
    <w:rsid w:val="174F6F43"/>
    <w:rsid w:val="175E0F34"/>
    <w:rsid w:val="176E2494"/>
    <w:rsid w:val="17701D14"/>
    <w:rsid w:val="17735226"/>
    <w:rsid w:val="177C13BA"/>
    <w:rsid w:val="17AE3C6A"/>
    <w:rsid w:val="17B0246F"/>
    <w:rsid w:val="17B15508"/>
    <w:rsid w:val="17BE19D3"/>
    <w:rsid w:val="17C17176"/>
    <w:rsid w:val="17C3523B"/>
    <w:rsid w:val="17C35253"/>
    <w:rsid w:val="17CF3BE0"/>
    <w:rsid w:val="17D37BBF"/>
    <w:rsid w:val="17D42770"/>
    <w:rsid w:val="17D62037"/>
    <w:rsid w:val="17D652AA"/>
    <w:rsid w:val="17DF3DEB"/>
    <w:rsid w:val="17E61B2C"/>
    <w:rsid w:val="17F64ED7"/>
    <w:rsid w:val="17F84EE5"/>
    <w:rsid w:val="180C6BE2"/>
    <w:rsid w:val="18201364"/>
    <w:rsid w:val="18291542"/>
    <w:rsid w:val="1840688C"/>
    <w:rsid w:val="184A7E99"/>
    <w:rsid w:val="184D6F90"/>
    <w:rsid w:val="184E71FB"/>
    <w:rsid w:val="18543B9A"/>
    <w:rsid w:val="185D2F9A"/>
    <w:rsid w:val="1861707A"/>
    <w:rsid w:val="186B601E"/>
    <w:rsid w:val="186E51A7"/>
    <w:rsid w:val="18776204"/>
    <w:rsid w:val="188449CB"/>
    <w:rsid w:val="18866995"/>
    <w:rsid w:val="188744BB"/>
    <w:rsid w:val="18876269"/>
    <w:rsid w:val="18910E95"/>
    <w:rsid w:val="18954E2A"/>
    <w:rsid w:val="18957E90"/>
    <w:rsid w:val="189C1D14"/>
    <w:rsid w:val="189F624C"/>
    <w:rsid w:val="18AD2173"/>
    <w:rsid w:val="18B96776"/>
    <w:rsid w:val="18BC3B0A"/>
    <w:rsid w:val="18BF1EA7"/>
    <w:rsid w:val="18C1177B"/>
    <w:rsid w:val="18C9062F"/>
    <w:rsid w:val="18C96881"/>
    <w:rsid w:val="18D80A41"/>
    <w:rsid w:val="18DD394C"/>
    <w:rsid w:val="18DE6B34"/>
    <w:rsid w:val="18E6464F"/>
    <w:rsid w:val="18F02060"/>
    <w:rsid w:val="18F03806"/>
    <w:rsid w:val="19036750"/>
    <w:rsid w:val="192054A7"/>
    <w:rsid w:val="19245868"/>
    <w:rsid w:val="19273C70"/>
    <w:rsid w:val="19333619"/>
    <w:rsid w:val="193450CD"/>
    <w:rsid w:val="1940645C"/>
    <w:rsid w:val="194447E6"/>
    <w:rsid w:val="194505FE"/>
    <w:rsid w:val="19465C6A"/>
    <w:rsid w:val="194B7296"/>
    <w:rsid w:val="19540C59"/>
    <w:rsid w:val="195A2BF3"/>
    <w:rsid w:val="19686CE8"/>
    <w:rsid w:val="196A68DD"/>
    <w:rsid w:val="196C47D3"/>
    <w:rsid w:val="196D5E77"/>
    <w:rsid w:val="19820422"/>
    <w:rsid w:val="198F450F"/>
    <w:rsid w:val="19977D8A"/>
    <w:rsid w:val="199944A6"/>
    <w:rsid w:val="199D4530"/>
    <w:rsid w:val="199E3DB5"/>
    <w:rsid w:val="19A84C65"/>
    <w:rsid w:val="19C94923"/>
    <w:rsid w:val="19D12091"/>
    <w:rsid w:val="19E27BFB"/>
    <w:rsid w:val="19EE5E29"/>
    <w:rsid w:val="19F4792E"/>
    <w:rsid w:val="1A045DC3"/>
    <w:rsid w:val="1A0822E3"/>
    <w:rsid w:val="1A1C66C0"/>
    <w:rsid w:val="1A2C70C8"/>
    <w:rsid w:val="1A3B5EE4"/>
    <w:rsid w:val="1A3C1BE5"/>
    <w:rsid w:val="1A42393B"/>
    <w:rsid w:val="1A473F02"/>
    <w:rsid w:val="1A6256EF"/>
    <w:rsid w:val="1A7242B2"/>
    <w:rsid w:val="1A732F49"/>
    <w:rsid w:val="1A7B1C28"/>
    <w:rsid w:val="1A7D5A8E"/>
    <w:rsid w:val="1A911621"/>
    <w:rsid w:val="1A937EA2"/>
    <w:rsid w:val="1A943193"/>
    <w:rsid w:val="1A9C249F"/>
    <w:rsid w:val="1AA566F7"/>
    <w:rsid w:val="1AA83997"/>
    <w:rsid w:val="1AAD45DE"/>
    <w:rsid w:val="1AB53561"/>
    <w:rsid w:val="1ABA0B77"/>
    <w:rsid w:val="1ABF1CEA"/>
    <w:rsid w:val="1AC75042"/>
    <w:rsid w:val="1AC90DBB"/>
    <w:rsid w:val="1ACA2E83"/>
    <w:rsid w:val="1AD65CA8"/>
    <w:rsid w:val="1AD95915"/>
    <w:rsid w:val="1AE12057"/>
    <w:rsid w:val="1AE45BF4"/>
    <w:rsid w:val="1AEB0D31"/>
    <w:rsid w:val="1AF55039"/>
    <w:rsid w:val="1AF634B0"/>
    <w:rsid w:val="1AF96D18"/>
    <w:rsid w:val="1B01169A"/>
    <w:rsid w:val="1B046F80"/>
    <w:rsid w:val="1B0C6C17"/>
    <w:rsid w:val="1B2E6E70"/>
    <w:rsid w:val="1B3267B5"/>
    <w:rsid w:val="1B3637C8"/>
    <w:rsid w:val="1B3A5814"/>
    <w:rsid w:val="1B40161D"/>
    <w:rsid w:val="1B441859"/>
    <w:rsid w:val="1B495A57"/>
    <w:rsid w:val="1B4E2EED"/>
    <w:rsid w:val="1B500B75"/>
    <w:rsid w:val="1B53604E"/>
    <w:rsid w:val="1B5C2866"/>
    <w:rsid w:val="1B5E1503"/>
    <w:rsid w:val="1B6606B1"/>
    <w:rsid w:val="1B672C59"/>
    <w:rsid w:val="1B68711F"/>
    <w:rsid w:val="1B8371BB"/>
    <w:rsid w:val="1B8448F8"/>
    <w:rsid w:val="1B8E3DCA"/>
    <w:rsid w:val="1B9A25C0"/>
    <w:rsid w:val="1BC32E39"/>
    <w:rsid w:val="1BC47429"/>
    <w:rsid w:val="1BC537A6"/>
    <w:rsid w:val="1BC57182"/>
    <w:rsid w:val="1BCD6688"/>
    <w:rsid w:val="1BD73063"/>
    <w:rsid w:val="1BDD599F"/>
    <w:rsid w:val="1BF06096"/>
    <w:rsid w:val="1C054074"/>
    <w:rsid w:val="1C0D4CD7"/>
    <w:rsid w:val="1C163B8C"/>
    <w:rsid w:val="1C166281"/>
    <w:rsid w:val="1C210E42"/>
    <w:rsid w:val="1C2508F2"/>
    <w:rsid w:val="1C2F2E9F"/>
    <w:rsid w:val="1C2F5D4A"/>
    <w:rsid w:val="1C3212A1"/>
    <w:rsid w:val="1C370023"/>
    <w:rsid w:val="1C391B7E"/>
    <w:rsid w:val="1C3B52C5"/>
    <w:rsid w:val="1C3D19C7"/>
    <w:rsid w:val="1C4032FE"/>
    <w:rsid w:val="1C5E7925"/>
    <w:rsid w:val="1C640D9B"/>
    <w:rsid w:val="1C662D65"/>
    <w:rsid w:val="1C755A81"/>
    <w:rsid w:val="1C761991"/>
    <w:rsid w:val="1C78331E"/>
    <w:rsid w:val="1C7B54D2"/>
    <w:rsid w:val="1CA7327C"/>
    <w:rsid w:val="1CA83640"/>
    <w:rsid w:val="1CAC7710"/>
    <w:rsid w:val="1CCC4B92"/>
    <w:rsid w:val="1CFD070F"/>
    <w:rsid w:val="1D0B4789"/>
    <w:rsid w:val="1D13631D"/>
    <w:rsid w:val="1D1C4D64"/>
    <w:rsid w:val="1D364570"/>
    <w:rsid w:val="1D3C1D18"/>
    <w:rsid w:val="1D3F35B6"/>
    <w:rsid w:val="1D4D7A81"/>
    <w:rsid w:val="1D585E2D"/>
    <w:rsid w:val="1D5A03F0"/>
    <w:rsid w:val="1D5C2A5E"/>
    <w:rsid w:val="1D5F6196"/>
    <w:rsid w:val="1D6132A5"/>
    <w:rsid w:val="1D6B410C"/>
    <w:rsid w:val="1D6C3651"/>
    <w:rsid w:val="1D6E035E"/>
    <w:rsid w:val="1D742094"/>
    <w:rsid w:val="1D81260B"/>
    <w:rsid w:val="1D8541C0"/>
    <w:rsid w:val="1D864D5A"/>
    <w:rsid w:val="1D8E56D5"/>
    <w:rsid w:val="1DB45D52"/>
    <w:rsid w:val="1DB94719"/>
    <w:rsid w:val="1DC31AF1"/>
    <w:rsid w:val="1DC6338F"/>
    <w:rsid w:val="1DCC309C"/>
    <w:rsid w:val="1DD505BB"/>
    <w:rsid w:val="1DEE3904"/>
    <w:rsid w:val="1DF76B22"/>
    <w:rsid w:val="1E162569"/>
    <w:rsid w:val="1E31403C"/>
    <w:rsid w:val="1E36414E"/>
    <w:rsid w:val="1E393902"/>
    <w:rsid w:val="1E470974"/>
    <w:rsid w:val="1E4A3FC0"/>
    <w:rsid w:val="1E4B3F06"/>
    <w:rsid w:val="1E537319"/>
    <w:rsid w:val="1E697786"/>
    <w:rsid w:val="1E6F3A27"/>
    <w:rsid w:val="1E6F3F95"/>
    <w:rsid w:val="1E766E25"/>
    <w:rsid w:val="1E7A43DA"/>
    <w:rsid w:val="1E861030"/>
    <w:rsid w:val="1E8B0EE6"/>
    <w:rsid w:val="1E971C3F"/>
    <w:rsid w:val="1EB678A8"/>
    <w:rsid w:val="1EBE78FF"/>
    <w:rsid w:val="1ECE074D"/>
    <w:rsid w:val="1ED32208"/>
    <w:rsid w:val="1ED970FC"/>
    <w:rsid w:val="1EDA3EAE"/>
    <w:rsid w:val="1EE00481"/>
    <w:rsid w:val="1EE937D9"/>
    <w:rsid w:val="1EEB5785"/>
    <w:rsid w:val="1EF02DBA"/>
    <w:rsid w:val="1EFF4DAB"/>
    <w:rsid w:val="1F221709"/>
    <w:rsid w:val="1F2667DB"/>
    <w:rsid w:val="1F2B2044"/>
    <w:rsid w:val="1F356A1F"/>
    <w:rsid w:val="1F394E10"/>
    <w:rsid w:val="1F3C7DAD"/>
    <w:rsid w:val="1F3D3B25"/>
    <w:rsid w:val="1F4E5D32"/>
    <w:rsid w:val="1F5A6485"/>
    <w:rsid w:val="1F6115C2"/>
    <w:rsid w:val="1F793D47"/>
    <w:rsid w:val="1F7E65A8"/>
    <w:rsid w:val="1F803199"/>
    <w:rsid w:val="1F841754"/>
    <w:rsid w:val="1F875C0C"/>
    <w:rsid w:val="1F8D0609"/>
    <w:rsid w:val="1F8F0648"/>
    <w:rsid w:val="1F9757DB"/>
    <w:rsid w:val="1F9E45C4"/>
    <w:rsid w:val="1FB2006F"/>
    <w:rsid w:val="1FC102B2"/>
    <w:rsid w:val="1FC20655"/>
    <w:rsid w:val="1FDC333E"/>
    <w:rsid w:val="1FE65F6B"/>
    <w:rsid w:val="1FE7539E"/>
    <w:rsid w:val="1FEC17D3"/>
    <w:rsid w:val="1FED72F9"/>
    <w:rsid w:val="1FF407CE"/>
    <w:rsid w:val="1FF55129"/>
    <w:rsid w:val="1FFE32B4"/>
    <w:rsid w:val="20052895"/>
    <w:rsid w:val="200D6967"/>
    <w:rsid w:val="201523AC"/>
    <w:rsid w:val="201A79C2"/>
    <w:rsid w:val="201B3E66"/>
    <w:rsid w:val="202076CF"/>
    <w:rsid w:val="20232D1B"/>
    <w:rsid w:val="203D202F"/>
    <w:rsid w:val="204752C1"/>
    <w:rsid w:val="20560211"/>
    <w:rsid w:val="205630F0"/>
    <w:rsid w:val="2058661A"/>
    <w:rsid w:val="206071D9"/>
    <w:rsid w:val="20607ACB"/>
    <w:rsid w:val="20623A3F"/>
    <w:rsid w:val="20671BE0"/>
    <w:rsid w:val="206C46C2"/>
    <w:rsid w:val="20714BC9"/>
    <w:rsid w:val="20833D20"/>
    <w:rsid w:val="2085008B"/>
    <w:rsid w:val="208732AA"/>
    <w:rsid w:val="20876488"/>
    <w:rsid w:val="20906368"/>
    <w:rsid w:val="20914128"/>
    <w:rsid w:val="20963CB8"/>
    <w:rsid w:val="209B6180"/>
    <w:rsid w:val="209D2ACD"/>
    <w:rsid w:val="20A076D5"/>
    <w:rsid w:val="20A53730"/>
    <w:rsid w:val="20A81A1B"/>
    <w:rsid w:val="20AF2801"/>
    <w:rsid w:val="20B07FB6"/>
    <w:rsid w:val="20B646FB"/>
    <w:rsid w:val="20C067BC"/>
    <w:rsid w:val="20C22534"/>
    <w:rsid w:val="20D04174"/>
    <w:rsid w:val="20DB1848"/>
    <w:rsid w:val="20DD2ECA"/>
    <w:rsid w:val="20DF30E6"/>
    <w:rsid w:val="20E14F67"/>
    <w:rsid w:val="20E719CD"/>
    <w:rsid w:val="210B52D2"/>
    <w:rsid w:val="21166E3C"/>
    <w:rsid w:val="21220B74"/>
    <w:rsid w:val="21285972"/>
    <w:rsid w:val="213B74B1"/>
    <w:rsid w:val="214B1CF4"/>
    <w:rsid w:val="214E2E4B"/>
    <w:rsid w:val="2156737F"/>
    <w:rsid w:val="21577120"/>
    <w:rsid w:val="215A2310"/>
    <w:rsid w:val="215A451A"/>
    <w:rsid w:val="216062ED"/>
    <w:rsid w:val="216B6728"/>
    <w:rsid w:val="216D57E7"/>
    <w:rsid w:val="2194441D"/>
    <w:rsid w:val="219771C8"/>
    <w:rsid w:val="219A700D"/>
    <w:rsid w:val="219F0A4C"/>
    <w:rsid w:val="21A47654"/>
    <w:rsid w:val="21A936D4"/>
    <w:rsid w:val="21B60940"/>
    <w:rsid w:val="21BF5402"/>
    <w:rsid w:val="21CD083F"/>
    <w:rsid w:val="21D544E9"/>
    <w:rsid w:val="21DE318A"/>
    <w:rsid w:val="21ED4C4D"/>
    <w:rsid w:val="21EF55AB"/>
    <w:rsid w:val="21EF5B80"/>
    <w:rsid w:val="21F04927"/>
    <w:rsid w:val="21F26E49"/>
    <w:rsid w:val="21F4736F"/>
    <w:rsid w:val="21FA7AAB"/>
    <w:rsid w:val="220821C8"/>
    <w:rsid w:val="2209366B"/>
    <w:rsid w:val="220A4192"/>
    <w:rsid w:val="22146879"/>
    <w:rsid w:val="222F3BF9"/>
    <w:rsid w:val="22462CF1"/>
    <w:rsid w:val="225263A8"/>
    <w:rsid w:val="22576990"/>
    <w:rsid w:val="2265586D"/>
    <w:rsid w:val="226658F8"/>
    <w:rsid w:val="2268710B"/>
    <w:rsid w:val="22753165"/>
    <w:rsid w:val="2277734E"/>
    <w:rsid w:val="229879F0"/>
    <w:rsid w:val="22993768"/>
    <w:rsid w:val="22A55C69"/>
    <w:rsid w:val="22AF6E32"/>
    <w:rsid w:val="22D93B65"/>
    <w:rsid w:val="22DA1DB7"/>
    <w:rsid w:val="22DC5532"/>
    <w:rsid w:val="22E40D45"/>
    <w:rsid w:val="22EC1AEA"/>
    <w:rsid w:val="22F47480"/>
    <w:rsid w:val="22F56BF1"/>
    <w:rsid w:val="2305495A"/>
    <w:rsid w:val="230841E7"/>
    <w:rsid w:val="230A01C2"/>
    <w:rsid w:val="231177A3"/>
    <w:rsid w:val="23360FB7"/>
    <w:rsid w:val="233B1741"/>
    <w:rsid w:val="23476D20"/>
    <w:rsid w:val="23490CEA"/>
    <w:rsid w:val="23533917"/>
    <w:rsid w:val="23566F63"/>
    <w:rsid w:val="23744297"/>
    <w:rsid w:val="239348E5"/>
    <w:rsid w:val="23A45F21"/>
    <w:rsid w:val="23B30D00"/>
    <w:rsid w:val="23B7040A"/>
    <w:rsid w:val="23C843A6"/>
    <w:rsid w:val="23C97DA7"/>
    <w:rsid w:val="23CD36CA"/>
    <w:rsid w:val="23CE7152"/>
    <w:rsid w:val="23D41EDB"/>
    <w:rsid w:val="23D654A0"/>
    <w:rsid w:val="23D902C0"/>
    <w:rsid w:val="23DE1C48"/>
    <w:rsid w:val="23EC0F7A"/>
    <w:rsid w:val="23F0560A"/>
    <w:rsid w:val="23F95193"/>
    <w:rsid w:val="23FC4552"/>
    <w:rsid w:val="240210CD"/>
    <w:rsid w:val="24042E63"/>
    <w:rsid w:val="241840E6"/>
    <w:rsid w:val="241A4435"/>
    <w:rsid w:val="242527BC"/>
    <w:rsid w:val="242B4A09"/>
    <w:rsid w:val="2447472E"/>
    <w:rsid w:val="24497E27"/>
    <w:rsid w:val="244F0582"/>
    <w:rsid w:val="24517D2E"/>
    <w:rsid w:val="24525685"/>
    <w:rsid w:val="24596D0B"/>
    <w:rsid w:val="246A53BC"/>
    <w:rsid w:val="247D4EBB"/>
    <w:rsid w:val="247D6121"/>
    <w:rsid w:val="2480073C"/>
    <w:rsid w:val="24831FDA"/>
    <w:rsid w:val="24843928"/>
    <w:rsid w:val="24855D52"/>
    <w:rsid w:val="248C70E1"/>
    <w:rsid w:val="24A97458"/>
    <w:rsid w:val="24AA57B9"/>
    <w:rsid w:val="24AB77E5"/>
    <w:rsid w:val="24BF09F7"/>
    <w:rsid w:val="24C962F8"/>
    <w:rsid w:val="24CC5C1F"/>
    <w:rsid w:val="24D560A5"/>
    <w:rsid w:val="24D67F08"/>
    <w:rsid w:val="24DA5D3D"/>
    <w:rsid w:val="24DC2B0D"/>
    <w:rsid w:val="24E36AD9"/>
    <w:rsid w:val="24E76A0D"/>
    <w:rsid w:val="24EC4023"/>
    <w:rsid w:val="25021151"/>
    <w:rsid w:val="250E4253"/>
    <w:rsid w:val="250F1AC0"/>
    <w:rsid w:val="25146CFD"/>
    <w:rsid w:val="251A344B"/>
    <w:rsid w:val="252217F3"/>
    <w:rsid w:val="25221F7E"/>
    <w:rsid w:val="2524134A"/>
    <w:rsid w:val="25257C91"/>
    <w:rsid w:val="25283EA5"/>
    <w:rsid w:val="25292B82"/>
    <w:rsid w:val="252D53FE"/>
    <w:rsid w:val="253407EF"/>
    <w:rsid w:val="25396321"/>
    <w:rsid w:val="254B6F9C"/>
    <w:rsid w:val="2566429C"/>
    <w:rsid w:val="256721A8"/>
    <w:rsid w:val="25706101"/>
    <w:rsid w:val="25863C5E"/>
    <w:rsid w:val="2589734E"/>
    <w:rsid w:val="259C15A5"/>
    <w:rsid w:val="25A42208"/>
    <w:rsid w:val="25A960D1"/>
    <w:rsid w:val="25AC2049"/>
    <w:rsid w:val="25AC3ECC"/>
    <w:rsid w:val="25AD37B3"/>
    <w:rsid w:val="25B06DFF"/>
    <w:rsid w:val="25C32FD6"/>
    <w:rsid w:val="25CB1E8B"/>
    <w:rsid w:val="25D36F91"/>
    <w:rsid w:val="25D56865"/>
    <w:rsid w:val="25D76759"/>
    <w:rsid w:val="25DF5936"/>
    <w:rsid w:val="25E116AE"/>
    <w:rsid w:val="25E5383A"/>
    <w:rsid w:val="25EC2D81"/>
    <w:rsid w:val="25EF15F0"/>
    <w:rsid w:val="25EF3DCB"/>
    <w:rsid w:val="25FF38E2"/>
    <w:rsid w:val="260C0B28"/>
    <w:rsid w:val="262477ED"/>
    <w:rsid w:val="26265313"/>
    <w:rsid w:val="2628108B"/>
    <w:rsid w:val="262B044E"/>
    <w:rsid w:val="262B7192"/>
    <w:rsid w:val="26404627"/>
    <w:rsid w:val="26461511"/>
    <w:rsid w:val="2646528D"/>
    <w:rsid w:val="264834DB"/>
    <w:rsid w:val="265A4FBD"/>
    <w:rsid w:val="265C281B"/>
    <w:rsid w:val="265D6075"/>
    <w:rsid w:val="26606A77"/>
    <w:rsid w:val="26661BB3"/>
    <w:rsid w:val="26695200"/>
    <w:rsid w:val="266C74E7"/>
    <w:rsid w:val="266D794B"/>
    <w:rsid w:val="267404C2"/>
    <w:rsid w:val="267B2451"/>
    <w:rsid w:val="267F67D1"/>
    <w:rsid w:val="26804680"/>
    <w:rsid w:val="269F0C21"/>
    <w:rsid w:val="26A00DE8"/>
    <w:rsid w:val="26AD43F0"/>
    <w:rsid w:val="26BE554B"/>
    <w:rsid w:val="26C044AD"/>
    <w:rsid w:val="26CD127B"/>
    <w:rsid w:val="26D20FF7"/>
    <w:rsid w:val="26D357AE"/>
    <w:rsid w:val="26D42FC1"/>
    <w:rsid w:val="26D6420E"/>
    <w:rsid w:val="26DC30FF"/>
    <w:rsid w:val="26E078BA"/>
    <w:rsid w:val="26EA0F62"/>
    <w:rsid w:val="26EC1B9F"/>
    <w:rsid w:val="26FB3DD9"/>
    <w:rsid w:val="26FE1DEC"/>
    <w:rsid w:val="2708789F"/>
    <w:rsid w:val="27117D71"/>
    <w:rsid w:val="271909D4"/>
    <w:rsid w:val="271E001A"/>
    <w:rsid w:val="27207FB4"/>
    <w:rsid w:val="27233601"/>
    <w:rsid w:val="272B0768"/>
    <w:rsid w:val="274E7130"/>
    <w:rsid w:val="27571C1E"/>
    <w:rsid w:val="27675417"/>
    <w:rsid w:val="276A3393"/>
    <w:rsid w:val="276A7481"/>
    <w:rsid w:val="276E0D20"/>
    <w:rsid w:val="276F4A98"/>
    <w:rsid w:val="277057A2"/>
    <w:rsid w:val="277D70CD"/>
    <w:rsid w:val="279E1F3A"/>
    <w:rsid w:val="27A6670B"/>
    <w:rsid w:val="27B9584D"/>
    <w:rsid w:val="27BA3F65"/>
    <w:rsid w:val="27C2106B"/>
    <w:rsid w:val="27C93585"/>
    <w:rsid w:val="27CB6172"/>
    <w:rsid w:val="27E90CCC"/>
    <w:rsid w:val="27EB4FAC"/>
    <w:rsid w:val="280276BA"/>
    <w:rsid w:val="280B5040"/>
    <w:rsid w:val="28133675"/>
    <w:rsid w:val="28137B19"/>
    <w:rsid w:val="28164F13"/>
    <w:rsid w:val="2819302C"/>
    <w:rsid w:val="28194B5E"/>
    <w:rsid w:val="2820139C"/>
    <w:rsid w:val="283D06F2"/>
    <w:rsid w:val="283D6356"/>
    <w:rsid w:val="284A52C5"/>
    <w:rsid w:val="2853580A"/>
    <w:rsid w:val="28573B25"/>
    <w:rsid w:val="285C301A"/>
    <w:rsid w:val="28667226"/>
    <w:rsid w:val="2867731A"/>
    <w:rsid w:val="28681C7B"/>
    <w:rsid w:val="28702875"/>
    <w:rsid w:val="28792C3B"/>
    <w:rsid w:val="288477AE"/>
    <w:rsid w:val="288E73B6"/>
    <w:rsid w:val="288F53F1"/>
    <w:rsid w:val="28916E8B"/>
    <w:rsid w:val="28926042"/>
    <w:rsid w:val="28942A77"/>
    <w:rsid w:val="289B3D96"/>
    <w:rsid w:val="289F315B"/>
    <w:rsid w:val="28AF7842"/>
    <w:rsid w:val="28B66606"/>
    <w:rsid w:val="28BD6C68"/>
    <w:rsid w:val="28C130D1"/>
    <w:rsid w:val="28CA0C78"/>
    <w:rsid w:val="28CF0D04"/>
    <w:rsid w:val="28D06A14"/>
    <w:rsid w:val="28D42E04"/>
    <w:rsid w:val="28D7062B"/>
    <w:rsid w:val="28D80EC2"/>
    <w:rsid w:val="28DB7DFD"/>
    <w:rsid w:val="28DC7F0B"/>
    <w:rsid w:val="28DF46BE"/>
    <w:rsid w:val="28E427C3"/>
    <w:rsid w:val="28E86F25"/>
    <w:rsid w:val="28F25495"/>
    <w:rsid w:val="28F274A0"/>
    <w:rsid w:val="28F33BD2"/>
    <w:rsid w:val="2907783C"/>
    <w:rsid w:val="291B695B"/>
    <w:rsid w:val="29206EB8"/>
    <w:rsid w:val="292E56D5"/>
    <w:rsid w:val="29313B33"/>
    <w:rsid w:val="29333BE2"/>
    <w:rsid w:val="2936586D"/>
    <w:rsid w:val="293715E5"/>
    <w:rsid w:val="293B2C12"/>
    <w:rsid w:val="293D309F"/>
    <w:rsid w:val="29490CFD"/>
    <w:rsid w:val="29581C87"/>
    <w:rsid w:val="2959155B"/>
    <w:rsid w:val="29595666"/>
    <w:rsid w:val="2970595E"/>
    <w:rsid w:val="297B5976"/>
    <w:rsid w:val="29874881"/>
    <w:rsid w:val="29883BEF"/>
    <w:rsid w:val="29914397"/>
    <w:rsid w:val="299F3E67"/>
    <w:rsid w:val="29A502DB"/>
    <w:rsid w:val="29B33362"/>
    <w:rsid w:val="29B77034"/>
    <w:rsid w:val="29CA4207"/>
    <w:rsid w:val="29CD67C8"/>
    <w:rsid w:val="29D532D8"/>
    <w:rsid w:val="29E17ECF"/>
    <w:rsid w:val="29E325E0"/>
    <w:rsid w:val="29E729A5"/>
    <w:rsid w:val="29F26356"/>
    <w:rsid w:val="2A0054FF"/>
    <w:rsid w:val="2A0E644F"/>
    <w:rsid w:val="2A1969AF"/>
    <w:rsid w:val="2A1F4553"/>
    <w:rsid w:val="2A247F78"/>
    <w:rsid w:val="2A2878AC"/>
    <w:rsid w:val="2A2C5816"/>
    <w:rsid w:val="2A3049B2"/>
    <w:rsid w:val="2A3233C3"/>
    <w:rsid w:val="2A393024"/>
    <w:rsid w:val="2A452503"/>
    <w:rsid w:val="2A4C088E"/>
    <w:rsid w:val="2A4E308A"/>
    <w:rsid w:val="2A574BB1"/>
    <w:rsid w:val="2A581813"/>
    <w:rsid w:val="2A5E6D0D"/>
    <w:rsid w:val="2A685EFA"/>
    <w:rsid w:val="2A77613D"/>
    <w:rsid w:val="2A7A6401"/>
    <w:rsid w:val="2A7D74CC"/>
    <w:rsid w:val="2A853AB5"/>
    <w:rsid w:val="2A8C6D67"/>
    <w:rsid w:val="2A8E16D9"/>
    <w:rsid w:val="2A955EC2"/>
    <w:rsid w:val="2A9860B3"/>
    <w:rsid w:val="2A995D5F"/>
    <w:rsid w:val="2AA7296D"/>
    <w:rsid w:val="2AAE24E5"/>
    <w:rsid w:val="2AB468D7"/>
    <w:rsid w:val="2AB50D09"/>
    <w:rsid w:val="2AB56C65"/>
    <w:rsid w:val="2ACA3FE8"/>
    <w:rsid w:val="2AD55BBA"/>
    <w:rsid w:val="2AE00626"/>
    <w:rsid w:val="2AE35581"/>
    <w:rsid w:val="2AE5558D"/>
    <w:rsid w:val="2AE82B97"/>
    <w:rsid w:val="2B016E77"/>
    <w:rsid w:val="2B073965"/>
    <w:rsid w:val="2B074BFF"/>
    <w:rsid w:val="2B1246CA"/>
    <w:rsid w:val="2B1C4F36"/>
    <w:rsid w:val="2B330D0F"/>
    <w:rsid w:val="2B3758CC"/>
    <w:rsid w:val="2B3870A7"/>
    <w:rsid w:val="2B3B2235"/>
    <w:rsid w:val="2B4A1AA4"/>
    <w:rsid w:val="2B566F64"/>
    <w:rsid w:val="2B5C7A0C"/>
    <w:rsid w:val="2B6D7540"/>
    <w:rsid w:val="2B712524"/>
    <w:rsid w:val="2B8D0828"/>
    <w:rsid w:val="2BA54F2C"/>
    <w:rsid w:val="2BA936A8"/>
    <w:rsid w:val="2BC2788C"/>
    <w:rsid w:val="2BC540CC"/>
    <w:rsid w:val="2BDB2775"/>
    <w:rsid w:val="2BDF2F1D"/>
    <w:rsid w:val="2BE05F64"/>
    <w:rsid w:val="2BEA026C"/>
    <w:rsid w:val="2BFD08C4"/>
    <w:rsid w:val="2C063C1D"/>
    <w:rsid w:val="2C1018B8"/>
    <w:rsid w:val="2C1B6F9C"/>
    <w:rsid w:val="2C315A5A"/>
    <w:rsid w:val="2C4B1C25"/>
    <w:rsid w:val="2C4C3F30"/>
    <w:rsid w:val="2C576B89"/>
    <w:rsid w:val="2C5C5AED"/>
    <w:rsid w:val="2C5D2255"/>
    <w:rsid w:val="2C640A71"/>
    <w:rsid w:val="2C754DAB"/>
    <w:rsid w:val="2C7F3EE9"/>
    <w:rsid w:val="2C81312E"/>
    <w:rsid w:val="2C8D1C48"/>
    <w:rsid w:val="2C8F1D88"/>
    <w:rsid w:val="2C9F0EBF"/>
    <w:rsid w:val="2CA945A8"/>
    <w:rsid w:val="2CAD0261"/>
    <w:rsid w:val="2CB73169"/>
    <w:rsid w:val="2CB74F7D"/>
    <w:rsid w:val="2CC46F75"/>
    <w:rsid w:val="2CCB2770"/>
    <w:rsid w:val="2CD0422B"/>
    <w:rsid w:val="2CD45AC9"/>
    <w:rsid w:val="2CD94E8D"/>
    <w:rsid w:val="2CF021D7"/>
    <w:rsid w:val="2CFF241A"/>
    <w:rsid w:val="2D031F0A"/>
    <w:rsid w:val="2D0603E2"/>
    <w:rsid w:val="2D1B2A3E"/>
    <w:rsid w:val="2D1E0AF2"/>
    <w:rsid w:val="2D267460"/>
    <w:rsid w:val="2D331CEA"/>
    <w:rsid w:val="2D3F40EB"/>
    <w:rsid w:val="2D520F22"/>
    <w:rsid w:val="2D5269EE"/>
    <w:rsid w:val="2D573A95"/>
    <w:rsid w:val="2D6055AE"/>
    <w:rsid w:val="2D654973"/>
    <w:rsid w:val="2D6B3378"/>
    <w:rsid w:val="2D713318"/>
    <w:rsid w:val="2D746964"/>
    <w:rsid w:val="2D831A36"/>
    <w:rsid w:val="2D850B71"/>
    <w:rsid w:val="2D86591E"/>
    <w:rsid w:val="2D8A7529"/>
    <w:rsid w:val="2D8F3758"/>
    <w:rsid w:val="2D9E56F5"/>
    <w:rsid w:val="2DA01E4F"/>
    <w:rsid w:val="2DA34EFD"/>
    <w:rsid w:val="2DAD00C8"/>
    <w:rsid w:val="2DB033B7"/>
    <w:rsid w:val="2DBC1ACB"/>
    <w:rsid w:val="2DE47F8D"/>
    <w:rsid w:val="2DFF7B34"/>
    <w:rsid w:val="2E042A39"/>
    <w:rsid w:val="2E0A51BD"/>
    <w:rsid w:val="2E0F48DF"/>
    <w:rsid w:val="2E150147"/>
    <w:rsid w:val="2E220AB6"/>
    <w:rsid w:val="2E314855"/>
    <w:rsid w:val="2E3C1BBC"/>
    <w:rsid w:val="2E405081"/>
    <w:rsid w:val="2E462B89"/>
    <w:rsid w:val="2E4D77A9"/>
    <w:rsid w:val="2E540CB1"/>
    <w:rsid w:val="2E6469D8"/>
    <w:rsid w:val="2E661843"/>
    <w:rsid w:val="2E6632B7"/>
    <w:rsid w:val="2E667F96"/>
    <w:rsid w:val="2E6A4538"/>
    <w:rsid w:val="2E6B19F6"/>
    <w:rsid w:val="2E6C58E4"/>
    <w:rsid w:val="2E75393E"/>
    <w:rsid w:val="2E7A27CE"/>
    <w:rsid w:val="2E8226AB"/>
    <w:rsid w:val="2E89346F"/>
    <w:rsid w:val="2E953A49"/>
    <w:rsid w:val="2E9A4AF0"/>
    <w:rsid w:val="2EA045BC"/>
    <w:rsid w:val="2EA046D5"/>
    <w:rsid w:val="2EA1530C"/>
    <w:rsid w:val="2EA93C02"/>
    <w:rsid w:val="2EAE1B30"/>
    <w:rsid w:val="2EB01C1E"/>
    <w:rsid w:val="2EB23BE8"/>
    <w:rsid w:val="2EB709FD"/>
    <w:rsid w:val="2EC21951"/>
    <w:rsid w:val="2EC43C40"/>
    <w:rsid w:val="2ECD2DE9"/>
    <w:rsid w:val="2ED11B16"/>
    <w:rsid w:val="2EE161F9"/>
    <w:rsid w:val="2EEE0998"/>
    <w:rsid w:val="2EF73CF0"/>
    <w:rsid w:val="2EFD2B19"/>
    <w:rsid w:val="2F092A6F"/>
    <w:rsid w:val="2F0A4DFC"/>
    <w:rsid w:val="2F124686"/>
    <w:rsid w:val="2F193DAC"/>
    <w:rsid w:val="2F1F0B51"/>
    <w:rsid w:val="2F23210D"/>
    <w:rsid w:val="2F25085E"/>
    <w:rsid w:val="2F386161"/>
    <w:rsid w:val="2F4A3BFB"/>
    <w:rsid w:val="2F5F3244"/>
    <w:rsid w:val="2F6818F1"/>
    <w:rsid w:val="2F712D23"/>
    <w:rsid w:val="2F762E67"/>
    <w:rsid w:val="2F77098D"/>
    <w:rsid w:val="2F835584"/>
    <w:rsid w:val="2FC57E55"/>
    <w:rsid w:val="2FCA09C3"/>
    <w:rsid w:val="2FCE0027"/>
    <w:rsid w:val="2FD065E6"/>
    <w:rsid w:val="2FD5529A"/>
    <w:rsid w:val="2FD96870"/>
    <w:rsid w:val="2FE1152C"/>
    <w:rsid w:val="2FEE1920"/>
    <w:rsid w:val="2FF1420B"/>
    <w:rsid w:val="30004E27"/>
    <w:rsid w:val="30095804"/>
    <w:rsid w:val="300F0BC6"/>
    <w:rsid w:val="300F6E18"/>
    <w:rsid w:val="301D4299"/>
    <w:rsid w:val="302723B3"/>
    <w:rsid w:val="302A3C52"/>
    <w:rsid w:val="3038011D"/>
    <w:rsid w:val="30474904"/>
    <w:rsid w:val="30515682"/>
    <w:rsid w:val="30556F21"/>
    <w:rsid w:val="30580BC9"/>
    <w:rsid w:val="305B7A51"/>
    <w:rsid w:val="30600986"/>
    <w:rsid w:val="30613A46"/>
    <w:rsid w:val="30662EDC"/>
    <w:rsid w:val="30683E50"/>
    <w:rsid w:val="30760C45"/>
    <w:rsid w:val="30876FEC"/>
    <w:rsid w:val="30911F84"/>
    <w:rsid w:val="309561E5"/>
    <w:rsid w:val="309D08C8"/>
    <w:rsid w:val="30A02A44"/>
    <w:rsid w:val="30A5574C"/>
    <w:rsid w:val="30A9101A"/>
    <w:rsid w:val="30AD79A0"/>
    <w:rsid w:val="30B04157"/>
    <w:rsid w:val="30BD737C"/>
    <w:rsid w:val="30DE13F8"/>
    <w:rsid w:val="30E53E11"/>
    <w:rsid w:val="30FE5E9D"/>
    <w:rsid w:val="3106021B"/>
    <w:rsid w:val="311E2ED7"/>
    <w:rsid w:val="312220E2"/>
    <w:rsid w:val="31331EC5"/>
    <w:rsid w:val="313646E4"/>
    <w:rsid w:val="313D5F05"/>
    <w:rsid w:val="31480833"/>
    <w:rsid w:val="314840DC"/>
    <w:rsid w:val="314B0324"/>
    <w:rsid w:val="3152520E"/>
    <w:rsid w:val="315312BB"/>
    <w:rsid w:val="315337DA"/>
    <w:rsid w:val="315619EE"/>
    <w:rsid w:val="315C449C"/>
    <w:rsid w:val="3160793D"/>
    <w:rsid w:val="31624104"/>
    <w:rsid w:val="316E0AD0"/>
    <w:rsid w:val="317E6E7E"/>
    <w:rsid w:val="31837ABD"/>
    <w:rsid w:val="318F2126"/>
    <w:rsid w:val="31951EAC"/>
    <w:rsid w:val="31994BEB"/>
    <w:rsid w:val="31A517E2"/>
    <w:rsid w:val="31A8336D"/>
    <w:rsid w:val="31A90D0C"/>
    <w:rsid w:val="31AF440F"/>
    <w:rsid w:val="31B45EC9"/>
    <w:rsid w:val="31B57180"/>
    <w:rsid w:val="31B82709"/>
    <w:rsid w:val="31B935CC"/>
    <w:rsid w:val="31D05482"/>
    <w:rsid w:val="31D43E75"/>
    <w:rsid w:val="31DD5293"/>
    <w:rsid w:val="31E0281A"/>
    <w:rsid w:val="31E3230A"/>
    <w:rsid w:val="31E52673"/>
    <w:rsid w:val="31EA5447"/>
    <w:rsid w:val="31EE4C77"/>
    <w:rsid w:val="31F02D75"/>
    <w:rsid w:val="320102D9"/>
    <w:rsid w:val="320B735E"/>
    <w:rsid w:val="32122865"/>
    <w:rsid w:val="32135F41"/>
    <w:rsid w:val="32166341"/>
    <w:rsid w:val="32400B34"/>
    <w:rsid w:val="324A2D3D"/>
    <w:rsid w:val="324B3D66"/>
    <w:rsid w:val="324B718F"/>
    <w:rsid w:val="324D5094"/>
    <w:rsid w:val="32552A08"/>
    <w:rsid w:val="325922B6"/>
    <w:rsid w:val="326C67A3"/>
    <w:rsid w:val="327A0EC0"/>
    <w:rsid w:val="327B29B4"/>
    <w:rsid w:val="329444BF"/>
    <w:rsid w:val="32983D1D"/>
    <w:rsid w:val="329A0AD5"/>
    <w:rsid w:val="329E6876"/>
    <w:rsid w:val="32AA2E28"/>
    <w:rsid w:val="32AF17E8"/>
    <w:rsid w:val="32B07210"/>
    <w:rsid w:val="32CD26E3"/>
    <w:rsid w:val="32CE36F6"/>
    <w:rsid w:val="32D45BB4"/>
    <w:rsid w:val="32E60304"/>
    <w:rsid w:val="32ED7D4B"/>
    <w:rsid w:val="32FF2758"/>
    <w:rsid w:val="33033B61"/>
    <w:rsid w:val="33046401"/>
    <w:rsid w:val="33095DA0"/>
    <w:rsid w:val="331444EC"/>
    <w:rsid w:val="3316226B"/>
    <w:rsid w:val="331E3D20"/>
    <w:rsid w:val="333015F2"/>
    <w:rsid w:val="33323549"/>
    <w:rsid w:val="333C7F24"/>
    <w:rsid w:val="33415BDE"/>
    <w:rsid w:val="3344327C"/>
    <w:rsid w:val="33447CF9"/>
    <w:rsid w:val="334B6320"/>
    <w:rsid w:val="33582884"/>
    <w:rsid w:val="33613E2E"/>
    <w:rsid w:val="33686B6E"/>
    <w:rsid w:val="336B5878"/>
    <w:rsid w:val="3370007C"/>
    <w:rsid w:val="337C6572"/>
    <w:rsid w:val="33915B49"/>
    <w:rsid w:val="3392223A"/>
    <w:rsid w:val="33BC0FF2"/>
    <w:rsid w:val="33BE664A"/>
    <w:rsid w:val="33CE559C"/>
    <w:rsid w:val="33CE6130"/>
    <w:rsid w:val="33CF6FEA"/>
    <w:rsid w:val="33D155EF"/>
    <w:rsid w:val="33D934D4"/>
    <w:rsid w:val="33DD4E14"/>
    <w:rsid w:val="33DE547F"/>
    <w:rsid w:val="33E610F1"/>
    <w:rsid w:val="33E72277"/>
    <w:rsid w:val="33EA7980"/>
    <w:rsid w:val="33FE2F6A"/>
    <w:rsid w:val="34042578"/>
    <w:rsid w:val="340E07E5"/>
    <w:rsid w:val="341E3ACD"/>
    <w:rsid w:val="34235BF7"/>
    <w:rsid w:val="343263EC"/>
    <w:rsid w:val="343273EA"/>
    <w:rsid w:val="34386B6E"/>
    <w:rsid w:val="34425A0E"/>
    <w:rsid w:val="34452E08"/>
    <w:rsid w:val="344A041F"/>
    <w:rsid w:val="344E5351"/>
    <w:rsid w:val="344F012B"/>
    <w:rsid w:val="346516FC"/>
    <w:rsid w:val="346534AA"/>
    <w:rsid w:val="348A5F09"/>
    <w:rsid w:val="349C4189"/>
    <w:rsid w:val="34A8645F"/>
    <w:rsid w:val="34C42E76"/>
    <w:rsid w:val="34C74165"/>
    <w:rsid w:val="34C93A39"/>
    <w:rsid w:val="34DB15D1"/>
    <w:rsid w:val="34E174D6"/>
    <w:rsid w:val="34E55AC4"/>
    <w:rsid w:val="34F96828"/>
    <w:rsid w:val="35020CF9"/>
    <w:rsid w:val="35053CC7"/>
    <w:rsid w:val="3506450A"/>
    <w:rsid w:val="350D0159"/>
    <w:rsid w:val="3514308F"/>
    <w:rsid w:val="351A27AB"/>
    <w:rsid w:val="3522324D"/>
    <w:rsid w:val="35282DE5"/>
    <w:rsid w:val="352B46F4"/>
    <w:rsid w:val="352E7D40"/>
    <w:rsid w:val="35747E49"/>
    <w:rsid w:val="357E2A76"/>
    <w:rsid w:val="358108E6"/>
    <w:rsid w:val="358C5FA8"/>
    <w:rsid w:val="358D0F0B"/>
    <w:rsid w:val="359027A9"/>
    <w:rsid w:val="359229B6"/>
    <w:rsid w:val="3598340C"/>
    <w:rsid w:val="35AF70D3"/>
    <w:rsid w:val="35B04BF9"/>
    <w:rsid w:val="35BE7316"/>
    <w:rsid w:val="35C0308E"/>
    <w:rsid w:val="35C15DF1"/>
    <w:rsid w:val="35C97A69"/>
    <w:rsid w:val="35E44DA6"/>
    <w:rsid w:val="35ED3757"/>
    <w:rsid w:val="35FE6EC7"/>
    <w:rsid w:val="36074A7F"/>
    <w:rsid w:val="360D5BA8"/>
    <w:rsid w:val="360D63F1"/>
    <w:rsid w:val="360E506A"/>
    <w:rsid w:val="36152728"/>
    <w:rsid w:val="3619454C"/>
    <w:rsid w:val="361C5DEB"/>
    <w:rsid w:val="36211653"/>
    <w:rsid w:val="362A49AB"/>
    <w:rsid w:val="362D7E77"/>
    <w:rsid w:val="363E01C3"/>
    <w:rsid w:val="36417887"/>
    <w:rsid w:val="364B22FA"/>
    <w:rsid w:val="3655614C"/>
    <w:rsid w:val="36624145"/>
    <w:rsid w:val="366F6320"/>
    <w:rsid w:val="367B6FB5"/>
    <w:rsid w:val="36923549"/>
    <w:rsid w:val="36967C43"/>
    <w:rsid w:val="369E2E55"/>
    <w:rsid w:val="36A52373"/>
    <w:rsid w:val="36A75FFC"/>
    <w:rsid w:val="36AE1698"/>
    <w:rsid w:val="36B25121"/>
    <w:rsid w:val="36B75FBF"/>
    <w:rsid w:val="36BD0C45"/>
    <w:rsid w:val="36D32BC4"/>
    <w:rsid w:val="36E0506A"/>
    <w:rsid w:val="36FC6348"/>
    <w:rsid w:val="36FC798E"/>
    <w:rsid w:val="371A67CE"/>
    <w:rsid w:val="371D37D3"/>
    <w:rsid w:val="371D62BE"/>
    <w:rsid w:val="372302B7"/>
    <w:rsid w:val="372C6501"/>
    <w:rsid w:val="373111C9"/>
    <w:rsid w:val="3734294E"/>
    <w:rsid w:val="37386830"/>
    <w:rsid w:val="373E1707"/>
    <w:rsid w:val="37527378"/>
    <w:rsid w:val="37533DA9"/>
    <w:rsid w:val="37607F59"/>
    <w:rsid w:val="376E6505"/>
    <w:rsid w:val="377311C5"/>
    <w:rsid w:val="3776484C"/>
    <w:rsid w:val="377D7ECA"/>
    <w:rsid w:val="3788340A"/>
    <w:rsid w:val="379C71E3"/>
    <w:rsid w:val="379E11A9"/>
    <w:rsid w:val="37C15966"/>
    <w:rsid w:val="37C8622A"/>
    <w:rsid w:val="37C93641"/>
    <w:rsid w:val="37CB5D1A"/>
    <w:rsid w:val="37D83F93"/>
    <w:rsid w:val="37E00298"/>
    <w:rsid w:val="37E43455"/>
    <w:rsid w:val="37EB35A4"/>
    <w:rsid w:val="37F06328"/>
    <w:rsid w:val="37F609FC"/>
    <w:rsid w:val="37FA215C"/>
    <w:rsid w:val="380B2A71"/>
    <w:rsid w:val="3814146F"/>
    <w:rsid w:val="381A19B9"/>
    <w:rsid w:val="381F46A9"/>
    <w:rsid w:val="38214F3B"/>
    <w:rsid w:val="382A0C93"/>
    <w:rsid w:val="38303089"/>
    <w:rsid w:val="38402264"/>
    <w:rsid w:val="385775AE"/>
    <w:rsid w:val="38630622"/>
    <w:rsid w:val="38635F53"/>
    <w:rsid w:val="386F2593"/>
    <w:rsid w:val="38875B9A"/>
    <w:rsid w:val="38995E18"/>
    <w:rsid w:val="389F5629"/>
    <w:rsid w:val="38A04AB1"/>
    <w:rsid w:val="38A24CCD"/>
    <w:rsid w:val="38A345A1"/>
    <w:rsid w:val="38A46666"/>
    <w:rsid w:val="38A46D65"/>
    <w:rsid w:val="38A74DA6"/>
    <w:rsid w:val="38B302F9"/>
    <w:rsid w:val="38B73617"/>
    <w:rsid w:val="38B8490B"/>
    <w:rsid w:val="38C20ECB"/>
    <w:rsid w:val="38CA2F8D"/>
    <w:rsid w:val="38CC3BF1"/>
    <w:rsid w:val="38D34707"/>
    <w:rsid w:val="38E2156D"/>
    <w:rsid w:val="38E52E0C"/>
    <w:rsid w:val="38E70932"/>
    <w:rsid w:val="38F12CD3"/>
    <w:rsid w:val="38F53E39"/>
    <w:rsid w:val="38F815A1"/>
    <w:rsid w:val="38F848ED"/>
    <w:rsid w:val="38F94775"/>
    <w:rsid w:val="39046F90"/>
    <w:rsid w:val="3906789D"/>
    <w:rsid w:val="3911219C"/>
    <w:rsid w:val="391332E6"/>
    <w:rsid w:val="391B79E1"/>
    <w:rsid w:val="391D54C3"/>
    <w:rsid w:val="392971ED"/>
    <w:rsid w:val="392F4087"/>
    <w:rsid w:val="392F69D1"/>
    <w:rsid w:val="39325651"/>
    <w:rsid w:val="39333B77"/>
    <w:rsid w:val="393D3E1D"/>
    <w:rsid w:val="393E7EAB"/>
    <w:rsid w:val="394418E0"/>
    <w:rsid w:val="39504729"/>
    <w:rsid w:val="3955113C"/>
    <w:rsid w:val="39581830"/>
    <w:rsid w:val="395B6C43"/>
    <w:rsid w:val="395D6406"/>
    <w:rsid w:val="39623DB2"/>
    <w:rsid w:val="396653E8"/>
    <w:rsid w:val="39686BEF"/>
    <w:rsid w:val="396E7A6D"/>
    <w:rsid w:val="39774D2B"/>
    <w:rsid w:val="397F7F96"/>
    <w:rsid w:val="398067F3"/>
    <w:rsid w:val="398E107C"/>
    <w:rsid w:val="39991482"/>
    <w:rsid w:val="39A516E9"/>
    <w:rsid w:val="39A82DAB"/>
    <w:rsid w:val="39AB195F"/>
    <w:rsid w:val="39C71398"/>
    <w:rsid w:val="39CE34A3"/>
    <w:rsid w:val="39D30EB6"/>
    <w:rsid w:val="39DB4D3F"/>
    <w:rsid w:val="39E47C63"/>
    <w:rsid w:val="39EA0F1E"/>
    <w:rsid w:val="39F538C1"/>
    <w:rsid w:val="39F538F4"/>
    <w:rsid w:val="39FF7EFD"/>
    <w:rsid w:val="3A173499"/>
    <w:rsid w:val="3A183C95"/>
    <w:rsid w:val="3A1E0383"/>
    <w:rsid w:val="3A267238"/>
    <w:rsid w:val="3A3E6C77"/>
    <w:rsid w:val="3A4C202B"/>
    <w:rsid w:val="3A5913BB"/>
    <w:rsid w:val="3A7F3972"/>
    <w:rsid w:val="3A86417A"/>
    <w:rsid w:val="3A872856"/>
    <w:rsid w:val="3A9C574C"/>
    <w:rsid w:val="3A9C5ED2"/>
    <w:rsid w:val="3AC516C4"/>
    <w:rsid w:val="3AC52EF5"/>
    <w:rsid w:val="3AD60C5E"/>
    <w:rsid w:val="3AF02707"/>
    <w:rsid w:val="3AF24DD9"/>
    <w:rsid w:val="3AF676B0"/>
    <w:rsid w:val="3B01249B"/>
    <w:rsid w:val="3B052BE2"/>
    <w:rsid w:val="3B091033"/>
    <w:rsid w:val="3B0A6B5A"/>
    <w:rsid w:val="3B167A46"/>
    <w:rsid w:val="3B1D688D"/>
    <w:rsid w:val="3B2319C9"/>
    <w:rsid w:val="3B3455A5"/>
    <w:rsid w:val="3B36053B"/>
    <w:rsid w:val="3B3763D1"/>
    <w:rsid w:val="3B3A4543"/>
    <w:rsid w:val="3B4665B0"/>
    <w:rsid w:val="3B4E21C6"/>
    <w:rsid w:val="3B600AB2"/>
    <w:rsid w:val="3B607CCB"/>
    <w:rsid w:val="3B624FFE"/>
    <w:rsid w:val="3B7D732B"/>
    <w:rsid w:val="3B8F05BF"/>
    <w:rsid w:val="3B932778"/>
    <w:rsid w:val="3B9916C7"/>
    <w:rsid w:val="3BD333DB"/>
    <w:rsid w:val="3BDB2114"/>
    <w:rsid w:val="3BDD426E"/>
    <w:rsid w:val="3BEC6400"/>
    <w:rsid w:val="3BED2703"/>
    <w:rsid w:val="3BF375EE"/>
    <w:rsid w:val="3BF95ABD"/>
    <w:rsid w:val="3C2F408B"/>
    <w:rsid w:val="3C2F6E1E"/>
    <w:rsid w:val="3C357C06"/>
    <w:rsid w:val="3C4D6CFE"/>
    <w:rsid w:val="3C4F64BA"/>
    <w:rsid w:val="3C550033"/>
    <w:rsid w:val="3C585FF5"/>
    <w:rsid w:val="3C5A58BF"/>
    <w:rsid w:val="3C664263"/>
    <w:rsid w:val="3C670A4E"/>
    <w:rsid w:val="3C7A386B"/>
    <w:rsid w:val="3C821B58"/>
    <w:rsid w:val="3C936C1A"/>
    <w:rsid w:val="3C946AA2"/>
    <w:rsid w:val="3C95415B"/>
    <w:rsid w:val="3CAA05F4"/>
    <w:rsid w:val="3CAA4150"/>
    <w:rsid w:val="3CAA718F"/>
    <w:rsid w:val="3CAE1DE5"/>
    <w:rsid w:val="3CB10828"/>
    <w:rsid w:val="3CD4741F"/>
    <w:rsid w:val="3CDA245A"/>
    <w:rsid w:val="3CF63839"/>
    <w:rsid w:val="3D000214"/>
    <w:rsid w:val="3D0F5FEB"/>
    <w:rsid w:val="3D0F613F"/>
    <w:rsid w:val="3D1540F2"/>
    <w:rsid w:val="3D1E06B7"/>
    <w:rsid w:val="3D3D4FC4"/>
    <w:rsid w:val="3D470640"/>
    <w:rsid w:val="3D4D0E5D"/>
    <w:rsid w:val="3D4D2D2E"/>
    <w:rsid w:val="3D5F4F1F"/>
    <w:rsid w:val="3D6235D0"/>
    <w:rsid w:val="3D7031A3"/>
    <w:rsid w:val="3D8B0744"/>
    <w:rsid w:val="3D950469"/>
    <w:rsid w:val="3DA77CAE"/>
    <w:rsid w:val="3DAA0DAC"/>
    <w:rsid w:val="3DB66B25"/>
    <w:rsid w:val="3DC15BF5"/>
    <w:rsid w:val="3DC833B9"/>
    <w:rsid w:val="3DCD5024"/>
    <w:rsid w:val="3DD15478"/>
    <w:rsid w:val="3DD75419"/>
    <w:rsid w:val="3DF00289"/>
    <w:rsid w:val="3DFC6C2D"/>
    <w:rsid w:val="3DFF04CC"/>
    <w:rsid w:val="3E026B6C"/>
    <w:rsid w:val="3E175815"/>
    <w:rsid w:val="3E1D5D80"/>
    <w:rsid w:val="3E3C527C"/>
    <w:rsid w:val="3E4048B3"/>
    <w:rsid w:val="3E4170BF"/>
    <w:rsid w:val="3E576AC8"/>
    <w:rsid w:val="3E5C76CC"/>
    <w:rsid w:val="3E636CAD"/>
    <w:rsid w:val="3E6F5651"/>
    <w:rsid w:val="3E832EAB"/>
    <w:rsid w:val="3E8B7FB1"/>
    <w:rsid w:val="3E9E5137"/>
    <w:rsid w:val="3EA12549"/>
    <w:rsid w:val="3EA370A9"/>
    <w:rsid w:val="3EB56DDC"/>
    <w:rsid w:val="3EBB0897"/>
    <w:rsid w:val="3EC87493"/>
    <w:rsid w:val="3ECA6D2C"/>
    <w:rsid w:val="3ED14B79"/>
    <w:rsid w:val="3EDA0523"/>
    <w:rsid w:val="3EDC084B"/>
    <w:rsid w:val="3EF06066"/>
    <w:rsid w:val="3EFD04D6"/>
    <w:rsid w:val="3F081602"/>
    <w:rsid w:val="3F141D55"/>
    <w:rsid w:val="3F2431EC"/>
    <w:rsid w:val="3F26743C"/>
    <w:rsid w:val="3F271CC2"/>
    <w:rsid w:val="3F2958A4"/>
    <w:rsid w:val="3F3101D7"/>
    <w:rsid w:val="3F3A46DD"/>
    <w:rsid w:val="3F484027"/>
    <w:rsid w:val="3F4A11E3"/>
    <w:rsid w:val="3F6B01EA"/>
    <w:rsid w:val="3F740A45"/>
    <w:rsid w:val="3F744CE3"/>
    <w:rsid w:val="3F785E83"/>
    <w:rsid w:val="3F7B0026"/>
    <w:rsid w:val="3F7B5FE5"/>
    <w:rsid w:val="3F8B6B62"/>
    <w:rsid w:val="3F8C2233"/>
    <w:rsid w:val="3F9808DB"/>
    <w:rsid w:val="3F9A7E24"/>
    <w:rsid w:val="3FA0183A"/>
    <w:rsid w:val="3FAA090B"/>
    <w:rsid w:val="3FB157F6"/>
    <w:rsid w:val="3FC01EDD"/>
    <w:rsid w:val="3FC75019"/>
    <w:rsid w:val="3FD3461A"/>
    <w:rsid w:val="3FD51B9A"/>
    <w:rsid w:val="3FDD483D"/>
    <w:rsid w:val="3FEE6BFE"/>
    <w:rsid w:val="3FF97C3F"/>
    <w:rsid w:val="3FFA0D1A"/>
    <w:rsid w:val="402266F3"/>
    <w:rsid w:val="402E5098"/>
    <w:rsid w:val="40314218"/>
    <w:rsid w:val="40381A73"/>
    <w:rsid w:val="40442B0E"/>
    <w:rsid w:val="404B7EC8"/>
    <w:rsid w:val="405569FA"/>
    <w:rsid w:val="40556AC9"/>
    <w:rsid w:val="40582115"/>
    <w:rsid w:val="40587920"/>
    <w:rsid w:val="40647E7C"/>
    <w:rsid w:val="4065364B"/>
    <w:rsid w:val="406A17C5"/>
    <w:rsid w:val="40716BF8"/>
    <w:rsid w:val="407A6407"/>
    <w:rsid w:val="407D392A"/>
    <w:rsid w:val="408C4AC8"/>
    <w:rsid w:val="408F2766"/>
    <w:rsid w:val="409C64A6"/>
    <w:rsid w:val="40A76740"/>
    <w:rsid w:val="40BD5F47"/>
    <w:rsid w:val="40D169B8"/>
    <w:rsid w:val="40DA57F1"/>
    <w:rsid w:val="40DF1CC1"/>
    <w:rsid w:val="40ED64EC"/>
    <w:rsid w:val="41012363"/>
    <w:rsid w:val="41100491"/>
    <w:rsid w:val="41272213"/>
    <w:rsid w:val="4148218A"/>
    <w:rsid w:val="414A0A35"/>
    <w:rsid w:val="4150450C"/>
    <w:rsid w:val="41605725"/>
    <w:rsid w:val="4164161A"/>
    <w:rsid w:val="416751FF"/>
    <w:rsid w:val="416B4DC5"/>
    <w:rsid w:val="416F7716"/>
    <w:rsid w:val="4180014C"/>
    <w:rsid w:val="41874A60"/>
    <w:rsid w:val="41886A2A"/>
    <w:rsid w:val="418913A9"/>
    <w:rsid w:val="41A0081E"/>
    <w:rsid w:val="41A078FE"/>
    <w:rsid w:val="41A27AEC"/>
    <w:rsid w:val="41A42073"/>
    <w:rsid w:val="41A575DC"/>
    <w:rsid w:val="41AC096A"/>
    <w:rsid w:val="41B700BE"/>
    <w:rsid w:val="41B808D2"/>
    <w:rsid w:val="41BF5E34"/>
    <w:rsid w:val="41C066B9"/>
    <w:rsid w:val="41C50B64"/>
    <w:rsid w:val="41C90C92"/>
    <w:rsid w:val="41D91034"/>
    <w:rsid w:val="41E512B0"/>
    <w:rsid w:val="41EA4FEF"/>
    <w:rsid w:val="41FB36A0"/>
    <w:rsid w:val="4200449D"/>
    <w:rsid w:val="42073141"/>
    <w:rsid w:val="4208452E"/>
    <w:rsid w:val="420F0BA9"/>
    <w:rsid w:val="42101A7A"/>
    <w:rsid w:val="421B789E"/>
    <w:rsid w:val="422229DB"/>
    <w:rsid w:val="422A325D"/>
    <w:rsid w:val="42390F50"/>
    <w:rsid w:val="423A3BCC"/>
    <w:rsid w:val="42404242"/>
    <w:rsid w:val="42462B96"/>
    <w:rsid w:val="42476758"/>
    <w:rsid w:val="424961B9"/>
    <w:rsid w:val="424E1A22"/>
    <w:rsid w:val="424E57D2"/>
    <w:rsid w:val="426C3C56"/>
    <w:rsid w:val="426D00FA"/>
    <w:rsid w:val="42716CAF"/>
    <w:rsid w:val="4283618C"/>
    <w:rsid w:val="4288230E"/>
    <w:rsid w:val="42921ACF"/>
    <w:rsid w:val="42937435"/>
    <w:rsid w:val="42A31D6D"/>
    <w:rsid w:val="42A8419F"/>
    <w:rsid w:val="42AE70A0"/>
    <w:rsid w:val="42B26C49"/>
    <w:rsid w:val="42B32B15"/>
    <w:rsid w:val="42B6199F"/>
    <w:rsid w:val="42BD2703"/>
    <w:rsid w:val="42BD7667"/>
    <w:rsid w:val="42D27BDC"/>
    <w:rsid w:val="42E71023"/>
    <w:rsid w:val="42EF4FB3"/>
    <w:rsid w:val="42F17845"/>
    <w:rsid w:val="42F65423"/>
    <w:rsid w:val="42F8373B"/>
    <w:rsid w:val="4310405E"/>
    <w:rsid w:val="43107F32"/>
    <w:rsid w:val="431542ED"/>
    <w:rsid w:val="431C679B"/>
    <w:rsid w:val="431E6DAD"/>
    <w:rsid w:val="43203754"/>
    <w:rsid w:val="432231CC"/>
    <w:rsid w:val="432509D4"/>
    <w:rsid w:val="43263BD6"/>
    <w:rsid w:val="43306FF8"/>
    <w:rsid w:val="43316794"/>
    <w:rsid w:val="433A6FE6"/>
    <w:rsid w:val="433B514A"/>
    <w:rsid w:val="43480868"/>
    <w:rsid w:val="434D3A87"/>
    <w:rsid w:val="4350713C"/>
    <w:rsid w:val="43542073"/>
    <w:rsid w:val="435552DB"/>
    <w:rsid w:val="436653E0"/>
    <w:rsid w:val="4368266F"/>
    <w:rsid w:val="43770B04"/>
    <w:rsid w:val="437A0A8E"/>
    <w:rsid w:val="437C611B"/>
    <w:rsid w:val="439B55D2"/>
    <w:rsid w:val="43A07918"/>
    <w:rsid w:val="43A267A5"/>
    <w:rsid w:val="43BE1986"/>
    <w:rsid w:val="43C4431A"/>
    <w:rsid w:val="43C71A8C"/>
    <w:rsid w:val="43C7565F"/>
    <w:rsid w:val="43CB7BE0"/>
    <w:rsid w:val="43E0686A"/>
    <w:rsid w:val="43EC3F9D"/>
    <w:rsid w:val="43F65ECD"/>
    <w:rsid w:val="43F764EA"/>
    <w:rsid w:val="43FB73B9"/>
    <w:rsid w:val="440C698A"/>
    <w:rsid w:val="4410424B"/>
    <w:rsid w:val="44114E1E"/>
    <w:rsid w:val="44120A94"/>
    <w:rsid w:val="44136EAC"/>
    <w:rsid w:val="44150A49"/>
    <w:rsid w:val="441D0A0C"/>
    <w:rsid w:val="441E13FC"/>
    <w:rsid w:val="44226CC2"/>
    <w:rsid w:val="44254A04"/>
    <w:rsid w:val="444066E0"/>
    <w:rsid w:val="4445276C"/>
    <w:rsid w:val="44464E2A"/>
    <w:rsid w:val="44491825"/>
    <w:rsid w:val="444E7AE4"/>
    <w:rsid w:val="445157F9"/>
    <w:rsid w:val="44531571"/>
    <w:rsid w:val="445826E4"/>
    <w:rsid w:val="44727C49"/>
    <w:rsid w:val="44780FD8"/>
    <w:rsid w:val="44782D86"/>
    <w:rsid w:val="44827761"/>
    <w:rsid w:val="449155F0"/>
    <w:rsid w:val="4492209A"/>
    <w:rsid w:val="44B273D5"/>
    <w:rsid w:val="44B75FAF"/>
    <w:rsid w:val="44B951CC"/>
    <w:rsid w:val="44C47537"/>
    <w:rsid w:val="44C67F95"/>
    <w:rsid w:val="44C97C66"/>
    <w:rsid w:val="44CD14E0"/>
    <w:rsid w:val="44CE6739"/>
    <w:rsid w:val="44D45F54"/>
    <w:rsid w:val="44DD0E3B"/>
    <w:rsid w:val="44E4041B"/>
    <w:rsid w:val="44E95BCB"/>
    <w:rsid w:val="44ED35CE"/>
    <w:rsid w:val="44EF2FF1"/>
    <w:rsid w:val="44F20B0B"/>
    <w:rsid w:val="44F96514"/>
    <w:rsid w:val="45194FF5"/>
    <w:rsid w:val="45195461"/>
    <w:rsid w:val="451E56DB"/>
    <w:rsid w:val="452A13BB"/>
    <w:rsid w:val="452B429C"/>
    <w:rsid w:val="452E5F4C"/>
    <w:rsid w:val="452F78E8"/>
    <w:rsid w:val="4530540F"/>
    <w:rsid w:val="453356FC"/>
    <w:rsid w:val="453A003B"/>
    <w:rsid w:val="453B44DF"/>
    <w:rsid w:val="45414268"/>
    <w:rsid w:val="454676EB"/>
    <w:rsid w:val="45611A6C"/>
    <w:rsid w:val="45612018"/>
    <w:rsid w:val="45694D0B"/>
    <w:rsid w:val="458946E9"/>
    <w:rsid w:val="458B6AE9"/>
    <w:rsid w:val="45991206"/>
    <w:rsid w:val="45A47C0E"/>
    <w:rsid w:val="45A94E4B"/>
    <w:rsid w:val="45AA6F6F"/>
    <w:rsid w:val="45B53A84"/>
    <w:rsid w:val="45C9758C"/>
    <w:rsid w:val="45DB181E"/>
    <w:rsid w:val="45E30C19"/>
    <w:rsid w:val="45E5286A"/>
    <w:rsid w:val="45E85CE9"/>
    <w:rsid w:val="45F25354"/>
    <w:rsid w:val="45F41150"/>
    <w:rsid w:val="46040D75"/>
    <w:rsid w:val="46091D13"/>
    <w:rsid w:val="461F5BAF"/>
    <w:rsid w:val="46212D59"/>
    <w:rsid w:val="46317690"/>
    <w:rsid w:val="46333408"/>
    <w:rsid w:val="4636739A"/>
    <w:rsid w:val="46377A12"/>
    <w:rsid w:val="463A4797"/>
    <w:rsid w:val="46411E01"/>
    <w:rsid w:val="46462F83"/>
    <w:rsid w:val="46577FD6"/>
    <w:rsid w:val="465D6EF9"/>
    <w:rsid w:val="4665558C"/>
    <w:rsid w:val="46696E2A"/>
    <w:rsid w:val="468A6DA0"/>
    <w:rsid w:val="469004E9"/>
    <w:rsid w:val="469F333D"/>
    <w:rsid w:val="46B1003E"/>
    <w:rsid w:val="46BD310A"/>
    <w:rsid w:val="46D955A7"/>
    <w:rsid w:val="46E04202"/>
    <w:rsid w:val="46E14115"/>
    <w:rsid w:val="46E50E70"/>
    <w:rsid w:val="46E51B17"/>
    <w:rsid w:val="46E577BE"/>
    <w:rsid w:val="46EB3CE3"/>
    <w:rsid w:val="46FC2262"/>
    <w:rsid w:val="46FD03FA"/>
    <w:rsid w:val="4701174D"/>
    <w:rsid w:val="47041C0B"/>
    <w:rsid w:val="47133957"/>
    <w:rsid w:val="47187B17"/>
    <w:rsid w:val="471C20EE"/>
    <w:rsid w:val="471C23C0"/>
    <w:rsid w:val="47215957"/>
    <w:rsid w:val="4723347D"/>
    <w:rsid w:val="47240ECC"/>
    <w:rsid w:val="472745EF"/>
    <w:rsid w:val="4732178B"/>
    <w:rsid w:val="473A2575"/>
    <w:rsid w:val="473A5340"/>
    <w:rsid w:val="47574D48"/>
    <w:rsid w:val="4760368F"/>
    <w:rsid w:val="47631177"/>
    <w:rsid w:val="476C0F7C"/>
    <w:rsid w:val="476D215C"/>
    <w:rsid w:val="476D3B92"/>
    <w:rsid w:val="476F01D4"/>
    <w:rsid w:val="47737835"/>
    <w:rsid w:val="47775577"/>
    <w:rsid w:val="477E0A07"/>
    <w:rsid w:val="47832521"/>
    <w:rsid w:val="47887B05"/>
    <w:rsid w:val="478B4B7E"/>
    <w:rsid w:val="47971775"/>
    <w:rsid w:val="479779C7"/>
    <w:rsid w:val="47A045B2"/>
    <w:rsid w:val="47A07E0C"/>
    <w:rsid w:val="47B24BC5"/>
    <w:rsid w:val="47B55DC2"/>
    <w:rsid w:val="47B6600E"/>
    <w:rsid w:val="47CA38F8"/>
    <w:rsid w:val="47CB252B"/>
    <w:rsid w:val="47CD169B"/>
    <w:rsid w:val="47DC3AFC"/>
    <w:rsid w:val="47DF29D3"/>
    <w:rsid w:val="47E371BC"/>
    <w:rsid w:val="47E56984"/>
    <w:rsid w:val="47EA4B8C"/>
    <w:rsid w:val="47ED7244"/>
    <w:rsid w:val="47EF335F"/>
    <w:rsid w:val="4808000A"/>
    <w:rsid w:val="48117C08"/>
    <w:rsid w:val="481430F3"/>
    <w:rsid w:val="481C7EAE"/>
    <w:rsid w:val="48223807"/>
    <w:rsid w:val="482D3986"/>
    <w:rsid w:val="482E20D9"/>
    <w:rsid w:val="483B2FF0"/>
    <w:rsid w:val="483D5387"/>
    <w:rsid w:val="484528DB"/>
    <w:rsid w:val="48457423"/>
    <w:rsid w:val="484E4739"/>
    <w:rsid w:val="4860425D"/>
    <w:rsid w:val="48616985"/>
    <w:rsid w:val="4862618D"/>
    <w:rsid w:val="4870272E"/>
    <w:rsid w:val="488137F7"/>
    <w:rsid w:val="48825F81"/>
    <w:rsid w:val="488434CD"/>
    <w:rsid w:val="488D53B8"/>
    <w:rsid w:val="48904B42"/>
    <w:rsid w:val="48935B28"/>
    <w:rsid w:val="48A405ED"/>
    <w:rsid w:val="48A91760"/>
    <w:rsid w:val="48BD3284"/>
    <w:rsid w:val="48C53433"/>
    <w:rsid w:val="48C53F99"/>
    <w:rsid w:val="48CB6839"/>
    <w:rsid w:val="48DA711B"/>
    <w:rsid w:val="48EB7FCA"/>
    <w:rsid w:val="48F6071D"/>
    <w:rsid w:val="48F71E77"/>
    <w:rsid w:val="48F86A2B"/>
    <w:rsid w:val="49157C69"/>
    <w:rsid w:val="49275D14"/>
    <w:rsid w:val="493354CD"/>
    <w:rsid w:val="493A2D00"/>
    <w:rsid w:val="495652F3"/>
    <w:rsid w:val="4957740E"/>
    <w:rsid w:val="496951F5"/>
    <w:rsid w:val="4970227E"/>
    <w:rsid w:val="49753D38"/>
    <w:rsid w:val="49755955"/>
    <w:rsid w:val="497B7918"/>
    <w:rsid w:val="49920446"/>
    <w:rsid w:val="499B018C"/>
    <w:rsid w:val="499B6D11"/>
    <w:rsid w:val="499F2B63"/>
    <w:rsid w:val="49C251F5"/>
    <w:rsid w:val="49C46E24"/>
    <w:rsid w:val="49C60D15"/>
    <w:rsid w:val="49CA5E32"/>
    <w:rsid w:val="49CD147E"/>
    <w:rsid w:val="49D40A5E"/>
    <w:rsid w:val="49DC7715"/>
    <w:rsid w:val="49E67392"/>
    <w:rsid w:val="49EA7D88"/>
    <w:rsid w:val="49F16172"/>
    <w:rsid w:val="49F62657"/>
    <w:rsid w:val="49F86CF4"/>
    <w:rsid w:val="49F93555"/>
    <w:rsid w:val="49FC09F6"/>
    <w:rsid w:val="4A023139"/>
    <w:rsid w:val="4A0330F2"/>
    <w:rsid w:val="4A05163C"/>
    <w:rsid w:val="4A0D4C31"/>
    <w:rsid w:val="4A200D28"/>
    <w:rsid w:val="4A2319E6"/>
    <w:rsid w:val="4A2B330E"/>
    <w:rsid w:val="4A2D63C1"/>
    <w:rsid w:val="4A3C6604"/>
    <w:rsid w:val="4A422A5C"/>
    <w:rsid w:val="4A431740"/>
    <w:rsid w:val="4A503BA8"/>
    <w:rsid w:val="4A58394C"/>
    <w:rsid w:val="4A5D0A54"/>
    <w:rsid w:val="4A7B576F"/>
    <w:rsid w:val="4A8835F7"/>
    <w:rsid w:val="4A895CED"/>
    <w:rsid w:val="4A8A736F"/>
    <w:rsid w:val="4A8E3BA4"/>
    <w:rsid w:val="4A955975"/>
    <w:rsid w:val="4AA710BF"/>
    <w:rsid w:val="4AAB1755"/>
    <w:rsid w:val="4AAD5B92"/>
    <w:rsid w:val="4AAE4E32"/>
    <w:rsid w:val="4AAE6DCD"/>
    <w:rsid w:val="4AB253A0"/>
    <w:rsid w:val="4ABC5960"/>
    <w:rsid w:val="4ABD14F2"/>
    <w:rsid w:val="4AC565F9"/>
    <w:rsid w:val="4ACA3C0F"/>
    <w:rsid w:val="4ACA7AEC"/>
    <w:rsid w:val="4ACD7B47"/>
    <w:rsid w:val="4AD351BA"/>
    <w:rsid w:val="4AD8457E"/>
    <w:rsid w:val="4AEB2504"/>
    <w:rsid w:val="4AEF3392"/>
    <w:rsid w:val="4AF01905"/>
    <w:rsid w:val="4AF561A9"/>
    <w:rsid w:val="4B0035D9"/>
    <w:rsid w:val="4B007582"/>
    <w:rsid w:val="4B065329"/>
    <w:rsid w:val="4B0B4954"/>
    <w:rsid w:val="4B0C4228"/>
    <w:rsid w:val="4B127CE0"/>
    <w:rsid w:val="4B180AAB"/>
    <w:rsid w:val="4B182BCD"/>
    <w:rsid w:val="4B1A0571"/>
    <w:rsid w:val="4B223A4B"/>
    <w:rsid w:val="4B223C90"/>
    <w:rsid w:val="4B2B4BE8"/>
    <w:rsid w:val="4B2C5595"/>
    <w:rsid w:val="4B314F29"/>
    <w:rsid w:val="4B4209BF"/>
    <w:rsid w:val="4B571947"/>
    <w:rsid w:val="4B627E51"/>
    <w:rsid w:val="4B6334A8"/>
    <w:rsid w:val="4B795BB7"/>
    <w:rsid w:val="4B841AD9"/>
    <w:rsid w:val="4B905B83"/>
    <w:rsid w:val="4B914098"/>
    <w:rsid w:val="4B946FE6"/>
    <w:rsid w:val="4BBD544B"/>
    <w:rsid w:val="4BE353D7"/>
    <w:rsid w:val="4BE64502"/>
    <w:rsid w:val="4BED5E07"/>
    <w:rsid w:val="4BF75B32"/>
    <w:rsid w:val="4C001FDF"/>
    <w:rsid w:val="4C021F5E"/>
    <w:rsid w:val="4C04492D"/>
    <w:rsid w:val="4C123498"/>
    <w:rsid w:val="4C126258"/>
    <w:rsid w:val="4C127525"/>
    <w:rsid w:val="4C285E99"/>
    <w:rsid w:val="4C35155C"/>
    <w:rsid w:val="4C380BD3"/>
    <w:rsid w:val="4C3B5F0E"/>
    <w:rsid w:val="4C3E2B07"/>
    <w:rsid w:val="4C406B22"/>
    <w:rsid w:val="4C417F01"/>
    <w:rsid w:val="4C4A0649"/>
    <w:rsid w:val="4C597734"/>
    <w:rsid w:val="4C6A52C8"/>
    <w:rsid w:val="4C6D519A"/>
    <w:rsid w:val="4C7C2983"/>
    <w:rsid w:val="4C7E5ECA"/>
    <w:rsid w:val="4C807DC5"/>
    <w:rsid w:val="4C876AA5"/>
    <w:rsid w:val="4C8D15D8"/>
    <w:rsid w:val="4C8D3147"/>
    <w:rsid w:val="4CB06523"/>
    <w:rsid w:val="4CB55F64"/>
    <w:rsid w:val="4CBF59F6"/>
    <w:rsid w:val="4CC712A7"/>
    <w:rsid w:val="4CD32F55"/>
    <w:rsid w:val="4CDA2830"/>
    <w:rsid w:val="4CE92A73"/>
    <w:rsid w:val="4CEA1CF0"/>
    <w:rsid w:val="4CEF0C1A"/>
    <w:rsid w:val="4CF31EA4"/>
    <w:rsid w:val="4CF66F3E"/>
    <w:rsid w:val="4D026A3A"/>
    <w:rsid w:val="4D0B7D6D"/>
    <w:rsid w:val="4D0E00FB"/>
    <w:rsid w:val="4D176606"/>
    <w:rsid w:val="4D31126A"/>
    <w:rsid w:val="4D371A30"/>
    <w:rsid w:val="4D5123C6"/>
    <w:rsid w:val="4D533B9F"/>
    <w:rsid w:val="4D53613E"/>
    <w:rsid w:val="4D537EEC"/>
    <w:rsid w:val="4D5819A6"/>
    <w:rsid w:val="4D6046FD"/>
    <w:rsid w:val="4D647D82"/>
    <w:rsid w:val="4D6640C3"/>
    <w:rsid w:val="4D686F33"/>
    <w:rsid w:val="4D690C43"/>
    <w:rsid w:val="4D6F051B"/>
    <w:rsid w:val="4D7E2808"/>
    <w:rsid w:val="4DA92202"/>
    <w:rsid w:val="4DAA675B"/>
    <w:rsid w:val="4DB56DF9"/>
    <w:rsid w:val="4DB6563C"/>
    <w:rsid w:val="4DC53E52"/>
    <w:rsid w:val="4DC94B5A"/>
    <w:rsid w:val="4DC96400"/>
    <w:rsid w:val="4DDD61C1"/>
    <w:rsid w:val="4DEC4FB0"/>
    <w:rsid w:val="4DF53699"/>
    <w:rsid w:val="4DFE254E"/>
    <w:rsid w:val="4E075D8A"/>
    <w:rsid w:val="4E094A4F"/>
    <w:rsid w:val="4E102281"/>
    <w:rsid w:val="4E151645"/>
    <w:rsid w:val="4E240D43"/>
    <w:rsid w:val="4E2A3343"/>
    <w:rsid w:val="4E2B2C17"/>
    <w:rsid w:val="4E2B70BB"/>
    <w:rsid w:val="4E2F2707"/>
    <w:rsid w:val="4E3C6BD2"/>
    <w:rsid w:val="4E4A7541"/>
    <w:rsid w:val="4E4B5A59"/>
    <w:rsid w:val="4E4D7031"/>
    <w:rsid w:val="4E5A52AA"/>
    <w:rsid w:val="4E717099"/>
    <w:rsid w:val="4E720846"/>
    <w:rsid w:val="4E721F64"/>
    <w:rsid w:val="4E992277"/>
    <w:rsid w:val="4E9E34D8"/>
    <w:rsid w:val="4E9F3BD0"/>
    <w:rsid w:val="4EA406B4"/>
    <w:rsid w:val="4EA76741"/>
    <w:rsid w:val="4EA90DE9"/>
    <w:rsid w:val="4EB15812"/>
    <w:rsid w:val="4EB754F6"/>
    <w:rsid w:val="4EB7730D"/>
    <w:rsid w:val="4EBD4210"/>
    <w:rsid w:val="4EC00FAD"/>
    <w:rsid w:val="4EC31C76"/>
    <w:rsid w:val="4EC73A12"/>
    <w:rsid w:val="4EDD6607"/>
    <w:rsid w:val="4EED611E"/>
    <w:rsid w:val="4EF02A66"/>
    <w:rsid w:val="4EF130C9"/>
    <w:rsid w:val="4F043B94"/>
    <w:rsid w:val="4F147B4F"/>
    <w:rsid w:val="4F1A1903"/>
    <w:rsid w:val="4F1E08A3"/>
    <w:rsid w:val="4F2028B6"/>
    <w:rsid w:val="4F245FE4"/>
    <w:rsid w:val="4F2A2ECF"/>
    <w:rsid w:val="4F2B51B5"/>
    <w:rsid w:val="4F2C6272"/>
    <w:rsid w:val="4F385F2F"/>
    <w:rsid w:val="4F4B17C3"/>
    <w:rsid w:val="4F5537F9"/>
    <w:rsid w:val="4F5F0DCA"/>
    <w:rsid w:val="4F717CEE"/>
    <w:rsid w:val="4F7401FD"/>
    <w:rsid w:val="4F7B372A"/>
    <w:rsid w:val="4F97491C"/>
    <w:rsid w:val="4F9754F7"/>
    <w:rsid w:val="4F9843DC"/>
    <w:rsid w:val="4FA26F69"/>
    <w:rsid w:val="4FAC0B4A"/>
    <w:rsid w:val="4FC62A8C"/>
    <w:rsid w:val="4FC652ED"/>
    <w:rsid w:val="4FC7696F"/>
    <w:rsid w:val="4FCE780F"/>
    <w:rsid w:val="4FD176D0"/>
    <w:rsid w:val="4FDC0F3A"/>
    <w:rsid w:val="4FE1061B"/>
    <w:rsid w:val="4FE20F0D"/>
    <w:rsid w:val="4FE305A5"/>
    <w:rsid w:val="4FE51552"/>
    <w:rsid w:val="4FED4628"/>
    <w:rsid w:val="500E7ECC"/>
    <w:rsid w:val="50106568"/>
    <w:rsid w:val="50181C82"/>
    <w:rsid w:val="501F178B"/>
    <w:rsid w:val="501F46C7"/>
    <w:rsid w:val="501F67AB"/>
    <w:rsid w:val="5023004A"/>
    <w:rsid w:val="502C00A1"/>
    <w:rsid w:val="5046008D"/>
    <w:rsid w:val="50466840"/>
    <w:rsid w:val="50504C4B"/>
    <w:rsid w:val="5051165F"/>
    <w:rsid w:val="50546455"/>
    <w:rsid w:val="5060304C"/>
    <w:rsid w:val="50903205"/>
    <w:rsid w:val="509C6E7C"/>
    <w:rsid w:val="509E3B74"/>
    <w:rsid w:val="50A34469"/>
    <w:rsid w:val="50AB4C7A"/>
    <w:rsid w:val="50D73756"/>
    <w:rsid w:val="50EA31CE"/>
    <w:rsid w:val="50EA6DB9"/>
    <w:rsid w:val="50FB4B23"/>
    <w:rsid w:val="50FF3A7D"/>
    <w:rsid w:val="510C31D4"/>
    <w:rsid w:val="51114346"/>
    <w:rsid w:val="512F1836"/>
    <w:rsid w:val="513026B6"/>
    <w:rsid w:val="5147093D"/>
    <w:rsid w:val="514C3312"/>
    <w:rsid w:val="515301FD"/>
    <w:rsid w:val="5162104E"/>
    <w:rsid w:val="51723E28"/>
    <w:rsid w:val="51764AF1"/>
    <w:rsid w:val="517843C5"/>
    <w:rsid w:val="517A013D"/>
    <w:rsid w:val="517B5C63"/>
    <w:rsid w:val="51840FBC"/>
    <w:rsid w:val="51AA02F7"/>
    <w:rsid w:val="51AA4231"/>
    <w:rsid w:val="51C25640"/>
    <w:rsid w:val="51C9298D"/>
    <w:rsid w:val="51D04201"/>
    <w:rsid w:val="51D41806"/>
    <w:rsid w:val="51E02835"/>
    <w:rsid w:val="51E94728"/>
    <w:rsid w:val="51EC090F"/>
    <w:rsid w:val="51EE6435"/>
    <w:rsid w:val="51F54115"/>
    <w:rsid w:val="51FB0A21"/>
    <w:rsid w:val="51FF2E68"/>
    <w:rsid w:val="5209347A"/>
    <w:rsid w:val="52097713"/>
    <w:rsid w:val="52133AEC"/>
    <w:rsid w:val="521C0925"/>
    <w:rsid w:val="521E3E27"/>
    <w:rsid w:val="52211C06"/>
    <w:rsid w:val="52225466"/>
    <w:rsid w:val="522A26AA"/>
    <w:rsid w:val="52363980"/>
    <w:rsid w:val="52397FF8"/>
    <w:rsid w:val="523B502D"/>
    <w:rsid w:val="523F4EE3"/>
    <w:rsid w:val="5247131D"/>
    <w:rsid w:val="525E180D"/>
    <w:rsid w:val="525E366C"/>
    <w:rsid w:val="525F5585"/>
    <w:rsid w:val="526112FD"/>
    <w:rsid w:val="52701540"/>
    <w:rsid w:val="5270436E"/>
    <w:rsid w:val="52720E14"/>
    <w:rsid w:val="527B43D5"/>
    <w:rsid w:val="527C7EE5"/>
    <w:rsid w:val="52836078"/>
    <w:rsid w:val="5295354F"/>
    <w:rsid w:val="52990A97"/>
    <w:rsid w:val="52A42F98"/>
    <w:rsid w:val="52AB07CA"/>
    <w:rsid w:val="52AF4A91"/>
    <w:rsid w:val="52B104E4"/>
    <w:rsid w:val="52B21B59"/>
    <w:rsid w:val="52B2396A"/>
    <w:rsid w:val="52BE405A"/>
    <w:rsid w:val="52BF03BA"/>
    <w:rsid w:val="52C5188C"/>
    <w:rsid w:val="52C5363A"/>
    <w:rsid w:val="52D07809"/>
    <w:rsid w:val="52D400B9"/>
    <w:rsid w:val="52D93700"/>
    <w:rsid w:val="52DC12A8"/>
    <w:rsid w:val="52E25785"/>
    <w:rsid w:val="52EA12F3"/>
    <w:rsid w:val="52EF3C34"/>
    <w:rsid w:val="52F201A7"/>
    <w:rsid w:val="530D5A1E"/>
    <w:rsid w:val="530F6FAB"/>
    <w:rsid w:val="531B55D5"/>
    <w:rsid w:val="532E5683"/>
    <w:rsid w:val="53310CD0"/>
    <w:rsid w:val="53431473"/>
    <w:rsid w:val="5345477B"/>
    <w:rsid w:val="534704F3"/>
    <w:rsid w:val="53684FBA"/>
    <w:rsid w:val="536A2433"/>
    <w:rsid w:val="53745413"/>
    <w:rsid w:val="538F3C48"/>
    <w:rsid w:val="53A039CC"/>
    <w:rsid w:val="53A07C03"/>
    <w:rsid w:val="53A1505A"/>
    <w:rsid w:val="53A51A58"/>
    <w:rsid w:val="53BD6A07"/>
    <w:rsid w:val="53BF74EB"/>
    <w:rsid w:val="53C625EC"/>
    <w:rsid w:val="53CC0017"/>
    <w:rsid w:val="53D9192B"/>
    <w:rsid w:val="53E50FED"/>
    <w:rsid w:val="53EA0E7E"/>
    <w:rsid w:val="53EC4BF7"/>
    <w:rsid w:val="53F00554"/>
    <w:rsid w:val="53F15419"/>
    <w:rsid w:val="53FA1005"/>
    <w:rsid w:val="54063E08"/>
    <w:rsid w:val="541008E5"/>
    <w:rsid w:val="5420550F"/>
    <w:rsid w:val="542425E2"/>
    <w:rsid w:val="5426635A"/>
    <w:rsid w:val="542865A6"/>
    <w:rsid w:val="542B571F"/>
    <w:rsid w:val="542E57FA"/>
    <w:rsid w:val="543437E8"/>
    <w:rsid w:val="544455CE"/>
    <w:rsid w:val="544467E1"/>
    <w:rsid w:val="54505185"/>
    <w:rsid w:val="54612754"/>
    <w:rsid w:val="54680721"/>
    <w:rsid w:val="54715AEA"/>
    <w:rsid w:val="54752E3E"/>
    <w:rsid w:val="54801F62"/>
    <w:rsid w:val="54837309"/>
    <w:rsid w:val="54912923"/>
    <w:rsid w:val="549366A9"/>
    <w:rsid w:val="549769A2"/>
    <w:rsid w:val="549B4D55"/>
    <w:rsid w:val="54CB0CB0"/>
    <w:rsid w:val="54E35FFA"/>
    <w:rsid w:val="54EC36BB"/>
    <w:rsid w:val="54F73313"/>
    <w:rsid w:val="54F80955"/>
    <w:rsid w:val="54FD5AB9"/>
    <w:rsid w:val="55006BAB"/>
    <w:rsid w:val="55230AEC"/>
    <w:rsid w:val="552A59D6"/>
    <w:rsid w:val="553A76A7"/>
    <w:rsid w:val="55411085"/>
    <w:rsid w:val="554C3B9F"/>
    <w:rsid w:val="5551374B"/>
    <w:rsid w:val="555170A7"/>
    <w:rsid w:val="5557139E"/>
    <w:rsid w:val="55647504"/>
    <w:rsid w:val="556A2277"/>
    <w:rsid w:val="556E3EA6"/>
    <w:rsid w:val="556F1F83"/>
    <w:rsid w:val="55735625"/>
    <w:rsid w:val="557F6076"/>
    <w:rsid w:val="558301B6"/>
    <w:rsid w:val="5587381A"/>
    <w:rsid w:val="5587536D"/>
    <w:rsid w:val="55943474"/>
    <w:rsid w:val="5596306C"/>
    <w:rsid w:val="55977EAB"/>
    <w:rsid w:val="559B174B"/>
    <w:rsid w:val="55AA6B17"/>
    <w:rsid w:val="55AD62CB"/>
    <w:rsid w:val="55B30A26"/>
    <w:rsid w:val="55BF217D"/>
    <w:rsid w:val="55C0633B"/>
    <w:rsid w:val="55C537BC"/>
    <w:rsid w:val="55CD2148"/>
    <w:rsid w:val="55CE0CF4"/>
    <w:rsid w:val="55D70BFC"/>
    <w:rsid w:val="55DD0C9B"/>
    <w:rsid w:val="55EC7130"/>
    <w:rsid w:val="55F4447C"/>
    <w:rsid w:val="56064377"/>
    <w:rsid w:val="56105348"/>
    <w:rsid w:val="5615481E"/>
    <w:rsid w:val="561548D9"/>
    <w:rsid w:val="561B17C3"/>
    <w:rsid w:val="562E7748"/>
    <w:rsid w:val="56301712"/>
    <w:rsid w:val="56404134"/>
    <w:rsid w:val="56682C5A"/>
    <w:rsid w:val="56927CD7"/>
    <w:rsid w:val="56A143BE"/>
    <w:rsid w:val="56A66B36"/>
    <w:rsid w:val="56A676EB"/>
    <w:rsid w:val="56A90A69"/>
    <w:rsid w:val="56AB0D99"/>
    <w:rsid w:val="56AB6FEB"/>
    <w:rsid w:val="56B22A9C"/>
    <w:rsid w:val="56B440F1"/>
    <w:rsid w:val="56BE0ACC"/>
    <w:rsid w:val="56C500AD"/>
    <w:rsid w:val="56CC6EF5"/>
    <w:rsid w:val="56D025CC"/>
    <w:rsid w:val="56D332B2"/>
    <w:rsid w:val="56D4799F"/>
    <w:rsid w:val="56E226AA"/>
    <w:rsid w:val="56EB424A"/>
    <w:rsid w:val="56ED13B1"/>
    <w:rsid w:val="56F574FB"/>
    <w:rsid w:val="57021906"/>
    <w:rsid w:val="57023DD7"/>
    <w:rsid w:val="570426FB"/>
    <w:rsid w:val="57070C15"/>
    <w:rsid w:val="570D55B0"/>
    <w:rsid w:val="571672E5"/>
    <w:rsid w:val="57250B4B"/>
    <w:rsid w:val="57272B15"/>
    <w:rsid w:val="572823EA"/>
    <w:rsid w:val="57284198"/>
    <w:rsid w:val="57295D0E"/>
    <w:rsid w:val="57405B69"/>
    <w:rsid w:val="574F2EC5"/>
    <w:rsid w:val="57511940"/>
    <w:rsid w:val="575871D3"/>
    <w:rsid w:val="575925A3"/>
    <w:rsid w:val="576C0528"/>
    <w:rsid w:val="57743881"/>
    <w:rsid w:val="57771297"/>
    <w:rsid w:val="577B21CC"/>
    <w:rsid w:val="578B469D"/>
    <w:rsid w:val="578F06BB"/>
    <w:rsid w:val="579D6D79"/>
    <w:rsid w:val="57A301E1"/>
    <w:rsid w:val="57A34042"/>
    <w:rsid w:val="57AA1051"/>
    <w:rsid w:val="57B65C47"/>
    <w:rsid w:val="57B72A76"/>
    <w:rsid w:val="57BB4C3E"/>
    <w:rsid w:val="57BC2B32"/>
    <w:rsid w:val="57C3426C"/>
    <w:rsid w:val="57CE1F93"/>
    <w:rsid w:val="57CF2865"/>
    <w:rsid w:val="57D1072E"/>
    <w:rsid w:val="57DD5015"/>
    <w:rsid w:val="57E678A0"/>
    <w:rsid w:val="57E74053"/>
    <w:rsid w:val="57E92604"/>
    <w:rsid w:val="57F31676"/>
    <w:rsid w:val="57FE314A"/>
    <w:rsid w:val="580E3A41"/>
    <w:rsid w:val="580E5A83"/>
    <w:rsid w:val="58105627"/>
    <w:rsid w:val="5811252D"/>
    <w:rsid w:val="5816094C"/>
    <w:rsid w:val="58201313"/>
    <w:rsid w:val="5821272A"/>
    <w:rsid w:val="582328A4"/>
    <w:rsid w:val="58237BB7"/>
    <w:rsid w:val="582A3B4C"/>
    <w:rsid w:val="582C4E85"/>
    <w:rsid w:val="582E57DE"/>
    <w:rsid w:val="582F4FA6"/>
    <w:rsid w:val="58307A83"/>
    <w:rsid w:val="583B614D"/>
    <w:rsid w:val="58407B49"/>
    <w:rsid w:val="58550FBC"/>
    <w:rsid w:val="585C042A"/>
    <w:rsid w:val="586C4754"/>
    <w:rsid w:val="58704048"/>
    <w:rsid w:val="58707FE1"/>
    <w:rsid w:val="587317BC"/>
    <w:rsid w:val="5873341F"/>
    <w:rsid w:val="588743D1"/>
    <w:rsid w:val="5887701A"/>
    <w:rsid w:val="58934D58"/>
    <w:rsid w:val="58937D37"/>
    <w:rsid w:val="589F492D"/>
    <w:rsid w:val="58AB5080"/>
    <w:rsid w:val="58C919AA"/>
    <w:rsid w:val="58CC5F8E"/>
    <w:rsid w:val="58CD6A09"/>
    <w:rsid w:val="58D72319"/>
    <w:rsid w:val="58DA575B"/>
    <w:rsid w:val="58DC348C"/>
    <w:rsid w:val="58F76517"/>
    <w:rsid w:val="59012EF2"/>
    <w:rsid w:val="590A18DC"/>
    <w:rsid w:val="59133169"/>
    <w:rsid w:val="592858A0"/>
    <w:rsid w:val="592F7DA2"/>
    <w:rsid w:val="59351500"/>
    <w:rsid w:val="59411EC7"/>
    <w:rsid w:val="594C6863"/>
    <w:rsid w:val="596B480F"/>
    <w:rsid w:val="597162CA"/>
    <w:rsid w:val="59763CDD"/>
    <w:rsid w:val="597E4543"/>
    <w:rsid w:val="597E5301"/>
    <w:rsid w:val="598517A4"/>
    <w:rsid w:val="598C5BDE"/>
    <w:rsid w:val="59B2243E"/>
    <w:rsid w:val="59C0439F"/>
    <w:rsid w:val="59E051FD"/>
    <w:rsid w:val="59F85D8B"/>
    <w:rsid w:val="59FD43CA"/>
    <w:rsid w:val="59FD7B5D"/>
    <w:rsid w:val="5A113DE3"/>
    <w:rsid w:val="5A117A05"/>
    <w:rsid w:val="5A1D5B0A"/>
    <w:rsid w:val="5A1F4B06"/>
    <w:rsid w:val="5A20384C"/>
    <w:rsid w:val="5A250E62"/>
    <w:rsid w:val="5A290952"/>
    <w:rsid w:val="5A366BCB"/>
    <w:rsid w:val="5A3A2B60"/>
    <w:rsid w:val="5A414157"/>
    <w:rsid w:val="5A422E88"/>
    <w:rsid w:val="5A4B212D"/>
    <w:rsid w:val="5A4F5EDF"/>
    <w:rsid w:val="5A5A6D5E"/>
    <w:rsid w:val="5A6C083F"/>
    <w:rsid w:val="5A7A7400"/>
    <w:rsid w:val="5A7B0A82"/>
    <w:rsid w:val="5A8730E9"/>
    <w:rsid w:val="5A8A6717"/>
    <w:rsid w:val="5A953685"/>
    <w:rsid w:val="5A955FE8"/>
    <w:rsid w:val="5A9C7376"/>
    <w:rsid w:val="5AA976B4"/>
    <w:rsid w:val="5AAF1434"/>
    <w:rsid w:val="5AB02E22"/>
    <w:rsid w:val="5AB1533B"/>
    <w:rsid w:val="5ABE2233"/>
    <w:rsid w:val="5AC62645"/>
    <w:rsid w:val="5AC918D8"/>
    <w:rsid w:val="5AE2535B"/>
    <w:rsid w:val="5AE40D1D"/>
    <w:rsid w:val="5AEE28B7"/>
    <w:rsid w:val="5AF076C2"/>
    <w:rsid w:val="5AFD593B"/>
    <w:rsid w:val="5B010595"/>
    <w:rsid w:val="5B044F1C"/>
    <w:rsid w:val="5B0A7ECA"/>
    <w:rsid w:val="5B27202B"/>
    <w:rsid w:val="5B315F4E"/>
    <w:rsid w:val="5B3475AF"/>
    <w:rsid w:val="5B370E4D"/>
    <w:rsid w:val="5B3752F1"/>
    <w:rsid w:val="5B3A61DC"/>
    <w:rsid w:val="5B3C2907"/>
    <w:rsid w:val="5B402954"/>
    <w:rsid w:val="5B45396E"/>
    <w:rsid w:val="5B5170C7"/>
    <w:rsid w:val="5B5A757E"/>
    <w:rsid w:val="5B6360E6"/>
    <w:rsid w:val="5B647768"/>
    <w:rsid w:val="5B6D2AC1"/>
    <w:rsid w:val="5B745BFD"/>
    <w:rsid w:val="5B752B3D"/>
    <w:rsid w:val="5B7D46B4"/>
    <w:rsid w:val="5B7F4F5E"/>
    <w:rsid w:val="5B7F7B6B"/>
    <w:rsid w:val="5B85558D"/>
    <w:rsid w:val="5B8B3951"/>
    <w:rsid w:val="5B982B09"/>
    <w:rsid w:val="5BA212D0"/>
    <w:rsid w:val="5BBC75A4"/>
    <w:rsid w:val="5BC028E6"/>
    <w:rsid w:val="5BC51A82"/>
    <w:rsid w:val="5BCC27F6"/>
    <w:rsid w:val="5BDB5C7C"/>
    <w:rsid w:val="5BDF5D95"/>
    <w:rsid w:val="5BE56AFB"/>
    <w:rsid w:val="5BF62A36"/>
    <w:rsid w:val="5BF75B56"/>
    <w:rsid w:val="5BFD2097"/>
    <w:rsid w:val="5BFE7528"/>
    <w:rsid w:val="5C076A71"/>
    <w:rsid w:val="5C084598"/>
    <w:rsid w:val="5C0D0CBC"/>
    <w:rsid w:val="5C0F5926"/>
    <w:rsid w:val="5C130EBD"/>
    <w:rsid w:val="5C1449D9"/>
    <w:rsid w:val="5C180C7F"/>
    <w:rsid w:val="5C1A2AF8"/>
    <w:rsid w:val="5C225659"/>
    <w:rsid w:val="5C2869E8"/>
    <w:rsid w:val="5C4B1054"/>
    <w:rsid w:val="5C4F0418"/>
    <w:rsid w:val="5C607D38"/>
    <w:rsid w:val="5C612B0A"/>
    <w:rsid w:val="5C6D5E79"/>
    <w:rsid w:val="5C6F056E"/>
    <w:rsid w:val="5C8003AF"/>
    <w:rsid w:val="5C806824"/>
    <w:rsid w:val="5C8E6C26"/>
    <w:rsid w:val="5CA332A3"/>
    <w:rsid w:val="5CB84239"/>
    <w:rsid w:val="5CCE3A33"/>
    <w:rsid w:val="5CCE60D3"/>
    <w:rsid w:val="5CD613B9"/>
    <w:rsid w:val="5CE373C0"/>
    <w:rsid w:val="5CE55DE5"/>
    <w:rsid w:val="5CF238B9"/>
    <w:rsid w:val="5CF347B2"/>
    <w:rsid w:val="5CF8460C"/>
    <w:rsid w:val="5D174E5B"/>
    <w:rsid w:val="5D233C79"/>
    <w:rsid w:val="5D2358E1"/>
    <w:rsid w:val="5D333896"/>
    <w:rsid w:val="5D395350"/>
    <w:rsid w:val="5D3A2E77"/>
    <w:rsid w:val="5D535CE6"/>
    <w:rsid w:val="5D543F38"/>
    <w:rsid w:val="5D555A4A"/>
    <w:rsid w:val="5D557EC3"/>
    <w:rsid w:val="5D746389"/>
    <w:rsid w:val="5D814602"/>
    <w:rsid w:val="5D92680F"/>
    <w:rsid w:val="5DA026D7"/>
    <w:rsid w:val="5DA72325"/>
    <w:rsid w:val="5DA9259B"/>
    <w:rsid w:val="5DAA1DAA"/>
    <w:rsid w:val="5DCD3CEB"/>
    <w:rsid w:val="5DDC10CC"/>
    <w:rsid w:val="5DDC4339"/>
    <w:rsid w:val="5DE74DAC"/>
    <w:rsid w:val="5E050136"/>
    <w:rsid w:val="5E0828CD"/>
    <w:rsid w:val="5E0E4BF7"/>
    <w:rsid w:val="5E1B6804"/>
    <w:rsid w:val="5E1C5EA2"/>
    <w:rsid w:val="5E2467F1"/>
    <w:rsid w:val="5E2F64E9"/>
    <w:rsid w:val="5E364F68"/>
    <w:rsid w:val="5E3818F2"/>
    <w:rsid w:val="5E3873B6"/>
    <w:rsid w:val="5E390C04"/>
    <w:rsid w:val="5E47584B"/>
    <w:rsid w:val="5E483371"/>
    <w:rsid w:val="5E4977C4"/>
    <w:rsid w:val="5E4B4CD3"/>
    <w:rsid w:val="5E4B7FB9"/>
    <w:rsid w:val="5E59732C"/>
    <w:rsid w:val="5E6000A3"/>
    <w:rsid w:val="5E677C9B"/>
    <w:rsid w:val="5E7A18A5"/>
    <w:rsid w:val="5E7D74BF"/>
    <w:rsid w:val="5EA92062"/>
    <w:rsid w:val="5EAC1B52"/>
    <w:rsid w:val="5EAE33B7"/>
    <w:rsid w:val="5EE96902"/>
    <w:rsid w:val="5EF32B74"/>
    <w:rsid w:val="5EFA0B0F"/>
    <w:rsid w:val="5F0001E4"/>
    <w:rsid w:val="5F011E9E"/>
    <w:rsid w:val="5F0674B4"/>
    <w:rsid w:val="5F180F96"/>
    <w:rsid w:val="5F1A2B43"/>
    <w:rsid w:val="5F1C6CD8"/>
    <w:rsid w:val="5F313E05"/>
    <w:rsid w:val="5F326683"/>
    <w:rsid w:val="5F36141C"/>
    <w:rsid w:val="5F3768EC"/>
    <w:rsid w:val="5F4C0232"/>
    <w:rsid w:val="5F583B22"/>
    <w:rsid w:val="5F593A88"/>
    <w:rsid w:val="5F647ACD"/>
    <w:rsid w:val="5F70520A"/>
    <w:rsid w:val="5F78613B"/>
    <w:rsid w:val="5F867272"/>
    <w:rsid w:val="5F8A4107"/>
    <w:rsid w:val="5F8B79B9"/>
    <w:rsid w:val="5F8D48C9"/>
    <w:rsid w:val="5F9F3048"/>
    <w:rsid w:val="5FAD7232"/>
    <w:rsid w:val="5FB077A0"/>
    <w:rsid w:val="5FB837BB"/>
    <w:rsid w:val="5FC52ECB"/>
    <w:rsid w:val="5FCB6008"/>
    <w:rsid w:val="5FD51606"/>
    <w:rsid w:val="5FDE68CD"/>
    <w:rsid w:val="5FE23CB8"/>
    <w:rsid w:val="5FE7666D"/>
    <w:rsid w:val="5FF67529"/>
    <w:rsid w:val="5FF84B6D"/>
    <w:rsid w:val="5FFD04B3"/>
    <w:rsid w:val="60070BFF"/>
    <w:rsid w:val="600769A2"/>
    <w:rsid w:val="600A68C8"/>
    <w:rsid w:val="60234C2A"/>
    <w:rsid w:val="602A2D2E"/>
    <w:rsid w:val="602F47E9"/>
    <w:rsid w:val="603C0CB4"/>
    <w:rsid w:val="603E14D2"/>
    <w:rsid w:val="603E670B"/>
    <w:rsid w:val="607623E9"/>
    <w:rsid w:val="609B3C2C"/>
    <w:rsid w:val="609D79A4"/>
    <w:rsid w:val="60A30D33"/>
    <w:rsid w:val="60AE1746"/>
    <w:rsid w:val="60B3541A"/>
    <w:rsid w:val="60B44CEE"/>
    <w:rsid w:val="60C03693"/>
    <w:rsid w:val="60C05441"/>
    <w:rsid w:val="60CC397A"/>
    <w:rsid w:val="60CC405A"/>
    <w:rsid w:val="60D44CC1"/>
    <w:rsid w:val="60D8407F"/>
    <w:rsid w:val="60D90BAB"/>
    <w:rsid w:val="60D96503"/>
    <w:rsid w:val="60DC35E1"/>
    <w:rsid w:val="60E243A9"/>
    <w:rsid w:val="60EB636D"/>
    <w:rsid w:val="60EE1FAE"/>
    <w:rsid w:val="60F77173"/>
    <w:rsid w:val="60F8107F"/>
    <w:rsid w:val="60FD1436"/>
    <w:rsid w:val="610415DA"/>
    <w:rsid w:val="610A4651"/>
    <w:rsid w:val="610C0686"/>
    <w:rsid w:val="610C0837"/>
    <w:rsid w:val="6122434D"/>
    <w:rsid w:val="61271B17"/>
    <w:rsid w:val="61357BDD"/>
    <w:rsid w:val="614147D4"/>
    <w:rsid w:val="614222D7"/>
    <w:rsid w:val="61446BB5"/>
    <w:rsid w:val="61453B98"/>
    <w:rsid w:val="614B7400"/>
    <w:rsid w:val="614C7797"/>
    <w:rsid w:val="61691EF4"/>
    <w:rsid w:val="61733FFD"/>
    <w:rsid w:val="6177570E"/>
    <w:rsid w:val="617908B2"/>
    <w:rsid w:val="618069F8"/>
    <w:rsid w:val="61860438"/>
    <w:rsid w:val="618A3BEA"/>
    <w:rsid w:val="61A41674"/>
    <w:rsid w:val="61AB5580"/>
    <w:rsid w:val="61AF3E33"/>
    <w:rsid w:val="61BB707B"/>
    <w:rsid w:val="61BC20AC"/>
    <w:rsid w:val="61C139EE"/>
    <w:rsid w:val="61CD42B9"/>
    <w:rsid w:val="61CD6067"/>
    <w:rsid w:val="61DA07DF"/>
    <w:rsid w:val="61E215D8"/>
    <w:rsid w:val="61E35D28"/>
    <w:rsid w:val="61EF736F"/>
    <w:rsid w:val="61F93300"/>
    <w:rsid w:val="620F3242"/>
    <w:rsid w:val="621B3775"/>
    <w:rsid w:val="621C6FEF"/>
    <w:rsid w:val="62364782"/>
    <w:rsid w:val="62373E29"/>
    <w:rsid w:val="623937F7"/>
    <w:rsid w:val="623C143F"/>
    <w:rsid w:val="624361DE"/>
    <w:rsid w:val="62566E28"/>
    <w:rsid w:val="625B00C9"/>
    <w:rsid w:val="62682234"/>
    <w:rsid w:val="62695957"/>
    <w:rsid w:val="626F35C2"/>
    <w:rsid w:val="627604AD"/>
    <w:rsid w:val="62794B09"/>
    <w:rsid w:val="62821AAC"/>
    <w:rsid w:val="62850A6A"/>
    <w:rsid w:val="629405EF"/>
    <w:rsid w:val="62943029"/>
    <w:rsid w:val="62976675"/>
    <w:rsid w:val="62BA42DB"/>
    <w:rsid w:val="62C95953"/>
    <w:rsid w:val="62D022B3"/>
    <w:rsid w:val="62E32D0E"/>
    <w:rsid w:val="62E60A34"/>
    <w:rsid w:val="62F97F3D"/>
    <w:rsid w:val="62FA1AEF"/>
    <w:rsid w:val="630363B3"/>
    <w:rsid w:val="630C0E11"/>
    <w:rsid w:val="631101D6"/>
    <w:rsid w:val="631A1780"/>
    <w:rsid w:val="6324615B"/>
    <w:rsid w:val="632674CD"/>
    <w:rsid w:val="633148D2"/>
    <w:rsid w:val="633A04FC"/>
    <w:rsid w:val="634265E1"/>
    <w:rsid w:val="63494B41"/>
    <w:rsid w:val="63514A76"/>
    <w:rsid w:val="636C4E0A"/>
    <w:rsid w:val="63716EC6"/>
    <w:rsid w:val="63733F5D"/>
    <w:rsid w:val="637556BC"/>
    <w:rsid w:val="637C5F97"/>
    <w:rsid w:val="6394356A"/>
    <w:rsid w:val="63B03E93"/>
    <w:rsid w:val="63C61B2C"/>
    <w:rsid w:val="63CF3195"/>
    <w:rsid w:val="63D40BE9"/>
    <w:rsid w:val="63E252C4"/>
    <w:rsid w:val="63E356AC"/>
    <w:rsid w:val="63F2580A"/>
    <w:rsid w:val="63F463BC"/>
    <w:rsid w:val="6401414F"/>
    <w:rsid w:val="64085A7D"/>
    <w:rsid w:val="640A35A3"/>
    <w:rsid w:val="64102431"/>
    <w:rsid w:val="64122457"/>
    <w:rsid w:val="641A0D2F"/>
    <w:rsid w:val="641B5894"/>
    <w:rsid w:val="641E7449"/>
    <w:rsid w:val="64286BCE"/>
    <w:rsid w:val="643248A8"/>
    <w:rsid w:val="64395102"/>
    <w:rsid w:val="643C049D"/>
    <w:rsid w:val="645111D2"/>
    <w:rsid w:val="64532385"/>
    <w:rsid w:val="64596457"/>
    <w:rsid w:val="64630A14"/>
    <w:rsid w:val="646514D9"/>
    <w:rsid w:val="647020B0"/>
    <w:rsid w:val="647A41FC"/>
    <w:rsid w:val="64803299"/>
    <w:rsid w:val="64812DEB"/>
    <w:rsid w:val="648460FF"/>
    <w:rsid w:val="64A5243A"/>
    <w:rsid w:val="64AF4A79"/>
    <w:rsid w:val="64B4350F"/>
    <w:rsid w:val="64C40583"/>
    <w:rsid w:val="64CD4B95"/>
    <w:rsid w:val="64D94D23"/>
    <w:rsid w:val="64DD0462"/>
    <w:rsid w:val="64DD4813"/>
    <w:rsid w:val="64E9765C"/>
    <w:rsid w:val="64F531DE"/>
    <w:rsid w:val="64F658D5"/>
    <w:rsid w:val="64FD262D"/>
    <w:rsid w:val="6502071E"/>
    <w:rsid w:val="65041B65"/>
    <w:rsid w:val="6514221D"/>
    <w:rsid w:val="65295CAB"/>
    <w:rsid w:val="6531690D"/>
    <w:rsid w:val="65325F45"/>
    <w:rsid w:val="65366619"/>
    <w:rsid w:val="65373578"/>
    <w:rsid w:val="653B2BC7"/>
    <w:rsid w:val="653B3C30"/>
    <w:rsid w:val="653D2AF8"/>
    <w:rsid w:val="654C3747"/>
    <w:rsid w:val="654F3237"/>
    <w:rsid w:val="6551526B"/>
    <w:rsid w:val="65533C99"/>
    <w:rsid w:val="65562452"/>
    <w:rsid w:val="65575037"/>
    <w:rsid w:val="655D0471"/>
    <w:rsid w:val="65624D19"/>
    <w:rsid w:val="65646CE3"/>
    <w:rsid w:val="65662F0A"/>
    <w:rsid w:val="657473F4"/>
    <w:rsid w:val="657B5DDA"/>
    <w:rsid w:val="658F66C3"/>
    <w:rsid w:val="659060BC"/>
    <w:rsid w:val="65913850"/>
    <w:rsid w:val="65A457F8"/>
    <w:rsid w:val="65A73073"/>
    <w:rsid w:val="65B44120"/>
    <w:rsid w:val="65B74AEF"/>
    <w:rsid w:val="65C04852"/>
    <w:rsid w:val="65C47781"/>
    <w:rsid w:val="65CE31CC"/>
    <w:rsid w:val="65D6290B"/>
    <w:rsid w:val="65E109E2"/>
    <w:rsid w:val="65E2649A"/>
    <w:rsid w:val="65F22540"/>
    <w:rsid w:val="65F83E57"/>
    <w:rsid w:val="66293A88"/>
    <w:rsid w:val="662E109F"/>
    <w:rsid w:val="66391F1D"/>
    <w:rsid w:val="665D6EF3"/>
    <w:rsid w:val="66742A78"/>
    <w:rsid w:val="667E3DD4"/>
    <w:rsid w:val="66A16B7D"/>
    <w:rsid w:val="66A34E61"/>
    <w:rsid w:val="66A355E9"/>
    <w:rsid w:val="66A51361"/>
    <w:rsid w:val="66A575B3"/>
    <w:rsid w:val="66AA6C33"/>
    <w:rsid w:val="66B8412D"/>
    <w:rsid w:val="66BA655D"/>
    <w:rsid w:val="66C421B2"/>
    <w:rsid w:val="66C832A1"/>
    <w:rsid w:val="66D165FA"/>
    <w:rsid w:val="66EB595B"/>
    <w:rsid w:val="670342D9"/>
    <w:rsid w:val="670562A3"/>
    <w:rsid w:val="6706304F"/>
    <w:rsid w:val="671F124A"/>
    <w:rsid w:val="672049F4"/>
    <w:rsid w:val="672A3F5C"/>
    <w:rsid w:val="67442B53"/>
    <w:rsid w:val="674E6DCA"/>
    <w:rsid w:val="6753094D"/>
    <w:rsid w:val="675E7762"/>
    <w:rsid w:val="675F3C06"/>
    <w:rsid w:val="676E17CD"/>
    <w:rsid w:val="67762CFD"/>
    <w:rsid w:val="6779459B"/>
    <w:rsid w:val="677A33C6"/>
    <w:rsid w:val="67867970"/>
    <w:rsid w:val="67A336A5"/>
    <w:rsid w:val="67B237E1"/>
    <w:rsid w:val="67B3358A"/>
    <w:rsid w:val="67C41CBB"/>
    <w:rsid w:val="67C617B4"/>
    <w:rsid w:val="67EB2484"/>
    <w:rsid w:val="67F30F00"/>
    <w:rsid w:val="67F37BA7"/>
    <w:rsid w:val="67FD6F7B"/>
    <w:rsid w:val="6806503F"/>
    <w:rsid w:val="680746B9"/>
    <w:rsid w:val="68130E4C"/>
    <w:rsid w:val="681C5653"/>
    <w:rsid w:val="681F6961"/>
    <w:rsid w:val="68374AAA"/>
    <w:rsid w:val="684140AE"/>
    <w:rsid w:val="68415F39"/>
    <w:rsid w:val="684540E8"/>
    <w:rsid w:val="684B5661"/>
    <w:rsid w:val="68545C68"/>
    <w:rsid w:val="68610A2F"/>
    <w:rsid w:val="686142B9"/>
    <w:rsid w:val="68637725"/>
    <w:rsid w:val="687436E1"/>
    <w:rsid w:val="687B38BE"/>
    <w:rsid w:val="68805514"/>
    <w:rsid w:val="688C43D3"/>
    <w:rsid w:val="68941085"/>
    <w:rsid w:val="689618A9"/>
    <w:rsid w:val="689B4381"/>
    <w:rsid w:val="689E0914"/>
    <w:rsid w:val="68A815DC"/>
    <w:rsid w:val="68B910F3"/>
    <w:rsid w:val="68C00F99"/>
    <w:rsid w:val="68C267A1"/>
    <w:rsid w:val="68E00D76"/>
    <w:rsid w:val="68E26149"/>
    <w:rsid w:val="68E80C7C"/>
    <w:rsid w:val="68EA7AC8"/>
    <w:rsid w:val="68F0088D"/>
    <w:rsid w:val="68F14D31"/>
    <w:rsid w:val="68FA6864"/>
    <w:rsid w:val="690C3919"/>
    <w:rsid w:val="691478BE"/>
    <w:rsid w:val="691722BE"/>
    <w:rsid w:val="69232A11"/>
    <w:rsid w:val="69297C8E"/>
    <w:rsid w:val="69301813"/>
    <w:rsid w:val="69310266"/>
    <w:rsid w:val="69316E2F"/>
    <w:rsid w:val="694E2071"/>
    <w:rsid w:val="695452C0"/>
    <w:rsid w:val="695B664F"/>
    <w:rsid w:val="696077C1"/>
    <w:rsid w:val="69690D6B"/>
    <w:rsid w:val="696C0186"/>
    <w:rsid w:val="69702356"/>
    <w:rsid w:val="6973594A"/>
    <w:rsid w:val="69742FE3"/>
    <w:rsid w:val="69766163"/>
    <w:rsid w:val="69766FE4"/>
    <w:rsid w:val="697A3B33"/>
    <w:rsid w:val="697E69AC"/>
    <w:rsid w:val="69833F84"/>
    <w:rsid w:val="69872F2C"/>
    <w:rsid w:val="698C13A7"/>
    <w:rsid w:val="699944D1"/>
    <w:rsid w:val="69AC609C"/>
    <w:rsid w:val="69AD1208"/>
    <w:rsid w:val="69B8584F"/>
    <w:rsid w:val="69C935B8"/>
    <w:rsid w:val="69D25436"/>
    <w:rsid w:val="69D44760"/>
    <w:rsid w:val="69DC3659"/>
    <w:rsid w:val="69DC5088"/>
    <w:rsid w:val="69DE6571"/>
    <w:rsid w:val="69E2533E"/>
    <w:rsid w:val="69F60A81"/>
    <w:rsid w:val="6A024D1C"/>
    <w:rsid w:val="6A1011E7"/>
    <w:rsid w:val="6A2B7DCF"/>
    <w:rsid w:val="6A3409E1"/>
    <w:rsid w:val="6A364414"/>
    <w:rsid w:val="6A3F2B23"/>
    <w:rsid w:val="6A4E2969"/>
    <w:rsid w:val="6A507835"/>
    <w:rsid w:val="6A520EC7"/>
    <w:rsid w:val="6A826D0C"/>
    <w:rsid w:val="6A8A32D2"/>
    <w:rsid w:val="6AA02886"/>
    <w:rsid w:val="6AD40467"/>
    <w:rsid w:val="6AE02103"/>
    <w:rsid w:val="6AE83F12"/>
    <w:rsid w:val="6AF87E20"/>
    <w:rsid w:val="6AFD46F9"/>
    <w:rsid w:val="6B013226"/>
    <w:rsid w:val="6B272C8C"/>
    <w:rsid w:val="6B322639"/>
    <w:rsid w:val="6B3929BF"/>
    <w:rsid w:val="6B3F1DD9"/>
    <w:rsid w:val="6B485F70"/>
    <w:rsid w:val="6B5D024A"/>
    <w:rsid w:val="6B65534A"/>
    <w:rsid w:val="6B6B1F55"/>
    <w:rsid w:val="6B73185A"/>
    <w:rsid w:val="6B765F3D"/>
    <w:rsid w:val="6B7F7490"/>
    <w:rsid w:val="6B9353FC"/>
    <w:rsid w:val="6BAD3747"/>
    <w:rsid w:val="6BAF40B2"/>
    <w:rsid w:val="6BC24763"/>
    <w:rsid w:val="6BC32289"/>
    <w:rsid w:val="6BFD6C96"/>
    <w:rsid w:val="6C0528A2"/>
    <w:rsid w:val="6C0703C8"/>
    <w:rsid w:val="6C101972"/>
    <w:rsid w:val="6C106692"/>
    <w:rsid w:val="6C136D6D"/>
    <w:rsid w:val="6C145CB7"/>
    <w:rsid w:val="6C156F89"/>
    <w:rsid w:val="6C164AAF"/>
    <w:rsid w:val="6C1E273D"/>
    <w:rsid w:val="6C205100"/>
    <w:rsid w:val="6C225202"/>
    <w:rsid w:val="6C2610AD"/>
    <w:rsid w:val="6C296590"/>
    <w:rsid w:val="6C353187"/>
    <w:rsid w:val="6C3C4515"/>
    <w:rsid w:val="6C4C4DEC"/>
    <w:rsid w:val="6C5850C7"/>
    <w:rsid w:val="6C5C6804"/>
    <w:rsid w:val="6C620552"/>
    <w:rsid w:val="6C636C38"/>
    <w:rsid w:val="6C67530A"/>
    <w:rsid w:val="6C6972D4"/>
    <w:rsid w:val="6C6A0FE1"/>
    <w:rsid w:val="6C705F6D"/>
    <w:rsid w:val="6C726189"/>
    <w:rsid w:val="6C77128D"/>
    <w:rsid w:val="6C7E112D"/>
    <w:rsid w:val="6C84247A"/>
    <w:rsid w:val="6C9458EB"/>
    <w:rsid w:val="6C9D0D2C"/>
    <w:rsid w:val="6CA87DFD"/>
    <w:rsid w:val="6CBB0397"/>
    <w:rsid w:val="6CBE6221"/>
    <w:rsid w:val="6CC30793"/>
    <w:rsid w:val="6CC549E0"/>
    <w:rsid w:val="6CE574F4"/>
    <w:rsid w:val="6CE64481"/>
    <w:rsid w:val="6CF42BFD"/>
    <w:rsid w:val="6D0647B0"/>
    <w:rsid w:val="6D0A47D1"/>
    <w:rsid w:val="6D194857"/>
    <w:rsid w:val="6D266F73"/>
    <w:rsid w:val="6D2C572A"/>
    <w:rsid w:val="6D2D3E5E"/>
    <w:rsid w:val="6D334F38"/>
    <w:rsid w:val="6D546B33"/>
    <w:rsid w:val="6D68154B"/>
    <w:rsid w:val="6D6830E8"/>
    <w:rsid w:val="6D7344E3"/>
    <w:rsid w:val="6D77332B"/>
    <w:rsid w:val="6D7B106D"/>
    <w:rsid w:val="6D8A2607"/>
    <w:rsid w:val="6D940395"/>
    <w:rsid w:val="6DAF4580"/>
    <w:rsid w:val="6DB05031"/>
    <w:rsid w:val="6DB34098"/>
    <w:rsid w:val="6DB545B6"/>
    <w:rsid w:val="6DB64857"/>
    <w:rsid w:val="6DD148B2"/>
    <w:rsid w:val="6DD365D1"/>
    <w:rsid w:val="6DDD5884"/>
    <w:rsid w:val="6DE02FB4"/>
    <w:rsid w:val="6DE85FD7"/>
    <w:rsid w:val="6DEF47AE"/>
    <w:rsid w:val="6DF901E4"/>
    <w:rsid w:val="6E0156F3"/>
    <w:rsid w:val="6E041063"/>
    <w:rsid w:val="6E0E3C8F"/>
    <w:rsid w:val="6E12239C"/>
    <w:rsid w:val="6E1B45FE"/>
    <w:rsid w:val="6E2D2133"/>
    <w:rsid w:val="6E424E4A"/>
    <w:rsid w:val="6E514CED"/>
    <w:rsid w:val="6E5378F4"/>
    <w:rsid w:val="6E5C4AA1"/>
    <w:rsid w:val="6E6B10E2"/>
    <w:rsid w:val="6E8506E9"/>
    <w:rsid w:val="6E850EB2"/>
    <w:rsid w:val="6E891F0C"/>
    <w:rsid w:val="6E8B52E0"/>
    <w:rsid w:val="6E9154B8"/>
    <w:rsid w:val="6E921F98"/>
    <w:rsid w:val="6E934195"/>
    <w:rsid w:val="6E9817AB"/>
    <w:rsid w:val="6E9A7C53"/>
    <w:rsid w:val="6EA0255E"/>
    <w:rsid w:val="6EB563D5"/>
    <w:rsid w:val="6EB760D5"/>
    <w:rsid w:val="6ED92677"/>
    <w:rsid w:val="6EEA2903"/>
    <w:rsid w:val="6EFA06B8"/>
    <w:rsid w:val="6F0310A1"/>
    <w:rsid w:val="6F0902D7"/>
    <w:rsid w:val="6F0C3515"/>
    <w:rsid w:val="6F0F5516"/>
    <w:rsid w:val="6F1E43A6"/>
    <w:rsid w:val="6F225983"/>
    <w:rsid w:val="6F225EF0"/>
    <w:rsid w:val="6F254D36"/>
    <w:rsid w:val="6F3A0AB4"/>
    <w:rsid w:val="6F3A79F7"/>
    <w:rsid w:val="6F3C2F86"/>
    <w:rsid w:val="6F4845E0"/>
    <w:rsid w:val="6F4A1DFC"/>
    <w:rsid w:val="6F531CFA"/>
    <w:rsid w:val="6F5763ED"/>
    <w:rsid w:val="6F582B0C"/>
    <w:rsid w:val="6F5A4CB2"/>
    <w:rsid w:val="6F6C31F4"/>
    <w:rsid w:val="6F6F4C02"/>
    <w:rsid w:val="6F721739"/>
    <w:rsid w:val="6F810491"/>
    <w:rsid w:val="6F92121D"/>
    <w:rsid w:val="6F930BF3"/>
    <w:rsid w:val="6F982D60"/>
    <w:rsid w:val="6F991F63"/>
    <w:rsid w:val="6F9C52CB"/>
    <w:rsid w:val="6FA0300D"/>
    <w:rsid w:val="6FA53071"/>
    <w:rsid w:val="6FA81EC2"/>
    <w:rsid w:val="6FAC6B44"/>
    <w:rsid w:val="6FAE67C7"/>
    <w:rsid w:val="6FD64C81"/>
    <w:rsid w:val="6FE74798"/>
    <w:rsid w:val="6FEB2EED"/>
    <w:rsid w:val="6FEE1138"/>
    <w:rsid w:val="6FF15617"/>
    <w:rsid w:val="6FF8458F"/>
    <w:rsid w:val="6FFB6495"/>
    <w:rsid w:val="6FFC5590"/>
    <w:rsid w:val="70147557"/>
    <w:rsid w:val="701565C2"/>
    <w:rsid w:val="701A7799"/>
    <w:rsid w:val="702275C0"/>
    <w:rsid w:val="70351F5E"/>
    <w:rsid w:val="70457711"/>
    <w:rsid w:val="70473489"/>
    <w:rsid w:val="70533B33"/>
    <w:rsid w:val="705F1B9A"/>
    <w:rsid w:val="70673B2B"/>
    <w:rsid w:val="70683D6E"/>
    <w:rsid w:val="706975D7"/>
    <w:rsid w:val="706D1DD0"/>
    <w:rsid w:val="707F2C23"/>
    <w:rsid w:val="70840239"/>
    <w:rsid w:val="7084695D"/>
    <w:rsid w:val="70856B87"/>
    <w:rsid w:val="709C6820"/>
    <w:rsid w:val="70AD3C34"/>
    <w:rsid w:val="70B36D70"/>
    <w:rsid w:val="70C96594"/>
    <w:rsid w:val="70CD7E32"/>
    <w:rsid w:val="70CE5958"/>
    <w:rsid w:val="70D23B23"/>
    <w:rsid w:val="70D311C0"/>
    <w:rsid w:val="70D527EE"/>
    <w:rsid w:val="70D54F38"/>
    <w:rsid w:val="70EB02B8"/>
    <w:rsid w:val="70EE1B56"/>
    <w:rsid w:val="70F53BCB"/>
    <w:rsid w:val="710A7751"/>
    <w:rsid w:val="71246057"/>
    <w:rsid w:val="712832BA"/>
    <w:rsid w:val="71293702"/>
    <w:rsid w:val="712E5953"/>
    <w:rsid w:val="713C0BF3"/>
    <w:rsid w:val="714031CF"/>
    <w:rsid w:val="7142688A"/>
    <w:rsid w:val="714F6A99"/>
    <w:rsid w:val="715B5300"/>
    <w:rsid w:val="716C08A9"/>
    <w:rsid w:val="716D33C3"/>
    <w:rsid w:val="71817717"/>
    <w:rsid w:val="71824F76"/>
    <w:rsid w:val="719063B4"/>
    <w:rsid w:val="71915A5E"/>
    <w:rsid w:val="719C06EE"/>
    <w:rsid w:val="719D6674"/>
    <w:rsid w:val="719E7193"/>
    <w:rsid w:val="71A50FCC"/>
    <w:rsid w:val="71AD1A11"/>
    <w:rsid w:val="71AF2201"/>
    <w:rsid w:val="71B10189"/>
    <w:rsid w:val="71C11019"/>
    <w:rsid w:val="71C228FE"/>
    <w:rsid w:val="71C56D5B"/>
    <w:rsid w:val="71CA611F"/>
    <w:rsid w:val="71D27F8A"/>
    <w:rsid w:val="71D36D7A"/>
    <w:rsid w:val="71DF2BFA"/>
    <w:rsid w:val="71E25E63"/>
    <w:rsid w:val="71E52F59"/>
    <w:rsid w:val="720715CA"/>
    <w:rsid w:val="720F447A"/>
    <w:rsid w:val="721469FD"/>
    <w:rsid w:val="72174378"/>
    <w:rsid w:val="72212457"/>
    <w:rsid w:val="722F711D"/>
    <w:rsid w:val="723447D1"/>
    <w:rsid w:val="723B526F"/>
    <w:rsid w:val="723B701D"/>
    <w:rsid w:val="723E6224"/>
    <w:rsid w:val="72451C4A"/>
    <w:rsid w:val="72460618"/>
    <w:rsid w:val="72553024"/>
    <w:rsid w:val="72645138"/>
    <w:rsid w:val="726E712D"/>
    <w:rsid w:val="72930C07"/>
    <w:rsid w:val="72B15531"/>
    <w:rsid w:val="72B8241C"/>
    <w:rsid w:val="72BA43E6"/>
    <w:rsid w:val="72C214EC"/>
    <w:rsid w:val="72DA6836"/>
    <w:rsid w:val="72E64B68"/>
    <w:rsid w:val="72F81417"/>
    <w:rsid w:val="72FA6AF5"/>
    <w:rsid w:val="72FD42D3"/>
    <w:rsid w:val="730258AB"/>
    <w:rsid w:val="73085AC2"/>
    <w:rsid w:val="730D6C0C"/>
    <w:rsid w:val="73122968"/>
    <w:rsid w:val="73124222"/>
    <w:rsid w:val="731B08BF"/>
    <w:rsid w:val="731F5D5E"/>
    <w:rsid w:val="732D105C"/>
    <w:rsid w:val="73372296"/>
    <w:rsid w:val="733777E5"/>
    <w:rsid w:val="733F6699"/>
    <w:rsid w:val="735F6D3B"/>
    <w:rsid w:val="736600CA"/>
    <w:rsid w:val="73695C3A"/>
    <w:rsid w:val="7379604F"/>
    <w:rsid w:val="737A00B7"/>
    <w:rsid w:val="738B702F"/>
    <w:rsid w:val="73A250DB"/>
    <w:rsid w:val="73AE605E"/>
    <w:rsid w:val="73AF7CC3"/>
    <w:rsid w:val="73B250BD"/>
    <w:rsid w:val="73C51AD5"/>
    <w:rsid w:val="73CF2113"/>
    <w:rsid w:val="73E159A2"/>
    <w:rsid w:val="73E62FB9"/>
    <w:rsid w:val="73E66FC6"/>
    <w:rsid w:val="73E75E3E"/>
    <w:rsid w:val="73EB2647"/>
    <w:rsid w:val="73ED07EB"/>
    <w:rsid w:val="73FC7FB0"/>
    <w:rsid w:val="74031DBD"/>
    <w:rsid w:val="740655F7"/>
    <w:rsid w:val="741D7FA1"/>
    <w:rsid w:val="741E793C"/>
    <w:rsid w:val="74211FE2"/>
    <w:rsid w:val="74273CFD"/>
    <w:rsid w:val="74363B53"/>
    <w:rsid w:val="74367B7D"/>
    <w:rsid w:val="743C0565"/>
    <w:rsid w:val="7455239C"/>
    <w:rsid w:val="745E3944"/>
    <w:rsid w:val="7476433D"/>
    <w:rsid w:val="747800B5"/>
    <w:rsid w:val="7482135A"/>
    <w:rsid w:val="74856C75"/>
    <w:rsid w:val="748F1A00"/>
    <w:rsid w:val="74935FDF"/>
    <w:rsid w:val="7496678D"/>
    <w:rsid w:val="74982505"/>
    <w:rsid w:val="749E3927"/>
    <w:rsid w:val="74B17A6A"/>
    <w:rsid w:val="74C05C21"/>
    <w:rsid w:val="74CA4D19"/>
    <w:rsid w:val="74DF156F"/>
    <w:rsid w:val="74E75BFE"/>
    <w:rsid w:val="74ED16FC"/>
    <w:rsid w:val="74F05692"/>
    <w:rsid w:val="74F07405"/>
    <w:rsid w:val="74F13183"/>
    <w:rsid w:val="74F35D48"/>
    <w:rsid w:val="750630A0"/>
    <w:rsid w:val="75223391"/>
    <w:rsid w:val="752D77E0"/>
    <w:rsid w:val="75330480"/>
    <w:rsid w:val="75546C39"/>
    <w:rsid w:val="75575F1C"/>
    <w:rsid w:val="756303D1"/>
    <w:rsid w:val="75667C5E"/>
    <w:rsid w:val="756C5A78"/>
    <w:rsid w:val="75705230"/>
    <w:rsid w:val="75752F6C"/>
    <w:rsid w:val="757676DF"/>
    <w:rsid w:val="757C105A"/>
    <w:rsid w:val="75814EB7"/>
    <w:rsid w:val="758F74FA"/>
    <w:rsid w:val="75911213"/>
    <w:rsid w:val="75AF176F"/>
    <w:rsid w:val="75B226D4"/>
    <w:rsid w:val="75BB4137"/>
    <w:rsid w:val="75D27C98"/>
    <w:rsid w:val="75D457BF"/>
    <w:rsid w:val="75DE03EB"/>
    <w:rsid w:val="75E023B5"/>
    <w:rsid w:val="75E10D75"/>
    <w:rsid w:val="75EF1A3C"/>
    <w:rsid w:val="75FC6AC3"/>
    <w:rsid w:val="760B7AD9"/>
    <w:rsid w:val="7635099D"/>
    <w:rsid w:val="766034F6"/>
    <w:rsid w:val="76633A36"/>
    <w:rsid w:val="766E5C13"/>
    <w:rsid w:val="7678463F"/>
    <w:rsid w:val="767C0E66"/>
    <w:rsid w:val="76805946"/>
    <w:rsid w:val="7686192A"/>
    <w:rsid w:val="76A6438D"/>
    <w:rsid w:val="76AC2297"/>
    <w:rsid w:val="76B455F0"/>
    <w:rsid w:val="76BF646F"/>
    <w:rsid w:val="76D14090"/>
    <w:rsid w:val="76D4359C"/>
    <w:rsid w:val="76EF5EC4"/>
    <w:rsid w:val="770F478F"/>
    <w:rsid w:val="77115A12"/>
    <w:rsid w:val="7712064A"/>
    <w:rsid w:val="77130569"/>
    <w:rsid w:val="77137C23"/>
    <w:rsid w:val="77147E3D"/>
    <w:rsid w:val="77184757"/>
    <w:rsid w:val="7728661D"/>
    <w:rsid w:val="77333A65"/>
    <w:rsid w:val="7734311F"/>
    <w:rsid w:val="77364257"/>
    <w:rsid w:val="77407F78"/>
    <w:rsid w:val="77433E76"/>
    <w:rsid w:val="77500583"/>
    <w:rsid w:val="77707769"/>
    <w:rsid w:val="77716BAC"/>
    <w:rsid w:val="77762421"/>
    <w:rsid w:val="777728A5"/>
    <w:rsid w:val="777A2396"/>
    <w:rsid w:val="777D1E86"/>
    <w:rsid w:val="77933457"/>
    <w:rsid w:val="779C1F25"/>
    <w:rsid w:val="779E2C47"/>
    <w:rsid w:val="77A20EFA"/>
    <w:rsid w:val="77AE7E22"/>
    <w:rsid w:val="77B56B1F"/>
    <w:rsid w:val="77C5294B"/>
    <w:rsid w:val="77CB499F"/>
    <w:rsid w:val="77D575CC"/>
    <w:rsid w:val="77ED0DBA"/>
    <w:rsid w:val="77F42148"/>
    <w:rsid w:val="77F739E6"/>
    <w:rsid w:val="780162ED"/>
    <w:rsid w:val="7808174F"/>
    <w:rsid w:val="780F09F4"/>
    <w:rsid w:val="78191654"/>
    <w:rsid w:val="781F6A99"/>
    <w:rsid w:val="782567A5"/>
    <w:rsid w:val="783F414A"/>
    <w:rsid w:val="78544995"/>
    <w:rsid w:val="785E3A65"/>
    <w:rsid w:val="78623556"/>
    <w:rsid w:val="786B7A8F"/>
    <w:rsid w:val="787119EB"/>
    <w:rsid w:val="787F48F2"/>
    <w:rsid w:val="787F62DF"/>
    <w:rsid w:val="78805D14"/>
    <w:rsid w:val="78810ADD"/>
    <w:rsid w:val="78925885"/>
    <w:rsid w:val="789E5954"/>
    <w:rsid w:val="78A90480"/>
    <w:rsid w:val="78AE4F5C"/>
    <w:rsid w:val="78B6564F"/>
    <w:rsid w:val="78B74F24"/>
    <w:rsid w:val="78BA7391"/>
    <w:rsid w:val="78BC253A"/>
    <w:rsid w:val="78BE62B2"/>
    <w:rsid w:val="78C66EBA"/>
    <w:rsid w:val="78DC36B8"/>
    <w:rsid w:val="79002D6F"/>
    <w:rsid w:val="790265C4"/>
    <w:rsid w:val="79073E8A"/>
    <w:rsid w:val="7909129E"/>
    <w:rsid w:val="7919798C"/>
    <w:rsid w:val="79220FA3"/>
    <w:rsid w:val="792A12AE"/>
    <w:rsid w:val="7939786F"/>
    <w:rsid w:val="7950278F"/>
    <w:rsid w:val="795308D5"/>
    <w:rsid w:val="79586E66"/>
    <w:rsid w:val="79595A10"/>
    <w:rsid w:val="795A247F"/>
    <w:rsid w:val="796776C0"/>
    <w:rsid w:val="799325F8"/>
    <w:rsid w:val="79992B6E"/>
    <w:rsid w:val="79AE4C58"/>
    <w:rsid w:val="79C124FE"/>
    <w:rsid w:val="79C92109"/>
    <w:rsid w:val="79CB6ED9"/>
    <w:rsid w:val="79CD1DDA"/>
    <w:rsid w:val="79F503F9"/>
    <w:rsid w:val="79F91C98"/>
    <w:rsid w:val="7A0E7619"/>
    <w:rsid w:val="7A15284A"/>
    <w:rsid w:val="7A157A8E"/>
    <w:rsid w:val="7A2F56B9"/>
    <w:rsid w:val="7A364017"/>
    <w:rsid w:val="7A484035"/>
    <w:rsid w:val="7A523156"/>
    <w:rsid w:val="7A634B65"/>
    <w:rsid w:val="7A6350B4"/>
    <w:rsid w:val="7A747570"/>
    <w:rsid w:val="7A7632E8"/>
    <w:rsid w:val="7A763F8B"/>
    <w:rsid w:val="7A796C0F"/>
    <w:rsid w:val="7A7B5376"/>
    <w:rsid w:val="7A8265E1"/>
    <w:rsid w:val="7A950742"/>
    <w:rsid w:val="7AA6214F"/>
    <w:rsid w:val="7AAB2866"/>
    <w:rsid w:val="7AAD65DE"/>
    <w:rsid w:val="7AB12572"/>
    <w:rsid w:val="7AB94F83"/>
    <w:rsid w:val="7ABB3B99"/>
    <w:rsid w:val="7ABE4C8F"/>
    <w:rsid w:val="7AD75530"/>
    <w:rsid w:val="7AFD1314"/>
    <w:rsid w:val="7B045B68"/>
    <w:rsid w:val="7B146D57"/>
    <w:rsid w:val="7B2E7E62"/>
    <w:rsid w:val="7B305576"/>
    <w:rsid w:val="7B39121D"/>
    <w:rsid w:val="7B3B2796"/>
    <w:rsid w:val="7B4117E5"/>
    <w:rsid w:val="7B42040D"/>
    <w:rsid w:val="7B506AF8"/>
    <w:rsid w:val="7B592205"/>
    <w:rsid w:val="7B686D42"/>
    <w:rsid w:val="7B745B1A"/>
    <w:rsid w:val="7B786BEC"/>
    <w:rsid w:val="7B7D4202"/>
    <w:rsid w:val="7B8070F6"/>
    <w:rsid w:val="7B825CBD"/>
    <w:rsid w:val="7B841746"/>
    <w:rsid w:val="7B863DF3"/>
    <w:rsid w:val="7B9F4BF4"/>
    <w:rsid w:val="7BAB5214"/>
    <w:rsid w:val="7BAE6AB2"/>
    <w:rsid w:val="7BAF62EE"/>
    <w:rsid w:val="7BB67714"/>
    <w:rsid w:val="7BBB4D2B"/>
    <w:rsid w:val="7BBF3BED"/>
    <w:rsid w:val="7BC40083"/>
    <w:rsid w:val="7BC9569A"/>
    <w:rsid w:val="7BD40338"/>
    <w:rsid w:val="7BE129E3"/>
    <w:rsid w:val="7BEA7321"/>
    <w:rsid w:val="7BF5023D"/>
    <w:rsid w:val="7BFC33F4"/>
    <w:rsid w:val="7C06069C"/>
    <w:rsid w:val="7C130168"/>
    <w:rsid w:val="7C15268D"/>
    <w:rsid w:val="7C1C3A1B"/>
    <w:rsid w:val="7C1F39FE"/>
    <w:rsid w:val="7C3073CD"/>
    <w:rsid w:val="7C34660D"/>
    <w:rsid w:val="7C3F595C"/>
    <w:rsid w:val="7C482A62"/>
    <w:rsid w:val="7C484810"/>
    <w:rsid w:val="7C4E4111"/>
    <w:rsid w:val="7C5D034D"/>
    <w:rsid w:val="7C6545D6"/>
    <w:rsid w:val="7C6B3837"/>
    <w:rsid w:val="7C6C5AC7"/>
    <w:rsid w:val="7C6F6241"/>
    <w:rsid w:val="7C7061BC"/>
    <w:rsid w:val="7C7D004B"/>
    <w:rsid w:val="7C7E5711"/>
    <w:rsid w:val="7C8021FC"/>
    <w:rsid w:val="7C833A9B"/>
    <w:rsid w:val="7C972D0E"/>
    <w:rsid w:val="7C9E6B26"/>
    <w:rsid w:val="7CA125B4"/>
    <w:rsid w:val="7CB40311"/>
    <w:rsid w:val="7CB87C7E"/>
    <w:rsid w:val="7CC076CE"/>
    <w:rsid w:val="7CC6544B"/>
    <w:rsid w:val="7CD04806"/>
    <w:rsid w:val="7CD40CFC"/>
    <w:rsid w:val="7CD769A1"/>
    <w:rsid w:val="7CED3040"/>
    <w:rsid w:val="7CF00FCD"/>
    <w:rsid w:val="7CF366C2"/>
    <w:rsid w:val="7CF624BE"/>
    <w:rsid w:val="7CF76237"/>
    <w:rsid w:val="7D0239FF"/>
    <w:rsid w:val="7D126BCC"/>
    <w:rsid w:val="7D2537CA"/>
    <w:rsid w:val="7D2C5EE0"/>
    <w:rsid w:val="7D2E159E"/>
    <w:rsid w:val="7D337024"/>
    <w:rsid w:val="7D5756B6"/>
    <w:rsid w:val="7D5E40CD"/>
    <w:rsid w:val="7D5F378A"/>
    <w:rsid w:val="7D660BBB"/>
    <w:rsid w:val="7D755AD9"/>
    <w:rsid w:val="7D7A39D5"/>
    <w:rsid w:val="7D831878"/>
    <w:rsid w:val="7D917404"/>
    <w:rsid w:val="7D9D51F9"/>
    <w:rsid w:val="7D9E49CC"/>
    <w:rsid w:val="7DAF3C2E"/>
    <w:rsid w:val="7DC223A1"/>
    <w:rsid w:val="7DCD56F2"/>
    <w:rsid w:val="7DD51009"/>
    <w:rsid w:val="7DD65E4C"/>
    <w:rsid w:val="7DD84299"/>
    <w:rsid w:val="7DDA1DE0"/>
    <w:rsid w:val="7DDE2FF4"/>
    <w:rsid w:val="7DE2657F"/>
    <w:rsid w:val="7DE762AB"/>
    <w:rsid w:val="7DF32EA2"/>
    <w:rsid w:val="7DF34C50"/>
    <w:rsid w:val="7DF84014"/>
    <w:rsid w:val="7DFA594C"/>
    <w:rsid w:val="7E0724A9"/>
    <w:rsid w:val="7E0E4F63"/>
    <w:rsid w:val="7E1F5A45"/>
    <w:rsid w:val="7E4322D7"/>
    <w:rsid w:val="7E447259"/>
    <w:rsid w:val="7E461224"/>
    <w:rsid w:val="7E46630F"/>
    <w:rsid w:val="7E5434BA"/>
    <w:rsid w:val="7E5C0A47"/>
    <w:rsid w:val="7E68119A"/>
    <w:rsid w:val="7E7C00E9"/>
    <w:rsid w:val="7E88183C"/>
    <w:rsid w:val="7E8A04CB"/>
    <w:rsid w:val="7E8D44C5"/>
    <w:rsid w:val="7E906943"/>
    <w:rsid w:val="7E957AB5"/>
    <w:rsid w:val="7EA20405"/>
    <w:rsid w:val="7EAD12A3"/>
    <w:rsid w:val="7EB81F58"/>
    <w:rsid w:val="7EBE700C"/>
    <w:rsid w:val="7EBF0A49"/>
    <w:rsid w:val="7EC42148"/>
    <w:rsid w:val="7ECB797B"/>
    <w:rsid w:val="7ECD54A1"/>
    <w:rsid w:val="7EE256D6"/>
    <w:rsid w:val="7EE4674F"/>
    <w:rsid w:val="7F001CE7"/>
    <w:rsid w:val="7F013C16"/>
    <w:rsid w:val="7F0D30D7"/>
    <w:rsid w:val="7F0F7867"/>
    <w:rsid w:val="7F2D0B3A"/>
    <w:rsid w:val="7F3279BA"/>
    <w:rsid w:val="7F345520"/>
    <w:rsid w:val="7F567822"/>
    <w:rsid w:val="7F575AD5"/>
    <w:rsid w:val="7F590AE3"/>
    <w:rsid w:val="7F5F07EF"/>
    <w:rsid w:val="7F62208D"/>
    <w:rsid w:val="7F6B32E1"/>
    <w:rsid w:val="7F6C7259"/>
    <w:rsid w:val="7F6E05FC"/>
    <w:rsid w:val="7F755829"/>
    <w:rsid w:val="7F7A5EF4"/>
    <w:rsid w:val="7F7C18E9"/>
    <w:rsid w:val="7F7D6EC7"/>
    <w:rsid w:val="7F853FCE"/>
    <w:rsid w:val="7F8A5E48"/>
    <w:rsid w:val="7F945CBC"/>
    <w:rsid w:val="7FA501CC"/>
    <w:rsid w:val="7FA866A4"/>
    <w:rsid w:val="7FAE737B"/>
    <w:rsid w:val="7FB93001"/>
    <w:rsid w:val="7FBD2319"/>
    <w:rsid w:val="7FC271AC"/>
    <w:rsid w:val="7FC763C5"/>
    <w:rsid w:val="7FD05249"/>
    <w:rsid w:val="7FE47E50"/>
    <w:rsid w:val="7FF56A5D"/>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1"/>
    <w:pPr>
      <w:ind w:left="720"/>
      <w:outlineLvl w:val="1"/>
    </w:pPr>
    <w:rPr>
      <w:rFonts w:ascii="宋体" w:hAnsi="宋体" w:cs="宋体"/>
      <w:b/>
      <w:bCs/>
      <w:sz w:val="24"/>
      <w:lang w:val="zh-CN" w:bidi="zh-CN"/>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b/>
      <w:bCs/>
      <w:kern w:val="0"/>
      <w:sz w:val="27"/>
      <w:szCs w:val="27"/>
    </w:rPr>
  </w:style>
  <w:style w:type="paragraph" w:styleId="5">
    <w:name w:val="heading 4"/>
    <w:basedOn w:val="1"/>
    <w:next w:val="1"/>
    <w:autoRedefine/>
    <w:qFormat/>
    <w:uiPriority w:val="0"/>
    <w:pPr>
      <w:keepNext/>
      <w:keepLines/>
      <w:spacing w:line="500" w:lineRule="exact"/>
      <w:outlineLvl w:val="3"/>
    </w:pPr>
    <w:rPr>
      <w:rFonts w:ascii="仿宋_GB2312" w:hAnsi="Arial" w:eastAsia="仿宋_GB2312"/>
      <w:bCs/>
      <w:sz w:val="28"/>
      <w:szCs w:val="28"/>
    </w:rPr>
  </w:style>
  <w:style w:type="paragraph" w:styleId="6">
    <w:name w:val="heading 5"/>
    <w:basedOn w:val="1"/>
    <w:next w:val="1"/>
    <w:autoRedefine/>
    <w:semiHidden/>
    <w:unhideWhenUsed/>
    <w:qFormat/>
    <w:uiPriority w:val="0"/>
    <w:pPr>
      <w:spacing w:beforeAutospacing="1" w:afterAutospacing="1"/>
      <w:jc w:val="left"/>
      <w:outlineLvl w:val="4"/>
    </w:pPr>
    <w:rPr>
      <w:rFonts w:hint="eastAsia" w:ascii="宋体" w:hAnsi="宋体"/>
      <w:b/>
      <w:bCs/>
      <w:kern w:val="0"/>
      <w:sz w:val="2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75"/>
    <w:autoRedefine/>
    <w:unhideWhenUsed/>
    <w:qFormat/>
    <w:uiPriority w:val="99"/>
    <w:pPr>
      <w:widowControl/>
      <w:adjustRightInd w:val="0"/>
      <w:snapToGrid w:val="0"/>
      <w:spacing w:line="300" w:lineRule="auto"/>
      <w:jc w:val="left"/>
    </w:pPr>
    <w:rPr>
      <w:rFonts w:ascii="仿宋_GB2312" w:hAnsi="Calibri" w:eastAsia="仿宋_GB2312"/>
      <w:sz w:val="28"/>
    </w:rPr>
  </w:style>
  <w:style w:type="paragraph" w:styleId="8">
    <w:name w:val="Normal Indent"/>
    <w:basedOn w:val="1"/>
    <w:link w:val="36"/>
    <w:autoRedefine/>
    <w:qFormat/>
    <w:uiPriority w:val="0"/>
    <w:pPr>
      <w:spacing w:line="500" w:lineRule="exact"/>
      <w:ind w:firstLine="200" w:firstLineChars="200"/>
    </w:pPr>
    <w:rPr>
      <w:kern w:val="0"/>
      <w:sz w:val="24"/>
    </w:rPr>
  </w:style>
  <w:style w:type="paragraph" w:styleId="9">
    <w:name w:val="annotation text"/>
    <w:basedOn w:val="1"/>
    <w:link w:val="37"/>
    <w:autoRedefine/>
    <w:qFormat/>
    <w:uiPriority w:val="0"/>
    <w:pPr>
      <w:jc w:val="left"/>
    </w:pPr>
    <w:rPr>
      <w:kern w:val="0"/>
      <w:sz w:val="24"/>
      <w:szCs w:val="20"/>
    </w:rPr>
  </w:style>
  <w:style w:type="paragraph" w:styleId="10">
    <w:name w:val="Body Text"/>
    <w:basedOn w:val="1"/>
    <w:link w:val="35"/>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link w:val="38"/>
    <w:autoRedefine/>
    <w:qFormat/>
    <w:uiPriority w:val="0"/>
    <w:pPr>
      <w:spacing w:after="120"/>
      <w:ind w:left="420" w:leftChars="200"/>
    </w:pPr>
    <w:rPr>
      <w:kern w:val="0"/>
      <w:sz w:val="24"/>
      <w:szCs w:val="20"/>
    </w:rPr>
  </w:style>
  <w:style w:type="paragraph" w:styleId="12">
    <w:name w:val="Plain Text"/>
    <w:basedOn w:val="1"/>
    <w:autoRedefine/>
    <w:qFormat/>
    <w:uiPriority w:val="0"/>
    <w:pPr>
      <w:spacing w:line="240" w:lineRule="atLeast"/>
    </w:pPr>
    <w:rPr>
      <w:rFonts w:ascii="宋体" w:hAnsi="Courier New"/>
    </w:rPr>
  </w:style>
  <w:style w:type="paragraph" w:styleId="13">
    <w:name w:val="List Bullet 5"/>
    <w:basedOn w:val="1"/>
    <w:autoRedefine/>
    <w:qFormat/>
    <w:uiPriority w:val="0"/>
    <w:pPr>
      <w:numPr>
        <w:ilvl w:val="0"/>
        <w:numId w:val="1"/>
      </w:numPr>
    </w:pPr>
  </w:style>
  <w:style w:type="paragraph" w:styleId="14">
    <w:name w:val="Date"/>
    <w:basedOn w:val="1"/>
    <w:next w:val="1"/>
    <w:link w:val="39"/>
    <w:autoRedefine/>
    <w:qFormat/>
    <w:uiPriority w:val="0"/>
    <w:pPr>
      <w:ind w:left="100" w:leftChars="2500"/>
    </w:pPr>
    <w:rPr>
      <w:kern w:val="0"/>
      <w:sz w:val="24"/>
      <w:szCs w:val="20"/>
    </w:rPr>
  </w:style>
  <w:style w:type="paragraph" w:styleId="15">
    <w:name w:val="Balloon Text"/>
    <w:basedOn w:val="1"/>
    <w:link w:val="40"/>
    <w:autoRedefine/>
    <w:semiHidden/>
    <w:qFormat/>
    <w:uiPriority w:val="0"/>
    <w:rPr>
      <w:kern w:val="0"/>
      <w:sz w:val="18"/>
      <w:szCs w:val="20"/>
    </w:rPr>
  </w:style>
  <w:style w:type="paragraph" w:styleId="16">
    <w:name w:val="footer"/>
    <w:basedOn w:val="1"/>
    <w:link w:val="41"/>
    <w:autoRedefine/>
    <w:qFormat/>
    <w:uiPriority w:val="99"/>
    <w:pPr>
      <w:tabs>
        <w:tab w:val="center" w:pos="4153"/>
        <w:tab w:val="right" w:pos="8306"/>
      </w:tabs>
      <w:snapToGrid w:val="0"/>
      <w:jc w:val="left"/>
    </w:pPr>
    <w:rPr>
      <w:kern w:val="0"/>
      <w:sz w:val="18"/>
      <w:szCs w:val="20"/>
    </w:rPr>
  </w:style>
  <w:style w:type="paragraph" w:styleId="17">
    <w:name w:val="header"/>
    <w:basedOn w:val="1"/>
    <w:link w:val="4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autoRedefine/>
    <w:qFormat/>
    <w:uiPriority w:val="39"/>
    <w:pPr>
      <w:spacing w:line="360" w:lineRule="auto"/>
    </w:pPr>
    <w:rPr>
      <w:rFonts w:eastAsia="仿宋"/>
      <w:sz w:val="24"/>
    </w:rPr>
  </w:style>
  <w:style w:type="paragraph" w:styleId="19">
    <w:name w:val="Body Text Indent 3"/>
    <w:basedOn w:val="1"/>
    <w:autoRedefine/>
    <w:qFormat/>
    <w:uiPriority w:val="0"/>
    <w:pPr>
      <w:spacing w:before="60" w:line="460" w:lineRule="exact"/>
      <w:ind w:firstLine="540"/>
    </w:pPr>
    <w:rPr>
      <w:sz w:val="24"/>
    </w:rPr>
  </w:style>
  <w:style w:type="paragraph" w:styleId="20">
    <w:name w:val="Body Text 2"/>
    <w:basedOn w:val="1"/>
    <w:link w:val="43"/>
    <w:autoRedefine/>
    <w:qFormat/>
    <w:uiPriority w:val="0"/>
    <w:pPr>
      <w:spacing w:after="120" w:line="480" w:lineRule="auto"/>
    </w:pPr>
  </w:style>
  <w:style w:type="paragraph" w:styleId="21">
    <w:name w:val="Normal (Web)"/>
    <w:basedOn w:val="1"/>
    <w:link w:val="44"/>
    <w:autoRedefine/>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link w:val="45"/>
    <w:autoRedefine/>
    <w:qFormat/>
    <w:uiPriority w:val="0"/>
    <w:pPr>
      <w:spacing w:before="240" w:after="60"/>
      <w:jc w:val="center"/>
      <w:outlineLvl w:val="0"/>
    </w:pPr>
    <w:rPr>
      <w:rFonts w:ascii="等线 Light" w:hAnsi="等线 Light"/>
      <w:b/>
      <w:bCs/>
      <w:sz w:val="32"/>
      <w:szCs w:val="32"/>
    </w:rPr>
  </w:style>
  <w:style w:type="paragraph" w:styleId="23">
    <w:name w:val="annotation subject"/>
    <w:basedOn w:val="9"/>
    <w:next w:val="9"/>
    <w:link w:val="46"/>
    <w:autoRedefine/>
    <w:semiHidden/>
    <w:qFormat/>
    <w:uiPriority w:val="0"/>
    <w:rPr>
      <w:b/>
    </w:rPr>
  </w:style>
  <w:style w:type="paragraph" w:styleId="24">
    <w:name w:val="Body Text First Indent"/>
    <w:basedOn w:val="10"/>
    <w:next w:val="1"/>
    <w:link w:val="47"/>
    <w:autoRedefine/>
    <w:qFormat/>
    <w:uiPriority w:val="0"/>
    <w:pPr>
      <w:widowControl w:val="0"/>
      <w:snapToGrid/>
      <w:spacing w:before="0" w:after="120" w:line="240" w:lineRule="auto"/>
      <w:ind w:right="0" w:firstLine="420" w:firstLineChars="100"/>
    </w:pPr>
    <w:rPr>
      <w:kern w:val="2"/>
      <w:sz w:val="21"/>
    </w:rPr>
  </w:style>
  <w:style w:type="paragraph" w:styleId="25">
    <w:name w:val="Body Text First Indent 2"/>
    <w:basedOn w:val="11"/>
    <w:link w:val="76"/>
    <w:autoRedefine/>
    <w:qFormat/>
    <w:uiPriority w:val="0"/>
    <w:pPr>
      <w:ind w:firstLine="420" w:firstLineChars="200"/>
    </w:pPr>
    <w:rPr>
      <w:kern w:val="2"/>
      <w:sz w:val="21"/>
      <w:szCs w:val="24"/>
    </w:r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autoRedefine/>
    <w:qFormat/>
    <w:uiPriority w:val="0"/>
  </w:style>
  <w:style w:type="character" w:styleId="31">
    <w:name w:val="FollowedHyperlink"/>
    <w:basedOn w:val="28"/>
    <w:autoRedefine/>
    <w:qFormat/>
    <w:uiPriority w:val="0"/>
    <w:rPr>
      <w:color w:val="185ECF"/>
      <w:u w:val="none"/>
    </w:rPr>
  </w:style>
  <w:style w:type="character" w:styleId="32">
    <w:name w:val="Emphasis"/>
    <w:basedOn w:val="28"/>
    <w:qFormat/>
    <w:uiPriority w:val="0"/>
    <w:rPr>
      <w:i/>
    </w:rPr>
  </w:style>
  <w:style w:type="character" w:styleId="33">
    <w:name w:val="Hyperlink"/>
    <w:autoRedefine/>
    <w:unhideWhenUsed/>
    <w:qFormat/>
    <w:uiPriority w:val="99"/>
    <w:rPr>
      <w:color w:val="0000FF"/>
      <w:u w:val="single"/>
    </w:rPr>
  </w:style>
  <w:style w:type="character" w:styleId="34">
    <w:name w:val="annotation reference"/>
    <w:autoRedefine/>
    <w:semiHidden/>
    <w:qFormat/>
    <w:uiPriority w:val="99"/>
    <w:rPr>
      <w:sz w:val="21"/>
    </w:rPr>
  </w:style>
  <w:style w:type="character" w:customStyle="1" w:styleId="35">
    <w:name w:val="正文文本 Char"/>
    <w:link w:val="10"/>
    <w:autoRedefine/>
    <w:qFormat/>
    <w:uiPriority w:val="0"/>
    <w:rPr>
      <w:sz w:val="18"/>
    </w:rPr>
  </w:style>
  <w:style w:type="character" w:customStyle="1" w:styleId="36">
    <w:name w:val="正文缩进 Char"/>
    <w:link w:val="8"/>
    <w:autoRedefine/>
    <w:qFormat/>
    <w:uiPriority w:val="0"/>
    <w:rPr>
      <w:sz w:val="24"/>
      <w:szCs w:val="24"/>
    </w:rPr>
  </w:style>
  <w:style w:type="character" w:customStyle="1" w:styleId="37">
    <w:name w:val="批注文字 Char"/>
    <w:link w:val="9"/>
    <w:autoRedefine/>
    <w:qFormat/>
    <w:uiPriority w:val="0"/>
    <w:rPr>
      <w:rFonts w:ascii="Times New Roman" w:hAnsi="Times New Roman" w:eastAsia="宋体"/>
      <w:sz w:val="24"/>
    </w:rPr>
  </w:style>
  <w:style w:type="character" w:customStyle="1" w:styleId="38">
    <w:name w:val="正文文本缩进 Char"/>
    <w:link w:val="11"/>
    <w:autoRedefine/>
    <w:semiHidden/>
    <w:qFormat/>
    <w:uiPriority w:val="0"/>
    <w:rPr>
      <w:rFonts w:ascii="Times New Roman" w:hAnsi="Times New Roman" w:eastAsia="宋体"/>
      <w:sz w:val="24"/>
    </w:rPr>
  </w:style>
  <w:style w:type="character" w:customStyle="1" w:styleId="39">
    <w:name w:val="日期 Char"/>
    <w:link w:val="14"/>
    <w:autoRedefine/>
    <w:qFormat/>
    <w:uiPriority w:val="0"/>
    <w:rPr>
      <w:rFonts w:ascii="Times New Roman" w:hAnsi="Times New Roman" w:eastAsia="宋体"/>
      <w:sz w:val="24"/>
    </w:rPr>
  </w:style>
  <w:style w:type="character" w:customStyle="1" w:styleId="40">
    <w:name w:val="批注框文本 Char"/>
    <w:link w:val="15"/>
    <w:autoRedefine/>
    <w:semiHidden/>
    <w:qFormat/>
    <w:uiPriority w:val="0"/>
    <w:rPr>
      <w:rFonts w:ascii="Times New Roman" w:hAnsi="Times New Roman" w:eastAsia="宋体"/>
      <w:sz w:val="18"/>
    </w:rPr>
  </w:style>
  <w:style w:type="character" w:customStyle="1" w:styleId="41">
    <w:name w:val="页脚 Char"/>
    <w:link w:val="16"/>
    <w:autoRedefine/>
    <w:qFormat/>
    <w:uiPriority w:val="99"/>
    <w:rPr>
      <w:sz w:val="18"/>
    </w:rPr>
  </w:style>
  <w:style w:type="character" w:customStyle="1" w:styleId="42">
    <w:name w:val="页眉 Char"/>
    <w:link w:val="17"/>
    <w:autoRedefine/>
    <w:qFormat/>
    <w:uiPriority w:val="0"/>
    <w:rPr>
      <w:sz w:val="18"/>
    </w:rPr>
  </w:style>
  <w:style w:type="character" w:customStyle="1" w:styleId="43">
    <w:name w:val="正文文本 2 Char"/>
    <w:link w:val="20"/>
    <w:autoRedefine/>
    <w:qFormat/>
    <w:uiPriority w:val="0"/>
    <w:rPr>
      <w:kern w:val="2"/>
      <w:sz w:val="21"/>
      <w:szCs w:val="24"/>
    </w:rPr>
  </w:style>
  <w:style w:type="character" w:customStyle="1" w:styleId="44">
    <w:name w:val="普通(网站) Char"/>
    <w:link w:val="21"/>
    <w:autoRedefine/>
    <w:qFormat/>
    <w:uiPriority w:val="0"/>
    <w:rPr>
      <w:rFonts w:ascii="宋体" w:hAnsi="宋体" w:eastAsia="宋体"/>
      <w:sz w:val="24"/>
    </w:rPr>
  </w:style>
  <w:style w:type="character" w:customStyle="1" w:styleId="45">
    <w:name w:val="标题 Char"/>
    <w:link w:val="22"/>
    <w:autoRedefine/>
    <w:qFormat/>
    <w:uiPriority w:val="0"/>
    <w:rPr>
      <w:rFonts w:ascii="等线 Light" w:hAnsi="等线 Light" w:cs="Times New Roman"/>
      <w:b/>
      <w:bCs/>
      <w:kern w:val="2"/>
      <w:sz w:val="32"/>
      <w:szCs w:val="32"/>
    </w:rPr>
  </w:style>
  <w:style w:type="character" w:customStyle="1" w:styleId="46">
    <w:name w:val="批注主题 Char"/>
    <w:link w:val="23"/>
    <w:autoRedefine/>
    <w:semiHidden/>
    <w:qFormat/>
    <w:uiPriority w:val="0"/>
    <w:rPr>
      <w:rFonts w:ascii="Times New Roman" w:hAnsi="Times New Roman" w:eastAsia="宋体"/>
      <w:b/>
      <w:kern w:val="2"/>
      <w:sz w:val="24"/>
    </w:rPr>
  </w:style>
  <w:style w:type="character" w:customStyle="1" w:styleId="47">
    <w:name w:val="正文首行缩进 Char"/>
    <w:link w:val="24"/>
    <w:autoRedefine/>
    <w:qFormat/>
    <w:uiPriority w:val="0"/>
    <w:rPr>
      <w:kern w:val="2"/>
      <w:sz w:val="21"/>
    </w:rPr>
  </w:style>
  <w:style w:type="character" w:customStyle="1" w:styleId="48">
    <w:name w:val="页脚 字符"/>
    <w:basedOn w:val="28"/>
    <w:autoRedefine/>
    <w:qFormat/>
    <w:uiPriority w:val="99"/>
  </w:style>
  <w:style w:type="character" w:customStyle="1" w:styleId="49">
    <w:name w:val="正文文本 字符1"/>
    <w:autoRedefine/>
    <w:semiHidden/>
    <w:qFormat/>
    <w:uiPriority w:val="0"/>
    <w:rPr>
      <w:rFonts w:ascii="Times New Roman" w:hAnsi="Times New Roman" w:eastAsia="宋体"/>
      <w:sz w:val="24"/>
    </w:rPr>
  </w:style>
  <w:style w:type="character" w:customStyle="1" w:styleId="50">
    <w:name w:val="表格 Char"/>
    <w:link w:val="51"/>
    <w:autoRedefine/>
    <w:qFormat/>
    <w:uiPriority w:val="0"/>
    <w:rPr>
      <w:rFonts w:ascii="宋体"/>
      <w:sz w:val="21"/>
    </w:rPr>
  </w:style>
  <w:style w:type="paragraph" w:customStyle="1" w:styleId="51">
    <w:name w:val="表格"/>
    <w:basedOn w:val="1"/>
    <w:next w:val="1"/>
    <w:link w:val="50"/>
    <w:autoRedefine/>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批注文字 字符1"/>
    <w:autoRedefine/>
    <w:semiHidden/>
    <w:qFormat/>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小四表文左齐"/>
    <w:basedOn w:val="1"/>
    <w:autoRedefine/>
    <w:qFormat/>
    <w:uiPriority w:val="0"/>
    <w:pPr>
      <w:adjustRightInd w:val="0"/>
      <w:snapToGrid w:val="0"/>
      <w:jc w:val="center"/>
    </w:pPr>
    <w:rPr>
      <w:rFonts w:ascii="仿宋_GB2312" w:eastAsia="仿宋_GB2312"/>
    </w:rPr>
  </w:style>
  <w:style w:type="paragraph" w:customStyle="1" w:styleId="57">
    <w:name w:val="Default"/>
    <w:autoRedefine/>
    <w:qFormat/>
    <w:uiPriority w:val="0"/>
    <w:pPr>
      <w:widowControl w:val="0"/>
      <w:autoSpaceDE w:val="0"/>
      <w:autoSpaceDN w:val="0"/>
      <w:adjustRightInd w:val="0"/>
      <w:spacing w:line="240" w:lineRule="atLeast"/>
    </w:pPr>
    <w:rPr>
      <w:rFonts w:ascii="宋体" w:hAnsi="Times New Roman" w:eastAsia="宋体" w:cs="宋体"/>
      <w:color w:val="000000"/>
      <w:sz w:val="24"/>
      <w:szCs w:val="24"/>
      <w:lang w:val="en-US" w:eastAsia="zh-CN" w:bidi="ar-SA"/>
    </w:rPr>
  </w:style>
  <w:style w:type="paragraph" w:customStyle="1" w:styleId="58">
    <w:name w:val="表格文字"/>
    <w:basedOn w:val="1"/>
    <w:link w:val="59"/>
    <w:autoRedefine/>
    <w:qFormat/>
    <w:uiPriority w:val="0"/>
    <w:pPr>
      <w:widowControl/>
      <w:spacing w:line="240" w:lineRule="atLeast"/>
      <w:jc w:val="center"/>
    </w:pPr>
    <w:rPr>
      <w:rFonts w:ascii="仿宋_GB2312" w:hAnsi="Arial Black" w:eastAsia="仿宋_GB2312"/>
      <w:kern w:val="44"/>
      <w:sz w:val="24"/>
      <w:szCs w:val="20"/>
    </w:rPr>
  </w:style>
  <w:style w:type="character" w:customStyle="1" w:styleId="59">
    <w:name w:val="表格文字 Char"/>
    <w:link w:val="58"/>
    <w:autoRedefine/>
    <w:qFormat/>
    <w:uiPriority w:val="0"/>
    <w:rPr>
      <w:rFonts w:ascii="仿宋_GB2312" w:hAnsi="Arial Black" w:eastAsia="仿宋_GB2312"/>
      <w:kern w:val="44"/>
      <w:sz w:val="24"/>
    </w:rPr>
  </w:style>
  <w:style w:type="table" w:customStyle="1" w:styleId="60">
    <w:name w:val="Table Normal"/>
    <w:autoRedefine/>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61">
    <w:name w:val="Table Paragraph"/>
    <w:basedOn w:val="1"/>
    <w:autoRedefine/>
    <w:qFormat/>
    <w:uiPriority w:val="1"/>
    <w:rPr>
      <w:rFonts w:eastAsia="Times New Roman"/>
      <w:sz w:val="24"/>
      <w:lang w:val="zh-CN" w:bidi="zh-CN"/>
    </w:rPr>
  </w:style>
  <w:style w:type="character" w:customStyle="1" w:styleId="62">
    <w:name w:val="批注文字 字符"/>
    <w:autoRedefine/>
    <w:qFormat/>
    <w:uiPriority w:val="99"/>
    <w:rPr>
      <w:rFonts w:ascii="Times New Roman" w:hAnsi="Times New Roman" w:eastAsia="宋体" w:cs="Times New Roman"/>
      <w:kern w:val="2"/>
      <w:sz w:val="21"/>
      <w:szCs w:val="24"/>
    </w:rPr>
  </w:style>
  <w:style w:type="paragraph" w:styleId="63">
    <w:name w:val="List Paragraph"/>
    <w:basedOn w:val="1"/>
    <w:autoRedefine/>
    <w:qFormat/>
    <w:uiPriority w:val="1"/>
    <w:pPr>
      <w:autoSpaceDE w:val="0"/>
      <w:autoSpaceDN w:val="0"/>
      <w:adjustRightInd w:val="0"/>
      <w:jc w:val="left"/>
    </w:pPr>
    <w:rPr>
      <w:kern w:val="0"/>
      <w:sz w:val="24"/>
    </w:rPr>
  </w:style>
  <w:style w:type="character" w:customStyle="1" w:styleId="64">
    <w:name w:val="未处理的提及1"/>
    <w:autoRedefine/>
    <w:unhideWhenUsed/>
    <w:qFormat/>
    <w:uiPriority w:val="99"/>
    <w:rPr>
      <w:color w:val="605E5C"/>
      <w:shd w:val="clear" w:color="auto" w:fill="E1DFDD"/>
    </w:rPr>
  </w:style>
  <w:style w:type="character" w:customStyle="1" w:styleId="65">
    <w:name w:val="批注文字 Char2"/>
    <w:autoRedefine/>
    <w:qFormat/>
    <w:uiPriority w:val="0"/>
    <w:rPr>
      <w:szCs w:val="24"/>
    </w:rPr>
  </w:style>
  <w:style w:type="paragraph" w:customStyle="1" w:styleId="66">
    <w:name w:val="段"/>
    <w:link w:val="67"/>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7">
    <w:name w:val="段 Char"/>
    <w:link w:val="66"/>
    <w:autoRedefine/>
    <w:qFormat/>
    <w:uiPriority w:val="0"/>
    <w:rPr>
      <w:rFonts w:ascii="宋体"/>
      <w:sz w:val="21"/>
    </w:rPr>
  </w:style>
  <w:style w:type="character" w:customStyle="1" w:styleId="68">
    <w:name w:val="font11"/>
    <w:basedOn w:val="28"/>
    <w:autoRedefine/>
    <w:qFormat/>
    <w:uiPriority w:val="0"/>
    <w:rPr>
      <w:rFonts w:hint="eastAsia" w:ascii="仿宋" w:hAnsi="仿宋" w:eastAsia="仿宋" w:cs="仿宋"/>
      <w:color w:val="000000"/>
      <w:sz w:val="21"/>
      <w:szCs w:val="21"/>
      <w:u w:val="none"/>
    </w:rPr>
  </w:style>
  <w:style w:type="character" w:customStyle="1" w:styleId="69">
    <w:name w:val="font21"/>
    <w:basedOn w:val="28"/>
    <w:autoRedefine/>
    <w:qFormat/>
    <w:uiPriority w:val="0"/>
    <w:rPr>
      <w:rFonts w:hint="eastAsia" w:ascii="仿宋" w:hAnsi="仿宋" w:eastAsia="仿宋" w:cs="仿宋"/>
      <w:color w:val="000000"/>
      <w:sz w:val="21"/>
      <w:szCs w:val="21"/>
      <w:u w:val="none"/>
      <w:vertAlign w:val="superscript"/>
    </w:rPr>
  </w:style>
  <w:style w:type="paragraph" w:customStyle="1" w:styleId="70">
    <w:name w:val="图表文字"/>
    <w:autoRedefine/>
    <w:qFormat/>
    <w:uiPriority w:val="0"/>
    <w:pPr>
      <w:widowControl w:val="0"/>
      <w:jc w:val="center"/>
    </w:pPr>
    <w:rPr>
      <w:rFonts w:ascii="仿宋_GB2312" w:hAnsi="Times New Roman" w:eastAsia="仿宋_GB2312" w:cs="Times New Roman"/>
      <w:kern w:val="2"/>
      <w:sz w:val="21"/>
      <w:szCs w:val="24"/>
      <w:lang w:val="en-US" w:eastAsia="zh-CN" w:bidi="ar-SA"/>
    </w:rPr>
  </w:style>
  <w:style w:type="paragraph" w:customStyle="1" w:styleId="71">
    <w:name w:val="报告书表格"/>
    <w:autoRedefine/>
    <w:qFormat/>
    <w:uiPriority w:val="0"/>
    <w:pPr>
      <w:adjustRightInd w:val="0"/>
      <w:spacing w:before="60" w:after="60" w:line="240" w:lineRule="atLeast"/>
      <w:jc w:val="center"/>
      <w:textAlignment w:val="baseline"/>
    </w:pPr>
    <w:rPr>
      <w:rFonts w:ascii="Times New Roman" w:hAnsi="Times New Roman" w:eastAsia="宋体" w:cs="Times New Roman"/>
      <w:sz w:val="21"/>
      <w:lang w:val="en-US" w:eastAsia="zh-CN" w:bidi="ar-SA"/>
    </w:rPr>
  </w:style>
  <w:style w:type="character" w:customStyle="1" w:styleId="72">
    <w:name w:val="shenbao"/>
    <w:basedOn w:val="28"/>
    <w:autoRedefine/>
    <w:qFormat/>
    <w:uiPriority w:val="0"/>
    <w:rPr>
      <w:color w:val="EF6334"/>
    </w:rPr>
  </w:style>
  <w:style w:type="character" w:customStyle="1" w:styleId="73">
    <w:name w:val="chakan"/>
    <w:basedOn w:val="28"/>
    <w:autoRedefine/>
    <w:qFormat/>
    <w:uiPriority w:val="0"/>
    <w:rPr>
      <w:color w:val="0064EA"/>
    </w:rPr>
  </w:style>
  <w:style w:type="character" w:customStyle="1" w:styleId="74">
    <w:name w:val="checkbox"/>
    <w:basedOn w:val="28"/>
    <w:autoRedefine/>
    <w:qFormat/>
    <w:uiPriority w:val="0"/>
  </w:style>
  <w:style w:type="character" w:customStyle="1" w:styleId="75">
    <w:name w:val="电子邮件签名 Char"/>
    <w:basedOn w:val="28"/>
    <w:link w:val="7"/>
    <w:autoRedefine/>
    <w:qFormat/>
    <w:uiPriority w:val="99"/>
    <w:rPr>
      <w:rFonts w:ascii="仿宋_GB2312" w:hAnsi="Calibri" w:eastAsia="仿宋_GB2312"/>
      <w:kern w:val="2"/>
      <w:sz w:val="28"/>
      <w:szCs w:val="24"/>
    </w:rPr>
  </w:style>
  <w:style w:type="character" w:customStyle="1" w:styleId="76">
    <w:name w:val="正文首行缩进 2 Char"/>
    <w:basedOn w:val="38"/>
    <w:link w:val="25"/>
    <w:autoRedefine/>
    <w:qFormat/>
    <w:uiPriority w:val="0"/>
    <w:rPr>
      <w:rFonts w:ascii="Times New Roman" w:hAnsi="Times New Roman" w:eastAsia="宋体"/>
      <w:kern w:val="2"/>
      <w:sz w:val="21"/>
      <w:szCs w:val="24"/>
    </w:rPr>
  </w:style>
  <w:style w:type="paragraph" w:customStyle="1" w:styleId="77">
    <w:name w:val="表格的文字"/>
    <w:autoRedefine/>
    <w:qFormat/>
    <w:uiPriority w:val="0"/>
    <w:pPr>
      <w:widowControl w:val="0"/>
      <w:spacing w:line="300" w:lineRule="exact"/>
      <w:jc w:val="center"/>
    </w:pPr>
    <w:rPr>
      <w:rFonts w:ascii="仿宋_GB2312" w:hAnsi="Times New Roman" w:eastAsia="仿宋_GB2312" w:cs="Times New Roman"/>
      <w:bCs/>
      <w:szCs w:val="24"/>
      <w:lang w:val="en-US" w:eastAsia="zh-CN" w:bidi="ar-SA"/>
    </w:rPr>
  </w:style>
  <w:style w:type="paragraph" w:customStyle="1" w:styleId="78">
    <w:name w:val="_Style 1"/>
    <w:basedOn w:val="1"/>
    <w:autoRedefine/>
    <w:qFormat/>
    <w:uiPriority w:val="99"/>
    <w:pPr>
      <w:ind w:firstLine="420" w:firstLineChars="200"/>
    </w:pPr>
  </w:style>
  <w:style w:type="table" w:customStyle="1" w:styleId="79">
    <w:name w:val="网格型3"/>
    <w:basedOn w:val="26"/>
    <w:qFormat/>
    <w:uiPriority w:val="39"/>
    <w:pPr>
      <w:ind w:left="210"/>
    </w:pPr>
    <w:rPr>
      <w:rFonts w:ascii="Times New Roman" w:hAnsi="Times New Roman" w:eastAsia="方正仿宋_GBK" w:cs="Times New Roman"/>
      <w:kern w:val="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正文"/>
    <w:basedOn w:val="1"/>
    <w:qFormat/>
    <w:uiPriority w:val="0"/>
    <w:rPr>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5" Type="http://schemas.openxmlformats.org/officeDocument/2006/relationships/fontTable" Target="fontTable.xml"/><Relationship Id="rId74" Type="http://schemas.openxmlformats.org/officeDocument/2006/relationships/customXml" Target="../customXml/item3.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7.emf"/><Relationship Id="rId7" Type="http://schemas.openxmlformats.org/officeDocument/2006/relationships/image" Target="media/image1.jpeg"/><Relationship Id="rId69" Type="http://schemas.openxmlformats.org/officeDocument/2006/relationships/image" Target="media/image56.emf"/><Relationship Id="rId68" Type="http://schemas.openxmlformats.org/officeDocument/2006/relationships/image" Target="media/image55.emf"/><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theme" Target="theme/theme1.xml"/><Relationship Id="rId59" Type="http://schemas.openxmlformats.org/officeDocument/2006/relationships/image" Target="media/image46.pn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Application%25252525252525252525252525252525252525252525252525252525252525252525252525252525252525252525252525252525252525252525252525252525252525252525252525252525252525252525252525252525252525252525252525252525252525252525252525252525252520Data/Tencent/Users/694763945/QQ/WinTemp/RichOle/O)2OJ%2525252525252525252525252525252525252525252525252525252525252525252525252525252525252525252525252525252525252525252525252525252525252525252525252525252525252525252525252525252525252525252525252525252525252525252525252525252525255dYKVM%2525252525252525252525252525252525252525252525252525252525252525252525252525252525252525252525252525252525252525252525252525252525252525252525252525252525252525252525252525252525252525252525252525252525252525252525252525252525257dV7LK@J2PX65G.jpg" TargetMode="External"/><Relationship Id="rId55" Type="http://schemas.openxmlformats.org/officeDocument/2006/relationships/image" Target="media/image43.jpeg"/><Relationship Id="rId54" Type="http://schemas.openxmlformats.org/officeDocument/2006/relationships/image" Target="media/image42.wmf"/><Relationship Id="rId53" Type="http://schemas.openxmlformats.org/officeDocument/2006/relationships/image" Target="media/image41.wmf"/><Relationship Id="rId52" Type="http://schemas.openxmlformats.org/officeDocument/2006/relationships/image" Target="media/image40.wmf"/><Relationship Id="rId51" Type="http://schemas.openxmlformats.org/officeDocument/2006/relationships/image" Target="media/image39.wmf"/><Relationship Id="rId50" Type="http://schemas.openxmlformats.org/officeDocument/2006/relationships/image" Target="media/image38.wmf"/><Relationship Id="rId5" Type="http://schemas.openxmlformats.org/officeDocument/2006/relationships/footer" Target="footer3.xml"/><Relationship Id="rId49" Type="http://schemas.openxmlformats.org/officeDocument/2006/relationships/image" Target="media/image37.wmf"/><Relationship Id="rId48" Type="http://schemas.openxmlformats.org/officeDocument/2006/relationships/image" Target="media/image36.wmf"/><Relationship Id="rId47" Type="http://schemas.openxmlformats.org/officeDocument/2006/relationships/image" Target="media/image35.wmf"/><Relationship Id="rId46" Type="http://schemas.openxmlformats.org/officeDocument/2006/relationships/image" Target="media/image34.wmf"/><Relationship Id="rId45" Type="http://schemas.openxmlformats.org/officeDocument/2006/relationships/image" Target="media/image33.wmf"/><Relationship Id="rId44" Type="http://schemas.openxmlformats.org/officeDocument/2006/relationships/image" Target="media/image32.wmf"/><Relationship Id="rId43" Type="http://schemas.openxmlformats.org/officeDocument/2006/relationships/image" Target="media/image31.wmf"/><Relationship Id="rId42" Type="http://schemas.openxmlformats.org/officeDocument/2006/relationships/image" Target="media/image30.wmf"/><Relationship Id="rId41" Type="http://schemas.openxmlformats.org/officeDocument/2006/relationships/image" Target="media/image29.wmf"/><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wmf"/><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eaddf4be-4418-4f84-b4d0-3c5e3a221381</errorID>
      <errorWord>98、</errorWord>
      <group>L1_Format</group>
      <groupName>格式问题</groupName>
      <ability>L2_Ordinal</ability>
      <abilityName>序号格式</abilityName>
      <candidateList>
        <item>98.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6E20865C</paraID>
      <start>0</start>
      <end>3</end>
      <status>unmodified</status>
      <modifiedWord/>
      <trackRevisions>false</trackRevisions>
    </reviewItem>
    <reviewItem>
      <errorID>aa9fb6ea-4c57-4a20-b316-1f3e9ff9c4f5</errorID>
      <errorWord>-</errorWord>
      <group>L1_Format</group>
      <groupName>格式问题</groupName>
      <ability>L2_HalfPunc</ability>
      <abilityName>全半角检查</abilityName>
      <candidateList>
        <item>－</item>
      </candidateList>
      <explain>文本全半角错误。</explain>
      <paraID>6E20865C</paraID>
      <start>17</start>
      <end>18</end>
      <status>unmodified</status>
      <modifiedWord/>
      <trackRevisions>false</trackRevisions>
    </reviewItem>
    <reviewItem>
      <errorID>0f1f45ac-0885-48c7-985a-8b521549bdab</errorID>
      <errorWord>试行》</errorWord>
      <group>L1_AI</group>
      <groupName>深度校对</groupName>
      <ability>L2_AI_Punc</ability>
      <abilityName>标点纠错</abilityName>
      <candidateList>
        <item>》（试行）</item>
      </candidateList>
      <explain/>
      <paraID> 837983F</paraID>
      <start>27</start>
      <end>30</end>
      <status>unmodified</status>
      <modifiedWord/>
      <trackRevisions>false</trackRevisions>
    </reviewItem>
    <reviewItem>
      <errorID>0400f571-f97a-484e-b6a1-011c6b047822</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 837983F</paraID>
      <start>34</start>
      <end>38</end>
      <status>unmodified</status>
      <modifiedWord/>
      <trackRevisions>false</trackRevisions>
    </reviewItem>
    <reviewItem>
      <errorID>db029a66-ff19-42b6-bf07-a85ee36f711d</errorID>
      <errorWord>废气中有毒有害污染物指纳入《有毒有害大气污染物名录》的污染物（不包括无排放标准 </errorWord>
      <group>L1_AI</group>
      <groupName>深度校对</groupName>
      <ability>L2_AI_Word</ability>
      <abilityName>字词纠错</abilityName>
      <candidateList>
        <item> 废气中有毒有害污染物指纳入《有毒有害大气污染物名录》的污染物（不包括无排放标准</item>
      </candidateList>
      <explain/>
      <paraID>34CA3219</paraID>
      <start>4</start>
      <end>44</end>
      <status>unmodified</status>
      <modifiedWord/>
      <trackRevisions>false</trackRevisions>
    </reviewItem>
    <reviewItem>
      <errorID>2c6d79e4-324f-4efe-883e-f3614c355d64</errorID>
      <errorWord>；</errorWord>
      <group>L1_AI</group>
      <groupName>深度校对</groupName>
      <ability>L2_AI_Punc</ability>
      <abilityName>标点纠错</abilityName>
      <candidateList>
        <item/>
      </candidateList>
      <explain/>
      <paraID> DA0C87F</paraID>
      <start>18</start>
      <end>19</end>
      <status>unmodified</status>
      <modifiedWord/>
      <trackRevisions>false</trackRevisions>
    </reviewItem>
    <reviewItem>
      <errorID>f2f518a8-edda-4a8b-954e-73bb236f316f</errorID>
      <errorWord>；</errorWord>
      <group>L1_AI</group>
      <groupName>深度校对</groupName>
      <ability>L2_AI_Punc</ability>
      <abilityName>标点纠错</abilityName>
      <candidateList>
        <item/>
      </candidateList>
      <explain/>
      <paraID>3ED866F5</paraID>
      <start>12</start>
      <end>13</end>
      <status>unmodified</status>
      <modifiedWord/>
      <trackRevisions>false</trackRevisions>
    </reviewItem>
    <reviewItem>
      <errorID>07bd7f3d-d678-4608-904a-690514321975</errorID>
      <errorWord>召集审查</errorWord>
      <group>L1_AI</group>
      <groupName>深度校对</groupName>
      <ability>L2_AI_Word</ability>
      <abilityName>字词纠错</abilityName>
      <candidateList>
        <item>审查召集</item>
      </candidateList>
      <explain/>
      <paraID>543F7F3B</paraID>
      <start>0</start>
      <end>4</end>
      <status>unmodified</status>
      <modifiedWord/>
      <trackRevisions>false</trackRevisions>
    </reviewItem>
    <reviewItem>
      <errorID>f667166b-a48f-4bce-913c-da6a2ae424a0</errorID>
      <errorWord>关于金坛经济开发区发展规划环境影响评价审查意见</errorWord>
      <group>L1_AI</group>
      <groupName>深度校对</groupName>
      <ability>L2_AI_Punc</ability>
      <abilityName>标点纠错</abilityName>
      <candidateList>
        <item>《关于金坛经济开发区发展规划环境影响评价审查意见》</item>
      </candidateList>
      <explain/>
      <paraID>184027EA</paraID>
      <start>10</start>
      <end>33</end>
      <status>unmodified</status>
      <modifiedWord/>
      <trackRevisions>false</trackRevisions>
    </reviewItem>
    <reviewItem>
      <errorID>4f76645f-63e7-4eaa-ae0c-c3bf133ea6ff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65A5E12A</paraID>
      <start>0</start>
      <end>2</end>
      <status>unmodified</status>
      <modifiedWord/>
      <trackRevisions>false</trackRevisions>
    </reviewItem>
    <reviewItem>
      <errorID>a50faf11-76f8-46b5-b10e-c853297e3f92</errorID>
      <errorWord>区内</errorWord>
      <group>L1_AI</group>
      <groupName>深度校对</groupName>
      <ability>L2_AI_Word</ability>
      <abilityName>字词纠错</abilityName>
      <candidateList>
        <item>区</item>
      </candidateList>
      <explain/>
      <paraID>3A9D877C</paraID>
      <start>35</start>
      <end>37</end>
      <status>unmodified</status>
      <modifiedWord/>
      <trackRevisions>false</trackRevisions>
    </reviewItem>
    <reviewItem>
      <errorID>0ea63197-b8d4-4125-9232-f993df80c51e</errorID>
      <errorWord>（</errorWord>
      <group>L1_Punc</group>
      <groupName>标点问题</groupName>
      <ability>L2_Punc</ability>
      <abilityName>标点符号检查</abilityName>
      <candidateList/>
      <explain>同一形式括号套用。</explain>
      <paraID>3A9D877C</paraID>
      <start>150</start>
      <end>151</end>
      <status>unmodified</status>
      <modifiedWord/>
      <trackRevisions>false</trackRevisions>
    </reviewItem>
    <reviewItem>
      <errorID>c5fec6a1-d257-406b-8cf9-d9c2888862ee</errorID>
      <errorWord>）</errorWord>
      <group>L1_Punc</group>
      <groupName>标点问题</groupName>
      <ability>L2_Punc</ability>
      <abilityName>标点符号检查</abilityName>
      <candidateList/>
      <explain>同一形式括号套用。</explain>
      <paraID>3A9D877C</paraID>
      <start>155</start>
      <end>156</end>
      <status>unmodified</status>
      <modifiedWord/>
      <trackRevisions>false</trackRevisions>
    </reviewItem>
    <reviewItem>
      <errorID>4a93e3ab-0fc9-4856-9dec-e536d9c8adac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6225C551</paraID>
      <start>0</start>
      <end>2</end>
      <status>unmodified</status>
      <modifiedWord/>
      <trackRevisions>false</trackRevisions>
    </reviewItem>
    <reviewItem>
      <errorID>0aee915a-4972-404b-a110-a8fa631a86aa</errorID>
      <errorWord>污水厂</errorWord>
      <group>L1_Word</group>
      <groupName>字词问题</groupName>
      <ability>L2_Typo</ability>
      <abilityName>字词错误</abilityName>
      <candidateList>
        <item>污水处理厂</item>
      </candidateList>
      <explain/>
      <paraID>79FB150B</paraID>
      <start>23</start>
      <end>26</end>
      <status>unmodified</status>
      <modifiedWord/>
      <trackRevisions>false</trackRevisions>
    </reviewItem>
    <reviewItem>
      <errorID>7bd9ed9e-3f16-480d-ba7f-b41553f5f832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41526C36</paraID>
      <start>0</start>
      <end>2</end>
      <status>unmodified</status>
      <modifiedWord/>
      <trackRevisions>false</trackRevisions>
    </reviewItem>
    <reviewItem>
      <errorID>558d6e1d-7e9e-4c5f-995d-3f5fa2915364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5DA95E64</paraID>
      <start>60</start>
      <end>61</end>
      <status>unmodified</status>
      <modifiedWord/>
      <trackRevisions>false</trackRevisions>
    </reviewItem>
    <reviewItem>
      <errorID>f9416d3e-f047-46cc-b644-1f70b89b82d8</errorID>
      <errorWord>文件</errorWord>
      <group>L1_AI</group>
      <groupName>深度校对</groupName>
      <ability>L2_AI_Word</ability>
      <abilityName>字词纠错</abilityName>
      <candidateList>
        <item>国家</item>
      </candidateList>
      <explain/>
      <paraID>5DA95E64</paraID>
      <start>81</start>
      <end>83</end>
      <status>unmodified</status>
      <modifiedWord/>
      <trackRevisions>false</trackRevisions>
    </reviewItem>
    <reviewItem>
      <errorID>bc3ef63b-25bd-4aa2-9591-639d4f976999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2BD9EC61</paraID>
      <start>19</start>
      <end>20</end>
      <status>unmodified</status>
      <modifiedWord/>
      <trackRevisions>false</trackRevisions>
    </reviewItem>
    <reviewItem>
      <errorID>f0309eab-589b-4c24-9dba-7bed3a85d0a1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3E5CD57</paraID>
      <start>23</start>
      <end>24</end>
      <status>unmodified</status>
      <modifiedWord/>
      <trackRevisions>false</trackRevisions>
    </reviewItem>
    <reviewItem>
      <errorID>0d56f08b-993b-4039-b1c6-aad1e04a4cb7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149A4F2D</paraID>
      <start>0</start>
      <end>2</end>
      <status>unmodified</status>
      <modifiedWord/>
      <trackRevisions>false</trackRevisions>
    </reviewItem>
    <reviewItem>
      <errorID>c26e9ec0-83ad-4a11-b156-930237ce32ac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3D37F08F</paraID>
      <start>0</start>
      <end>2</end>
      <status>unmodified</status>
      <modifiedWord/>
      <trackRevisions>false</trackRevisions>
    </reviewItem>
    <reviewItem>
      <errorID>1662e3e6-6f36-4655-99a9-145220ba29c7</errorID>
      <errorWord>，</errorWord>
      <group>L1_Format</group>
      <groupName>格式问题</groupName>
      <ability>L2_HalfPunc</ability>
      <abilityName>全半角检查</abilityName>
      <candidateList>
        <item>,</item>
      </candidateList>
      <explain>文本全半角错误。</explain>
      <paraID>3090C3EC</paraID>
      <start>2</start>
      <end>3</end>
      <status>unmodified</status>
      <modifiedWord/>
      <trackRevisions>false</trackRevisions>
    </reviewItem>
    <reviewItem>
      <errorID>6939bb5c-1067-41e1-8953-ef4e35301dbf</errorID>
      <errorWord>，</errorWord>
      <group>L1_Format</group>
      <groupName>格式问题</groupName>
      <ability>L2_HalfPunc</ability>
      <abilityName>全半角检查</abilityName>
      <candidateList>
        <item>,</item>
      </candidateList>
      <explain>文本全半角错误。</explain>
      <paraID>3DD14E87</paraID>
      <start>2</start>
      <end>3</end>
      <status>unmodified</status>
      <modifiedWord/>
      <trackRevisions>false</trackRevisions>
    </reviewItem>
    <reviewItem>
      <errorID>704ae7da-26a6-41e8-afed-d1e4fd57d50e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1A2A4560</paraID>
      <start>41</start>
      <end>42</end>
      <status>unmodified</status>
      <modifiedWord/>
      <trackRevisions>false</trackRevisions>
    </reviewItem>
    <reviewItem>
      <errorID>3b715b5f-c334-4d06-9696-b422a24759ed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1C63B2EC</paraID>
      <start>0</start>
      <end>1</end>
      <status>unmodified</status>
      <modifiedWord/>
      <trackRevisions>false</trackRevisions>
    </reviewItem>
    <reviewItem>
      <errorID>eee71ebc-244b-40db-8cb9-8331fdddbcc1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5CAB371F</paraID>
      <start>0</start>
      <end>2</end>
      <status>unmodified</status>
      <modifiedWord/>
      <trackRevisions>false</trackRevisions>
    </reviewItem>
    <reviewItem>
      <errorID>7d111a50-3c44-433d-881a-971bdde66572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5CAB371F</paraID>
      <start>37</start>
      <end>38</end>
      <status>unmodified</status>
      <modifiedWord/>
      <trackRevisions>false</trackRevisions>
    </reviewItem>
    <reviewItem>
      <errorID>f8b2a4d1-b1c7-4f42-9d8b-b7bc80fb973a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5CAB371F</paraID>
      <start>62</start>
      <end>63</end>
      <status>unmodified</status>
      <modifiedWord/>
      <trackRevisions>false</trackRevisions>
    </reviewItem>
    <reviewItem>
      <errorID>5a8de9ba-2393-4eac-861b-6ccd7ccb00d1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1EB853AB</paraID>
      <start>0</start>
      <end>2</end>
      <status>unmodified</status>
      <modifiedWord/>
      <trackRevisions>false</trackRevisions>
    </reviewItem>
    <reviewItem>
      <errorID>bdf077b2-e459-45fd-a1ee-cdf162a5b516</errorID>
      <errorWord>》</errorWord>
      <group>L1_Word</group>
      <groupName>字词问题</groupName>
      <ability>L2_Typo</ability>
      <abilityName>字词错误</abilityName>
      <candidateList>
        <item>》和</item>
      </candidateList>
      <explain/>
      <paraID>1EB853AB</paraID>
      <start>73</start>
      <end>74</end>
      <status>unmodified</status>
      <modifiedWord/>
      <trackRevisions>false</trackRevisions>
    </reviewItem>
    <reviewItem>
      <errorID>1e168db9-f3a6-4644-8afd-453ff0bae620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1F61C4F4</paraID>
      <start>0</start>
      <end>2</end>
      <status>unmodified</status>
      <modifiedWord/>
      <trackRevisions>false</trackRevisions>
    </reviewItem>
    <reviewItem>
      <errorID>8806387d-da04-4c3f-986a-fc32b7076a80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6FD3BAC5</paraID>
      <start>0</start>
      <end>2</end>
      <status>unmodified</status>
      <modifiedWord/>
      <trackRevisions>false</trackRevisions>
    </reviewItem>
    <reviewItem>
      <errorID>e4616800-ee3e-4ce0-84d6-45f6e27e5dc3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32B9E7</paraID>
      <start>0</start>
      <end>2</end>
      <status>unmodified</status>
      <modifiedWord/>
      <trackRevisions>false</trackRevisions>
    </reviewItem>
    <reviewItem>
      <errorID>a21ad349-e1b2-44ce-ae53-b8cef7fe14d3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4D847175</paraID>
      <start>0</start>
      <end>2</end>
      <status>unmodified</status>
      <modifiedWord/>
      <trackRevisions>false</trackRevisions>
    </reviewItem>
    <reviewItem>
      <errorID>ef084808-9a9e-49eb-ae82-8b041a3ba728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10204961</paraID>
      <start>0</start>
      <end>2</end>
      <status>unmodified</status>
      <modifiedWord/>
      <trackRevisions>false</trackRevisions>
    </reviewItem>
    <reviewItem>
      <errorID>bb708f0c-da78-42c0-a9b9-64ded3116814</errorID>
      <errorWord>其它</errorWord>
      <group>L1_Word</group>
      <groupName>字词问题</groupName>
      <ability>L2_Alias</ability>
      <abilityName>也作/曾用词</abilityName>
      <candidateList>
        <item>其他</item>
      </candidateList>
      <explain>词汇[其它]为不规范表述或旧称，其规范书面表述为[其他]。</explain>
      <paraID>10204961</paraID>
      <start>54</start>
      <end>56</end>
      <status>unmodified</status>
      <modifiedWord/>
      <trackRevisions>false</trackRevisions>
    </reviewItem>
    <reviewItem>
      <errorID>5adbe8b8-112e-419c-9d9c-7655c0129724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40B24143</paraID>
      <start>0</start>
      <end>2</end>
      <status>unmodified</status>
      <modifiedWord/>
      <trackRevisions>false</trackRevisions>
    </reviewItem>
    <reviewItem>
      <errorID>737e2cf6-98f4-4c89-8418-be3fdb281f91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2BF20984</paraID>
      <start>0</start>
      <end>2</end>
      <status>unmodified</status>
      <modifiedWord/>
      <trackRevisions>false</trackRevisions>
    </reviewItem>
    <reviewItem>
      <errorID>38494e12-9b51-4878-8cbc-0394dfd77d1c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FC86A0A</paraID>
      <start>0</start>
      <end>3</end>
      <status>unmodified</status>
      <modifiedWord/>
      <trackRevisions>false</trackRevisions>
    </reviewItem>
    <reviewItem>
      <errorID>af5b8b3b-ed95-4540-b735-2c89af222376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1C1C763C</paraID>
      <start>0</start>
      <end>3</end>
      <status>unmodified</status>
      <modifiedWord/>
      <trackRevisions>false</trackRevisions>
    </reviewItem>
    <reviewItem>
      <errorID>9b7e979c-5e6c-4b2b-a5e1-3427d0d45ef4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24B8BD70</paraID>
      <start>0</start>
      <end>3</end>
      <status>unmodified</status>
      <modifiedWord/>
      <trackRevisions>false</trackRevisions>
    </reviewItem>
    <reviewItem>
      <errorID>5d3fadd5-02f0-4982-8bdd-ac026d50910a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436077D2</paraID>
      <start>0</start>
      <end>3</end>
      <status>unmodified</status>
      <modifiedWord/>
      <trackRevisions>false</trackRevisions>
    </reviewItem>
    <reviewItem>
      <errorID>7db93a78-fa75-42ea-99b4-42cac04ad33d</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7B266707</paraID>
      <start>0</start>
      <end>3</end>
      <status>unmodified</status>
      <modifiedWord/>
      <trackRevisions>false</trackRevisions>
    </reviewItem>
    <reviewItem>
      <errorID>503768d5-ddc1-4a1d-addc-605c2e735cf9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4955ECD4</paraID>
      <start>0</start>
      <end>3</end>
      <status>unmodified</status>
      <modifiedWord/>
      <trackRevisions>false</trackRevisions>
    </reviewItem>
    <reviewItem>
      <errorID>81ab52e8-e7f3-45d5-9abf-984eff23b6d8</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703D3593</paraID>
      <start>0</start>
      <end>3</end>
      <status>unmodified</status>
      <modifiedWord/>
      <trackRevisions>false</trackRevisions>
    </reviewItem>
    <reviewItem>
      <errorID>a97d674f-053a-4c34-b360-5ddedb3a6dc5</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14355B1A</paraID>
      <start>0</start>
      <end>3</end>
      <status>unmodified</status>
      <modifiedWord/>
      <trackRevisions>false</trackRevisions>
    </reviewItem>
    <reviewItem>
      <errorID>dbcd5a42-487a-4239-98ee-0dc477b3c957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4FB92779</paraID>
      <start>0</start>
      <end>3</end>
      <status>unmodified</status>
      <modifiedWord/>
      <trackRevisions>false</trackRevisions>
    </reviewItem>
    <reviewItem>
      <errorID>ce66a76c-cf27-4245-b5e5-4e843301a1f5</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4A9D2660</paraID>
      <start>0</start>
      <end>3</end>
      <status>unmodified</status>
      <modifiedWord/>
      <trackRevisions>false</trackRevisions>
    </reviewItem>
    <reviewItem>
      <errorID>ece19141-aec4-4db3-accb-5e7a2344291b</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63DEAD5D</paraID>
      <start>0</start>
      <end>3</end>
      <status>unmodified</status>
      <modifiedWord/>
      <trackRevisions>false</trackRevisions>
    </reviewItem>
    <reviewItem>
      <errorID>444b93be-e105-4431-8c5b-2b41b98439d2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63DEAD5D</paraID>
      <start>27</start>
      <end>28</end>
      <status>unmodified</status>
      <modifiedWord/>
      <trackRevisions>false</trackRevisions>
    </reviewItem>
    <reviewItem>
      <errorID>d6aa4901-0a74-40d9-a616-0731da85131c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689ADE57</paraID>
      <start>21</start>
      <end>24</end>
      <status>unmodified</status>
      <modifiedWord/>
      <trackRevisions>false</trackRevisions>
    </reviewItem>
    <reviewItem>
      <errorID>3c4b61b0-bda8-4b64-9df3-9db11a8d3c5f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543D1F0</paraID>
      <start>46</start>
      <end>47</end>
      <status>unmodified</status>
      <modifiedWord/>
      <trackRevisions>false</trackRevisions>
    </reviewItem>
    <reviewItem>
      <errorID>8c5e2826-48f6-4982-aef1-9e97b0016fee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543D1F0</paraID>
      <start>71</start>
      <end>72</end>
      <status>unmodified</status>
      <modifiedWord/>
      <trackRevisions>false</trackRevisions>
    </reviewItem>
    <reviewItem>
      <errorID>f98f3483-9635-4bfc-9790-71d1600eaf3f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40FF843E</paraID>
      <start>0</start>
      <end>2</end>
      <status>unmodified</status>
      <modifiedWord/>
      <trackRevisions>false</trackRevisions>
    </reviewItem>
    <reviewItem>
      <errorID>6c9770a2-57fd-4169-913d-14efbe228b9a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1BE3FDD7</paraID>
      <start>0</start>
      <end>2</end>
      <status>unmodified</status>
      <modifiedWord/>
      <trackRevisions>false</trackRevisions>
    </reviewItem>
    <reviewItem>
      <errorID>6fa90898-da9c-4ba2-900b-15b7d1d3f669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509BBAD2</paraID>
      <start>0</start>
      <end>2</end>
      <status>unmodified</status>
      <modifiedWord/>
      <trackRevisions>false</trackRevisions>
    </reviewItem>
    <reviewItem>
      <errorID>a9d1970f-385a-46ee-a4c6-d6605970e03a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33BB8C5F</paraID>
      <start>0</start>
      <end>2</end>
      <status>unmodified</status>
      <modifiedWord/>
      <trackRevisions>false</trackRevisions>
    </reviewItem>
    <reviewItem>
      <errorID>c667e004-f3bc-48bd-b6e2-c845bec23def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7023B190</paraID>
      <start>0</start>
      <end>2</end>
      <status>unmodified</status>
      <modifiedWord/>
      <trackRevisions>false</trackRevisions>
    </reviewItem>
    <reviewItem>
      <errorID>1022e12a-a591-4082-8cbc-20c320c76e28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5A0672AD</paraID>
      <start>0</start>
      <end>2</end>
      <status>unmodified</status>
      <modifiedWord/>
      <trackRevisions>false</trackRevisions>
    </reviewItem>
    <reviewItem>
      <errorID>f12e624f-01c5-487a-815b-91b55655825f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1246C9D0</paraID>
      <start>0</start>
      <end>2</end>
      <status>unmodified</status>
      <modifiedWord/>
      <trackRevisions>false</trackRevisions>
    </reviewItem>
    <reviewItem>
      <errorID>0fa2271c-3280-4951-9c52-059343c4e1f5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1CEC0089</paraID>
      <start>0</start>
      <end>2</end>
      <status>unmodified</status>
      <modifiedWord/>
      <trackRevisions>false</trackRevisions>
    </reviewItem>
    <reviewItem>
      <errorID>b5bec720-930a-4b91-847d-2b71dac2d774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54D0F5B5</paraID>
      <start>0</start>
      <end>2</end>
      <status>unmodified</status>
      <modifiedWord/>
      <trackRevisions>false</trackRevisions>
    </reviewItem>
    <reviewItem>
      <errorID>8595afb1-d147-4f5c-abf7-f84108516892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144D1D69</paraID>
      <start>0</start>
      <end>2</end>
      <status>unmodified</status>
      <modifiedWord/>
      <trackRevisions>false</trackRevisions>
    </reviewItem>
    <reviewItem>
      <errorID>eb9e2c01-64f4-4ee4-9c8d-7c27f0f947e6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4D558410</paraID>
      <start>0</start>
      <end>2</end>
      <status>unmodified</status>
      <modifiedWord/>
      <trackRevisions>false</trackRevisions>
    </reviewItem>
    <reviewItem>
      <errorID>d69a97dc-feae-4271-82a5-c82893d50476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382B691B</paraID>
      <start>0</start>
      <end>2</end>
      <status>unmodified</status>
      <modifiedWord/>
      <trackRevisions>false</trackRevisions>
    </reviewItem>
    <reviewItem>
      <errorID>8129d957-ec37-4b06-8626-56c1e2e7f45d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427A694F</paraID>
      <start>23</start>
      <end>26</end>
      <status>unmodified</status>
      <modifiedWord/>
      <trackRevisions>false</trackRevisions>
    </reviewItem>
    <reviewItem>
      <errorID>f966d0c0-a9a8-49ac-ba1a-1a25c696f296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59188273</paraID>
      <start>30</start>
      <end>31</end>
      <status>unmodified</status>
      <modifiedWord/>
      <trackRevisions>false</trackRevisions>
    </reviewItem>
    <reviewItem>
      <errorID>86305732-a0b7-45ad-83e3-85c194b8b5b5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31F467B1</paraID>
      <start>22</start>
      <end>23</end>
      <status>unmodified</status>
      <modifiedWord/>
      <trackRevisions>false</trackRevisions>
    </reviewItem>
    <reviewItem>
      <errorID>d2b23d63-ec96-461f-9ed8-8bd16660b824</errorID>
      <errorWord>其它</errorWord>
      <group>L1_Word</group>
      <groupName>字词问题</groupName>
      <ability>L2_Alias</ability>
      <abilityName>也作/曾用词</abilityName>
      <candidateList>
        <item>其他</item>
      </candidateList>
      <explain>词汇[其它]为不规范表述或旧称，其规范书面表述为[其他]。</explain>
      <paraID>1C7B9D58</paraID>
      <start>178</start>
      <end>180</end>
      <status>unmodified</status>
      <modifiedWord/>
      <trackRevisions>false</trackRevisions>
    </reviewItem>
    <reviewItem>
      <errorID>42455381-26b9-4cdd-842c-c8ba9aed13b3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6877CB86</paraID>
      <start>78</start>
      <end>81</end>
      <status>unmodified</status>
      <modifiedWord/>
      <trackRevisions>false</trackRevisions>
    </reviewItem>
    <reviewItem>
      <errorID>f77804d5-b767-46af-a3e3-158bbdd4acfa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182012D5</paraID>
      <start>0</start>
      <end>2</end>
      <status>unmodified</status>
      <modifiedWord/>
      <trackRevisions>false</trackRevisions>
    </reviewItem>
    <reviewItem>
      <errorID>97f28b74-8c80-491b-86ea-a99d808e3073</errorID>
      <errorWord>法律、法规</errorWord>
      <group>L1_Word</group>
      <groupName>字词问题</groupName>
      <ability>L2_Typo</ability>
      <abilityName>字词错误</abilityName>
      <candidateList>
        <item>法律法规</item>
      </candidateList>
      <explain/>
      <paraID>58D2E6E2</paraID>
      <start>1</start>
      <end>6</end>
      <status>unmodified</status>
      <modifiedWord/>
      <trackRevisions>false</trackRevisions>
    </reviewItem>
    <reviewItem>
      <errorID>83e8665f-6b73-49d6-8258-1d50fe785cfc</errorID>
      <errorWord>&lt;</errorWord>
      <group>L1_Format</group>
      <groupName>格式问题</groupName>
      <ability>L2_HalfPunc</ability>
      <abilityName>全半角检查</abilityName>
      <candidateList>
        <item>〈</item>
      </candidateList>
      <explain>文本全半角错误。</explain>
      <paraID>2271BFF7</paraID>
      <start>5</start>
      <end>6</end>
      <status>unmodified</status>
      <modifiedWord/>
      <trackRevisions>false</trackRevisions>
    </reviewItem>
    <reviewItem>
      <errorID>f05bc77b-c5f1-4546-8e06-170bdb19e8b7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2271BFF7</paraID>
      <start>22</start>
      <end>23</end>
      <status>unmodified</status>
      <modifiedWord/>
      <trackRevisions>false</trackRevisions>
    </reviewItem>
    <reviewItem>
      <errorID>347401c3-b9db-42e7-93c1-771dd76566cb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2271BFF7</paraID>
      <start>27</start>
      <end>28</end>
      <status>unmodified</status>
      <modifiedWord/>
      <trackRevisions>false</trackRevisions>
    </reviewItem>
    <reviewItem>
      <errorID>ffaa7421-b4d3-44a3-9a2f-53bbdc7a9122</errorID>
      <errorWord>胶粘</errorWord>
      <group>L1_Word</group>
      <groupName>字词问题</groupName>
      <ability>L2_Typo</ability>
      <abilityName>字词错误</abilityName>
      <candidateList>
        <item>胶黏</item>
      </candidateList>
      <explain/>
      <paraID>2D4D3605</paraID>
      <start>179</start>
      <end>181</end>
      <status>unmodified</status>
      <modifiedWord/>
      <trackRevisions>false</trackRevisions>
    </reviewItem>
    <reviewItem>
      <errorID>b13e9979-1cb7-41e5-90d9-e71cf0b53bb8</errorID>
      <errorWord>胶粘剂</errorWord>
      <group>L1_Word</group>
      <groupName>字词问题</groupName>
      <ability>L2_Typo</ability>
      <abilityName>字词错误</abilityName>
      <candidateList>
        <item>胶黏剂</item>
      </candidateList>
      <explain/>
      <paraID>2D4D3605</paraID>
      <start>218</start>
      <end>221</end>
      <status>unmodified</status>
      <modifiedWord/>
      <trackRevisions>false</trackRevisions>
    </reviewItem>
    <reviewItem>
      <errorID>8f367b43-4fa9-4ec7-a8e8-5d47d9711b4e</errorID>
      <errorWord>胶粘剂</errorWord>
      <group>L1_Word</group>
      <groupName>字词问题</groupName>
      <ability>L2_Typo</ability>
      <abilityName>字词错误</abilityName>
      <candidateList>
        <item>胶黏剂</item>
      </candidateList>
      <explain/>
      <paraID>3DAED835</paraID>
      <start>33</start>
      <end>36</end>
      <status>unmodified</status>
      <modifiedWord/>
      <trackRevisions>false</trackRevisions>
    </reviewItem>
    <reviewItem>
      <errorID>79402c46-d27f-481c-9ca5-55a6690dfefb</errorID>
      <errorWord>胶粘剂</errorWord>
      <group>L1_Word</group>
      <groupName>字词问题</groupName>
      <ability>L2_Typo</ability>
      <abilityName>字词错误</abilityName>
      <candidateList>
        <item>胶黏剂</item>
      </candidateList>
      <explain/>
      <paraID>2D1D110D</paraID>
      <start>318</start>
      <end>321</end>
      <status>unmodified</status>
      <modifiedWord/>
      <trackRevisions>false</trackRevisions>
    </reviewItem>
    <reviewItem>
      <errorID>c3b9f17f-88ea-45b4-bc24-a6a551cf3f25</errorID>
      <errorWord>胶粘剂</errorWord>
      <group>L1_Word</group>
      <groupName>字词问题</groupName>
      <ability>L2_Typo</ability>
      <abilityName>字词错误</abilityName>
      <candidateList>
        <item>胶黏剂</item>
      </candidateList>
      <explain/>
      <paraID>2D1D110D</paraID>
      <start>359</start>
      <end>362</end>
      <status>unmodified</status>
      <modifiedWord/>
      <trackRevisions>false</trackRevisions>
    </reviewItem>
    <reviewItem>
      <errorID>3963e5c9-76d7-444b-ab5c-a82ff7b0ed84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29280DF3</paraID>
      <start>41</start>
      <end>42</end>
      <status>unmodified</status>
      <modifiedWord/>
      <trackRevisions>false</trackRevisions>
    </reviewItem>
    <reviewItem>
      <errorID>57f5ac26-65e4-4bb3-accf-e5e12a0f87f9</errorID>
      <errorWord>生态环境空间管控</errorWord>
      <group>L1_Political</group>
      <groupName>政治性问题</groupName>
      <ability>L2_Keyword</ability>
      <abilityName>固定表述</abilityName>
      <candidateList>
        <item>生态环境分区管控</item>
      </candidateList>
      <explain>词汇“生态环境分区管控”在特定场景下为固定表述形式，请确认此处的“生态环境空间管控”是否存在不当。</explain>
      <paraID>1BC6006D</paraID>
      <start>16</start>
      <end>24</end>
      <status>unmodified</status>
      <modifiedWord/>
      <trackRevisions>false</trackRevisions>
    </reviewItem>
    <reviewItem>
      <errorID>be5f7aa3-36f8-4ec0-ac52-11de83de880e</errorID>
      <errorWord>泄露</errorWord>
      <group>L1_Word</group>
      <groupName>字词问题</groupName>
      <ability>L2_Typo</ability>
      <abilityName>字词错误</abilityName>
      <candidateList>
        <item>泄漏</item>
      </candidateList>
      <explain>存在发音相同字词的误用。</explain>
      <paraID>1154B671</paraID>
      <start>93</start>
      <end>95</end>
      <status>modified</status>
      <modifiedWord>泄漏</modifiedWord>
      <trackRevisions>false</trackRevisions>
    </reviewItem>
    <reviewItem>
      <errorID>4ff77d21-e2cc-49c7-a56c-b106171cf9dd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641C67DB</paraID>
      <start>0</start>
      <end>2</end>
      <status>unmodified</status>
      <modifiedWord/>
      <trackRevisions>false</trackRevisions>
    </reviewItem>
    <reviewItem>
      <errorID>e3ab4d3b-c669-480b-b347-b25ad63155c2</errorID>
      <errorWord>&lt;</errorWord>
      <group>L1_Format</group>
      <groupName>格式问题</groupName>
      <ability>L2_HalfPunc</ability>
      <abilityName>全半角检查</abilityName>
      <candidateList>
        <item>〈</item>
      </candidateList>
      <explain>文本全半角错误。</explain>
      <paraID>73161C2B</paraID>
      <start>5</start>
      <end>6</end>
      <status>unmodified</status>
      <modifiedWord/>
      <trackRevisions>false</trackRevisions>
    </reviewItem>
    <reviewItem>
      <errorID>2af7875c-7e01-4cdd-b27d-c69a723496f5</errorID>
      <errorWord>&gt;的通知》</errorWord>
      <group>L1_Punc</group>
      <groupName>标点问题</groupName>
      <ability>L2_Punc</ability>
      <abilityName>标点符号检查</abilityName>
      <candidateList>
        <item>〉的通知》</item>
      </candidateList>
      <explain/>
      <paraID>73161C2B</paraID>
      <start>30</start>
      <end>35</end>
      <status>unmodified</status>
      <modifiedWord/>
      <trackRevisions>false</trackRevisions>
    </reviewItem>
    <reviewItem>
      <errorID>434f12ec-7e54-470c-85b7-98f9b91ce31d</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7B69232C</paraID>
      <start>47</start>
      <end>49</end>
      <status>unmodified</status>
      <modifiedWord/>
      <trackRevisions>false</trackRevisions>
    </reviewItem>
    <reviewItem>
      <errorID>f351e8b8-fa19-44ee-8c2f-8f7088526680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1B7B05FC</paraID>
      <start>0</start>
      <end>2</end>
      <status>unmodified</status>
      <modifiedWord/>
      <trackRevisions>false</trackRevisions>
    </reviewItem>
    <reviewItem>
      <errorID>fd6a284e-2217-4c4a-9e81-f91749a4de46</errorID>
      <errorWord>JB</errorWord>
      <group>L1_Sensitive</group>
      <groupName>敏感问题</groupName>
      <ability>L2_Abuse</ability>
      <abilityName>侮辱言辞</abilityName>
      <candidateList/>
      <explain>【侮辱言辞】句中涉及侮辱性的敏感内容，请注意甄别。</explain>
      <paraID>7813CFFD</paraID>
      <start>68</start>
      <end>70</end>
      <status>unmodified</status>
      <modifiedWord/>
      <trackRevisions>false</trackRevisions>
    </reviewItem>
    <reviewItem>
      <errorID>8e9a3d8b-0cda-4d15-8016-dcfa5a1955ca</errorID>
      <errorWord>水气</errorWord>
      <group>L1_Word</group>
      <groupName>字词问题</groupName>
      <ability>L2_Typo</ability>
      <abilityName>字词错误</abilityName>
      <candidateList>
        <item>水汽</item>
      </candidateList>
      <explain/>
      <paraID>340CE002</paraID>
      <start>69</start>
      <end>71</end>
      <status>unmodified</status>
      <modifiedWord/>
      <trackRevisions>false</trackRevisions>
    </reviewItem>
    <reviewItem>
      <errorID>52e09ceb-cfb4-48da-8f25-e8f99d0cd626</errorID>
      <errorWord>30-40%</errorWord>
      <group>L1_Knowledge</group>
      <groupName>知识性问题</groupName>
      <ability>L2_Knowledge</ability>
      <abilityName>其他知识</abilityName>
      <candidateList>
        <item>30%—40%</item>
      </candidateList>
      <explain>1. “30-40%”中的单位“%”仅出现在后一个数字上，容易引起歧义；根据《现代汉语标点符号数字用法规范手册》，数字表示范围两边需要使用统一的格式。2. 根据标点国标 4.13 中的规则，数字、时间或地域连接符应使用（视觉上更长的）“—”或“～”。</explain>
      <paraID>3FD0ADEE</paraID>
      <start>4</start>
      <end>10</end>
      <status>unmodified</status>
      <modifiedWord/>
      <trackRevisions>false</trackRevisions>
    </reviewItem>
    <reviewItem>
      <errorID>6c3989b1-8acd-4160-8dce-96dd8f74956d</errorID>
      <errorWord>-</errorWord>
      <group>L1_Format</group>
      <groupName>格式问题</groupName>
      <ability>L2_HalfPunc</ability>
      <abilityName>全半角检查</abilityName>
      <candidateList>
        <item>－</item>
      </candidateList>
      <explain>文本全半角错误。</explain>
      <paraID>3FD0ADEE</paraID>
      <start>36</start>
      <end>37</end>
      <status>unmodified</status>
      <modifiedWord/>
      <trackRevisions>false</trackRevisions>
    </reviewItem>
    <reviewItem>
      <errorID>4941bcd5-c641-4a2d-b5c1-f6cd36138472</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 993113C</paraID>
      <start>4</start>
      <end>10</end>
      <status>unmodified</status>
      <modifiedWord/>
      <trackRevisions>false</trackRevisions>
    </reviewItem>
    <reviewItem>
      <errorID>7effaaac-f631-46a2-9ec0-af3659e328a6</errorID>
      <errorWord>30-40%</errorWord>
      <group>L1_Knowledge</group>
      <groupName>知识性问题</groupName>
      <ability>L2_Knowledge</ability>
      <abilityName>其他知识</abilityName>
      <candidateList>
        <item>30%—40%</item>
      </candidateList>
      <explain>1. “30-40%”中的单位“%”仅出现在后一个数字上，容易引起歧义；根据《现代汉语标点符号数字用法规范手册》，数字表示范围两边需要使用统一的格式。2. 根据标点国标 4.13 中的规则，数字、时间或地域连接符应使用（视觉上更长的）“—”或“～”。</explain>
      <paraID> 993113C</paraID>
      <start>14</start>
      <end>20</end>
      <status>unmodified</status>
      <modifiedWord/>
      <trackRevisions>false</trackRevisions>
    </reviewItem>
    <reviewItem>
      <errorID>e79cdf5b-98a4-41d2-8937-f7ddb4a8e52f</errorID>
      <errorWord>1-2.5%</errorWord>
      <group>L1_Knowledge</group>
      <groupName>知识性问题</groupName>
      <ability>L2_Knowledge</ability>
      <abilityName>其他知识</abilityName>
      <candidateList>
        <item>1%—2.5%</item>
      </candidateList>
      <explain>1. “1-2.5%”中的单位“%”仅出现在后一个数字上，容易引起歧义；根据《现代汉语标点符号数字用法规范手册》，数字表示范围两边需要使用统一的格式。2. 根据标点国标 4.13 中的规则，数字、时间或地域连接符应使用（视觉上更长的）“—”或“～”。</explain>
      <paraID>35BF1FDA</paraID>
      <start>7</start>
      <end>13</end>
      <status>unmodified</status>
      <modifiedWord/>
      <trackRevisions>false</trackRevisions>
    </reviewItem>
    <reviewItem>
      <errorID>decff79d-391e-46db-82e2-abdc966fa827</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35BF1FDA</paraID>
      <start>21</start>
      <end>25</end>
      <status>unmodified</status>
      <modifiedWord/>
      <trackRevisions>false</trackRevisions>
    </reviewItem>
    <reviewItem>
      <errorID>f830cee5-a56c-4b56-a820-ef95cf7dffb2</errorID>
      <errorWord>75-90%</errorWord>
      <group>L1_Knowledge</group>
      <groupName>知识性问题</groupName>
      <ability>L2_Knowledge</ability>
      <abilityName>其他知识</abilityName>
      <candidateList>
        <item>75%—90%</item>
      </candidateList>
      <explain>1. “75-90%”中的单位“%”仅出现在后一个数字上，容易引起歧义；根据《现代汉语标点符号数字用法规范手册》，数字表示范围两边需要使用统一的格式。2. 根据标点国标 4.13 中的规则，数字、时间或地域连接符应使用（视觉上更长的）“—”或“～”。</explain>
      <paraID>4BFD477B</paraID>
      <start>7</start>
      <end>13</end>
      <status>unmodified</status>
      <modifiedWord/>
      <trackRevisions>false</trackRevisions>
    </reviewItem>
    <reviewItem>
      <errorID>1e8e29e2-eeaa-4e9d-9c37-674770360f06</errorID>
      <errorWord>1,4-丁二醇</errorWord>
      <group>L1_Word</group>
      <groupName>字词问题</groupName>
      <ability>L2_Typo</ability>
      <abilityName>字词错误</abilityName>
      <candidateList/>
      <explain>【违禁内容】句中涉及国家法律明令禁止的违禁内容，请注意甄别。</explain>
      <paraID>4BFD477B</paraID>
      <start>14</start>
      <end>21</end>
      <status>unmodified</status>
      <modifiedWord/>
      <trackRevisions>false</trackRevisions>
    </reviewItem>
    <reviewItem>
      <errorID>09bb69eb-8892-4b2f-a6c5-b282e44c0708</errorID>
      <errorWord>10-25%</errorWord>
      <group>L1_Knowledge</group>
      <groupName>知识性问题</groupName>
      <ability>L2_Knowledge</ability>
      <abilityName>其他知识</abilityName>
      <candidateList>
        <item>10%—25%</item>
      </candidateList>
      <explain>1. “10-25%”中的单位“%”仅出现在后一个数字上，容易引起歧义；根据《现代汉语标点符号数字用法规范手册》，数字表示范围两边需要使用统一的格式。2. 根据标点国标 4.13 中的规则，数字、时间或地域连接符应使用（视觉上更长的）“—”或“～”。</explain>
      <paraID>4BFD477B</paraID>
      <start>28</start>
      <end>34</end>
      <status>unmodified</status>
      <modifiedWord/>
      <trackRevisions>false</trackRevisions>
    </reviewItem>
    <reviewItem>
      <errorID>ffa2a1ce-e55e-4794-a5dc-e4028f9a8aeb</errorID>
      <errorWord>0.025-0.22%</errorWord>
      <group>L1_Knowledge</group>
      <groupName>知识性问题</groupName>
      <ability>L2_Knowledge</ability>
      <abilityName>其他知识</abilityName>
      <candidateList>
        <item>0.025%—0.22%</item>
      </candidateList>
      <explain>1. “0.025-0.22%”中的单位“%”仅出现在后一个数字上，容易引起歧义；根据《现代汉语标点符号数字用法规范手册》，数字表示范围两边需要使用统一的格式。2. 根据标点国标 4.13 中的规则，数字、时间或地域连接符应使用（视觉上更长的）“—”或“～”。</explain>
      <paraID>4BFD477B</paraID>
      <start>43</start>
      <end>54</end>
      <status>unmodified</status>
      <modifiedWord/>
      <trackRevisions>false</trackRevisions>
    </reviewItem>
    <reviewItem>
      <errorID>168ec77b-69f3-4851-8c5a-1aeff60fddf1</errorID>
      <errorWord>30-60%</errorWord>
      <group>L1_Knowledge</group>
      <groupName>知识性问题</groupName>
      <ability>L2_Knowledge</ability>
      <abilityName>其他知识</abilityName>
      <candidateList>
        <item>30%—60%</item>
      </candidateList>
      <explain>1. “30-60%”中的单位“%”仅出现在后一个数字上，容易引起歧义；根据《现代汉语标点符号数字用法规范手册》，数字表示范围两边需要使用统一的格式。2. 根据标点国标 4.13 中的规则，数字、时间或地域连接符应使用（视觉上更长的）“—”或“～”。</explain>
      <paraID>7F81F09B</paraID>
      <start>4</start>
      <end>10</end>
      <status>unmodified</status>
      <modifiedWord/>
      <trackRevisions>false</trackRevisions>
    </reviewItem>
    <reviewItem>
      <errorID>15f1af4b-7810-4a83-a780-137bc80ada92</errorID>
      <errorWord>5-35%</errorWord>
      <group>L1_Knowledge</group>
      <groupName>知识性问题</groupName>
      <ability>L2_Knowledge</ability>
      <abilityName>其他知识</abilityName>
      <candidateList>
        <item>5%—35%</item>
      </candidateList>
      <explain>1. “5-35%”中的单位“%”仅出现在后一个数字上，容易引起歧义；根据《现代汉语标点符号数字用法规范手册》，数字表示范围两边需要使用统一的格式。2. 根据标点国标 4.13 中的规则，数字、时间或地域连接符应使用（视觉上更长的）“—”或“～”。</explain>
      <paraID>7F81F09B</paraID>
      <start>14</start>
      <end>19</end>
      <status>unmodified</status>
      <modifiedWord/>
      <trackRevisions>false</trackRevisions>
    </reviewItem>
    <reviewItem>
      <errorID>20d97861-edfc-4ace-a403-95b4190770dd</errorID>
      <errorWord>30-60%</errorWord>
      <group>L1_Knowledge</group>
      <groupName>知识性问题</groupName>
      <ability>L2_Knowledge</ability>
      <abilityName>其他知识</abilityName>
      <candidateList>
        <item>30%—60%</item>
      </candidateList>
      <explain>1. “30-60%”中的单位“%”仅出现在后一个数字上，容易引起歧义；根据《现代汉语标点符号数字用法规范手册》，数字表示范围两边需要使用统一的格式。2.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F6A8D50</paraID>
      <start>4</start>
      <end>10</end>
      <status>unmodified</status>
      <modifiedWord/>
      <trackRevisions>false</trackRevisions>
    </reviewItem>
    <reviewItem>
      <errorID>bc654cb1-ee55-4f0e-87cb-f852c7003b6a</errorID>
      <errorWord>5-35%</errorWord>
      <group>L1_Knowledge</group>
      <groupName>知识性问题</groupName>
      <ability>L2_Knowledge</ability>
      <abilityName>其他知识</abilityName>
      <candidateList>
        <item>5%—35%</item>
      </candidateList>
      <explain>1. “5-35%”中的单位“%”仅出现在后一个数字上，容易引起歧义；根据《现代汉语标点符号数字用法规范手册》，数字表示范围两边需要使用统一的格式。2. 根据标点国标 4.13 中的规则，数字、时间或地域连接符应使用（视觉上更长的）“—”或“～”。</explain>
      <paraID> F6A8D50</paraID>
      <start>14</start>
      <end>19</end>
      <status>unmodified</status>
      <modifiedWord/>
      <trackRevisions>false</trackRevisions>
    </reviewItem>
    <reviewItem>
      <errorID>6849cb33-f992-4a74-8cf3-f84861ab7f3e</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2943A368</paraID>
      <start>4</start>
      <end>9</end>
      <status>unmodified</status>
      <modifiedWord/>
      <trackRevisions>false</trackRevisions>
    </reviewItem>
    <reviewItem>
      <errorID>164fef24-8c25-427d-a885-3015d1a3aa98</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2943A368</paraID>
      <start>12</start>
      <end>16</end>
      <status>unmodified</status>
      <modifiedWord/>
      <trackRevisions>false</trackRevisions>
    </reviewItem>
    <reviewItem>
      <errorID>3f8c92ec-5aa0-48d8-86fa-72a48e74e9f2</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37ECA629</paraID>
      <start>3</start>
      <end>9</end>
      <status>unmodified</status>
      <modifiedWord/>
      <trackRevisions>false</trackRevisions>
    </reviewItem>
    <reviewItem>
      <errorID>0b104728-adee-44ee-a75e-ba66d0ff8a76</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37ECA629</paraID>
      <start>12</start>
      <end>18</end>
      <status>unmodified</status>
      <modifiedWord/>
      <trackRevisions>false</trackRevisions>
    </reviewItem>
    <reviewItem>
      <errorID>77fb25e6-4e55-40d9-98ea-9d3125bc2fb7</errorID>
      <errorWord>80-97%</errorWord>
      <group>L1_Knowledge</group>
      <groupName>知识性问题</groupName>
      <ability>L2_Knowledge</ability>
      <abilityName>其他知识</abilityName>
      <candidateList>
        <item>80%—97%</item>
      </candidateList>
      <explain>1. “80-97%”中的单位“%”仅出现在后一个数字上，容易引起歧义；根据《现代汉语标点符号数字用法规范手册》，数字表示范围两边需要使用统一的格式。2. 根据标点国标 4.13 中的规则，数字、时间或地域连接符应使用（视觉上更长的）“—”或“～”。</explain>
      <paraID>68FB1DC4</paraID>
      <start>1</start>
      <end>7</end>
      <status>unmodified</status>
      <modifiedWord/>
      <trackRevisions>false</trackRevisions>
    </reviewItem>
    <reviewItem>
      <errorID>e40c4e39-186f-4e36-afb0-e1fd32401a27</errorID>
      <errorWord>10-16%</errorWord>
      <group>L1_Knowledge</group>
      <groupName>知识性问题</groupName>
      <ability>L2_Knowledge</ability>
      <abilityName>其他知识</abilityName>
      <candidateList>
        <item>10%—16%</item>
      </candidateList>
      <explain>1. “10-16%”中的单位“%”仅出现在后一个数字上，容易引起歧义；根据《现代汉语标点符号数字用法规范手册》，数字表示范围两边需要使用统一的格式。2. 根据标点国标 4.13 中的规则，数字、时间或地域连接符应使用（视觉上更长的）“—”或“～”。</explain>
      <paraID>68FB1DC4</paraID>
      <start>16</start>
      <end>22</end>
      <status>unmodified</status>
      <modifiedWord/>
      <trackRevisions>false</trackRevisions>
    </reviewItem>
    <reviewItem>
      <errorID>c5d26a77-4e7a-4d5a-a4ac-cc0ea3d1bc3a</errorID>
      <errorWord>0-2%</errorWord>
      <group>L1_Knowledge</group>
      <groupName>知识性问题</groupName>
      <ability>L2_Knowledge</ability>
      <abilityName>其他知识</abilityName>
      <candidateList>
        <item>0—2%</item>
      </candidateList>
      <explain>1. “0-2%”中的单位“%”仅出现在后一个数字上，容易引起歧义；根据《现代汉语标点符号数字用法规范手册》，数字表示范围两边需要使用统一的格式。2. 根据标点国标 4.13 中的规则，数字、时间或地域连接符应使用（视觉上更长的）“—”或“～”。</explain>
      <paraID>68FB1DC4</paraID>
      <start>24</start>
      <end>28</end>
      <status>unmodified</status>
      <modifiedWord/>
      <trackRevisions>false</trackRevisions>
    </reviewItem>
    <reviewItem>
      <errorID>3dbbb804-61a5-4a43-b702-99bda5bd1418</errorID>
      <errorWord>0-1%</errorWord>
      <group>L1_Knowledge</group>
      <groupName>知识性问题</groupName>
      <ability>L2_Knowledge</ability>
      <abilityName>其他知识</abilityName>
      <candidateList>
        <item>0—1%</item>
      </candidateList>
      <explain>1. “0-1%”中的单位“%”仅出现在后一个数字上，容易引起歧义；根据《现代汉语标点符号数字用法规范手册》，数字表示范围两边需要使用统一的格式。2. 根据标点国标 4.13 中的规则，数字、时间或地域连接符应使用（视觉上更长的）“—”或“～”。</explain>
      <paraID>68FB1DC4</paraID>
      <start>30</start>
      <end>34</end>
      <status>unmodified</status>
      <modifiedWord/>
      <trackRevisions>false</trackRevisions>
    </reviewItem>
    <reviewItem>
      <errorID>162b734a-55b4-4276-987c-19a111fed5c8</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611341B5</paraID>
      <start>9</start>
      <end>13</end>
      <status>unmodified</status>
      <modifiedWord/>
      <trackRevisions>false</trackRevisions>
    </reviewItem>
    <reviewItem>
      <errorID>ecf5b5b6-c932-4ae7-95d2-b78aa7ba7f7d</errorID>
      <errorWord>10-15%</errorWord>
      <group>L1_Knowledge</group>
      <groupName>知识性问题</groupName>
      <ability>L2_Knowledge</ability>
      <abilityName>其他知识</abilityName>
      <candidateList>
        <item>10%—15%</item>
      </candidateList>
      <explain>1. “10-15%”中的单位“%”仅出现在后一个数字上，容易引起歧义；根据《现代汉语标点符号数字用法规范手册》，数字表示范围两边需要使用统一的格式。2. 根据标点国标 4.13 中的规则，数字、时间或地域连接符应使用（视觉上更长的）“—”或“～”。</explain>
      <paraID> 5CD48E8</paraID>
      <start>4</start>
      <end>10</end>
      <status>unmodified</status>
      <modifiedWord/>
      <trackRevisions>false</trackRevisions>
    </reviewItem>
    <reviewItem>
      <errorID>9b8646a2-0b2d-478b-82d4-4dc8c893375c</errorID>
      <errorWord>平平</errorWord>
      <group>L1_Word</group>
      <groupName>字词问题</groupName>
      <ability>L2_Typo</ability>
      <abilityName>字词错误</abilityName>
      <candidateList>
        <item>平</item>
      </candidateList>
      <explain/>
      <paraID> 5CD48E8</paraID>
      <start>11</start>
      <end>13</end>
      <status>unmodified</status>
      <modifiedWord/>
      <trackRevisions>false</trackRevisions>
    </reviewItem>
    <reviewItem>
      <errorID>ae9dfd00-42d0-4d02-a3a9-f2d3dbc8eaf8</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 5CD48E8</paraID>
      <start>14</start>
      <end>19</end>
      <status>unmodified</status>
      <modifiedWord/>
      <trackRevisions>false</trackRevisions>
    </reviewItem>
    <reviewItem>
      <errorID>c0ed10c9-ebc3-4a27-931b-4fd5344758df</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 5CD48E8</paraID>
      <start>28</start>
      <end>33</end>
      <status>unmodified</status>
      <modifiedWord/>
      <trackRevisions>false</trackRevisions>
    </reviewItem>
    <reviewItem>
      <errorID>728a6a2a-f68e-4ee5-acf7-90c7a0d87bf5</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 5CD48E8</paraID>
      <start>37</start>
      <end>41</end>
      <status>unmodified</status>
      <modifiedWord/>
      <trackRevisions>false</trackRevisions>
    </reviewItem>
    <reviewItem>
      <errorID>4482eaed-f6d1-4618-9861-3392a126d325</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5CD48E8</paraID>
      <start>43</start>
      <end>49</end>
      <status>unmodified</status>
      <modifiedWord/>
      <trackRevisions>false</trackRevisions>
    </reviewItem>
    <reviewItem>
      <errorID>e75a00fe-975a-45a9-be54-561b172be36b</errorID>
      <errorWord>时放</errorWord>
      <group>L1_Word</group>
      <groupName>字词问题</groupName>
      <ability>L2_Typo</ability>
      <abilityName>字词错误</abilityName>
      <candidateList>
        <item>释放</item>
      </candidateList>
      <explain/>
      <paraID>33F9395E</paraID>
      <start>14</start>
      <end>16</end>
      <status>unmodified</status>
      <modifiedWord/>
      <trackRevisions>false</trackRevisions>
    </reviewItem>
    <reviewItem>
      <errorID>40f95967-c046-4a5a-ba72-c904446f14a8</errorID>
      <errorWord>：</errorWord>
      <group>L1_Format</group>
      <groupName>格式问题</groupName>
      <ability>L2_HalfPunc</ability>
      <abilityName>全半角检查</abilityName>
      <candidateList>
        <item>:</item>
      </candidateList>
      <explain>文本全半角错误。</explain>
      <paraID>797610FD</paraID>
      <start>4</start>
      <end>5</end>
      <status>unmodified</status>
      <modifiedWord/>
      <trackRevisions>false</trackRevisions>
    </reviewItem>
    <reviewItem>
      <errorID>2dfd53b8-6e50-4c32-873e-adc94a2ace8b</errorID>
      <errorWord>：</errorWord>
      <group>L1_Format</group>
      <groupName>格式问题</groupName>
      <ability>L2_HalfPunc</ability>
      <abilityName>全半角检查</abilityName>
      <candidateList>
        <item>:</item>
      </candidateList>
      <explain>文本全半角错误。</explain>
      <paraID>4FB8AEE2</paraID>
      <start>4</start>
      <end>5</end>
      <status>unmodified</status>
      <modifiedWord/>
      <trackRevisions>false</trackRevisions>
    </reviewItem>
    <reviewItem>
      <errorID>cacaf27e-c0c6-4e3d-8349-8adb5387e9bb</errorID>
      <errorWord>：</errorWord>
      <group>L1_Format</group>
      <groupName>格式问题</groupName>
      <ability>L2_HalfPunc</ability>
      <abilityName>全半角检查</abilityName>
      <candidateList>
        <item>:</item>
      </candidateList>
      <explain>文本全半角错误。</explain>
      <paraID>4FB8AEE2</paraID>
      <start>25</start>
      <end>26</end>
      <status>unmodified</status>
      <modifiedWord/>
      <trackRevisions>false</trackRevisions>
    </reviewItem>
    <reviewItem>
      <errorID>783ba2a8-b954-4bc0-98ea-52929ff3cac9</errorID>
      <errorWord>：</errorWord>
      <group>L1_Format</group>
      <groupName>格式问题</groupName>
      <ability>L2_HalfPunc</ability>
      <abilityName>全半角检查</abilityName>
      <candidateList>
        <item>:</item>
      </candidateList>
      <explain>文本全半角错误。</explain>
      <paraID>57362369</paraID>
      <start>4</start>
      <end>5</end>
      <status>unmodified</status>
      <modifiedWord/>
      <trackRevisions>false</trackRevisions>
    </reviewItem>
    <reviewItem>
      <errorID>e6fa4522-516c-4adb-a681-29747e96f033</errorID>
      <errorWord>(</errorWord>
      <group>L1_Punc</group>
      <groupName>标点问题</groupName>
      <ability>L2_Punc</ability>
      <abilityName>标点符号检查</abilityName>
      <candidateList/>
      <explain>同一形式括号套用。</explain>
      <paraID>741AC4DB</paraID>
      <start>26</start>
      <end>27</end>
      <status>unmodified</status>
      <modifiedWord/>
      <trackRevisions>false</trackRevisions>
    </reviewItem>
    <reviewItem>
      <errorID>31c54564-0fe5-4bce-9fd5-e0f2596e543f</errorID>
      <errorWord>)</errorWord>
      <group>L1_Punc</group>
      <groupName>标点问题</groupName>
      <ability>L2_Punc</ability>
      <abilityName>标点符号检查</abilityName>
      <candidateList/>
      <explain>同一形式括号套用。</explain>
      <paraID>741AC4DB</paraID>
      <start>30</start>
      <end>31</end>
      <status>unmodified</status>
      <modifiedWord/>
      <trackRevisions>false</trackRevisions>
    </reviewItem>
    <reviewItem>
      <errorID>68ac338e-b6a3-4b9c-b4f1-f1a17c9c9f7c</errorID>
      <errorWord>粘稠</errorWord>
      <group>L1_Word</group>
      <groupName>字词问题</groupName>
      <ability>L2_Typo</ability>
      <abilityName>字词错误</abilityName>
      <candidateList>
        <item>黏稠</item>
      </candidateList>
      <explain>存在发音相同字词的误用。</explain>
      <paraID>7378A779</paraID>
      <start>16</start>
      <end>18</end>
      <status>unmodified</status>
      <modifiedWord/>
      <trackRevisions>false</trackRevisions>
    </reviewItem>
    <reviewItem>
      <errorID>4023df6c-084b-46f7-943c-96f22bf4da92</errorID>
      <errorWord>：</errorWord>
      <group>L1_Format</group>
      <groupName>格式问题</groupName>
      <ability>L2_HalfPunc</ability>
      <abilityName>全半角检查</abilityName>
      <candidateList>
        <item>:</item>
      </candidateList>
      <explain>文本全半角错误。</explain>
      <paraID>3D58C4E5</paraID>
      <start>4</start>
      <end>5</end>
      <status>unmodified</status>
      <modifiedWord/>
      <trackRevisions>false</trackRevisions>
    </reviewItem>
    <reviewItem>
      <errorID>0d3355cd-b034-4698-9194-4a827657aec1</errorID>
      <errorWord>：</errorWord>
      <group>L1_Format</group>
      <groupName>格式问题</groupName>
      <ability>L2_HalfPunc</ability>
      <abilityName>全半角检查</abilityName>
      <candidateList>
        <item>:</item>
      </candidateList>
      <explain>文本全半角错误。</explain>
      <paraID>2B55EBC0</paraID>
      <start>4</start>
      <end>5</end>
      <status>unmodified</status>
      <modifiedWord/>
      <trackRevisions>false</trackRevisions>
    </reviewItem>
    <reviewItem>
      <errorID>ce261695-10ae-4112-8e93-be929db54887</errorID>
      <errorWord>：</errorWord>
      <group>L1_Format</group>
      <groupName>格式问题</groupName>
      <ability>L2_HalfPunc</ability>
      <abilityName>全半角检查</abilityName>
      <candidateList>
        <item>:</item>
      </candidateList>
      <explain>文本全半角错误。</explain>
      <paraID>4402984B</paraID>
      <start>4</start>
      <end>5</end>
      <status>unmodified</status>
      <modifiedWord/>
      <trackRevisions>false</trackRevisions>
    </reviewItem>
    <reviewItem>
      <errorID>658422b2-ba16-4c99-aba0-541fa2d8f5ef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2A130D2A</paraID>
      <start>0</start>
      <end>2</end>
      <status>unmodified</status>
      <modifiedWord/>
      <trackRevisions>false</trackRevisions>
    </reviewItem>
    <reviewItem>
      <errorID>26ad8f94-ec08-4632-b7b6-5655a9b1aee8</errorID>
      <errorWord>-</errorWord>
      <group>L1_Format</group>
      <groupName>格式问题</groupName>
      <ability>L2_HalfPunc</ability>
      <abilityName>全半角检查</abilityName>
      <candidateList>
        <item>－</item>
      </candidateList>
      <explain>文本全半角错误。</explain>
      <paraID>2A130D2A</paraID>
      <start>3</start>
      <end>4</end>
      <status>unmodified</status>
      <modifiedWord/>
      <trackRevisions>false</trackRevisions>
    </reviewItem>
    <reviewItem>
      <errorID>e22e2137-eb8d-4440-a3b1-7a7e857ee501</errorID>
      <errorWord>:</errorWord>
      <group>L1_Format</group>
      <groupName>格式问题</groupName>
      <ability>L2_HalfPunc</ability>
      <abilityName>全半角检查</abilityName>
      <candidateList>
        <item>：</item>
      </candidateList>
      <explain>文本全半角错误。</explain>
      <paraID>318CC3D6</paraID>
      <start>114</start>
      <end>115</end>
      <status>unmodified</status>
      <modifiedWord/>
      <trackRevisions>false</trackRevisions>
    </reviewItem>
    <reviewItem>
      <errorID>b4937ecd-66f7-4401-85f8-26cf1351f9de</errorID>
      <errorWord>:</errorWord>
      <group>L1_Format</group>
      <groupName>格式问题</groupName>
      <ability>L2_HalfPunc</ability>
      <abilityName>全半角检查</abilityName>
      <candidateList>
        <item>：</item>
      </candidateList>
      <explain>文本全半角错误。</explain>
      <paraID>318CC3D6</paraID>
      <start>221</start>
      <end>222</end>
      <status>unmodified</status>
      <modifiedWord/>
      <trackRevisions>false</trackRevisions>
    </reviewItem>
    <reviewItem>
      <errorID>7789d2a9-042b-4abf-b1aa-ec97a3370e97</errorID>
      <errorWord>:&gt;</errorWord>
      <group>L1_Punc</group>
      <groupName>标点问题</groupName>
      <ability>L2_Punc</ability>
      <abilityName>标点符号检查</abilityName>
      <candidateList>
        <item>:</item>
      </candidateList>
      <explain/>
      <paraID>318CC3D6</paraID>
      <start>326</start>
      <end>329</end>
      <status>unmodified</status>
      <modifiedWord/>
      <trackRevisions>false</trackRevisions>
    </reviewItem>
    <reviewItem>
      <errorID>8f90956c-5dd9-46aa-b69b-7b1cfffec8e9</errorID>
      <errorWord>:</errorWord>
      <group>L1_Format</group>
      <groupName>格式问题</groupName>
      <ability>L2_HalfPunc</ability>
      <abilityName>全半角检查</abilityName>
      <candidateList>
        <item>：</item>
      </candidateList>
      <explain>文本全半角错误。</explain>
      <paraID>318CC3D6</paraID>
      <start>435</start>
      <end>436</end>
      <status>unmodified</status>
      <modifiedWord/>
      <trackRevisions>false</trackRevisions>
    </reviewItem>
    <reviewItem>
      <errorID>398e8707-a7f2-40cb-b87e-af4d5e547663</errorID>
      <errorWord>：</errorWord>
      <group>L1_Format</group>
      <groupName>格式问题</groupName>
      <ability>L2_HalfPunc</ability>
      <abilityName>全半角检查</abilityName>
      <candidateList>
        <item>:</item>
      </candidateList>
      <explain>文本全半角错误。</explain>
      <paraID>5399D995</paraID>
      <start>4</start>
      <end>5</end>
      <status>unmodified</status>
      <modifiedWord/>
      <trackRevisions>false</trackRevisions>
    </reviewItem>
    <reviewItem>
      <errorID>a41821fb-8aa2-4825-a2d2-c02755ee9c34</errorID>
      <errorWord>：</errorWord>
      <group>L1_Format</group>
      <groupName>格式问题</groupName>
      <ability>L2_HalfPunc</ability>
      <abilityName>全半角检查</abilityName>
      <candidateList>
        <item>:</item>
      </candidateList>
      <explain>文本全半角错误。</explain>
      <paraID>230CAF52</paraID>
      <start>4</start>
      <end>5</end>
      <status>unmodified</status>
      <modifiedWord/>
      <trackRevisions>false</trackRevisions>
    </reviewItem>
    <reviewItem>
      <errorID>9905ef0a-7a10-45e4-b565-206d2b32237a</errorID>
      <errorWord>1,4-丁二醇</errorWord>
      <group>L1_Word</group>
      <groupName>字词问题</groupName>
      <ability>L2_Typo</ability>
      <abilityName>字词错误</abilityName>
      <candidateList/>
      <explain>【违禁内容】句中涉及国家法律明令禁止的违禁内容，请注意甄别。</explain>
      <paraID>19050FDE</paraID>
      <start>0</start>
      <end>7</end>
      <status>unmodified</status>
      <modifiedWord/>
      <trackRevisions>false</trackRevisions>
    </reviewItem>
    <reviewItem>
      <errorID>029f3bdd-a12b-41bf-952c-c0a818fdd272</errorID>
      <errorWord>:</errorWord>
      <group>L1_Format</group>
      <groupName>格式问题</groupName>
      <ability>L2_HalfPunc</ability>
      <abilityName>全半角检查</abilityName>
      <candidateList>
        <item>：</item>
      </candidateList>
      <explain>文本全半角错误。</explain>
      <paraID>13C43441</paraID>
      <start>3</start>
      <end>4</end>
      <status>unmodified</status>
      <modifiedWord/>
      <trackRevisions>false</trackRevisions>
    </reviewItem>
    <reviewItem>
      <errorID>ac1d6bf0-cc92-4f86-bb13-b11276754773</errorID>
      <errorWord>:</errorWord>
      <group>L1_Format</group>
      <groupName>格式问题</groupName>
      <ability>L2_HalfPunc</ability>
      <abilityName>全半角检查</abilityName>
      <candidateList>
        <item>：</item>
      </candidateList>
      <explain>文本全半角错误。</explain>
      <paraID>13C43441</paraID>
      <start>29</start>
      <end>30</end>
      <status>unmodified</status>
      <modifiedWord/>
      <trackRevisions>false</trackRevisions>
    </reviewItem>
    <reviewItem>
      <errorID>82e4261c-ad9f-472c-afc0-85995bca3a4b</errorID>
      <errorWord>:</errorWord>
      <group>L1_Format</group>
      <groupName>格式问题</groupName>
      <ability>L2_HalfPunc</ability>
      <abilityName>全半角检查</abilityName>
      <candidateList>
        <item>：</item>
      </candidateList>
      <explain>文本全半角错误。</explain>
      <paraID>13C43441</paraID>
      <start>38</start>
      <end>39</end>
      <status>unmodified</status>
      <modifiedWord/>
      <trackRevisions>false</trackRevisions>
    </reviewItem>
    <reviewItem>
      <errorID>4ec8891a-e2cf-4bf1-a876-374b662e45e8</errorID>
      <errorWord>粘稠</errorWord>
      <group>L1_Word</group>
      <groupName>字词问题</groupName>
      <ability>L2_Typo</ability>
      <abilityName>字词错误</abilityName>
      <candidateList>
        <item>黏稠</item>
      </candidateList>
      <explain>存在发音相同字词的误用。</explain>
      <paraID>213CB8E3</paraID>
      <start>14</start>
      <end>16</end>
      <status>unmodified</status>
      <modifiedWord/>
      <trackRevisions>false</trackRevisions>
    </reviewItem>
    <reviewItem>
      <errorID>f97a2a8a-58d0-4104-b8fd-a0593a9f05d5</errorID>
      <errorWord>：</errorWord>
      <group>L1_Format</group>
      <groupName>格式问题</groupName>
      <ability>L2_HalfPunc</ability>
      <abilityName>全半角检查</abilityName>
      <candidateList>
        <item>:</item>
      </candidateList>
      <explain>文本全半角错误。</explain>
      <paraID>789AAE74</paraID>
      <start>4</start>
      <end>5</end>
      <status>unmodified</status>
      <modifiedWord/>
      <trackRevisions>false</trackRevisions>
    </reviewItem>
    <reviewItem>
      <errorID>6df68d9b-43df-46bc-87f5-b5be28cd2aa0</errorID>
      <errorWord>：</errorWord>
      <group>L1_Format</group>
      <groupName>格式问题</groupName>
      <ability>L2_HalfPunc</ability>
      <abilityName>全半角检查</abilityName>
      <candidateList>
        <item>:</item>
      </candidateList>
      <explain>文本全半角错误。</explain>
      <paraID> 254AC34</paraID>
      <start>4</start>
      <end>5</end>
      <status>unmodified</status>
      <modifiedWord/>
      <trackRevisions>false</trackRevisions>
    </reviewItem>
    <reviewItem>
      <errorID>6a5b43f0-7892-4ffd-8ffa-dbebad2f2eba</errorID>
      <errorWord>：</errorWord>
      <group>L1_Format</group>
      <groupName>格式问题</groupName>
      <ability>L2_HalfPunc</ability>
      <abilityName>全半角检查</abilityName>
      <candidateList>
        <item>:</item>
      </candidateList>
      <explain>文本全半角错误。</explain>
      <paraID> 2F903D4</paraID>
      <start>4</start>
      <end>5</end>
      <status>unmodified</status>
      <modifiedWord/>
      <trackRevisions>false</trackRevisions>
    </reviewItem>
    <reviewItem>
      <errorID>e45a30d3-3384-4cc8-95b3-8a0da8f43cc4</errorID>
      <errorWord>：</errorWord>
      <group>L1_Format</group>
      <groupName>格式问题</groupName>
      <ability>L2_HalfPunc</ability>
      <abilityName>全半角检查</abilityName>
      <candidateList>
        <item>:</item>
      </candidateList>
      <explain>文本全半角错误。</explain>
      <paraID>489CFCAD</paraID>
      <start>4</start>
      <end>5</end>
      <status>unmodified</status>
      <modifiedWord/>
      <trackRevisions>false</trackRevisions>
    </reviewItem>
    <reviewItem>
      <errorID>05998cbc-884f-4baa-99a0-8dcd582736da</errorID>
      <errorWord>：</errorWord>
      <group>L1_Format</group>
      <groupName>格式问题</groupName>
      <ability>L2_HalfPunc</ability>
      <abilityName>全半角检查</abilityName>
      <candidateList>
        <item>:</item>
      </candidateList>
      <explain>文本全半角错误。</explain>
      <paraID>5E5C939C</paraID>
      <start>25</start>
      <end>26</end>
      <status>unmodified</status>
      <modifiedWord/>
      <trackRevisions>false</trackRevisions>
    </reviewItem>
    <reviewItem>
      <errorID>f2797f5b-c034-4743-98e4-6e1fd047aa43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60F0D608</paraID>
      <start>58</start>
      <end>59</end>
      <status>unmodified</status>
      <modifiedWord/>
      <trackRevisions>false</trackRevisions>
    </reviewItem>
    <reviewItem>
      <errorID>f7553baf-1cfe-4960-96b3-4fa075c837f5</errorID>
      <errorWord>(</errorWord>
      <group>L1_Format</group>
      <groupName>格式问题</groupName>
      <ability>L2_HalfPunc</ability>
      <abilityName>全半角检查</abilityName>
      <candidateList>
        <item>（</item>
      </candidateList>
      <explain>文本全半角错误。</explain>
      <paraID>60F0D608</paraID>
      <start>98</start>
      <end>99</end>
      <status>unmodified</status>
      <modifiedWord/>
      <trackRevisions>false</trackRevisions>
    </reviewItem>
    <reviewItem>
      <errorID>e07bb56c-e862-4b67-a39c-52683e902f80</errorID>
      <errorWord>：</errorWord>
      <group>L1_Format</group>
      <groupName>格式问题</groupName>
      <ability>L2_HalfPunc</ability>
      <abilityName>全半角检查</abilityName>
      <candidateList>
        <item>:</item>
      </candidateList>
      <explain>文本全半角错误。</explain>
      <paraID>56458FAC</paraID>
      <start>4</start>
      <end>5</end>
      <status>unmodified</status>
      <modifiedWord/>
      <trackRevisions>false</trackRevisions>
    </reviewItem>
    <reviewItem>
      <errorID>b824fc69-e646-419d-9831-e0eae369b8ff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29A2F83B</paraID>
      <start>0</start>
      <end>2</end>
      <status>unmodified</status>
      <modifiedWord/>
      <trackRevisions>false</trackRevisions>
    </reviewItem>
    <reviewItem>
      <errorID>4dda1edc-314f-42a9-a84b-5837556d0f95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6A829249</paraID>
      <start>0</start>
      <end>2</end>
      <status>unmodified</status>
      <modifiedWord/>
      <trackRevisions>false</trackRevisions>
    </reviewItem>
    <reviewItem>
      <errorID>85f4985b-837c-4cab-b3cd-fabd5fd7a031</errorID>
      <errorWord>隔路</errorWord>
      <group>L1_Word</group>
      <groupName>字词问题</groupName>
      <ability>L2_Typo</ability>
      <abilityName>字词错误</abilityName>
      <candidateList>
        <item>北侧</item>
      </candidateList>
      <explain/>
      <paraID>1ED82A67</paraID>
      <start>63</start>
      <end>65</end>
      <status>unmodified</status>
      <modifiedWord/>
      <trackRevisions>false</trackRevisions>
    </reviewItem>
    <reviewItem>
      <errorID>f5d3a960-788e-4679-affe-480eaa86a780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5EF65C49</paraID>
      <start>0</start>
      <end>2</end>
      <status>unmodified</status>
      <modifiedWord/>
      <trackRevisions>false</trackRevisions>
    </reviewItem>
    <reviewItem>
      <errorID>260a1937-69ca-442e-80c3-a1de5e0fda7c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366273B6</paraID>
      <start>0</start>
      <end>2</end>
      <status>unmodified</status>
      <modifiedWord/>
      <trackRevisions>false</trackRevisions>
    </reviewItem>
    <reviewItem>
      <errorID>872302ec-8418-4cb5-97a2-1c44be3e1de7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23117952</paraID>
      <start>0</start>
      <end>2</end>
      <status>unmodified</status>
      <modifiedWord/>
      <trackRevisions>false</trackRevisions>
    </reviewItem>
    <reviewItem>
      <errorID>ea692471-0326-4386-a125-4efe66ec2a5a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5B6C552C</paraID>
      <start>0</start>
      <end>2</end>
      <status>unmodified</status>
      <modifiedWord/>
      <trackRevisions>false</trackRevisions>
    </reviewItem>
    <reviewItem>
      <errorID>1f435da7-69cb-464c-a4b9-dc72bd2ef4d4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5A79362B</paraID>
      <start>0</start>
      <end>2</end>
      <status>unmodified</status>
      <modifiedWord/>
      <trackRevisions>false</trackRevisions>
    </reviewItem>
    <reviewItem>
      <errorID>e5928d92-0e1a-47ee-80ba-f23a0182ea5a</errorID>
      <errorWord>成为</errorWord>
      <group>L1_Word</group>
      <groupName>字词问题</groupName>
      <ability>L2_Typo</ability>
      <abilityName>字词错误</abilityName>
      <candidateList>
        <item>成</item>
      </candidateList>
      <explain>（～儿）〈量〉十分之一叫一成：九～金｜村里今年收的庄稼比去年增加两～。</explain>
      <paraID>3002DE69</paraID>
      <start>176</start>
      <end>178</end>
      <status>unmodified</status>
      <modifiedWord/>
      <trackRevisions>false</trackRevisions>
    </reviewItem>
    <reviewItem>
      <errorID>c4931ed7-81a1-4d49-9d15-0b3bbbd40c63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150FE94</paraID>
      <start>0</start>
      <end>2</end>
      <status>unmodified</status>
      <modifiedWord/>
      <trackRevisions>false</trackRevisions>
    </reviewItem>
    <reviewItem>
      <errorID>dc432e59-1b6d-45cb-a283-129635e2cae7</errorID>
      <errorWord>粘附</errorWord>
      <group>L1_Word</group>
      <groupName>字词问题</groupName>
      <ability>L2_Alias</ability>
      <abilityName>也作/曾用词</abilityName>
      <candidateList>
        <item>黏附</item>
      </candidateList>
      <explain>词汇[粘附]为不规范表述或旧称，其规范书面表述为[黏附]。</explain>
      <paraID>  C59A16</paraID>
      <start>102</start>
      <end>104</end>
      <status>unmodified</status>
      <modifiedWord/>
      <trackRevisions>false</trackRevisions>
    </reviewItem>
    <reviewItem>
      <errorID>5eb95a35-0717-47ea-b9af-b445ed12b576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7D3E7996</paraID>
      <start>0</start>
      <end>2</end>
      <status>unmodified</status>
      <modifiedWord/>
      <trackRevisions>false</trackRevisions>
    </reviewItem>
    <reviewItem>
      <errorID>16347e55-9412-4f09-902a-b3f3bf11f669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52C2DEB9</paraID>
      <start>0</start>
      <end>2</end>
      <status>unmodified</status>
      <modifiedWord/>
      <trackRevisions>false</trackRevisions>
    </reviewItem>
    <reviewItem>
      <errorID>3af41869-c56d-4924-bfb2-aeb34294aba7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5A961C6D</paraID>
      <start>0</start>
      <end>2</end>
      <status>unmodified</status>
      <modifiedWord/>
      <trackRevisions>false</trackRevisions>
    </reviewItem>
    <reviewItem>
      <errorID>8a1d03a9-c219-4a67-99d1-ec076c6df116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6B8115B</paraID>
      <start>0</start>
      <end>2</end>
      <status>unmodified</status>
      <modifiedWord/>
      <trackRevisions>false</trackRevisions>
    </reviewItem>
    <reviewItem>
      <errorID>6ac2700d-7282-4463-a3ce-d3706994475d</errorID>
      <errorWord>*</errorWord>
      <group>L1_Punc</group>
      <groupName>标点问题</groupName>
      <ability>L2_Punc</ability>
      <abilityName>标点符号检查</abilityName>
      <candidateList/>
      <explain/>
      <paraID>3CFD31EC</paraID>
      <start>0</start>
      <end>1</end>
      <status>unmodified</status>
      <modifiedWord/>
      <trackRevisions>false</trackRevisions>
    </reviewItem>
    <reviewItem>
      <errorID>a1902173-e39a-4003-afe4-dc2b063f5d84</errorID>
      <errorWord>进</errorWord>
      <group>L1_Word</group>
      <groupName>字词问题</groupName>
      <ability>L2_Typo</ability>
      <abilityName>字词错误</abilityName>
      <candidateList>
        <item>进入</item>
      </candidateList>
      <explain>〈动〉支进到某个范围或某个时期里：～学校｜～新阶段◇～角色。</explain>
      <paraID>5DD33D6B</paraID>
      <start>67</start>
      <end>68</end>
      <status>unmodified</status>
      <modifiedWord/>
      <trackRevisions>false</trackRevisions>
    </reviewItem>
    <reviewItem>
      <errorID>07bc09b2-d6f7-4dbb-92c1-80c69f5d63b5</errorID>
      <errorWord>个</errorWord>
      <group>L1_Knowledge</group>
      <groupName>知识性问题</groupName>
      <ability>L2_Knowledge</ability>
      <abilityName>其他知识</abilityName>
      <candidateList>
        <item>座</item>
      </candidateList>
      <explain/>
      <paraID>336DDE9D</paraID>
      <start>110</start>
      <end>111</end>
      <status>unmodified</status>
      <modifiedWord/>
      <trackRevisions>false</trackRevisions>
    </reviewItem>
    <reviewItem>
      <errorID>3b6bbfe1-8576-438e-9b70-3874bb0519b3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5602CED5</paraID>
      <start>0</start>
      <end>2</end>
      <status>unmodified</status>
      <modifiedWord/>
      <trackRevisions>false</trackRevisions>
    </reviewItem>
    <reviewItem>
      <errorID>4f70b6e7-0616-4132-89e2-8cad5e592685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461DE42C</paraID>
      <start>0</start>
      <end>2</end>
      <status>unmodified</status>
      <modifiedWord/>
      <trackRevisions>false</trackRevisions>
    </reviewItem>
    <reviewItem>
      <errorID>5663ad17-399b-4931-b6a9-32f5d207cfda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7C953383</paraID>
      <start>0</start>
      <end>2</end>
      <status>unmodified</status>
      <modifiedWord/>
      <trackRevisions>false</trackRevisions>
    </reviewItem>
    <reviewItem>
      <errorID>49baa9a4-9919-476f-8747-973634a77766</errorID>
      <errorWord>（</errorWord>
      <group>L1_Format</group>
      <groupName>格式问题</groupName>
      <ability>L2_HalfPunc</ability>
      <abilityName>全半角检查</abilityName>
      <candidateList>
        <item>(</item>
      </candidateList>
      <explain>文本全半角错误。</explain>
      <paraID>1A05084F</paraID>
      <start>0</start>
      <end>1</end>
      <status>unmodified</status>
      <modifiedWord/>
      <trackRevisions>false</trackRevisions>
    </reviewItem>
    <reviewItem>
      <errorID>43785cbd-a55b-4b16-8d24-9f07622bbdce</errorID>
      <errorWord>）</errorWord>
      <group>L1_Format</group>
      <groupName>格式问题</groupName>
      <ability>L2_HalfPunc</ability>
      <abilityName>全半角检查</abilityName>
      <candidateList>
        <item>)</item>
      </candidateList>
      <explain>文本全半角错误。</explain>
      <paraID>1A05084F</paraID>
      <start>6</start>
      <end>7</end>
      <status>unmodified</status>
      <modifiedWord/>
      <trackRevisions>false</trackRevisions>
    </reviewItem>
    <reviewItem>
      <errorID>fc0ffaa3-2fb9-4622-9bd4-63c577b672bb</errorID>
      <errorWord>（</errorWord>
      <group>L1_Format</group>
      <groupName>格式问题</groupName>
      <ability>L2_HalfPunc</ability>
      <abilityName>全半角检查</abilityName>
      <candidateList>
        <item>(</item>
      </candidateList>
      <explain>文本全半角错误。</explain>
      <paraID>64044D00</paraID>
      <start>0</start>
      <end>1</end>
      <status>unmodified</status>
      <modifiedWord/>
      <trackRevisions>false</trackRevisions>
    </reviewItem>
    <reviewItem>
      <errorID>fbaa46c5-39d8-4e30-9997-037dce9d6422</errorID>
      <errorWord>）</errorWord>
      <group>L1_Format</group>
      <groupName>格式问题</groupName>
      <ability>L2_HalfPunc</ability>
      <abilityName>全半角检查</abilityName>
      <candidateList>
        <item>)</item>
      </candidateList>
      <explain>文本全半角错误。</explain>
      <paraID>64044D00</paraID>
      <start>6</start>
      <end>7</end>
      <status>unmodified</status>
      <modifiedWord/>
      <trackRevisions>false</trackRevisions>
    </reviewItem>
    <reviewItem>
      <errorID>0ecd04d0-8efa-4b2a-a028-b935e5bacbc2</errorID>
      <errorWord>(</errorWord>
      <group>L1_Format</group>
      <groupName>格式问题</groupName>
      <ability>L2_HalfPunc</ability>
      <abilityName>全半角检查</abilityName>
      <candidateList>
        <item>（</item>
      </candidateList>
      <explain>文本全半角错误。</explain>
      <paraID>1483A83A</paraID>
      <start>23</start>
      <end>24</end>
      <status>unmodified</status>
      <modifiedWord/>
      <trackRevisions>false</trackRevisions>
    </reviewItem>
    <reviewItem>
      <errorID>9f4a6772-08d5-4acd-bc0d-19840e00a788</errorID>
      <errorWord>)</errorWord>
      <group>L1_Format</group>
      <groupName>格式问题</groupName>
      <ability>L2_HalfPunc</ability>
      <abilityName>全半角检查</abilityName>
      <candidateList>
        <item>）</item>
      </candidateList>
      <explain>文本全半角错误。</explain>
      <paraID>1483A83A</paraID>
      <start>27</start>
      <end>28</end>
      <status>unmodified</status>
      <modifiedWord/>
      <trackRevisions>false</trackRevisions>
    </reviewItem>
    <reviewItem>
      <errorID>bf5dbd33-bd79-47c1-81a5-c5e8661fdcf7</errorID>
      <errorWord>&lt;</errorWord>
      <group>L1_Format</group>
      <groupName>格式问题</groupName>
      <ability>L2_HalfPunc</ability>
      <abilityName>全半角检查</abilityName>
      <candidateList>
        <item>〈</item>
      </candidateList>
      <explain>文本全半角错误。</explain>
      <paraID>6896A5A8</paraID>
      <start>28</start>
      <end>29</end>
      <status>unmodified</status>
      <modifiedWord/>
      <trackRevisions>false</trackRevisions>
    </reviewItem>
    <reviewItem>
      <errorID>2be0ee91-a19b-4c1b-b714-f94928467d73</errorID>
      <errorWord>&gt;的通知》</errorWord>
      <group>L1_Punc</group>
      <groupName>标点问题</groupName>
      <ability>L2_Punc</ability>
      <abilityName>标点符号检查</abilityName>
      <candidateList>
        <item>〉的通知》</item>
      </candidateList>
      <explain/>
      <paraID>6896A5A8</paraID>
      <start>48</start>
      <end>53</end>
      <status>unmodified</status>
      <modifiedWord/>
      <trackRevisions>false</trackRevisions>
    </reviewItem>
    <reviewItem>
      <errorID>9b41d2de-da9a-460b-92c6-17d051600743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1471BF41</paraID>
      <start>82</start>
      <end>83</end>
      <status>unmodified</status>
      <modifiedWord/>
      <trackRevisions>false</trackRevisions>
    </reviewItem>
    <reviewItem>
      <errorID>435f2941-bf05-4b42-af24-203629b567d6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1471BF41</paraID>
      <start>97</start>
      <end>98</end>
      <status>unmodified</status>
      <modifiedWord/>
      <trackRevisions>false</trackRevisions>
    </reviewItem>
    <reviewItem>
      <errorID>688b718c-2931-4511-bd8a-18aaae7b1e50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1471BF41</paraID>
      <start>199</start>
      <end>200</end>
      <status>unmodified</status>
      <modifiedWord/>
      <trackRevisions>false</trackRevisions>
    </reviewItem>
    <reviewItem>
      <errorID>2d27c2a9-4c9c-4c09-9505-6ddaae87bf02</errorID>
      <errorWord>（</errorWord>
      <group>L1_Format</group>
      <groupName>格式问题</groupName>
      <ability>L2_HalfPunc</ability>
      <abilityName>全半角检查</abilityName>
      <candidateList>
        <item>(</item>
      </candidateList>
      <explain>文本全半角错误。</explain>
      <paraID>24373E3E</paraID>
      <start>1</start>
      <end>2</end>
      <status>unmodified</status>
      <modifiedWord/>
      <trackRevisions>false</trackRevisions>
    </reviewItem>
    <reviewItem>
      <errorID>2647e40b-7496-4f64-b1b7-fd5f6955567b</errorID>
      <errorWord>）</errorWord>
      <group>L1_Format</group>
      <groupName>格式问题</groupName>
      <ability>L2_HalfPunc</ability>
      <abilityName>全半角检查</abilityName>
      <candidateList>
        <item>)</item>
      </candidateList>
      <explain>文本全半角错误。</explain>
      <paraID>24373E3E</paraID>
      <start>3</start>
      <end>4</end>
      <status>unmodified</status>
      <modifiedWord/>
      <trackRevisions>false</trackRevisions>
    </reviewItem>
    <reviewItem>
      <errorID>264a391e-c9ea-490e-a88b-93f412140677</errorID>
      <errorWord>（</errorWord>
      <group>L1_Format</group>
      <groupName>格式问题</groupName>
      <ability>L2_HalfPunc</ability>
      <abilityName>全半角检查</abilityName>
      <candidateList>
        <item>(</item>
      </candidateList>
      <explain>文本全半角错误。</explain>
      <paraID>36D1CF73</paraID>
      <start>1</start>
      <end>2</end>
      <status>unmodified</status>
      <modifiedWord/>
      <trackRevisions>false</trackRevisions>
    </reviewItem>
    <reviewItem>
      <errorID>1a8a619e-76ba-408e-9dbb-5ed8ca88d2f5</errorID>
      <errorWord>）</errorWord>
      <group>L1_Format</group>
      <groupName>格式问题</groupName>
      <ability>L2_HalfPunc</ability>
      <abilityName>全半角检查</abilityName>
      <candidateList>
        <item>)</item>
      </candidateList>
      <explain>文本全半角错误。</explain>
      <paraID>36D1CF73</paraID>
      <start>3</start>
      <end>4</end>
      <status>unmodified</status>
      <modifiedWord/>
      <trackRevisions>false</trackRevisions>
    </reviewItem>
    <reviewItem>
      <errorID>7f46c7bf-e412-4ca1-a454-816dad71ebc5</errorID>
      <errorWord>～</errorWord>
      <group>L1_Format</group>
      <groupName>格式问题</groupName>
      <ability>L2_HalfPunc</ability>
      <abilityName>全半角检查</abilityName>
      <candidateList>
        <item>~</item>
      </candidateList>
      <explain>文本全半角错误。</explain>
      <paraID>183A8A25</paraID>
      <start>8</start>
      <end>9</end>
      <status>unmodified</status>
      <modifiedWord/>
      <trackRevisions>false</trackRevisions>
    </reviewItem>
    <reviewItem>
      <errorID>50f9fea7-2e61-46f2-a114-4fc7fb1472c0</errorID>
      <errorWord>～</errorWord>
      <group>L1_Format</group>
      <groupName>格式问题</groupName>
      <ability>L2_HalfPunc</ability>
      <abilityName>全半角检查</abilityName>
      <candidateList>
        <item>~</item>
      </candidateList>
      <explain>文本全半角错误。</explain>
      <paraID>44D8235E</paraID>
      <start>9</start>
      <end>10</end>
      <status>unmodified</status>
      <modifiedWord/>
      <trackRevisions>false</trackRevisions>
    </reviewItem>
    <reviewItem>
      <errorID>74627abb-5924-40cf-bf98-50037de40e1c</errorID>
      <errorWord>～</errorWord>
      <group>L1_Format</group>
      <groupName>格式问题</groupName>
      <ability>L2_HalfPunc</ability>
      <abilityName>全半角检查</abilityName>
      <candidateList>
        <item>~</item>
      </candidateList>
      <explain>文本全半角错误。</explain>
      <paraID> 9B87F91</paraID>
      <start>9</start>
      <end>10</end>
      <status>unmodified</status>
      <modifiedWord/>
      <trackRevisions>false</trackRevisions>
    </reviewItem>
    <reviewItem>
      <errorID>824db60c-1378-4988-8693-14fdc6f52d91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59E3E132</paraID>
      <start>0</start>
      <end>2</end>
      <status>unmodified</status>
      <modifiedWord/>
      <trackRevisions>false</trackRevisions>
    </reviewItem>
    <reviewItem>
      <errorID>83dfe163-a207-487c-92ab-d474ea34f045</errorID>
      <errorWord>)</errorWord>
      <group>L1_Format</group>
      <groupName>格式问题</groupName>
      <ability>L2_HalfPunc</ability>
      <abilityName>全半角检查</abilityName>
      <candidateList>
        <item>）</item>
      </candidateList>
      <explain>文本全半角错误。</explain>
      <paraID> E622996</paraID>
      <start>66</start>
      <end>67</end>
      <status>unmodified</status>
      <modifiedWord/>
      <trackRevisions>false</trackRevisions>
    </reviewItem>
    <reviewItem>
      <errorID>ba1a8329-36da-4b07-93dd-8c1f26fecdcf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45ABA948</paraID>
      <start>0</start>
      <end>2</end>
      <status>unmodified</status>
      <modifiedWord/>
      <trackRevisions>false</trackRevisions>
    </reviewItem>
    <reviewItem>
      <errorID>aad27157-b42c-49d1-be19-3609422bceb7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6F661EA7</paraID>
      <start>9</start>
      <end>10</end>
      <status>unmodified</status>
      <modifiedWord/>
      <trackRevisions>false</trackRevisions>
    </reviewItem>
    <reviewItem>
      <errorID>39b04393-7d98-4bb5-b724-d1c8cd977643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33DCFF38</paraID>
      <start>0</start>
      <end>2</end>
      <status>unmodified</status>
      <modifiedWord/>
      <trackRevisions>false</trackRevisions>
    </reviewItem>
    <reviewItem>
      <errorID>82c16eee-75be-47eb-85a9-08765ebdce19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3D2969C</paraID>
      <start>0</start>
      <end>2</end>
      <status>unmodified</status>
      <modifiedWord/>
      <trackRevisions>false</trackRevisions>
    </reviewItem>
    <reviewItem>
      <errorID>bb032311-328b-4f6e-ba66-a72ef22dd233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3C3C39AB</paraID>
      <start>0</start>
      <end>2</end>
      <status>unmodified</status>
      <modifiedWord/>
      <trackRevisions>false</trackRevisions>
    </reviewItem>
    <reviewItem>
      <errorID>49f1dfa1-3f5a-4b9b-ac07-c521c85777b4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25A5DFFD</paraID>
      <start>0</start>
      <end>2</end>
      <status>unmodified</status>
      <modifiedWord/>
      <trackRevisions>false</trackRevisions>
    </reviewItem>
    <reviewItem>
      <errorID>0258cbb4-0239-4e48-872a-3750e31c789d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533495EB</paraID>
      <start>0</start>
      <end>2</end>
      <status>unmodified</status>
      <modifiedWord/>
      <trackRevisions>false</trackRevisions>
    </reviewItem>
    <reviewItem>
      <errorID>de133a92-0e20-4141-9d2a-13203ba7f89d</errorID>
      <errorWord>（</errorWord>
      <group>L1_Punc</group>
      <groupName>标点问题</groupName>
      <ability>L2_Punc</ability>
      <abilityName>标点符号检查</abilityName>
      <candidateList/>
      <explain>同一形式括号套用。</explain>
      <paraID>23DDF171</paraID>
      <start>5</start>
      <end>6</end>
      <status>unmodified</status>
      <modifiedWord/>
      <trackRevisions>false</trackRevisions>
    </reviewItem>
    <reviewItem>
      <errorID>026f04ba-9232-4178-9fb8-ceb5c217d609</errorID>
      <errorWord>）</errorWord>
      <group>L1_Punc</group>
      <groupName>标点问题</groupName>
      <ability>L2_Punc</ability>
      <abilityName>标点符号检查</abilityName>
      <candidateList/>
      <explain>同一形式括号套用。</explain>
      <paraID>23DDF171</paraID>
      <start>7</start>
      <end>8</end>
      <status>unmodified</status>
      <modifiedWord/>
      <trackRevisions>false</trackRevisions>
    </reviewItem>
    <reviewItem>
      <errorID>ca89170e-6679-460f-9a53-029d6b99edd2</errorID>
      <errorWord>（</errorWord>
      <group>L1_Punc</group>
      <groupName>标点问题</groupName>
      <ability>L2_Punc</ability>
      <abilityName>标点符号检查</abilityName>
      <candidateList/>
      <explain>同一形式括号套用。</explain>
      <paraID>6DA27A38</paraID>
      <start>5</start>
      <end>6</end>
      <status>unmodified</status>
      <modifiedWord/>
      <trackRevisions>false</trackRevisions>
    </reviewItem>
    <reviewItem>
      <errorID>ddd55ac5-3f89-4333-8b9d-eaa7e68f3a27</errorID>
      <errorWord>）</errorWord>
      <group>L1_Punc</group>
      <groupName>标点问题</groupName>
      <ability>L2_Punc</ability>
      <abilityName>标点符号检查</abilityName>
      <candidateList/>
      <explain>同一形式括号套用。</explain>
      <paraID>6DA27A38</paraID>
      <start>7</start>
      <end>8</end>
      <status>unmodified</status>
      <modifiedWord/>
      <trackRevisions>false</trackRevisions>
    </reviewItem>
    <reviewItem>
      <errorID>d042a9d4-4af6-4565-a749-a082f7afd98e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5E39DDAE</paraID>
      <start>0</start>
      <end>2</end>
      <status>unmodified</status>
      <modifiedWord/>
      <trackRevisions>false</trackRevisions>
    </reviewItem>
    <reviewItem>
      <errorID>637bf61c-5bf8-4aa3-939b-c9c9189f78f4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49FDF67A</paraID>
      <start>0</start>
      <end>2</end>
      <status>unmodified</status>
      <modifiedWord/>
      <trackRevisions>false</trackRevisions>
    </reviewItem>
    <reviewItem>
      <errorID>88ac5fea-47e8-46e3-8cd1-a81646242367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74ED53C2</paraID>
      <start>20</start>
      <end>21</end>
      <status>unmodified</status>
      <modifiedWord/>
      <trackRevisions>false</trackRevisions>
    </reviewItem>
    <reviewItem>
      <errorID>f07677d5-79e8-451a-b95e-c32a0d63a47e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E4BB1F6</paraID>
      <start>0</start>
      <end>2</end>
      <status>unmodified</status>
      <modifiedWord/>
      <trackRevisions>false</trackRevisions>
    </reviewItem>
    <reviewItem>
      <errorID>ba734472-02da-49f1-9171-8e497915e817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709BE602</paraID>
      <start>0</start>
      <end>2</end>
      <status>unmodified</status>
      <modifiedWord/>
      <trackRevisions>false</trackRevisions>
    </reviewItem>
    <reviewItem>
      <errorID>ce003b41-8cdc-4652-99e6-e3f9e01ef458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D043999</paraID>
      <start>0</start>
      <end>2</end>
      <status>unmodified</status>
      <modifiedWord/>
      <trackRevisions>false</trackRevisions>
    </reviewItem>
    <reviewItem>
      <errorID>db0e25a5-072c-4b50-9edf-5be8a9722114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64510E63</paraID>
      <start>0</start>
      <end>2</end>
      <status>unmodified</status>
      <modifiedWord/>
      <trackRevisions>false</trackRevisions>
    </reviewItem>
    <reviewItem>
      <errorID>5fc52466-cb1a-4b07-b488-e4e4f95a256f</errorID>
      <errorWord>(</errorWord>
      <group>L1_Format</group>
      <groupName>格式问题</groupName>
      <ability>L2_HalfPunc</ability>
      <abilityName>全半角检查</abilityName>
      <candidateList>
        <item>（</item>
      </candidateList>
      <explain>文本全半角错误。</explain>
      <paraID> ACF528E</paraID>
      <start>6</start>
      <end>7</end>
      <status>unmodified</status>
      <modifiedWord/>
      <trackRevisions>false</trackRevisions>
    </reviewItem>
    <reviewItem>
      <errorID>73e9e336-01e8-4d76-a478-fded2ea94bac</errorID>
      <errorWord>)</errorWord>
      <group>L1_Format</group>
      <groupName>格式问题</groupName>
      <ability>L2_HalfPunc</ability>
      <abilityName>全半角检查</abilityName>
      <candidateList>
        <item>）</item>
      </candidateList>
      <explain>文本全半角错误。</explain>
      <paraID> ACF528E</paraID>
      <start>12</start>
      <end>13</end>
      <status>unmodified</status>
      <modifiedWord/>
      <trackRevisions>false</trackRevisions>
    </reviewItem>
    <reviewItem>
      <errorID>352f7027-622c-4f88-82f7-261d7d8af488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1F78FDB5</paraID>
      <start>0</start>
      <end>2</end>
      <status>unmodified</status>
      <modifiedWord/>
      <trackRevisions>false</trackRevisions>
    </reviewItem>
    <reviewItem>
      <errorID>2273fb91-bfcb-4bd4-a3fe-1397eb9175b8</errorID>
      <errorWord>（</errorWord>
      <group>L1_Punc</group>
      <groupName>标点问题</groupName>
      <ability>L2_Punc</ability>
      <abilityName>标点符号检查</abilityName>
      <candidateList/>
      <explain>同一形式括号套用。</explain>
      <paraID>1F6170F7</paraID>
      <start>5</start>
      <end>6</end>
      <status>unmodified</status>
      <modifiedWord/>
      <trackRevisions>false</trackRevisions>
    </reviewItem>
    <reviewItem>
      <errorID>f730030c-89ab-48ee-ba34-322bf1410fb0</errorID>
      <errorWord>）</errorWord>
      <group>L1_Punc</group>
      <groupName>标点问题</groupName>
      <ability>L2_Punc</ability>
      <abilityName>标点符号检查</abilityName>
      <candidateList/>
      <explain>同一形式括号套用。</explain>
      <paraID>1F6170F7</paraID>
      <start>7</start>
      <end>8</end>
      <status>unmodified</status>
      <modifiedWord/>
      <trackRevisions>false</trackRevisions>
    </reviewItem>
    <reviewItem>
      <errorID>5ba2c232-bd91-4df6-81a5-3991b039aa11</errorID>
      <errorWord>（</errorWord>
      <group>L1_Punc</group>
      <groupName>标点问题</groupName>
      <ability>L2_Punc</ability>
      <abilityName>标点符号检查</abilityName>
      <candidateList/>
      <explain>同一形式括号套用。</explain>
      <paraID>23EF4738</paraID>
      <start>5</start>
      <end>6</end>
      <status>unmodified</status>
      <modifiedWord/>
      <trackRevisions>false</trackRevisions>
    </reviewItem>
    <reviewItem>
      <errorID>d6180f15-9a7f-41c4-aba1-6051ba8f855e</errorID>
      <errorWord>）</errorWord>
      <group>L1_Punc</group>
      <groupName>标点问题</groupName>
      <ability>L2_Punc</ability>
      <abilityName>标点符号检查</abilityName>
      <candidateList/>
      <explain>同一形式括号套用。</explain>
      <paraID>23EF4738</paraID>
      <start>7</start>
      <end>8</end>
      <status>unmodified</status>
      <modifiedWord/>
      <trackRevisions>false</trackRevisions>
    </reviewItem>
    <reviewItem>
      <errorID>7d5b98ef-ad59-45ba-847a-25961ff93aa5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1A0203B8</paraID>
      <start>0</start>
      <end>2</end>
      <status>unmodified</status>
      <modifiedWord/>
      <trackRevisions>false</trackRevisions>
    </reviewItem>
    <reviewItem>
      <errorID>15955792-9165-4b71-9a31-33ef8448ad6e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731E9BFD</paraID>
      <start>0</start>
      <end>2</end>
      <status>unmodified</status>
      <modifiedWord/>
      <trackRevisions>false</trackRevisions>
    </reviewItem>
    <reviewItem>
      <errorID>f7cedd6c-76cc-41e1-9665-fb327b3a817c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24BC5AA9</paraID>
      <start>0</start>
      <end>2</end>
      <status>unmodified</status>
      <modifiedWord/>
      <trackRevisions>false</trackRevisions>
    </reviewItem>
    <reviewItem>
      <errorID>9c48811d-0d68-486b-a7c5-375a70035bdd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FA82890</paraID>
      <start>0</start>
      <end>2</end>
      <status>unmodified</status>
      <modifiedWord/>
      <trackRevisions>false</trackRevisions>
    </reviewItem>
    <reviewItem>
      <errorID>d5a9aef0-f545-4afd-bbf5-808931bf597f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7FA9F6E9</paraID>
      <start>0</start>
      <end>2</end>
      <status>unmodified</status>
      <modifiedWord/>
      <trackRevisions>false</trackRevisions>
    </reviewItem>
    <reviewItem>
      <errorID>ff78bbf0-3717-41ee-8515-148c69a9f739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1B0EFE1C</paraID>
      <start>0</start>
      <end>2</end>
      <status>unmodified</status>
      <modifiedWord/>
      <trackRevisions>false</trackRevisions>
    </reviewItem>
    <reviewItem>
      <errorID>37e92f3e-0e91-4033-88c3-ef6a70765da1</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45B218B9</paraID>
      <start>23</start>
      <end>28</end>
      <status>unmodified</status>
      <modifiedWord/>
      <trackRevisions>false</trackRevisions>
    </reviewItem>
    <reviewItem>
      <errorID>7cb4634e-d890-4b25-9f15-1f698f97e3b3</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45B218B9</paraID>
      <start>31</start>
      <end>35</end>
      <status>unmodified</status>
      <modifiedWord/>
      <trackRevisions>false</trackRevisions>
    </reviewItem>
    <reviewItem>
      <errorID>37376592-8c2b-4784-be7e-8ab5fc182414</errorID>
      <errorWord>-</errorWord>
      <group>L1_Format</group>
      <groupName>格式问题</groupName>
      <ability>L2_HalfPunc</ability>
      <abilityName>全半角检查</abilityName>
      <candidateList>
        <item>－</item>
      </candidateList>
      <explain>文本全半角错误。</explain>
      <paraID>63B56F62</paraID>
      <start>155</start>
      <end>156</end>
      <status>unmodified</status>
      <modifiedWord/>
      <trackRevisions>false</trackRevisions>
    </reviewItem>
    <reviewItem>
      <errorID>204ff3a2-7452-4791-93e5-47252e199aa4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641F2AAB</paraID>
      <start>0</start>
      <end>2</end>
      <status>unmodified</status>
      <modifiedWord/>
      <trackRevisions>false</trackRevisions>
    </reviewItem>
    <reviewItem>
      <errorID>3e7e0f68-ca67-4369-8334-e8acd0e434b5</errorID>
      <errorWord>-</errorWord>
      <group>L1_Format</group>
      <groupName>格式问题</groupName>
      <ability>L2_HalfPunc</ability>
      <abilityName>全半角检查</abilityName>
      <candidateList>
        <item>－</item>
      </candidateList>
      <explain>文本全半角错误。</explain>
      <paraID>2F419AB2</paraID>
      <start>1</start>
      <end>2</end>
      <status>unmodified</status>
      <modifiedWord/>
      <trackRevisions>false</trackRevisions>
    </reviewItem>
    <reviewItem>
      <errorID>fcfbbd34-e849-4986-b802-50edbd243be1</errorID>
      <errorWord>-</errorWord>
      <group>L1_Format</group>
      <groupName>格式问题</groupName>
      <ability>L2_HalfPunc</ability>
      <abilityName>全半角检查</abilityName>
      <candidateList>
        <item>－</item>
      </candidateList>
      <explain>文本全半角错误。</explain>
      <paraID>1F970380</paraID>
      <start>3</start>
      <end>4</end>
      <status>unmodified</status>
      <modifiedWord/>
      <trackRevisions>false</trackRevisions>
    </reviewItem>
    <reviewItem>
      <errorID>798fa740-6a7e-4855-85bd-9d3b9010fbd2</errorID>
      <errorWord>-</errorWord>
      <group>L1_Format</group>
      <groupName>格式问题</groupName>
      <ability>L2_HalfPunc</ability>
      <abilityName>全半角检查</abilityName>
      <candidateList>
        <item>－</item>
      </candidateList>
      <explain>文本全半角错误。</explain>
      <paraID> 303D65F</paraID>
      <start>1</start>
      <end>2</end>
      <status>unmodified</status>
      <modifiedWord/>
      <trackRevisions>false</trackRevisions>
    </reviewItem>
    <reviewItem>
      <errorID>ed3e8cae-ed94-409d-af79-9e293a241a13</errorID>
      <errorWord>-</errorWord>
      <group>L1_Format</group>
      <groupName>格式问题</groupName>
      <ability>L2_HalfPunc</ability>
      <abilityName>全半角检查</abilityName>
      <candidateList>
        <item>－</item>
      </candidateList>
      <explain>文本全半角错误。</explain>
      <paraID> 6359C5A</paraID>
      <start>1</start>
      <end>2</end>
      <status>unmodified</status>
      <modifiedWord/>
      <trackRevisions>false</trackRevisions>
    </reviewItem>
    <reviewItem>
      <errorID>0c15c3ae-c06a-4674-afc4-f85d395647e7</errorID>
      <errorWord>水气</errorWord>
      <group>L1_Word</group>
      <groupName>字词问题</groupName>
      <ability>L2_Typo</ability>
      <abilityName>字词错误</abilityName>
      <candidateList>
        <item>水汽</item>
      </candidateList>
      <explain/>
      <paraID>1EE35DFA</paraID>
      <start>341</start>
      <end>343</end>
      <status>unmodified</status>
      <modifiedWord/>
      <trackRevisions>false</trackRevisions>
    </reviewItem>
    <reviewItem>
      <errorID>1375efb3-0ea9-437c-a5cf-647fcab990b7</errorID>
      <errorWord>-</errorWord>
      <group>L1_Format</group>
      <groupName>格式问题</groupName>
      <ability>L2_HalfPunc</ability>
      <abilityName>全半角检查</abilityName>
      <candidateList>
        <item>－</item>
      </candidateList>
      <explain>文本全半角错误。</explain>
      <paraID> 3C84760</paraID>
      <start>83</start>
      <end>84</end>
      <status>unmodified</status>
      <modifiedWord/>
      <trackRevisions>false</trackRevisions>
    </reviewItem>
    <reviewItem>
      <errorID>862562ed-c743-4965-92a4-2d2dddade833</errorID>
      <errorWord>90-95%</errorWord>
      <group>L1_Knowledge</group>
      <groupName>知识性问题</groupName>
      <ability>L2_Knowledge</ability>
      <abilityName>其他知识</abilityName>
      <candidateList>
        <item>90%—95%</item>
      </candidateList>
      <explain>1. “90-95%”中的单位“%”仅出现在后一个数字上，容易引起歧义；根据《现代汉语标点符号数字用法规范手册》，数字表示范围两边需要使用统一的格式。2. 根据标点国标 4.13 中的规则，数字、时间或地域连接符应使用（视觉上更长的）“—”或“～”。</explain>
      <paraID>645ED466</paraID>
      <start>79</start>
      <end>85</end>
      <status>unmodified</status>
      <modifiedWord/>
      <trackRevisions>false</trackRevisions>
    </reviewItem>
    <reviewItem>
      <errorID>c4b435c6-ca62-46df-88a4-260804ae0809</errorID>
      <errorWord>增加</errorWord>
      <group>L1_Grammar</group>
      <groupName>语法问题</groupName>
      <ability>L2_Grammar</ability>
      <abilityName>语法错误</abilityName>
      <candidateList>
        <item>增强</item>
      </candidateList>
      <explain>“增加～意识”搭配不当，建议修改为“增强～意识”。</explain>
      <paraID>6B3B6D50</paraID>
      <start>6</start>
      <end>8</end>
      <status>unmodified</status>
      <modifiedWord/>
      <trackRevisions>false</trackRevisions>
    </reviewItem>
    <reviewItem>
      <errorID>23b1b6e6-3242-4180-adda-083a77daa107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44B01FDD</paraID>
      <start>0</start>
      <end>2</end>
      <status>unmodified</status>
      <modifiedWord/>
      <trackRevisions>false</trackRevisions>
    </reviewItem>
    <reviewItem>
      <errorID>613dc55d-7cc9-4bbc-9460-3f96bd3277d1</errorID>
      <errorWord>海拔高度</errorWord>
      <group>L1_Word</group>
      <groupName>字词问题</groupName>
      <ability>L2_Typo</ability>
      <abilityName>字词错误</abilityName>
      <candidateList>
        <item>海拔</item>
      </candidateList>
      <explain>〈名〉从平均海平面起算的高度。</explain>
      <paraID>44426366</paraID>
      <start>5</start>
      <end>9</end>
      <status>unmodified</status>
      <modifiedWord/>
      <trackRevisions>false</trackRevisions>
    </reviewItem>
    <reviewItem>
      <errorID>67824d91-71ff-476c-a2ae-f9549ac1a72a</errorID>
      <errorWord>海拔高度</errorWord>
      <group>L1_Word</group>
      <groupName>字词问题</groupName>
      <ability>L2_Typo</ability>
      <abilityName>字词错误</abilityName>
      <candidateList>
        <item>海拔</item>
      </candidateList>
      <explain>〈名〉从平均海平面起算的高度。</explain>
      <paraID>619C951F</paraID>
      <start>2</start>
      <end>6</end>
      <status>unmodified</status>
      <modifiedWord/>
      <trackRevisions>false</trackRevisions>
    </reviewItem>
    <reviewItem>
      <errorID>1cb05f6c-5cb3-468f-a451-09d2cd5d60c5</errorID>
      <errorWord>(</errorWord>
      <group>L1_Format</group>
      <groupName>格式问题</groupName>
      <ability>L2_HalfPunc</ability>
      <abilityName>全半角检查</abilityName>
      <candidateList>
        <item>（</item>
      </candidateList>
      <explain>文本全半角错误。</explain>
      <paraID>458A6DEC</paraID>
      <start>7</start>
      <end>8</end>
      <status>unmodified</status>
      <modifiedWord/>
      <trackRevisions>false</trackRevisions>
    </reviewItem>
    <reviewItem>
      <errorID>1b466cf8-cf47-43aa-a851-39ef8f1e3701</errorID>
      <errorWord>)</errorWord>
      <group>L1_Format</group>
      <groupName>格式问题</groupName>
      <ability>L2_HalfPunc</ability>
      <abilityName>全半角检查</abilityName>
      <candidateList>
        <item>）</item>
      </candidateList>
      <explain>文本全半角错误。</explain>
      <paraID>458A6DEC</paraID>
      <start>9</start>
      <end>10</end>
      <status>unmodified</status>
      <modifiedWord/>
      <trackRevisions>false</trackRevisions>
    </reviewItem>
    <reviewItem>
      <errorID>9912ab64-e56e-4aaf-977c-4578719ae40f</errorID>
      <errorWord>(</errorWord>
      <group>L1_Format</group>
      <groupName>格式问题</groupName>
      <ability>L2_HalfPunc</ability>
      <abilityName>全半角检查</abilityName>
      <candidateList>
        <item>（</item>
      </candidateList>
      <explain>文本全半角错误。</explain>
      <paraID>3D3CB49F</paraID>
      <start>8</start>
      <end>9</end>
      <status>unmodified</status>
      <modifiedWord/>
      <trackRevisions>false</trackRevisions>
    </reviewItem>
    <reviewItem>
      <errorID>9a455266-97a0-4055-9b7c-93a6db6f1096</errorID>
      <errorWord>)</errorWord>
      <group>L1_Format</group>
      <groupName>格式问题</groupName>
      <ability>L2_HalfPunc</ability>
      <abilityName>全半角检查</abilityName>
      <candidateList>
        <item>）</item>
      </candidateList>
      <explain>文本全半角错误。</explain>
      <paraID>3D3CB49F</paraID>
      <start>10</start>
      <end>11</end>
      <status>unmodified</status>
      <modifiedWord/>
      <trackRevisions>false</trackRevisions>
    </reviewItem>
    <reviewItem>
      <errorID>c965e6fb-7e1a-4365-8e86-ca42843bac37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5ACFF810</paraID>
      <start>0</start>
      <end>2</end>
      <status>unmodified</status>
      <modifiedWord/>
      <trackRevisions>false</trackRevisions>
    </reviewItem>
    <reviewItem>
      <errorID>70973783-414e-414a-806f-24b845705107</errorID>
      <errorWord>程</errorWord>
      <group>L1_Word</group>
      <groupName>字词问题</groupName>
      <ability>L2_Typo</ability>
      <abilityName>字词错误</abilityName>
      <candidateList>
        <item>程中</item>
      </candidateList>
      <explain/>
      <paraID>58822238</paraID>
      <start>54</start>
      <end>55</end>
      <status>unmodified</status>
      <modifiedWord/>
      <trackRevisions>false</trackRevisions>
    </reviewItem>
    <reviewItem>
      <errorID>81703c5a-aa07-488a-af75-f311212ccc90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27D34A6A</paraID>
      <start>0</start>
      <end>2</end>
      <status>unmodified</status>
      <modifiedWord/>
      <trackRevisions>false</trackRevisions>
    </reviewItem>
    <reviewItem>
      <errorID>e6ad3ed9-7622-4452-a2a8-23d813871d0a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202A99F2</paraID>
      <start>0</start>
      <end>2</end>
      <status>unmodified</status>
      <modifiedWord/>
      <trackRevisions>false</trackRevisions>
    </reviewItem>
    <reviewItem>
      <errorID>b6bfaaa5-25d4-46fa-b358-2d5015ae8c22</errorID>
      <errorWord>、</errorWord>
      <group>L1_Punc</group>
      <groupName>标点问题</groupName>
      <ability>L2_Punc</ability>
      <abilityName>标点符号检查</abilityName>
      <candidateList>
        <item>.</item>
      </candidateList>
      <explain/>
      <paraID>3E4B0C2D</paraID>
      <start>1</start>
      <end>2</end>
      <status>unmodified</status>
      <modifiedWord/>
      <trackRevisions>false</trackRevisions>
    </reviewItem>
    <reviewItem>
      <errorID>df5ae3a0-3905-46bc-bc4a-bf261e191a60</errorID>
      <errorWord>(</errorWord>
      <group>L1_Format</group>
      <groupName>格式问题</groupName>
      <ability>L2_HalfPunc</ability>
      <abilityName>全半角检查</abilityName>
      <candidateList>
        <item>（</item>
      </candidateList>
      <explain>文本全半角错误。</explain>
      <paraID>1660C167</paraID>
      <start>3</start>
      <end>4</end>
      <status>unmodified</status>
      <modifiedWord/>
      <trackRevisions>false</trackRevisions>
    </reviewItem>
    <reviewItem>
      <errorID>d6772f80-04b2-4e73-9742-da99ff87e427</errorID>
      <errorWord>)</errorWord>
      <group>L1_Format</group>
      <groupName>格式问题</groupName>
      <ability>L2_HalfPunc</ability>
      <abilityName>全半角检查</abilityName>
      <candidateList>
        <item>）</item>
      </candidateList>
      <explain>文本全半角错误。</explain>
      <paraID>1660C167</paraID>
      <start>8</start>
      <end>9</end>
      <status>unmodified</status>
      <modifiedWord/>
      <trackRevisions>false</trackRevisions>
    </reviewItem>
    <reviewItem>
      <errorID>f6361101-fe3a-4159-b491-2f202a4e7f73</errorID>
      <errorWord>（</errorWord>
      <group>L1_Format</group>
      <groupName>格式问题</groupName>
      <ability>L2_HalfPunc</ability>
      <abilityName>全半角检查</abilityName>
      <candidateList>
        <item>(</item>
      </candidateList>
      <explain>文本全半角错误。</explain>
      <paraID>6755E345</paraID>
      <start>2</start>
      <end>3</end>
      <status>unmodified</status>
      <modifiedWord/>
      <trackRevisions>false</trackRevisions>
    </reviewItem>
    <reviewItem>
      <errorID>4fe3b224-615d-4705-a252-648fa49d4c34</errorID>
      <errorWord>）</errorWord>
      <group>L1_Format</group>
      <groupName>格式问题</groupName>
      <ability>L2_HalfPunc</ability>
      <abilityName>全半角检查</abilityName>
      <candidateList>
        <item>)</item>
      </candidateList>
      <explain>文本全半角错误。</explain>
      <paraID>6755E345</paraID>
      <start>8</start>
      <end>9</end>
      <status>unmodified</status>
      <modifiedWord/>
      <trackRevisions>false</trackRevisions>
    </reviewItem>
    <reviewItem>
      <errorID>7257eaac-c2a0-4cce-88ef-58d2a3bdaa86</errorID>
      <errorWord>围</errorWord>
      <group>L1_Word</group>
      <groupName>字词问题</groupName>
      <ability>L2_Typo</ability>
      <abilityName>字词错误</abilityName>
      <candidateList>
        <item>围内</item>
      </candidateList>
      <explain/>
      <paraID>79BC3B39</paraID>
      <start>266</start>
      <end>267</end>
      <status>unmodified</status>
      <modifiedWord/>
      <trackRevisions>false</trackRevisions>
    </reviewItem>
    <reviewItem>
      <errorID>9f3ae033-82fa-4b00-802a-bbafe1ef35ba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4399AEC5</paraID>
      <start>0</start>
      <end>2</end>
      <status>unmodified</status>
      <modifiedWord/>
      <trackRevisions>false</trackRevisions>
    </reviewItem>
    <reviewItem>
      <errorID>483ab7b1-ca20-412b-bf88-6d74299d9f80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AB5795</paraID>
      <start>0</start>
      <end>2</end>
      <status>unmodified</status>
      <modifiedWord/>
      <trackRevisions>false</trackRevisions>
    </reviewItem>
    <reviewItem>
      <errorID>e94effcb-23f2-4787-b9dc-a0bdb9b09a80</errorID>
      <errorWord>(</errorWord>
      <group>L1_Format</group>
      <groupName>格式问题</groupName>
      <ability>L2_HalfPunc</ability>
      <abilityName>全半角检查</abilityName>
      <candidateList>
        <item>（</item>
      </candidateList>
      <explain>文本全半角错误。</explain>
      <paraID>1B724C81</paraID>
      <start>3</start>
      <end>4</end>
      <status>unmodified</status>
      <modifiedWord/>
      <trackRevisions>false</trackRevisions>
    </reviewItem>
    <reviewItem>
      <errorID>f071e00b-a7f1-4702-957a-27b82f1ba402</errorID>
      <errorWord>)</errorWord>
      <group>L1_Format</group>
      <groupName>格式问题</groupName>
      <ability>L2_HalfPunc</ability>
      <abilityName>全半角检查</abilityName>
      <candidateList>
        <item>）</item>
      </candidateList>
      <explain>文本全半角错误。</explain>
      <paraID>1B724C81</paraID>
      <start>7</start>
      <end>8</end>
      <status>unmodified</status>
      <modifiedWord/>
      <trackRevisions>false</trackRevisions>
    </reviewItem>
    <reviewItem>
      <errorID>f0550095-2f6a-4c66-ac92-c87ef609fbe6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408FC09B</paraID>
      <start>0</start>
      <end>2</end>
      <status>unmodified</status>
      <modifiedWord/>
      <trackRevisions>false</trackRevisions>
    </reviewItem>
    <reviewItem>
      <errorID>670c26f2-592b-4863-bfc2-e2b608cd6111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75BBCF83</paraID>
      <start>0</start>
      <end>2</end>
      <status>unmodified</status>
      <modifiedWord/>
      <trackRevisions>false</trackRevisions>
    </reviewItem>
    <reviewItem>
      <errorID>fdb572cb-10a2-4aac-b6d8-0ec30d80bf76</errorID>
      <errorWord>(</errorWord>
      <group>L1_Format</group>
      <groupName>格式问题</groupName>
      <ability>L2_HalfPunc</ability>
      <abilityName>全半角检查</abilityName>
      <candidateList>
        <item>（</item>
      </candidateList>
      <explain>文本全半角错误。</explain>
      <paraID>46ACA3FC</paraID>
      <start>5</start>
      <end>6</end>
      <status>unmodified</status>
      <modifiedWord/>
      <trackRevisions>false</trackRevisions>
    </reviewItem>
    <reviewItem>
      <errorID>35eeac2e-c0a6-4d0e-81c3-1cc26c68b9e2</errorID>
      <errorWord>)</errorWord>
      <group>L1_Format</group>
      <groupName>格式问题</groupName>
      <ability>L2_HalfPunc</ability>
      <abilityName>全半角检查</abilityName>
      <candidateList>
        <item>）</item>
      </candidateList>
      <explain>文本全半角错误。</explain>
      <paraID>46ACA3FC</paraID>
      <start>9</start>
      <end>10</end>
      <status>unmodified</status>
      <modifiedWord/>
      <trackRevisions>false</trackRevisions>
    </reviewItem>
    <reviewItem>
      <errorID>3798552b-ceb0-4ed3-8247-12264dc7856a</errorID>
      <errorWord>(</errorWord>
      <group>L1_Format</group>
      <groupName>格式问题</groupName>
      <ability>L2_HalfPunc</ability>
      <abilityName>全半角检查</abilityName>
      <candidateList>
        <item>（</item>
      </candidateList>
      <explain>文本全半角错误。</explain>
      <paraID> 7A6E177</paraID>
      <start>4</start>
      <end>5</end>
      <status>unmodified</status>
      <modifiedWord/>
      <trackRevisions>false</trackRevisions>
    </reviewItem>
    <reviewItem>
      <errorID>6745e896-a90d-43bb-b10f-fc21d34cd2c2</errorID>
      <errorWord>)</errorWord>
      <group>L1_Format</group>
      <groupName>格式问题</groupName>
      <ability>L2_HalfPunc</ability>
      <abilityName>全半角检查</abilityName>
      <candidateList>
        <item>）</item>
      </candidateList>
      <explain>文本全半角错误。</explain>
      <paraID> 7A6E177</paraID>
      <start>9</start>
      <end>10</end>
      <status>unmodified</status>
      <modifiedWord/>
      <trackRevisions>false</trackRevisions>
    </reviewItem>
    <reviewItem>
      <errorID>f7d262f6-d102-4ea2-8bc8-8f3d62f9a88c</errorID>
      <errorWord>(</errorWord>
      <group>L1_Format</group>
      <groupName>格式问题</groupName>
      <ability>L2_HalfPunc</ability>
      <abilityName>全半角检查</abilityName>
      <candidateList>
        <item>（</item>
      </candidateList>
      <explain>文本全半角错误。</explain>
      <paraID>5E769905</paraID>
      <start>3</start>
      <end>4</end>
      <status>unmodified</status>
      <modifiedWord/>
      <trackRevisions>false</trackRevisions>
    </reviewItem>
    <reviewItem>
      <errorID>c49c86ed-7ec0-4a58-878b-2e6cb73dd1b8</errorID>
      <errorWord>)</errorWord>
      <group>L1_Format</group>
      <groupName>格式问题</groupName>
      <ability>L2_HalfPunc</ability>
      <abilityName>全半角检查</abilityName>
      <candidateList>
        <item>）</item>
      </candidateList>
      <explain>文本全半角错误。</explain>
      <paraID>5E769905</paraID>
      <start>7</start>
      <end>8</end>
      <status>unmodified</status>
      <modifiedWord/>
      <trackRevisions>false</trackRevisions>
    </reviewItem>
    <reviewItem>
      <errorID>2fa3926a-aceb-4ebf-b6e0-ca54597f7715</errorID>
      <errorWord>(</errorWord>
      <group>L1_Format</group>
      <groupName>格式问题</groupName>
      <ability>L2_HalfPunc</ability>
      <abilityName>全半角检查</abilityName>
      <candidateList>
        <item>（</item>
      </candidateList>
      <explain>文本全半角错误。</explain>
      <paraID>3DAF61AB</paraID>
      <start>5</start>
      <end>6</end>
      <status>unmodified</status>
      <modifiedWord/>
      <trackRevisions>false</trackRevisions>
    </reviewItem>
    <reviewItem>
      <errorID>4c8a9c5a-b03e-4003-80c2-f7949b747c26</errorID>
      <errorWord>)</errorWord>
      <group>L1_Format</group>
      <groupName>格式问题</groupName>
      <ability>L2_HalfPunc</ability>
      <abilityName>全半角检查</abilityName>
      <candidateList>
        <item>）</item>
      </candidateList>
      <explain>文本全半角错误。</explain>
      <paraID>3DAF61AB</paraID>
      <start>9</start>
      <end>10</end>
      <status>unmodified</status>
      <modifiedWord/>
      <trackRevisions>false</trackRevisions>
    </reviewItem>
    <reviewItem>
      <errorID>72e15e68-19ad-489e-b924-c197b9e2a26c</errorID>
      <errorWord>(</errorWord>
      <group>L1_Format</group>
      <groupName>格式问题</groupName>
      <ability>L2_HalfPunc</ability>
      <abilityName>全半角检查</abilityName>
      <candidateList>
        <item>（</item>
      </candidateList>
      <explain>文本全半角错误。</explain>
      <paraID>68D10366</paraID>
      <start>4</start>
      <end>5</end>
      <status>unmodified</status>
      <modifiedWord/>
      <trackRevisions>false</trackRevisions>
    </reviewItem>
    <reviewItem>
      <errorID>6e33a82f-2d3d-4591-b87d-635498e112f8</errorID>
      <errorWord>)</errorWord>
      <group>L1_Format</group>
      <groupName>格式问题</groupName>
      <ability>L2_HalfPunc</ability>
      <abilityName>全半角检查</abilityName>
      <candidateList>
        <item>）</item>
      </candidateList>
      <explain>文本全半角错误。</explain>
      <paraID>68D10366</paraID>
      <start>9</start>
      <end>10</end>
      <status>unmodified</status>
      <modifiedWord/>
      <trackRevisions>false</trackRevisions>
    </reviewItem>
    <reviewItem>
      <errorID>4c05de80-1c77-406b-8e7c-ee214b1df765</errorID>
      <errorWord>(</errorWord>
      <group>L1_Format</group>
      <groupName>格式问题</groupName>
      <ability>L2_HalfPunc</ability>
      <abilityName>全半角检查</abilityName>
      <candidateList>
        <item>（</item>
      </candidateList>
      <explain>文本全半角错误。</explain>
      <paraID>58E3ADF8</paraID>
      <start>3</start>
      <end>4</end>
      <status>unmodified</status>
      <modifiedWord/>
      <trackRevisions>false</trackRevisions>
    </reviewItem>
    <reviewItem>
      <errorID>51d78c41-6209-47c6-900c-9fd3922d537b</errorID>
      <errorWord>)</errorWord>
      <group>L1_Format</group>
      <groupName>格式问题</groupName>
      <ability>L2_HalfPunc</ability>
      <abilityName>全半角检查</abilityName>
      <candidateList>
        <item>）</item>
      </candidateList>
      <explain>文本全半角错误。</explain>
      <paraID>58E3ADF8</paraID>
      <start>7</start>
      <end>8</end>
      <status>unmodified</status>
      <modifiedWord/>
      <trackRevisions>false</trackRevisions>
    </reviewItem>
    <reviewItem>
      <errorID>866be96b-a44f-4ecd-83db-e9685e9f4403</errorID>
      <errorWord>：</errorWord>
      <group>L1_Format</group>
      <groupName>格式问题</groupName>
      <ability>L2_HalfPunc</ability>
      <abilityName>全半角检查</abilityName>
      <candidateList>
        <item>:</item>
      </candidateList>
      <explain>文本全半角错误。</explain>
      <paraID> A88A734</paraID>
      <start>3</start>
      <end>4</end>
      <status>unmodified</status>
      <modifiedWord/>
      <trackRevisions>false</trackRevisions>
    </reviewItem>
    <reviewItem>
      <errorID>728ded0c-678f-474c-bfb3-9ebd1a9a360b</errorID>
      <errorWord>，</errorWord>
      <group>L1_Format</group>
      <groupName>格式问题</groupName>
      <ability>L2_HalfPunc</ability>
      <abilityName>全半角检查</abilityName>
      <candidateList>
        <item>,</item>
      </candidateList>
      <explain>文本全半角错误。</explain>
      <paraID> A88A734</paraID>
      <start>13</start>
      <end>14</end>
      <status>unmodified</status>
      <modifiedWord/>
      <trackRevisions>false</trackRevisions>
    </reviewItem>
    <reviewItem>
      <errorID>8a6f5050-6078-4c1c-8b85-2876978b6e9f</errorID>
      <errorWord>：</errorWord>
      <group>L1_Format</group>
      <groupName>格式问题</groupName>
      <ability>L2_HalfPunc</ability>
      <abilityName>全半角检查</abilityName>
      <candidateList>
        <item>:</item>
      </candidateList>
      <explain>文本全半角错误。</explain>
      <paraID>2DAD6584</paraID>
      <start>2</start>
      <end>3</end>
      <status>unmodified</status>
      <modifiedWord/>
      <trackRevisions>false</trackRevisions>
    </reviewItem>
    <reviewItem>
      <errorID>d163205d-1224-422b-a94b-97e571571495</errorID>
      <errorWord>，</errorWord>
      <group>L1_Format</group>
      <groupName>格式问题</groupName>
      <ability>L2_HalfPunc</ability>
      <abilityName>全半角检查</abilityName>
      <candidateList>
        <item>,</item>
      </candidateList>
      <explain>文本全半角错误。</explain>
      <paraID>2DAD6584</paraID>
      <start>10</start>
      <end>11</end>
      <status>unmodified</status>
      <modifiedWord/>
      <trackRevisions>false</trackRevisions>
    </reviewItem>
    <reviewItem>
      <errorID>1ea64286-a763-433d-9344-c7d56f6f0936</errorID>
      <errorWord>：</errorWord>
      <group>L1_Format</group>
      <groupName>格式问题</groupName>
      <ability>L2_HalfPunc</ability>
      <abilityName>全半角检查</abilityName>
      <candidateList>
        <item>:</item>
      </candidateList>
      <explain>文本全半角错误。</explain>
      <paraID>10CB88A6</paraID>
      <start>2</start>
      <end>3</end>
      <status>unmodified</status>
      <modifiedWord/>
      <trackRevisions>false</trackRevisions>
    </reviewItem>
    <reviewItem>
      <errorID>ebccc2da-cc8a-4986-9b5e-a0f8f778d564</errorID>
      <errorWord>，</errorWord>
      <group>L1_Format</group>
      <groupName>格式问题</groupName>
      <ability>L2_HalfPunc</ability>
      <abilityName>全半角检查</abilityName>
      <candidateList>
        <item>,</item>
      </candidateList>
      <explain>文本全半角错误。</explain>
      <paraID>10CB88A6</paraID>
      <start>11</start>
      <end>12</end>
      <status>unmodified</status>
      <modifiedWord/>
      <trackRevisions>false</trackRevisions>
    </reviewItem>
    <reviewItem>
      <errorID>d27ef1e5-7c69-405d-800e-67e5f52367b9</errorID>
      <errorWord>：</errorWord>
      <group>L1_Format</group>
      <groupName>格式问题</groupName>
      <ability>L2_HalfPunc</ability>
      <abilityName>全半角检查</abilityName>
      <candidateList>
        <item>:</item>
      </candidateList>
      <explain>文本全半角错误。</explain>
      <paraID> ED63D71</paraID>
      <start>2</start>
      <end>3</end>
      <status>unmodified</status>
      <modifiedWord/>
      <trackRevisions>false</trackRevisions>
    </reviewItem>
    <reviewItem>
      <errorID>1e55d3fd-2859-45a1-a011-66e9c8bdf528</errorID>
      <errorWord>，</errorWord>
      <group>L1_Format</group>
      <groupName>格式问题</groupName>
      <ability>L2_HalfPunc</ability>
      <abilityName>全半角检查</abilityName>
      <candidateList>
        <item>,</item>
      </candidateList>
      <explain>文本全半角错误。</explain>
      <paraID> ED63D71</paraID>
      <start>11</start>
      <end>12</end>
      <status>unmodified</status>
      <modifiedWord/>
      <trackRevisions>false</trackRevisions>
    </reviewItem>
    <reviewItem>
      <errorID>0a9a8c17-6d33-4359-9909-c43ce4bf6640</errorID>
      <errorWord>：</errorWord>
      <group>L1_Format</group>
      <groupName>格式问题</groupName>
      <ability>L2_HalfPunc</ability>
      <abilityName>全半角检查</abilityName>
      <candidateList>
        <item>:</item>
      </candidateList>
      <explain>文本全半角错误。</explain>
      <paraID>6346FD69</paraID>
      <start>3</start>
      <end>4</end>
      <status>unmodified</status>
      <modifiedWord/>
      <trackRevisions>false</trackRevisions>
    </reviewItem>
    <reviewItem>
      <errorID>cf3f6582-9642-455a-963e-58c40b54f6f3</errorID>
      <errorWord>，</errorWord>
      <group>L1_Format</group>
      <groupName>格式问题</groupName>
      <ability>L2_HalfPunc</ability>
      <abilityName>全半角检查</abilityName>
      <candidateList>
        <item>,</item>
      </candidateList>
      <explain>文本全半角错误。</explain>
      <paraID>6346FD69</paraID>
      <start>13</start>
      <end>14</end>
      <status>unmodified</status>
      <modifiedWord/>
      <trackRevisions>false</trackRevisions>
    </reviewItem>
    <reviewItem>
      <errorID>02490bef-8e3c-4562-aa0e-fc5647901688</errorID>
      <errorWord>进</errorWord>
      <group>L1_Word</group>
      <groupName>字词问题</groupName>
      <ability>L2_Typo</ability>
      <abilityName>字词错误</abilityName>
      <candidateList>
        <item>进入</item>
      </candidateList>
      <explain>〈动〉支进到某个范围或某个时期里：～学校｜～新阶段◇～角色。</explain>
      <paraID>629FE16B</paraID>
      <start>71</start>
      <end>72</end>
      <status>unmodified</status>
      <modifiedWord/>
      <trackRevisions>false</trackRevisions>
    </reviewItem>
    <reviewItem>
      <errorID>35a7ec80-a4e7-474b-b487-1020e06ddc6d</errorID>
      <errorWord>：</errorWord>
      <group>L1_Format</group>
      <groupName>格式问题</groupName>
      <ability>L2_HalfPunc</ability>
      <abilityName>全半角检查</abilityName>
      <candidateList>
        <item>:</item>
      </candidateList>
      <explain>文本全半角错误。</explain>
      <paraID>52CD2FD6</paraID>
      <start>3</start>
      <end>4</end>
      <status>unmodified</status>
      <modifiedWord/>
      <trackRevisions>false</trackRevisions>
    </reviewItem>
    <reviewItem>
      <errorID>cf393045-9c4f-4cd2-a834-6553b7057d41</errorID>
      <errorWord>；</errorWord>
      <group>L1_Format</group>
      <groupName>格式问题</groupName>
      <ability>L2_HalfPunc</ability>
      <abilityName>全半角检查</abilityName>
      <candidateList>
        <item>;</item>
      </candidateList>
      <explain>文本全半角错误。</explain>
      <paraID>52CD2FD6</paraID>
      <start>20</start>
      <end>21</end>
      <status>unmodified</status>
      <modifiedWord/>
      <trackRevisions>false</trackRevisions>
    </reviewItem>
    <reviewItem>
      <errorID>42506f6e-26bb-45e2-98e4-f8bc79f64e08</errorID>
      <errorWord>：</errorWord>
      <group>L1_Format</group>
      <groupName>格式问题</groupName>
      <ability>L2_HalfPunc</ability>
      <abilityName>全半角检查</abilityName>
      <candidateList>
        <item>:</item>
      </candidateList>
      <explain>文本全半角错误。</explain>
      <paraID>5B08E369</paraID>
      <start>2</start>
      <end>3</end>
      <status>unmodified</status>
      <modifiedWord/>
      <trackRevisions>false</trackRevisions>
    </reviewItem>
    <reviewItem>
      <errorID>85ef697e-0776-4ab9-9b99-4c459cf57119</errorID>
      <errorWord>；</errorWord>
      <group>L1_Format</group>
      <groupName>格式问题</groupName>
      <ability>L2_HalfPunc</ability>
      <abilityName>全半角检查</abilityName>
      <candidateList>
        <item>;</item>
      </candidateList>
      <explain>文本全半角错误。</explain>
      <paraID>5B08E369</paraID>
      <start>18</start>
      <end>19</end>
      <status>unmodified</status>
      <modifiedWord/>
      <trackRevisions>false</trackRevisions>
    </reviewItem>
    <reviewItem>
      <errorID>dcab081b-18b5-49cb-936c-78e28d23f875</errorID>
      <errorWord>：</errorWord>
      <group>L1_Format</group>
      <groupName>格式问题</groupName>
      <ability>L2_HalfPunc</ability>
      <abilityName>全半角检查</abilityName>
      <candidateList>
        <item>:</item>
      </candidateList>
      <explain>文本全半角错误。</explain>
      <paraID>767BE8E5</paraID>
      <start>2</start>
      <end>3</end>
      <status>unmodified</status>
      <modifiedWord/>
      <trackRevisions>false</trackRevisions>
    </reviewItem>
    <reviewItem>
      <errorID>d0e83a12-a11f-4ca5-b5f4-dab751d5e77d</errorID>
      <errorWord>；</errorWord>
      <group>L1_Format</group>
      <groupName>格式问题</groupName>
      <ability>L2_HalfPunc</ability>
      <abilityName>全半角检查</abilityName>
      <candidateList>
        <item>;</item>
      </candidateList>
      <explain>文本全半角错误。</explain>
      <paraID>767BE8E5</paraID>
      <start>20</start>
      <end>21</end>
      <status>unmodified</status>
      <modifiedWord/>
      <trackRevisions>false</trackRevisions>
    </reviewItem>
    <reviewItem>
      <errorID>7c40857e-9c4b-41ff-a3a1-4e11c9ba7921</errorID>
      <errorWord>：</errorWord>
      <group>L1_Format</group>
      <groupName>格式问题</groupName>
      <ability>L2_HalfPunc</ability>
      <abilityName>全半角检查</abilityName>
      <candidateList>
        <item>:</item>
      </candidateList>
      <explain>文本全半角错误。</explain>
      <paraID>24E12E3C</paraID>
      <start>2</start>
      <end>3</end>
      <status>unmodified</status>
      <modifiedWord/>
      <trackRevisions>false</trackRevisions>
    </reviewItem>
    <reviewItem>
      <errorID>15c45385-6567-4e0e-9444-41f2f14391e6</errorID>
      <errorWord>；</errorWord>
      <group>L1_Format</group>
      <groupName>格式问题</groupName>
      <ability>L2_HalfPunc</ability>
      <abilityName>全半角检查</abilityName>
      <candidateList>
        <item>;</item>
      </candidateList>
      <explain>文本全半角错误。</explain>
      <paraID>24E12E3C</paraID>
      <start>20</start>
      <end>21</end>
      <status>unmodified</status>
      <modifiedWord/>
      <trackRevisions>false</trackRevisions>
    </reviewItem>
    <reviewItem>
      <errorID>82013f85-e73b-4875-b798-f50e8eab3a9f</errorID>
      <errorWord>：</errorWord>
      <group>L1_Format</group>
      <groupName>格式问题</groupName>
      <ability>L2_HalfPunc</ability>
      <abilityName>全半角检查</abilityName>
      <candidateList>
        <item>:</item>
      </candidateList>
      <explain>文本全半角错误。</explain>
      <paraID>6C5A6A6A</paraID>
      <start>3</start>
      <end>4</end>
      <status>unmodified</status>
      <modifiedWord/>
      <trackRevisions>false</trackRevisions>
    </reviewItem>
    <reviewItem>
      <errorID>7144aca4-cae0-4bbb-9abd-c7071357e8ed</errorID>
      <errorWord>：</errorWord>
      <group>L1_Format</group>
      <groupName>格式问题</groupName>
      <ability>L2_HalfPunc</ability>
      <abilityName>全半角检查</abilityName>
      <candidateList>
        <item>:</item>
      </candidateList>
      <explain>文本全半角错误。</explain>
      <paraID>17826A07</paraID>
      <start>3</start>
      <end>4</end>
      <status>unmodified</status>
      <modifiedWord/>
      <trackRevisions>false</trackRevisions>
    </reviewItem>
    <reviewItem>
      <errorID>00cf0d18-60ee-443d-82fb-85643ece459a</errorID>
      <errorWord>；</errorWord>
      <group>L1_Format</group>
      <groupName>格式问题</groupName>
      <ability>L2_HalfPunc</ability>
      <abilityName>全半角检查</abilityName>
      <candidateList>
        <item>;</item>
      </candidateList>
      <explain>文本全半角错误。</explain>
      <paraID>17826A07</paraID>
      <start>20</start>
      <end>21</end>
      <status>unmodified</status>
      <modifiedWord/>
      <trackRevisions>false</trackRevisions>
    </reviewItem>
    <reviewItem>
      <errorID>25e275d0-4883-4d6f-95bd-67115c0b4b43</errorID>
      <errorWord>：</errorWord>
      <group>L1_Format</group>
      <groupName>格式问题</groupName>
      <ability>L2_HalfPunc</ability>
      <abilityName>全半角检查</abilityName>
      <candidateList>
        <item>:</item>
      </candidateList>
      <explain>文本全半角错误。</explain>
      <paraID>2CE33E60</paraID>
      <start>2</start>
      <end>3</end>
      <status>unmodified</status>
      <modifiedWord/>
      <trackRevisions>false</trackRevisions>
    </reviewItem>
    <reviewItem>
      <errorID>5d4d2370-5795-4928-9a35-398ea108c56c</errorID>
      <errorWord>；</errorWord>
      <group>L1_Format</group>
      <groupName>格式问题</groupName>
      <ability>L2_HalfPunc</ability>
      <abilityName>全半角检查</abilityName>
      <candidateList>
        <item>;</item>
      </candidateList>
      <explain>文本全半角错误。</explain>
      <paraID>2CE33E60</paraID>
      <start>18</start>
      <end>19</end>
      <status>unmodified</status>
      <modifiedWord/>
      <trackRevisions>false</trackRevisions>
    </reviewItem>
    <reviewItem>
      <errorID>b95634aa-861d-4146-a256-d1fb48f2716c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4AE70FF8</paraID>
      <start>0</start>
      <end>2</end>
      <status>unmodified</status>
      <modifiedWord/>
      <trackRevisions>false</trackRevisions>
    </reviewItem>
    <reviewItem>
      <errorID>6f247eda-44eb-4a1c-b7bc-70ddbf798045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27E37D6C</paraID>
      <start>0</start>
      <end>2</end>
      <status>unmodified</status>
      <modifiedWord/>
      <trackRevisions>false</trackRevisions>
    </reviewItem>
    <reviewItem>
      <errorID>3ac30576-d026-49f4-be09-dbc3fc16ea3a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3EDBB42E</paraID>
      <start>0</start>
      <end>2</end>
      <status>unmodified</status>
      <modifiedWord/>
      <trackRevisions>false</trackRevisions>
    </reviewItem>
    <reviewItem>
      <errorID>e2a68050-de52-4db2-ba91-c108492fc35e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35D03931</paraID>
      <start>0</start>
      <end>2</end>
      <status>unmodified</status>
      <modifiedWord/>
      <trackRevisions>false</trackRevisions>
    </reviewItem>
    <reviewItem>
      <errorID>c05b1a00-d38c-4205-a262-b818f27cfc7f</errorID>
      <errorWord>提高</errorWord>
      <group>L1_Grammar</group>
      <groupName>语法问题</groupName>
      <ability>L2_Grammar</ability>
      <abilityName>语法错误</abilityName>
      <candidateList>
        <item>增强</item>
      </candidateList>
      <explain>“提高～意识”搭配不当，建议修改为“增强～意识”。</explain>
      <paraID>150805C3</paraID>
      <start>0</start>
      <end>2</end>
      <status>unmodified</status>
      <modifiedWord/>
      <trackRevisions>false</trackRevisions>
    </reviewItem>
    <reviewItem>
      <errorID>bf301718-2a1a-48ba-8746-7d3c1e153d4e</errorID>
      <errorWord>各</errorWord>
      <group>L1_Word</group>
      <groupName>字词问题</groupName>
      <ability>L2_Typo</ability>
      <abilityName>字词错误</abilityName>
      <candidateList>
        <item>各类</item>
      </candidateList>
      <explain/>
      <paraID>150805C3</paraID>
      <start>31</start>
      <end>32</end>
      <status>unmodified</status>
      <modifiedWord/>
      <trackRevisions>false</trackRevisions>
    </reviewItem>
    <reviewItem>
      <errorID>11d3a7fe-937c-4f05-a875-0becef1ad8f8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27DB563A</paraID>
      <start>0</start>
      <end>2</end>
      <status>unmodified</status>
      <modifiedWord/>
      <trackRevisions>false</trackRevisions>
    </reviewItem>
    <reviewItem>
      <errorID>078cfbb4-c176-482d-93f6-1678ed848c17</errorID>
      <errorWord>、</errorWord>
      <group>L1_Punc</group>
      <groupName>标点问题</groupName>
      <ability>L2_Punc</ability>
      <abilityName>标点符号检查</abilityName>
      <candidateList/>
      <explain/>
      <paraID>399A2AF3</paraID>
      <start>1</start>
      <end>2</end>
      <status>unmodified</status>
      <modifiedWord/>
      <trackRevisions>false</trackRevisions>
    </reviewItem>
    <reviewItem>
      <errorID>0ddd9258-da65-414a-9c6b-63556ce57bf6</errorID>
      <errorWord>选</errorWord>
      <group>L1_Word</group>
      <groupName>字词问题</groupName>
      <ability>L2_Typo</ability>
      <abilityName>字词错误</abilityName>
      <candidateList>
        <item>选择</item>
      </candidateList>
      <explain>〈动〉挑选：～对象｜～地点。</explain>
      <paraID>1FA4AFE3</paraID>
      <start>22</start>
      <end>23</end>
      <status>unmodified</status>
      <modifiedWord/>
      <trackRevisions>false</trackRevisions>
    </reviewItem>
    <reviewItem>
      <errorID>1fd6e7c3-47ef-4f34-b625-04100325dfd0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DFF411B</paraID>
      <start>0</start>
      <end>2</end>
      <status>unmodified</status>
      <modifiedWord/>
      <trackRevisions>false</trackRevisions>
    </reviewItem>
    <reviewItem>
      <errorID>1fc4d682-1cf5-4d4d-ab81-9e890ebff70f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2E335D3B</paraID>
      <start>0</start>
      <end>2</end>
      <status>unmodified</status>
      <modifiedWord/>
      <trackRevisions>false</trackRevisions>
    </reviewItem>
    <reviewItem>
      <errorID>7ab714e4-75f7-49bb-aec8-bf6ca1ddc1c8</errorID>
      <errorWord>(</errorWord>
      <group>L1_Format</group>
      <groupName>格式问题</groupName>
      <ability>L2_HalfPunc</ability>
      <abilityName>全半角检查</abilityName>
      <candidateList>
        <item>（</item>
      </candidateList>
      <explain>文本全半角错误。</explain>
      <paraID>26A37255</paraID>
      <start>5</start>
      <end>6</end>
      <status>unmodified</status>
      <modifiedWord/>
      <trackRevisions>false</trackRevisions>
    </reviewItem>
    <reviewItem>
      <errorID>a221e386-4c63-4d58-9e47-66e9fd93447b</errorID>
      <errorWord>)</errorWord>
      <group>L1_Format</group>
      <groupName>格式问题</groupName>
      <ability>L2_HalfPunc</ability>
      <abilityName>全半角检查</abilityName>
      <candidateList>
        <item>）</item>
      </candidateList>
      <explain>文本全半角错误。</explain>
      <paraID>26A37255</paraID>
      <start>8</start>
      <end>9</end>
      <status>unmodified</status>
      <modifiedWord/>
      <trackRevisions>false</trackRevisions>
    </reviewItem>
    <reviewItem>
      <errorID>6618a8e3-14c7-438a-9f57-6e36b25dcbf5</errorID>
      <errorWord>(</errorWord>
      <group>L1_Format</group>
      <groupName>格式问题</groupName>
      <ability>L2_HalfPunc</ability>
      <abilityName>全半角检查</abilityName>
      <candidateList>
        <item>（</item>
      </candidateList>
      <explain>文本全半角错误。</explain>
      <paraID>4EBCBBB1</paraID>
      <start>5</start>
      <end>6</end>
      <status>unmodified</status>
      <modifiedWord/>
      <trackRevisions>false</trackRevisions>
    </reviewItem>
    <reviewItem>
      <errorID>9d1f6bfb-9312-4715-83aa-68280d9a3d1b</errorID>
      <errorWord>)</errorWord>
      <group>L1_Format</group>
      <groupName>格式问题</groupName>
      <ability>L2_HalfPunc</ability>
      <abilityName>全半角检查</abilityName>
      <candidateList>
        <item>）</item>
      </candidateList>
      <explain>文本全半角错误。</explain>
      <paraID>4EBCBBB1</paraID>
      <start>7</start>
      <end>8</end>
      <status>unmodified</status>
      <modifiedWord/>
      <trackRevisions>false</trackRevisions>
    </reviewItem>
    <reviewItem>
      <errorID>a19d8eb4-9302-407a-8d84-ce1f7603029a</errorID>
      <errorWord>(</errorWord>
      <group>L1_Format</group>
      <groupName>格式问题</groupName>
      <ability>L2_HalfPunc</ability>
      <abilityName>全半角检查</abilityName>
      <candidateList>
        <item>（</item>
      </candidateList>
      <explain>文本全半角错误。</explain>
      <paraID>760879C6</paraID>
      <start>11</start>
      <end>12</end>
      <status>unmodified</status>
      <modifiedWord/>
      <trackRevisions>false</trackRevisions>
    </reviewItem>
    <reviewItem>
      <errorID>337062b5-073a-49e7-8021-40ed91db3ed2</errorID>
      <errorWord>)</errorWord>
      <group>L1_Format</group>
      <groupName>格式问题</groupName>
      <ability>L2_HalfPunc</ability>
      <abilityName>全半角检查</abilityName>
      <candidateList>
        <item>）</item>
      </candidateList>
      <explain>文本全半角错误。</explain>
      <paraID>760879C6</paraID>
      <start>17</start>
      <end>18</end>
      <status>unmodified</status>
      <modifiedWord/>
      <trackRevisions>false</trackRevisions>
    </reviewItem>
    <reviewItem>
      <errorID>d390add0-4ca1-4b9d-8137-2a44ef080044</errorID>
      <errorWord>(</errorWord>
      <group>L1_Format</group>
      <groupName>格式问题</groupName>
      <ability>L2_HalfPunc</ability>
      <abilityName>全半角检查</abilityName>
      <candidateList>
        <item>（</item>
      </candidateList>
      <explain>文本全半角错误。</explain>
      <paraID>600366D2</paraID>
      <start>2</start>
      <end>3</end>
      <status>unmodified</status>
      <modifiedWord/>
      <trackRevisions>false</trackRevisions>
    </reviewItem>
    <reviewItem>
      <errorID>2fab7026-a8e1-47f6-b7b8-f58b9132e24e</errorID>
      <errorWord>)</errorWord>
      <group>L1_Format</group>
      <groupName>格式问题</groupName>
      <ability>L2_HalfPunc</ability>
      <abilityName>全半角检查</abilityName>
      <candidateList>
        <item>）</item>
      </candidateList>
      <explain>文本全半角错误。</explain>
      <paraID>600366D2</paraID>
      <start>7</start>
      <end>8</end>
      <status>unmodified</status>
      <modifiedWord/>
      <trackRevisions>false</trackRevisions>
    </reviewItem>
    <reviewItem>
      <errorID>3a888be7-c71e-404e-aac6-229602eb8fe6</errorID>
      <errorWord>(</errorWord>
      <group>L1_Format</group>
      <groupName>格式问题</groupName>
      <ability>L2_HalfPunc</ability>
      <abilityName>全半角检查</abilityName>
      <candidateList>
        <item>（</item>
      </candidateList>
      <explain>文本全半角错误。</explain>
      <paraID>6E0375B0</paraID>
      <start>4</start>
      <end>5</end>
      <status>unmodified</status>
      <modifiedWord/>
      <trackRevisions>false</trackRevisions>
    </reviewItem>
    <reviewItem>
      <errorID>8d570066-704f-491a-9fc1-9f28c58648f1</errorID>
      <errorWord>)</errorWord>
      <group>L1_Format</group>
      <groupName>格式问题</groupName>
      <ability>L2_HalfPunc</ability>
      <abilityName>全半角检查</abilityName>
      <candidateList>
        <item>）</item>
      </candidateList>
      <explain>文本全半角错误。</explain>
      <paraID>6E0375B0</paraID>
      <start>8</start>
      <end>9</end>
      <status>unmodified</status>
      <modifiedWord/>
      <trackRevisions>false</trackRevisions>
    </reviewItem>
    <reviewItem>
      <errorID>c5cd8bd2-1b20-4461-963a-163278a9dd0a</errorID>
      <errorWord>(</errorWord>
      <group>L1_Format</group>
      <groupName>格式问题</groupName>
      <ability>L2_HalfPunc</ability>
      <abilityName>全半角检查</abilityName>
      <candidateList>
        <item>（</item>
      </candidateList>
      <explain>文本全半角错误。</explain>
      <paraID>12BD387A</paraID>
      <start>4</start>
      <end>5</end>
      <status>unmodified</status>
      <modifiedWord/>
      <trackRevisions>false</trackRevisions>
    </reviewItem>
    <reviewItem>
      <errorID>e25e30de-d390-4ea8-be50-4ddc60f4c931</errorID>
      <errorWord>)</errorWord>
      <group>L1_Format</group>
      <groupName>格式问题</groupName>
      <ability>L2_HalfPunc</ability>
      <abilityName>全半角检查</abilityName>
      <candidateList>
        <item>）</item>
      </candidateList>
      <explain>文本全半角错误。</explain>
      <paraID>12BD387A</paraID>
      <start>6</start>
      <end>7</end>
      <status>unmodified</status>
      <modifiedWord/>
      <trackRevisions>false</trackRevisions>
    </reviewItem>
    <reviewItem>
      <errorID>12fce8f9-a75e-4ee1-b130-77cedbba8e8f</errorID>
      <errorWord>(</errorWord>
      <group>L1_Format</group>
      <groupName>格式问题</groupName>
      <ability>L2_HalfPunc</ability>
      <abilityName>全半角检查</abilityName>
      <candidateList>
        <item>（</item>
      </candidateList>
      <explain>文本全半角错误。</explain>
      <paraID>5F59CCF6</paraID>
      <start>6</start>
      <end>7</end>
      <status>unmodified</status>
      <modifiedWord/>
      <trackRevisions>false</trackRevisions>
    </reviewItem>
    <reviewItem>
      <errorID>1e7132d1-baa5-4e19-a7bf-ab6c0ea82afb</errorID>
      <errorWord>)</errorWord>
      <group>L1_Format</group>
      <groupName>格式问题</groupName>
      <ability>L2_HalfPunc</ability>
      <abilityName>全半角检查</abilityName>
      <candidateList>
        <item>）</item>
      </candidateList>
      <explain>文本全半角错误。</explain>
      <paraID>5F59CCF6</paraID>
      <start>8</start>
      <end>9</end>
      <status>unmodified</status>
      <modifiedWord/>
      <trackRevisions>false</trackRevisions>
    </reviewItem>
    <reviewItem>
      <errorID>10fe132e-dcf7-4b3e-862e-85954c068cc4</errorID>
      <errorWord>(</errorWord>
      <group>L1_Format</group>
      <groupName>格式问题</groupName>
      <ability>L2_HalfPunc</ability>
      <abilityName>全半角检查</abilityName>
      <candidateList>
        <item>（</item>
      </candidateList>
      <explain>文本全半角错误。</explain>
      <paraID>4B0BD26A</paraID>
      <start>4</start>
      <end>5</end>
      <status>unmodified</status>
      <modifiedWord/>
      <trackRevisions>false</trackRevisions>
    </reviewItem>
    <reviewItem>
      <errorID>402f4b75-a146-40f7-a48d-ac6246b9c8b7</errorID>
      <errorWord>)</errorWord>
      <group>L1_Format</group>
      <groupName>格式问题</groupName>
      <ability>L2_HalfPunc</ability>
      <abilityName>全半角检查</abilityName>
      <candidateList>
        <item>）</item>
      </candidateList>
      <explain>文本全半角错误。</explain>
      <paraID>4B0BD26A</paraID>
      <start>6</start>
      <end>7</end>
      <status>unmodified</status>
      <modifiedWord/>
      <trackRevisions>false</trackRevisions>
    </reviewItem>
    <reviewItem>
      <errorID>8a55733f-1377-4574-837b-52081b5c41e4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7D62850F</paraID>
      <start>0</start>
      <end>2</end>
      <status>unmodified</status>
      <modifiedWord/>
      <trackRevisions>false</trackRevisions>
    </reviewItem>
    <reviewItem>
      <errorID>be2ca6a3-7a95-4174-a4e9-f33f0b1ccfdb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7595C7AF</paraID>
      <start>21</start>
      <end>24</end>
      <status>unmodified</status>
      <modifiedWord/>
      <trackRevisions>false</trackRevisions>
    </reviewItem>
    <reviewItem>
      <errorID>1c05d9ae-c254-4ffa-a208-d81a41c3c9f9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2ED1F6BD</paraID>
      <start>0</start>
      <end>2</end>
      <status>unmodified</status>
      <modifiedWord/>
      <trackRevisions>false</trackRevisions>
    </reviewItem>
    <reviewItem>
      <errorID>63e91c34-f4e7-4d72-ae16-05e5d25ffbdf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561EE68C</paraID>
      <start>0</start>
      <end>2</end>
      <status>unmodified</status>
      <modifiedWord/>
      <trackRevisions>false</trackRevisions>
    </reviewItem>
    <reviewItem>
      <errorID>44b7db22-86b4-4581-ad52-e30cff97f5cb</errorID>
      <errorWord>(</errorWord>
      <group>L1_Format</group>
      <groupName>格式问题</groupName>
      <ability>L2_HalfPunc</ability>
      <abilityName>全半角检查</abilityName>
      <candidateList>
        <item>（</item>
      </candidateList>
      <explain>文本全半角错误。</explain>
      <paraID>734DACF7</paraID>
      <start>0</start>
      <end>1</end>
      <status>unmodified</status>
      <modifiedWord/>
      <trackRevisions>false</trackRevisions>
    </reviewItem>
    <reviewItem>
      <errorID>560e4aa4-f15d-4b4e-ae21-01096779cd94</errorID>
      <errorWord>)</errorWord>
      <group>L1_Format</group>
      <groupName>格式问题</groupName>
      <ability>L2_HalfPunc</ability>
      <abilityName>全半角检查</abilityName>
      <candidateList>
        <item>）</item>
      </candidateList>
      <explain>文本全半角错误。</explain>
      <paraID>734DACF7</paraID>
      <start>4</start>
      <end>5</end>
      <status>unmodified</status>
      <modifiedWord/>
      <trackRevisions>false</trackRevisions>
    </reviewItem>
    <reviewItem>
      <errorID>e4c5983c-334f-487d-b81b-644216365853</errorID>
      <errorWord>(</errorWord>
      <group>L1_Format</group>
      <groupName>格式问题</groupName>
      <ability>L2_HalfPunc</ability>
      <abilityName>全半角检查</abilityName>
      <candidateList>
        <item>（</item>
      </candidateList>
      <explain>文本全半角错误。</explain>
      <paraID>68F0CAF6</paraID>
      <start>0</start>
      <end>1</end>
      <status>unmodified</status>
      <modifiedWord/>
      <trackRevisions>false</trackRevisions>
    </reviewItem>
    <reviewItem>
      <errorID>494aa22a-0e7d-4f4d-9347-2dc566c5c7b5</errorID>
      <errorWord>)</errorWord>
      <group>L1_Format</group>
      <groupName>格式问题</groupName>
      <ability>L2_HalfPunc</ability>
      <abilityName>全半角检查</abilityName>
      <candidateList>
        <item>）</item>
      </candidateList>
      <explain>文本全半角错误。</explain>
      <paraID>68F0CAF6</paraID>
      <start>4</start>
      <end>5</end>
      <status>unmodified</status>
      <modifiedWord/>
      <trackRevisions>false</trackRevisions>
    </reviewItem>
    <reviewItem>
      <errorID>9e28bc67-8f1d-4de6-8bf3-d36921db9354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756D8873</paraID>
      <start>0</start>
      <end>2</end>
      <status>unmodified</status>
      <modifiedWord/>
      <trackRevisions>false</trackRevisions>
    </reviewItem>
    <reviewItem>
      <errorID>c2cc01b4-1909-4535-921a-d183acfca413</errorID>
      <errorWord>其它</errorWord>
      <group>L1_Word</group>
      <groupName>字词问题</groupName>
      <ability>L2_Alias</ability>
      <abilityName>也作/曾用词</abilityName>
      <candidateList>
        <item>其他</item>
      </candidateList>
      <explain>词汇[其它]为不规范表述或旧称，其规范书面表述为[其他]。</explain>
      <paraID>405AE035</paraID>
      <start>18</start>
      <end>20</end>
      <status>unmodified</status>
      <modifiedWord/>
      <trackRevisions>false</trackRevisions>
    </reviewItem>
    <reviewItem>
      <errorID>6723bb9e-5001-452e-8838-d27f660dec15</errorID>
      <errorWord>其它</errorWord>
      <group>L1_Word</group>
      <groupName>字词问题</groupName>
      <ability>L2_Alias</ability>
      <abilityName>也作/曾用词</abilityName>
      <candidateList>
        <item>其他</item>
      </candidateList>
      <explain>词汇[其它]为不规范表述或旧称，其规范书面表述为[其他]。</explain>
      <paraID>405AE035</paraID>
      <start>33</start>
      <end>35</end>
      <status>unmodified</status>
      <modifiedWord/>
      <trackRevisions>false</trackRevisions>
    </reviewItem>
    <reviewItem>
      <errorID>0ee9c251-908f-4db1-812a-b8f9644a0312</errorID>
      <errorWord>其它</errorWord>
      <group>L1_Word</group>
      <groupName>字词问题</groupName>
      <ability>L2_Alias</ability>
      <abilityName>也作/曾用词</abilityName>
      <candidateList>
        <item>其他</item>
      </candidateList>
      <explain>词汇[其它]为不规范表述或旧称，其规范书面表述为[其他]。</explain>
      <paraID>405AE035</paraID>
      <start>48</start>
      <end>50</end>
      <status>unmodified</status>
      <modifiedWord/>
      <trackRevisions>false</trackRevisions>
    </reviewItem>
    <reviewItem>
      <errorID>59d2af88-534b-4baa-8bdf-da0870bc5ada</errorID>
      <errorWord>其它</errorWord>
      <group>L1_Word</group>
      <groupName>字词问题</groupName>
      <ability>L2_Alias</ability>
      <abilityName>也作/曾用词</abilityName>
      <candidateList>
        <item>其他</item>
      </candidateList>
      <explain>词汇[其它]为不规范表述或旧称，其规范书面表述为[其他]。</explain>
      <paraID>405AE035</paraID>
      <start>67</start>
      <end>69</end>
      <status>unmodified</status>
      <modifiedWord/>
      <trackRevisions>false</trackRevisions>
    </reviewItem>
    <reviewItem>
      <errorID>12c71393-8cd7-4e64-a1ca-1bfb905eebbf</errorID>
      <errorWord>&lt;</errorWord>
      <group>L1_Format</group>
      <groupName>格式问题</groupName>
      <ability>L2_HalfPunc</ability>
      <abilityName>全半角检查</abilityName>
      <candidateList>
        <item>〈</item>
      </candidateList>
      <explain>文本全半角错误。</explain>
      <paraID>503AABD8</paraID>
      <start>150</start>
      <end>151</end>
      <status>unmodified</status>
      <modifiedWord/>
      <trackRevisions>false</trackRevisions>
    </reviewItem>
    <reviewItem>
      <errorID>1b593001-0a5d-45dc-ad50-0b174de8b108</errorID>
      <errorWord>&gt;</errorWord>
      <group>L1_Format</group>
      <groupName>格式问题</groupName>
      <ability>L2_HalfPunc</ability>
      <abilityName>全半角检查</abilityName>
      <candidateList>
        <item>〉</item>
      </candidateList>
      <explain>文本全半角错误。</explain>
      <paraID>503AABD8</paraID>
      <start>163</start>
      <end>164</end>
      <status>unmodified</status>
      <modifiedWord/>
      <trackRevisions>false</trackRevisions>
    </reviewItem>
    <reviewItem>
      <errorID>2fbd4e9c-455e-48e2-9bda-5aabb8c026a5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70BE6F4C</paraID>
      <start>125</start>
      <end>126</end>
      <status>unmodified</status>
      <modifiedWord/>
      <trackRevisions>false</trackRevisions>
    </reviewItem>
    <reviewItem>
      <errorID>da9ea8df-db5b-4090-aa8e-61bad8b3040d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70BE6F4C</paraID>
      <start>164</start>
      <end>165</end>
      <status>unmodified</status>
      <modifiedWord/>
      <trackRevisions>false</trackRevisions>
    </reviewItem>
    <reviewItem>
      <errorID>a4a456f8-1653-4f9e-b005-107bbea7291c</errorID>
      <errorWord>:</errorWord>
      <group>L1_Format</group>
      <groupName>格式问题</groupName>
      <ability>L2_HalfPunc</ability>
      <abilityName>全半角检查</abilityName>
      <candidateList>
        <item>：</item>
      </candidateList>
      <explain>文本全半角错误。</explain>
      <paraID>2DA07FCD</paraID>
      <start>9</start>
      <end>10</end>
      <status>unmodified</status>
      <modifiedWord/>
      <trackRevisions>false</trackRevisions>
    </reviewItem>
    <reviewItem>
      <errorID>026753fc-7a3d-47b8-9f41-704c91c82118</errorID>
      <errorWord>方</errorWord>
      <group>L1_Word</group>
      <groupName>字词问题</groupName>
      <ability>L2_Typo</ability>
      <abilityName>字词错误</abilityName>
      <candidateList>
        <item>方米</item>
      </candidateList>
      <explain/>
      <paraID>38451E42</paraID>
      <start>105</start>
      <end>106</end>
      <status>unmodified</status>
      <modifiedWord/>
      <trackRevisions>false</trackRevisions>
    </reviewItem>
    <reviewItem>
      <errorID>4e05a98f-339a-4a72-ab95-5f4c56ece0e1</errorID>
      <errorWord>(</errorWord>
      <group>L1_Format</group>
      <groupName>格式问题</groupName>
      <ability>L2_HalfPunc</ability>
      <abilityName>全半角检查</abilityName>
      <candidateList>
        <item>（</item>
      </candidateList>
      <explain>文本全半角错误。</explain>
      <paraID>72B64193</paraID>
      <start>37</start>
      <end>38</end>
      <status>unmodified</status>
      <modifiedWord/>
      <trackRevisions>false</trackRevisions>
    </reviewItem>
    <reviewItem>
      <errorID>459d6297-4549-450a-ba95-1763fdc79f6f</errorID>
      <errorWord>)</errorWord>
      <group>L1_Format</group>
      <groupName>格式问题</groupName>
      <ability>L2_HalfPunc</ability>
      <abilityName>全半角检查</abilityName>
      <candidateList>
        <item>）</item>
      </candidateList>
      <explain>文本全半角错误。</explain>
      <paraID>72B64193</paraID>
      <start>50</start>
      <end>51</end>
      <status>unmodified</status>
      <modifiedWord/>
      <trackRevisions>false</trackRevisions>
    </reviewItem>
    <reviewItem>
      <errorID>222dffb2-24be-4608-a5dd-db90bf554016</errorID>
      <errorWord>装置及</errorWord>
      <group>L1_Word</group>
      <groupName>字词问题</groupName>
      <ability>L2_Typo</ability>
      <abilityName>字词错误</abilityName>
      <candidateList>
        <item>装置</item>
      </candidateList>
      <explain>❶〈动〉安装：降温设备已经～好了。❷〈名〉机器、仪器或其他设备中，构造较复杂并具有某种独立功用的部件：自动化～。</explain>
      <paraID>2D59B266</paraID>
      <start>44</start>
      <end>47</end>
      <status>unmodified</status>
      <modifiedWord/>
      <trackRevisions>false</trackRevisions>
    </reviewItem>
    <reviewItem>
      <errorID>e1f5075d-6b45-4ca0-b295-e7c73d541b92</errorID>
      <errorWord>。、</errorWord>
      <group>L1_Punc</group>
      <groupName>标点问题</groupName>
      <ability>L2_Punc</ability>
      <abilityName>标点符号检查</abilityName>
      <candidateList>
        <item>。</item>
      </candidateList>
      <explain/>
      <paraID>31ABDD94</paraID>
      <start>119</start>
      <end>121</end>
      <status>unmodified</status>
      <modifiedWord/>
      <trackRevisions>false</trackRevisions>
    </reviewItem>
    <reviewItem>
      <errorID>4b6f064f-aae2-4050-9708-a761e87869d1</errorID>
      <errorWord>方</errorWord>
      <group>L1_Word</group>
      <groupName>字词问题</groupName>
      <ability>L2_Typo</ability>
      <abilityName>字词错误</abilityName>
      <candidateList>
        <item>方米</item>
      </candidateList>
      <explain/>
      <paraID>531CDEB6</paraID>
      <start>55</start>
      <end>56</end>
      <status>unmodified</status>
      <modifiedWord/>
      <trackRevisions>false</trackRevisions>
    </reviewItem>
    <reviewItem>
      <errorID>e4462bbf-8847-4cbb-a183-9fd0900c163f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54C55801</paraID>
      <start>0</start>
      <end>2</end>
      <status>unmodified</status>
      <modifiedWord/>
      <trackRevisions>false</trackRevisions>
    </reviewItem>
    <reviewItem>
      <errorID>01053aad-1786-41bf-9333-e6e631d069b4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5939222A</paraID>
      <start>0</start>
      <end>2</end>
      <status>unmodified</status>
      <modifiedWord/>
      <trackRevisions>false</trackRevisions>
    </reviewItem>
    <reviewItem>
      <errorID>e8f041e7-5e15-49e3-989a-b58dda5dc894</errorID>
      <errorWord>，...，</errorWord>
      <group>L1_Punc</group>
      <groupName>标点问题</groupName>
      <ability>L2_Punc</ability>
      <abilityName>标点符号检查</abilityName>
      <candidateList>
        <item>，</item>
      </candidateList>
      <explain/>
      <paraID>7A9E2090</paraID>
      <start>8</start>
      <end>13</end>
      <status>unmodified</status>
      <modifiedWord/>
      <trackRevisions>false</trackRevisions>
    </reviewItem>
    <reviewItem>
      <errorID>b1d0e1b4-cd05-468e-b082-1234d322f04e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51306FD2</paraID>
      <start>0</start>
      <end>2</end>
      <status>unmodified</status>
      <modifiedWord/>
      <trackRevisions>false</trackRevisions>
    </reviewItem>
    <reviewItem>
      <errorID>5e07d3e8-a352-438b-88d1-b08f37a793e5</errorID>
      <errorWord>学</errorWord>
      <group>L1_Word</group>
      <groupName>字词问题</groupName>
      <ability>L2_Typo</ability>
      <abilityName>字词错误</abilityName>
      <candidateList>
        <item>学品</item>
      </candidateList>
      <explain/>
      <paraID>55AA5B0F</paraID>
      <start>69</start>
      <end>70</end>
      <status>unmodified</status>
      <modifiedWord/>
      <trackRevisions>false</trackRevisions>
    </reviewItem>
    <reviewItem>
      <errorID>cc964a03-5db9-43f7-b397-71609e76c7c3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6A0EF236</paraID>
      <start>0</start>
      <end>2</end>
      <status>unmodified</status>
      <modifiedWord/>
      <trackRevisions>false</trackRevisions>
    </reviewItem>
    <reviewItem>
      <errorID>0216c9de-f33a-429c-9f69-3ae671fbc62d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71B349D6</paraID>
      <start>0</start>
      <end>2</end>
      <status>unmodified</status>
      <modifiedWord/>
      <trackRevisions>false</trackRevisions>
    </reviewItem>
    <reviewItem>
      <errorID>71ea06d3-ab39-4387-880c-28d7c0dee14d</errorID>
      <errorWord>年平</errorWord>
      <group>L1_Word</group>
      <groupName>字词问题</groupName>
      <ability>L2_Typo</ability>
      <abilityName>字词错误</abilityName>
      <candidateList>
        <item>年均</item>
      </candidateList>
      <explain/>
      <paraID>24D0E621</paraID>
      <start>8</start>
      <end>10</end>
      <status>unmodified</status>
      <modifiedWord/>
      <trackRevisions>false</trackRevisions>
    </reviewItem>
    <reviewItem>
      <errorID>b58192df-2918-410d-9092-f115108d4db5</errorID>
      <errorWord>年平</errorWord>
      <group>L1_Word</group>
      <groupName>字词问题</groupName>
      <ability>L2_Typo</ability>
      <abilityName>字词错误</abilityName>
      <candidateList>
        <item>年均</item>
      </candidateList>
      <explain/>
      <paraID>24D0E621</paraID>
      <start>24</start>
      <end>26</end>
      <status>unmodified</status>
      <modifiedWord/>
      <trackRevisions>false</trackRevisions>
    </reviewItem>
    <reviewItem>
      <errorID>66376686-e625-4060-933a-a9ea82133063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62D4A6E9</paraID>
      <start>0</start>
      <end>2</end>
      <status>unmodified</status>
      <modifiedWord/>
      <trackRevisions>false</trackRevisions>
    </reviewItem>
    <reviewItem>
      <errorID>c738fb08-f46d-4937-8ab4-f98bae860eba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3320CCFB</paraID>
      <start>0</start>
      <end>2</end>
      <status>unmodified</status>
      <modifiedWord/>
      <trackRevisions>false</trackRevisions>
    </reviewItem>
    <reviewItem>
      <errorID>76a8887c-56a7-4858-9dc3-0b35ed549f48</errorID>
      <errorWord>（/</errorWord>
      <group>L1_Punc</group>
      <groupName>标点问题</groupName>
      <ability>L2_Punc</ability>
      <abilityName>标点符号检查</abilityName>
      <candidateList>
        <item>（</item>
      </candidateList>
      <explain/>
      <paraID>36594E6C</paraID>
      <start>0</start>
      <end>2</end>
      <status>unmodified</status>
      <modifiedWord/>
      <trackRevisions>false</trackRevisions>
    </reviewItem>
    <reviewItem>
      <errorID>c21929fe-918c-49bc-a99b-530b8b490f55</errorID>
      <errorWord>（/</errorWord>
      <group>L1_Punc</group>
      <groupName>标点问题</groupName>
      <ability>L2_Punc</ability>
      <abilityName>标点符号检查</abilityName>
      <candidateList>
        <item>（</item>
      </candidateList>
      <explain/>
      <paraID>296A8122</paraID>
      <start>0</start>
      <end>2</end>
      <status>unmodified</status>
      <modifiedWord/>
      <trackRevisions>false</trackRevisions>
    </reviewItem>
    <reviewItem>
      <errorID>5616ac29-6060-4e77-b5c1-28ddf497a61e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7C91BD32</paraID>
      <start>0</start>
      <end>2</end>
      <status>unmodified</status>
      <modifiedWord/>
      <trackRevisions>false</trackRevisions>
    </reviewItem>
    <reviewItem>
      <errorID>90a035e6-c701-4ef4-8752-43b23f544fe8</errorID>
      <errorWord>环保治理</errorWord>
      <group>L1_Word</group>
      <groupName>字词问题</groupName>
      <ability>L2_Typo</ability>
      <abilityName>字词错误</abilityName>
      <candidateList>
        <item>环境治理</item>
      </candidateList>
      <explain/>
      <paraID>2035C7EF</paraID>
      <start>33</start>
      <end>37</end>
      <status>unmodified</status>
      <modifiedWord/>
      <trackRevisions>false</trackRevisions>
    </reviewItem>
    <reviewItem>
      <errorID>35f1104b-67ab-4523-b637-ea8d633ea05e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61D0CBEF</paraID>
      <start>0</start>
      <end>2</end>
      <status>unmodified</status>
      <modifiedWord/>
      <trackRevisions>false</trackRevisions>
    </reviewItem>
    <reviewItem>
      <errorID>e57164d7-ee99-4def-9ec9-a2cd6d38b1af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4F756E3E</paraID>
      <start>0</start>
      <end>2</end>
      <status>unmodified</status>
      <modifiedWord/>
      <trackRevisions>false</trackRevisions>
    </reviewItem>
    <reviewItem>
      <errorID>d410fe40-7b46-4bb1-a53f-0671818f085d</errorID>
      <errorWord>全本</errorWord>
      <group>L1_Word</group>
      <groupName>字词问题</groupName>
      <ability>L2_Typo</ability>
      <abilityName>字词错误</abilityName>
      <candidateList>
        <item>全部</item>
      </candidateList>
      <explain/>
      <paraID>17269A13</paraID>
      <start>12</start>
      <end>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AFBE29-DF95-4137-9393-E1DE0ABC0E2A}">
  <ds:schemaRefs/>
</ds:datastoreItem>
</file>

<file path=customXml/itemProps3.xml><?xml version="1.0" encoding="utf-8"?>
<ds:datastoreItem xmlns:ds="http://schemas.openxmlformats.org/officeDocument/2006/customXml" ds:itemID="{b3e8ccc6-8d1b-430b-b665-4ff3c661f88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114</Pages>
  <Words>107</Words>
  <Characters>134</Characters>
  <Lines>893</Lines>
  <Paragraphs>251</Paragraphs>
  <TotalTime>0</TotalTime>
  <ScaleCrop>false</ScaleCrop>
  <LinksUpToDate>false</LinksUpToDate>
  <CharactersWithSpaces>188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球球</cp:lastModifiedBy>
  <cp:lastPrinted>2025-12-10T01:33:00Z</cp:lastPrinted>
  <dcterms:modified xsi:type="dcterms:W3CDTF">2026-03-17T07:39:46Z</dcterms:modified>
  <dc:title>附件2</dc:title>
  <cp:revision>648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255AB223B73A455D8EE724F495230E2B_13</vt:lpwstr>
  </property>
  <property fmtid="{D5CDD505-2E9C-101B-9397-08002B2CF9AE}" pid="4" name="KSOTemplateDocerSaveRecord">
    <vt:lpwstr>eyJoZGlkIjoiYWZhMzA0MTE2MGQ3ODcwOTgyMWY3NzY0ZDhkYzQxODciLCJ1c2VySWQiOiIzODk2NzQyOTcifQ==</vt:lpwstr>
  </property>
</Properties>
</file>