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FC9EA">
      <w:pPr>
        <w:pStyle w:val="12"/>
        <w:adjustRightInd w:val="0"/>
        <w:snapToGrid w:val="0"/>
        <w:spacing w:line="360" w:lineRule="auto"/>
        <w:ind w:firstLine="0" w:firstLineChars="0"/>
        <w:rPr>
          <w:rFonts w:hAnsi="宋体"/>
          <w:sz w:val="28"/>
          <w:szCs w:val="28"/>
        </w:rPr>
      </w:pPr>
    </w:p>
    <w:p w14:paraId="188F3A24">
      <w:pPr>
        <w:spacing w:line="600" w:lineRule="auto"/>
        <w:jc w:val="center"/>
        <w:rPr>
          <w:rFonts w:hint="eastAsia" w:ascii="华文中宋" w:hAnsi="华文中宋" w:eastAsia="华文中宋"/>
          <w:sz w:val="72"/>
          <w:szCs w:val="72"/>
        </w:rPr>
      </w:pPr>
    </w:p>
    <w:p w14:paraId="588A3BC6">
      <w:pPr>
        <w:jc w:val="center"/>
        <w:rPr>
          <w:rFonts w:ascii="Times New Roman" w:hAnsi="Times New Roman" w:eastAsia="方正小标宋_GBK"/>
          <w:b/>
          <w:sz w:val="52"/>
          <w:szCs w:val="52"/>
        </w:rPr>
      </w:pPr>
    </w:p>
    <w:p w14:paraId="40E9D39B">
      <w:pPr>
        <w:jc w:val="center"/>
        <w:rPr>
          <w:rFonts w:ascii="Times New Roman" w:hAnsi="Times New Roman" w:eastAsia="方正小标宋_GBK"/>
          <w:sz w:val="52"/>
          <w:szCs w:val="52"/>
        </w:rPr>
      </w:pPr>
      <w:r>
        <w:rPr>
          <w:rFonts w:ascii="Times New Roman" w:hAnsi="Times New Roman" w:eastAsia="方正小标宋_GBK"/>
          <w:sz w:val="52"/>
          <w:szCs w:val="52"/>
        </w:rPr>
        <w:t>江苏省固体（危险）废物</w:t>
      </w:r>
    </w:p>
    <w:p w14:paraId="20A923F2">
      <w:pPr>
        <w:jc w:val="center"/>
        <w:rPr>
          <w:rFonts w:ascii="Times New Roman" w:hAnsi="Times New Roman" w:eastAsia="方正小标宋_GBK"/>
          <w:sz w:val="52"/>
          <w:szCs w:val="52"/>
        </w:rPr>
      </w:pPr>
      <w:r>
        <w:rPr>
          <w:rFonts w:ascii="Times New Roman" w:hAnsi="Times New Roman" w:eastAsia="方正小标宋_GBK"/>
          <w:sz w:val="52"/>
          <w:szCs w:val="52"/>
        </w:rPr>
        <w:t>跨省</w:t>
      </w:r>
      <w:r>
        <w:rPr>
          <w:rFonts w:hint="eastAsia" w:ascii="Times New Roman" w:hAnsi="Times New Roman" w:eastAsia="方正小标宋_GBK"/>
          <w:sz w:val="52"/>
          <w:szCs w:val="52"/>
        </w:rPr>
        <w:t>（市）</w:t>
      </w:r>
      <w:r>
        <w:rPr>
          <w:rFonts w:ascii="Times New Roman" w:hAnsi="Times New Roman" w:eastAsia="方正小标宋_GBK"/>
          <w:sz w:val="52"/>
          <w:szCs w:val="52"/>
        </w:rPr>
        <w:t>转移实施方案</w:t>
      </w:r>
    </w:p>
    <w:p w14:paraId="17A7FC93">
      <w:pPr>
        <w:jc w:val="center"/>
        <w:rPr>
          <w:rFonts w:ascii="Times New Roman" w:hAnsi="Times New Roman"/>
          <w:sz w:val="52"/>
        </w:rPr>
      </w:pPr>
    </w:p>
    <w:p w14:paraId="69381BA4">
      <w:pPr>
        <w:jc w:val="center"/>
        <w:rPr>
          <w:rFonts w:ascii="Times New Roman" w:hAnsi="Times New Roman"/>
          <w:sz w:val="52"/>
        </w:rPr>
      </w:pPr>
    </w:p>
    <w:p w14:paraId="01D00BED">
      <w:pPr>
        <w:jc w:val="center"/>
        <w:rPr>
          <w:rFonts w:ascii="Times New Roman" w:hAnsi="Times New Roman"/>
        </w:rPr>
      </w:pPr>
    </w:p>
    <w:p w14:paraId="13C8F4F3">
      <w:pPr>
        <w:rPr>
          <w:rFonts w:ascii="Times New Roman" w:hAnsi="Times New Roman"/>
        </w:rPr>
      </w:pPr>
    </w:p>
    <w:p w14:paraId="2A31ED54">
      <w:pPr>
        <w:rPr>
          <w:rFonts w:ascii="Times New Roman" w:hAnsi="Times New Roman"/>
        </w:rPr>
      </w:pPr>
    </w:p>
    <w:p w14:paraId="230CCA59">
      <w:pPr>
        <w:rPr>
          <w:rFonts w:ascii="Times New Roman" w:hAnsi="Times New Roman"/>
        </w:rPr>
      </w:pPr>
    </w:p>
    <w:p w14:paraId="3D2F6262">
      <w:pPr>
        <w:rPr>
          <w:rFonts w:ascii="Times New Roman" w:hAnsi="Times New Roman"/>
        </w:rPr>
      </w:pPr>
    </w:p>
    <w:p w14:paraId="0C513C9C">
      <w:pPr>
        <w:rPr>
          <w:rFonts w:ascii="Times New Roman" w:hAnsi="Times New Roman"/>
        </w:rPr>
      </w:pPr>
    </w:p>
    <w:p w14:paraId="46C36774">
      <w:pPr>
        <w:rPr>
          <w:rFonts w:ascii="Times New Roman" w:hAnsi="Times New Roman"/>
        </w:rPr>
      </w:pPr>
    </w:p>
    <w:p w14:paraId="2A917ECA">
      <w:pPr>
        <w:rPr>
          <w:rFonts w:ascii="Times New Roman" w:hAnsi="Times New Roman"/>
        </w:rPr>
      </w:pPr>
    </w:p>
    <w:p w14:paraId="70CD19EE">
      <w:pPr>
        <w:keepNext w:val="0"/>
        <w:keepLines w:val="0"/>
        <w:widowControl/>
        <w:suppressLineNumbers w:val="0"/>
        <w:jc w:val="left"/>
        <w:rPr>
          <w:rFonts w:ascii="Times New Roman" w:hAnsi="Times New Roman"/>
          <w:b/>
          <w:sz w:val="32"/>
        </w:rPr>
      </w:pPr>
      <w:r>
        <w:rPr>
          <w:rFonts w:ascii="Times New Roman" w:hAnsi="宋体"/>
          <w:b/>
          <w:sz w:val="32"/>
        </w:rPr>
        <w:t>申请单位</w:t>
      </w:r>
      <w:r>
        <w:rPr>
          <w:rFonts w:hint="eastAsia" w:ascii="Times New Roman" w:hAnsi="宋体"/>
          <w:b/>
          <w:sz w:val="32"/>
          <w:lang w:eastAsia="zh-CN"/>
        </w:rPr>
        <w:t>：</w:t>
      </w:r>
      <w:r>
        <w:rPr>
          <w:rFonts w:hint="eastAsia" w:ascii="Times New Roman" w:hAnsi="Times New Roman" w:eastAsia="宋体" w:cs="Times New Roman"/>
          <w:b/>
          <w:kern w:val="2"/>
          <w:sz w:val="32"/>
          <w:szCs w:val="22"/>
          <w:u w:val="single"/>
          <w:lang w:val="en-US" w:eastAsia="zh-CN" w:bidi="ar-SA"/>
        </w:rPr>
        <w:t xml:space="preserve"> </w:t>
      </w:r>
      <w:r>
        <w:rPr>
          <w:rFonts w:hint="eastAsia" w:ascii="Times New Roman" w:hAnsi="Times New Roman" w:cs="Times New Roman"/>
          <w:b/>
          <w:kern w:val="2"/>
          <w:sz w:val="32"/>
          <w:szCs w:val="22"/>
          <w:u w:val="single"/>
          <w:lang w:val="en-US" w:eastAsia="zh-CN" w:bidi="ar-SA"/>
        </w:rPr>
        <w:t xml:space="preserve">    </w:t>
      </w:r>
      <w:r>
        <w:rPr>
          <w:rFonts w:hint="eastAsia" w:cs="Times New Roman"/>
          <w:b/>
          <w:kern w:val="2"/>
          <w:sz w:val="32"/>
          <w:szCs w:val="22"/>
          <w:u w:val="single"/>
          <w:lang w:val="en-US" w:eastAsia="zh-CN" w:bidi="ar-SA"/>
        </w:rPr>
        <w:t xml:space="preserve"> </w:t>
      </w:r>
      <w:r>
        <w:rPr>
          <w:rFonts w:hint="eastAsia"/>
          <w:b/>
          <w:sz w:val="32"/>
          <w:u w:val="single"/>
          <w:lang w:val="en-US" w:eastAsia="zh-CN"/>
        </w:rPr>
        <w:t xml:space="preserve">上海新金桥环保有限公司     </w:t>
      </w:r>
      <w:r>
        <w:rPr>
          <w:rFonts w:hint="eastAsia" w:ascii="Times New Roman" w:hAnsi="Times New Roman" w:eastAsia="宋体" w:cs="Times New Roman"/>
          <w:b/>
          <w:kern w:val="2"/>
          <w:sz w:val="32"/>
          <w:szCs w:val="22"/>
          <w:u w:val="single"/>
          <w:lang w:val="en-US" w:eastAsia="zh-CN" w:bidi="ar-SA"/>
        </w:rPr>
        <w:t xml:space="preserve"> </w:t>
      </w:r>
      <w:r>
        <w:rPr>
          <w:rFonts w:ascii="Times New Roman" w:hAnsi="Times New Roman"/>
          <w:b/>
          <w:sz w:val="32"/>
          <w:u w:val="single"/>
        </w:rPr>
        <w:t xml:space="preserve">  </w:t>
      </w:r>
      <w:r>
        <w:rPr>
          <w:rFonts w:ascii="Times New Roman" w:hAnsi="宋体"/>
          <w:b/>
          <w:sz w:val="32"/>
        </w:rPr>
        <w:t>（公章）</w:t>
      </w:r>
    </w:p>
    <w:p w14:paraId="1493C553">
      <w:pPr>
        <w:tabs>
          <w:tab w:val="left" w:pos="5940"/>
        </w:tabs>
        <w:snapToGrid w:val="0"/>
        <w:rPr>
          <w:rFonts w:ascii="Times New Roman" w:hAnsi="Times New Roman"/>
          <w:b/>
          <w:sz w:val="32"/>
        </w:rPr>
      </w:pPr>
    </w:p>
    <w:p w14:paraId="259C0A3A">
      <w:pPr>
        <w:tabs>
          <w:tab w:val="left" w:pos="5940"/>
        </w:tabs>
        <w:snapToGrid w:val="0"/>
        <w:rPr>
          <w:rFonts w:ascii="Times New Roman" w:hAnsi="Times New Roman"/>
          <w:b/>
          <w:sz w:val="32"/>
        </w:rPr>
      </w:pPr>
    </w:p>
    <w:p w14:paraId="7E315BCC">
      <w:pPr>
        <w:tabs>
          <w:tab w:val="left" w:pos="5940"/>
        </w:tabs>
        <w:snapToGrid w:val="0"/>
        <w:rPr>
          <w:rFonts w:ascii="Times New Roman" w:hAnsi="Times New Roman"/>
          <w:b/>
          <w:sz w:val="32"/>
        </w:rPr>
      </w:pPr>
      <w:r>
        <w:rPr>
          <w:rFonts w:ascii="Times New Roman" w:hAnsi="宋体"/>
          <w:b/>
          <w:sz w:val="32"/>
        </w:rPr>
        <w:t>填报日期：</w:t>
      </w:r>
      <w:r>
        <w:rPr>
          <w:rFonts w:ascii="Times New Roman" w:hAnsi="Times New Roman"/>
          <w:b/>
          <w:sz w:val="32"/>
          <w:u w:val="single"/>
        </w:rPr>
        <w:t xml:space="preserve">    </w:t>
      </w:r>
      <w:r>
        <w:rPr>
          <w:rFonts w:hint="eastAsia" w:ascii="Times New Roman" w:hAnsi="Times New Roman"/>
          <w:b/>
          <w:sz w:val="32"/>
          <w:u w:val="single"/>
          <w:lang w:val="en-US" w:eastAsia="zh-CN"/>
        </w:rPr>
        <w:t xml:space="preserve">     2025 年  1</w:t>
      </w:r>
      <w:r>
        <w:rPr>
          <w:rFonts w:hint="eastAsia"/>
          <w:b/>
          <w:sz w:val="32"/>
          <w:u w:val="single"/>
          <w:lang w:val="en-US" w:eastAsia="zh-CN"/>
        </w:rPr>
        <w:t>1</w:t>
      </w:r>
      <w:r>
        <w:rPr>
          <w:rFonts w:hint="eastAsia" w:ascii="Times New Roman" w:hAnsi="Times New Roman"/>
          <w:b/>
          <w:sz w:val="32"/>
          <w:u w:val="single"/>
          <w:lang w:val="en-US" w:eastAsia="zh-CN"/>
        </w:rPr>
        <w:t xml:space="preserve">月 </w:t>
      </w:r>
      <w:r>
        <w:rPr>
          <w:rFonts w:hint="eastAsia"/>
          <w:b/>
          <w:sz w:val="32"/>
          <w:u w:val="single"/>
          <w:lang w:val="en-US" w:eastAsia="zh-CN"/>
        </w:rPr>
        <w:t>3</w:t>
      </w:r>
      <w:r>
        <w:rPr>
          <w:rFonts w:hint="eastAsia" w:ascii="Times New Roman" w:hAnsi="Times New Roman"/>
          <w:b/>
          <w:sz w:val="32"/>
          <w:u w:val="single"/>
          <w:lang w:val="en-US" w:eastAsia="zh-CN"/>
        </w:rPr>
        <w:t xml:space="preserve"> 日</w:t>
      </w:r>
      <w:r>
        <w:rPr>
          <w:rFonts w:ascii="Times New Roman" w:hAnsi="Times New Roman"/>
          <w:b/>
          <w:sz w:val="32"/>
          <w:u w:val="single"/>
        </w:rPr>
        <w:t xml:space="preserve">    </w:t>
      </w:r>
      <w:r>
        <w:rPr>
          <w:rFonts w:hint="eastAsia" w:ascii="Times New Roman" w:hAnsi="Times New Roman"/>
          <w:b/>
          <w:sz w:val="32"/>
          <w:u w:val="single"/>
          <w:lang w:val="en-US" w:eastAsia="zh-CN"/>
        </w:rPr>
        <w:t xml:space="preserve">            </w:t>
      </w:r>
      <w:r>
        <w:rPr>
          <w:rFonts w:ascii="Times New Roman" w:hAnsi="Times New Roman"/>
          <w:b/>
          <w:sz w:val="32"/>
          <w:u w:val="single"/>
        </w:rPr>
        <w:t xml:space="preserve">                    </w:t>
      </w:r>
      <w:r>
        <w:rPr>
          <w:rFonts w:ascii="Times New Roman" w:hAnsi="Times New Roman"/>
          <w:b/>
          <w:sz w:val="32"/>
        </w:rPr>
        <w:t xml:space="preserve">     </w:t>
      </w:r>
    </w:p>
    <w:p w14:paraId="3F2E3D94">
      <w:pPr>
        <w:tabs>
          <w:tab w:val="left" w:pos="5940"/>
        </w:tabs>
        <w:snapToGrid w:val="0"/>
        <w:spacing w:line="400" w:lineRule="exact"/>
        <w:rPr>
          <w:rFonts w:ascii="Times New Roman" w:hAnsi="Times New Roman"/>
          <w:b/>
          <w:sz w:val="24"/>
        </w:rPr>
      </w:pPr>
    </w:p>
    <w:p w14:paraId="1755B3DB">
      <w:pPr>
        <w:tabs>
          <w:tab w:val="left" w:pos="5940"/>
        </w:tabs>
        <w:snapToGrid w:val="0"/>
        <w:spacing w:line="400" w:lineRule="exact"/>
        <w:rPr>
          <w:rFonts w:ascii="Times New Roman" w:hAnsi="Times New Roman" w:eastAsia="楷体_GB2312"/>
          <w:spacing w:val="20"/>
          <w:sz w:val="30"/>
        </w:rPr>
      </w:pPr>
    </w:p>
    <w:p w14:paraId="3B79D869">
      <w:pPr>
        <w:tabs>
          <w:tab w:val="left" w:pos="5940"/>
        </w:tabs>
        <w:snapToGrid w:val="0"/>
        <w:spacing w:line="400" w:lineRule="exact"/>
        <w:rPr>
          <w:rFonts w:ascii="Times New Roman" w:hAnsi="Times New Roman"/>
          <w:b/>
          <w:sz w:val="24"/>
        </w:rPr>
      </w:pPr>
    </w:p>
    <w:p w14:paraId="7CC3B021">
      <w:pPr>
        <w:tabs>
          <w:tab w:val="left" w:pos="5940"/>
        </w:tabs>
        <w:snapToGrid w:val="0"/>
        <w:spacing w:line="400" w:lineRule="exact"/>
        <w:rPr>
          <w:rFonts w:ascii="Times New Roman" w:hAnsi="Times New Roman"/>
          <w:b/>
          <w:sz w:val="24"/>
        </w:rPr>
      </w:pPr>
    </w:p>
    <w:p w14:paraId="34CF0421">
      <w:pPr>
        <w:spacing w:line="600" w:lineRule="auto"/>
        <w:jc w:val="center"/>
        <w:rPr>
          <w:rFonts w:hint="eastAsia"/>
          <w:sz w:val="44"/>
          <w:szCs w:val="44"/>
        </w:rPr>
      </w:pPr>
    </w:p>
    <w:p w14:paraId="5DFCE05A">
      <w:pPr>
        <w:spacing w:line="600" w:lineRule="auto"/>
        <w:jc w:val="center"/>
        <w:rPr>
          <w:rFonts w:hint="eastAsia" w:ascii="华文中宋" w:hAnsi="华文中宋" w:eastAsia="华文中宋"/>
          <w:sz w:val="18"/>
          <w:szCs w:val="18"/>
        </w:rPr>
      </w:pPr>
    </w:p>
    <w:p w14:paraId="6E992A2A">
      <w:pPr>
        <w:spacing w:line="600" w:lineRule="auto"/>
        <w:jc w:val="center"/>
        <w:rPr>
          <w:rFonts w:hint="eastAsia" w:ascii="华文中宋" w:hAnsi="华文中宋" w:eastAsia="华文中宋"/>
          <w:sz w:val="44"/>
          <w:szCs w:val="44"/>
        </w:rPr>
      </w:pPr>
    </w:p>
    <w:p w14:paraId="0BAC30EC">
      <w:pPr>
        <w:ind w:right="-758" w:rightChars="-361"/>
        <w:jc w:val="center"/>
        <w:rPr>
          <w:rFonts w:ascii="Times New Roman" w:hAnsi="Times New Roman" w:eastAsia="方正小标宋_GBK"/>
          <w:sz w:val="44"/>
          <w:szCs w:val="44"/>
        </w:rPr>
      </w:pPr>
      <w:r>
        <w:rPr>
          <w:rFonts w:ascii="Times New Roman" w:hAnsi="Times New Roman" w:eastAsia="方正小标宋_GBK"/>
          <w:sz w:val="44"/>
          <w:szCs w:val="44"/>
        </w:rPr>
        <w:t>申请者声明</w:t>
      </w:r>
    </w:p>
    <w:p w14:paraId="678B9548">
      <w:pPr>
        <w:ind w:right="-758" w:rightChars="-361"/>
        <w:jc w:val="center"/>
        <w:rPr>
          <w:rFonts w:ascii="Times New Roman" w:hAnsi="Times New Roman" w:eastAsia="方正小标宋_GBK"/>
          <w:b/>
          <w:sz w:val="44"/>
          <w:szCs w:val="44"/>
        </w:rPr>
      </w:pPr>
    </w:p>
    <w:p w14:paraId="39D146CB">
      <w:pPr>
        <w:spacing w:line="360" w:lineRule="auto"/>
        <w:ind w:left="-210" w:leftChars="-100" w:right="-210" w:rightChars="-100" w:firstLine="640" w:firstLineChars="200"/>
        <w:rPr>
          <w:rFonts w:ascii="Times New Roman" w:hAnsi="Times New Roman" w:eastAsia="方正仿宋_GBK"/>
          <w:sz w:val="32"/>
          <w:szCs w:val="32"/>
        </w:rPr>
      </w:pPr>
      <w:r>
        <w:rPr>
          <w:rFonts w:ascii="Times New Roman" w:hAnsi="方正仿宋_GBK" w:eastAsia="方正仿宋_GBK"/>
          <w:sz w:val="32"/>
          <w:szCs w:val="32"/>
        </w:rPr>
        <w:t>我代表申请单位郑重承诺：本实施方案所填资料是完整的和真实的。转移的危险废物名称、</w:t>
      </w:r>
      <w:r>
        <w:rPr>
          <w:rFonts w:hint="eastAsia" w:ascii="Times New Roman" w:hAnsi="方正仿宋_GBK" w:eastAsia="方正仿宋_GBK"/>
          <w:sz w:val="32"/>
          <w:szCs w:val="32"/>
        </w:rPr>
        <w:t>类别、</w:t>
      </w:r>
      <w:r>
        <w:rPr>
          <w:rFonts w:ascii="Times New Roman" w:hAnsi="方正仿宋_GBK" w:eastAsia="方正仿宋_GBK"/>
          <w:sz w:val="32"/>
          <w:szCs w:val="32"/>
        </w:rPr>
        <w:t>代码、数量与实际相符</w:t>
      </w:r>
      <w:r>
        <w:rPr>
          <w:rFonts w:hint="eastAsia" w:ascii="Times New Roman" w:hAnsi="方正仿宋_GBK" w:eastAsia="方正仿宋_GBK"/>
          <w:sz w:val="32"/>
          <w:szCs w:val="32"/>
        </w:rPr>
        <w:t>。危险废物接受单位具备相应的处置利用能力</w:t>
      </w:r>
      <w:r>
        <w:rPr>
          <w:rFonts w:ascii="Times New Roman" w:hAnsi="方正仿宋_GBK" w:eastAsia="方正仿宋_GBK"/>
          <w:sz w:val="32"/>
          <w:szCs w:val="32"/>
        </w:rPr>
        <w:t>和污染防治</w:t>
      </w:r>
      <w:r>
        <w:rPr>
          <w:rFonts w:hint="eastAsia" w:ascii="Times New Roman" w:hAnsi="方正仿宋_GBK" w:eastAsia="方正仿宋_GBK"/>
          <w:sz w:val="32"/>
          <w:szCs w:val="32"/>
        </w:rPr>
        <w:t>措施。</w:t>
      </w:r>
      <w:r>
        <w:rPr>
          <w:rFonts w:ascii="Times New Roman" w:hAnsi="方正仿宋_GBK" w:eastAsia="方正仿宋_GBK"/>
          <w:sz w:val="32"/>
          <w:szCs w:val="32"/>
        </w:rPr>
        <w:t>委托有资质单位进行运输并按照制定的运输路线运输，保证转移的废物均到达接收单位进行安全处置处理，对转移过程中可能产生的环境风险提出合理的控制措施，实行跨省</w:t>
      </w:r>
      <w:r>
        <w:rPr>
          <w:rFonts w:hint="eastAsia" w:ascii="Times New Roman" w:hAnsi="方正仿宋_GBK" w:eastAsia="方正仿宋_GBK"/>
          <w:sz w:val="32"/>
          <w:szCs w:val="32"/>
        </w:rPr>
        <w:t>（市）</w:t>
      </w:r>
      <w:r>
        <w:rPr>
          <w:rFonts w:ascii="Times New Roman" w:hAnsi="方正仿宋_GBK" w:eastAsia="方正仿宋_GBK"/>
          <w:sz w:val="32"/>
          <w:szCs w:val="32"/>
        </w:rPr>
        <w:t>转移网上报告，承担转移全过程监控责任。</w:t>
      </w:r>
    </w:p>
    <w:p w14:paraId="2E30DB78">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6"/>
          <w:szCs w:val="36"/>
        </w:rPr>
        <w:t xml:space="preserve">                                </w:t>
      </w:r>
    </w:p>
    <w:p w14:paraId="6C9C7E43">
      <w:pPr>
        <w:ind w:left="-210" w:leftChars="-100" w:right="-210" w:rightChars="-100" w:firstLine="1264"/>
        <w:rPr>
          <w:rFonts w:ascii="Times New Roman" w:hAnsi="Times New Roman" w:eastAsia="方正仿宋_GBK"/>
          <w:sz w:val="36"/>
          <w:szCs w:val="36"/>
        </w:rPr>
      </w:pPr>
    </w:p>
    <w:p w14:paraId="2156A8A4">
      <w:pPr>
        <w:ind w:left="-210" w:leftChars="-100" w:right="-210" w:rightChars="-100" w:firstLine="1264"/>
        <w:rPr>
          <w:rFonts w:ascii="Times New Roman" w:hAnsi="Times New Roman" w:eastAsia="方正仿宋_GBK"/>
          <w:sz w:val="36"/>
          <w:szCs w:val="36"/>
        </w:rPr>
      </w:pPr>
    </w:p>
    <w:p w14:paraId="5C1AEE2A">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2"/>
          <w:szCs w:val="32"/>
        </w:rPr>
        <w:t xml:space="preserve">     </w:t>
      </w:r>
    </w:p>
    <w:p w14:paraId="71F44E32">
      <w:pPr>
        <w:ind w:left="-210" w:leftChars="-100" w:right="-210" w:rightChars="-100" w:firstLine="1264"/>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方正仿宋_GBK" w:eastAsia="方正仿宋_GBK"/>
          <w:sz w:val="32"/>
          <w:szCs w:val="32"/>
        </w:rPr>
        <w:t>法人代表签字：</w:t>
      </w:r>
    </w:p>
    <w:p w14:paraId="0570E4E2">
      <w:pPr>
        <w:ind w:left="-210" w:leftChars="-100" w:right="-210" w:rightChars="-100" w:firstLine="1264"/>
        <w:jc w:val="center"/>
        <w:rPr>
          <w:rFonts w:ascii="Times New Roman" w:hAnsi="Times New Roman"/>
          <w:sz w:val="36"/>
          <w:szCs w:val="36"/>
        </w:rPr>
      </w:pPr>
      <w:r>
        <w:rPr>
          <w:rFonts w:ascii="Times New Roman" w:hAnsi="Times New Roman"/>
          <w:sz w:val="36"/>
          <w:szCs w:val="36"/>
        </w:rPr>
        <w:t xml:space="preserve">                 </w:t>
      </w:r>
      <w:r>
        <w:rPr>
          <w:rFonts w:hint="eastAsia" w:ascii="Times New Roman" w:hAnsi="Times New Roman"/>
          <w:sz w:val="36"/>
          <w:szCs w:val="36"/>
          <w:lang w:val="en-US" w:eastAsia="zh-CN"/>
        </w:rPr>
        <w:t xml:space="preserve">  </w:t>
      </w:r>
      <w:r>
        <w:rPr>
          <w:rFonts w:ascii="Times New Roman" w:hAnsi="方正仿宋_GBK" w:eastAsia="方正仿宋_GBK"/>
          <w:sz w:val="32"/>
          <w:szCs w:val="32"/>
        </w:rPr>
        <w:t>年</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hint="eastAsia" w:ascii="Times New Roman" w:hAnsi="Times New Roman" w:eastAsia="方正仿宋_GBK"/>
          <w:sz w:val="32"/>
          <w:szCs w:val="32"/>
          <w:lang w:val="en-US" w:eastAsia="zh-CN"/>
        </w:rPr>
        <w:t xml:space="preserve">  </w:t>
      </w:r>
      <w:r>
        <w:rPr>
          <w:rFonts w:ascii="Times New Roman" w:hAnsi="方正仿宋_GBK" w:eastAsia="方正仿宋_GBK"/>
          <w:sz w:val="32"/>
          <w:szCs w:val="32"/>
        </w:rPr>
        <w:t>日</w:t>
      </w:r>
    </w:p>
    <w:p w14:paraId="187B33B9">
      <w:pPr>
        <w:ind w:left="-210" w:leftChars="-100" w:right="-210" w:rightChars="-100" w:firstLine="1264"/>
        <w:jc w:val="center"/>
        <w:rPr>
          <w:rFonts w:ascii="Times New Roman" w:hAnsi="Times New Roman"/>
          <w:sz w:val="36"/>
          <w:szCs w:val="36"/>
        </w:rPr>
      </w:pPr>
    </w:p>
    <w:p w14:paraId="761DBD8C">
      <w:pPr>
        <w:ind w:left="-707" w:leftChars="-337" w:right="-758" w:rightChars="-361" w:firstLine="1264"/>
        <w:rPr>
          <w:rFonts w:ascii="Times New Roman" w:hAnsi="Times New Roman"/>
          <w:sz w:val="36"/>
          <w:szCs w:val="36"/>
        </w:rPr>
      </w:pPr>
    </w:p>
    <w:p w14:paraId="4E0F5FD6">
      <w:pPr>
        <w:ind w:left="-707" w:leftChars="-337" w:right="-758" w:rightChars="-361" w:firstLine="1264"/>
        <w:rPr>
          <w:rFonts w:ascii="Times New Roman" w:hAnsi="Times New Roman"/>
          <w:sz w:val="36"/>
          <w:szCs w:val="36"/>
        </w:rPr>
      </w:pPr>
    </w:p>
    <w:p w14:paraId="5BFD6E27">
      <w:pPr>
        <w:ind w:left="-707" w:leftChars="-337" w:right="-758" w:rightChars="-361" w:firstLine="1264"/>
        <w:rPr>
          <w:rFonts w:ascii="Times New Roman" w:hAnsi="Times New Roman"/>
          <w:sz w:val="36"/>
          <w:szCs w:val="36"/>
        </w:rPr>
      </w:pPr>
    </w:p>
    <w:p w14:paraId="1D7F1C1B">
      <w:pPr>
        <w:spacing w:line="600" w:lineRule="auto"/>
        <w:jc w:val="both"/>
        <w:rPr>
          <w:rFonts w:hint="eastAsia"/>
          <w:sz w:val="18"/>
          <w:szCs w:val="18"/>
        </w:rPr>
      </w:pPr>
    </w:p>
    <w:p w14:paraId="1161F8BD">
      <w:pPr>
        <w:spacing w:line="600" w:lineRule="auto"/>
        <w:jc w:val="both"/>
        <w:rPr>
          <w:rFonts w:hint="eastAsia"/>
          <w:sz w:val="18"/>
          <w:szCs w:val="18"/>
        </w:rPr>
      </w:pPr>
    </w:p>
    <w:p w14:paraId="32B27D13">
      <w:pPr>
        <w:rPr>
          <w:rFonts w:eastAsia="黑体"/>
          <w:sz w:val="28"/>
          <w:szCs w:val="28"/>
        </w:rPr>
      </w:pPr>
      <w:r>
        <w:rPr>
          <w:rFonts w:eastAsia="黑体"/>
          <w:sz w:val="28"/>
          <w:szCs w:val="28"/>
        </w:rPr>
        <w:t>第一部分：拟转移废物基本情况</w:t>
      </w:r>
    </w:p>
    <w:tbl>
      <w:tblPr>
        <w:tblStyle w:val="6"/>
        <w:tblW w:w="913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5"/>
      </w:tblGrid>
      <w:tr w14:paraId="7762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9135" w:type="dxa"/>
          </w:tcPr>
          <w:p w14:paraId="1A520271">
            <w:pPr>
              <w:rPr>
                <w:rFonts w:hint="eastAsia" w:eastAsia="黑体"/>
                <w:sz w:val="24"/>
              </w:rPr>
            </w:pPr>
            <w:r>
              <w:rPr>
                <w:rFonts w:eastAsia="黑体"/>
                <w:sz w:val="24"/>
              </w:rPr>
              <w:t>表1 废物产生</w:t>
            </w:r>
            <w:r>
              <w:rPr>
                <w:rFonts w:hint="eastAsia" w:eastAsia="黑体"/>
                <w:sz w:val="24"/>
              </w:rPr>
              <w:t>企业情况</w:t>
            </w:r>
          </w:p>
        </w:tc>
      </w:tr>
      <w:tr w14:paraId="7CA3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9135" w:type="dxa"/>
          </w:tcPr>
          <w:p w14:paraId="4F4DEB28">
            <w:pPr>
              <w:spacing w:line="300" w:lineRule="exact"/>
              <w:rPr>
                <w:rFonts w:hint="eastAsia"/>
                <w:szCs w:val="21"/>
              </w:rPr>
            </w:pPr>
            <w:r>
              <w:rPr>
                <w:szCs w:val="21"/>
              </w:rPr>
              <w:t>企业投产时间、主要经营范围及规模</w:t>
            </w:r>
          </w:p>
          <w:p w14:paraId="59BAB899">
            <w:pPr>
              <w:spacing w:line="300" w:lineRule="exact"/>
              <w:rPr>
                <w:rFonts w:hint="eastAsia"/>
                <w:szCs w:val="21"/>
              </w:rPr>
            </w:pPr>
            <w:r>
              <w:rPr>
                <w:rFonts w:hint="eastAsia" w:ascii="Times New Roman"/>
                <w:szCs w:val="21"/>
                <w:highlight w:val="none"/>
              </w:rPr>
              <w:t>本公司位于上海市浦东新区敬业路870号，成立于 2000年，目前主要从事工业废弃物收集、运输、贮存、处理、处置和再循环利用一体化，是具备《上海市危险废物经营许可证》的工业废弃物收集处置单位，年危险废弃物收集量约8000吨；2017年，经上海环保局发文通知，本公司列为上海市回收汽修店、汽车4S店废油等危废收集、暂存企业之一，收集、分类、暂存汽车生产和维修过程中产生的危险废物HW08废矿物油</w:t>
            </w:r>
            <w:r>
              <w:rPr>
                <w:rFonts w:hint="eastAsia" w:ascii="Times New Roman"/>
                <w:szCs w:val="21"/>
                <w:highlight w:val="none"/>
                <w:lang w:val="en-US" w:eastAsia="zh-CN"/>
              </w:rPr>
              <w:t>、废矿物油（自产），</w:t>
            </w:r>
            <w:r>
              <w:rPr>
                <w:rFonts w:hint="eastAsia" w:ascii="Times New Roman"/>
                <w:szCs w:val="21"/>
                <w:highlight w:val="none"/>
              </w:rPr>
              <w:t>预计202</w:t>
            </w:r>
            <w:r>
              <w:rPr>
                <w:rFonts w:hint="eastAsia" w:ascii="Times New Roman"/>
                <w:szCs w:val="21"/>
                <w:highlight w:val="none"/>
                <w:lang w:val="en-US" w:eastAsia="zh-CN"/>
              </w:rPr>
              <w:t>5</w:t>
            </w:r>
            <w:r>
              <w:rPr>
                <w:rFonts w:hint="eastAsia" w:ascii="Times New Roman"/>
                <w:szCs w:val="21"/>
                <w:highlight w:val="none"/>
              </w:rPr>
              <w:t>年可回收HW08废矿物油</w:t>
            </w:r>
            <w:r>
              <w:rPr>
                <w:rFonts w:hint="eastAsia" w:ascii="Times New Roman"/>
                <w:szCs w:val="21"/>
                <w:highlight w:val="none"/>
                <w:lang w:val="en-US" w:eastAsia="zh-CN"/>
              </w:rPr>
              <w:t>20</w:t>
            </w:r>
            <w:r>
              <w:rPr>
                <w:rFonts w:hint="eastAsia" w:ascii="Times New Roman"/>
                <w:szCs w:val="21"/>
                <w:highlight w:val="none"/>
              </w:rPr>
              <w:t>00吨，现拟委托常州菲纳斯能源科技有限公司处置。</w:t>
            </w:r>
          </w:p>
          <w:p w14:paraId="21D80C51">
            <w:pPr>
              <w:spacing w:line="300" w:lineRule="exact"/>
              <w:rPr>
                <w:rFonts w:hint="eastAsia"/>
                <w:szCs w:val="21"/>
              </w:rPr>
            </w:pPr>
          </w:p>
        </w:tc>
      </w:tr>
      <w:tr w14:paraId="4C78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135" w:type="dxa"/>
            <w:vAlign w:val="center"/>
          </w:tcPr>
          <w:p w14:paraId="344D057C">
            <w:pPr>
              <w:spacing w:line="300" w:lineRule="exact"/>
              <w:rPr>
                <w:rFonts w:hint="eastAsia"/>
                <w:sz w:val="24"/>
              </w:rPr>
            </w:pPr>
            <w:r>
              <w:rPr>
                <w:rFonts w:eastAsia="黑体"/>
                <w:sz w:val="24"/>
              </w:rPr>
              <w:t>表2 与申请转移废物相关的生产工艺</w:t>
            </w:r>
          </w:p>
        </w:tc>
      </w:tr>
      <w:tr w14:paraId="0147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4" w:hRule="atLeast"/>
        </w:trPr>
        <w:tc>
          <w:tcPr>
            <w:tcW w:w="9135" w:type="dxa"/>
          </w:tcPr>
          <w:p w14:paraId="658EB3CF">
            <w:pPr>
              <w:spacing w:line="300" w:lineRule="exact"/>
            </w:pPr>
            <w:r>
              <w:t>文字描述及工艺流程图</w:t>
            </w:r>
          </w:p>
          <w:p w14:paraId="56135C34">
            <w:pPr>
              <w:spacing w:line="300" w:lineRule="exact"/>
              <w:ind w:firstLine="480" w:firstLineChars="200"/>
              <w:rPr>
                <w:rFonts w:ascii="仿宋" w:hAnsi="仿宋" w:eastAsia="仿宋"/>
                <w:sz w:val="24"/>
                <w:highlight w:val="none"/>
              </w:rPr>
            </w:pPr>
            <w:r>
              <w:rPr>
                <w:rFonts w:hint="eastAsia" w:ascii="仿宋" w:hAnsi="仿宋" w:eastAsia="仿宋"/>
                <w:sz w:val="24"/>
                <w:highlight w:val="none"/>
              </w:rPr>
              <w:t>上海新金桥环保有限公司具有《上海市危险废物经营许可证》（编号：073），专业收集上海市金桥经济技术开发区内各企业的产生的危险废物，新金桥环保公司清运收集后在公司的危废仓库里进行分类、整理、包装后，交由常州菲纳斯能源科技有限公司进行环保处置再利用。</w:t>
            </w:r>
          </w:p>
          <w:p w14:paraId="5F9D9CD2">
            <w:pPr>
              <w:spacing w:line="300" w:lineRule="exact"/>
            </w:pPr>
          </w:p>
          <w:p w14:paraId="36A5B685">
            <w:pPr>
              <w:spacing w:line="300" w:lineRule="exact"/>
            </w:pPr>
          </w:p>
          <w:p w14:paraId="7DAE2A28">
            <w:pPr>
              <w:spacing w:line="300" w:lineRule="exact"/>
            </w:pPr>
            <w:r>
              <w:rPr>
                <w:highlight w:val="none"/>
              </w:rPr>
              <mc:AlternateContent>
                <mc:Choice Requires="wpg">
                  <w:drawing>
                    <wp:anchor distT="0" distB="0" distL="114300" distR="114300" simplePos="0" relativeHeight="251659264" behindDoc="0" locked="0" layoutInCell="1" allowOverlap="1">
                      <wp:simplePos x="0" y="0"/>
                      <wp:positionH relativeFrom="column">
                        <wp:posOffset>90170</wp:posOffset>
                      </wp:positionH>
                      <wp:positionV relativeFrom="paragraph">
                        <wp:posOffset>2540</wp:posOffset>
                      </wp:positionV>
                      <wp:extent cx="5341620" cy="379095"/>
                      <wp:effectExtent l="4445" t="4445" r="6985" b="16510"/>
                      <wp:wrapNone/>
                      <wp:docPr id="3" name="组合 3"/>
                      <wp:cNvGraphicFramePr/>
                      <a:graphic xmlns:a="http://schemas.openxmlformats.org/drawingml/2006/main">
                        <a:graphicData uri="http://schemas.microsoft.com/office/word/2010/wordprocessingGroup">
                          <wpg:wgp>
                            <wpg:cNvGrpSpPr/>
                            <wpg:grpSpPr>
                              <a:xfrm>
                                <a:off x="0" y="0"/>
                                <a:ext cx="5341620" cy="378881"/>
                                <a:chOff x="76200" y="0"/>
                                <a:chExt cx="5341620" cy="378881"/>
                              </a:xfrm>
                            </wpg:grpSpPr>
                            <wps:wsp>
                              <wps:cNvPr id="4" name="矩形 4"/>
                              <wps:cNvSpPr>
                                <a:spLocks noChangeArrowheads="1"/>
                              </wps:cNvSpPr>
                              <wps:spPr bwMode="auto">
                                <a:xfrm>
                                  <a:off x="1209675" y="0"/>
                                  <a:ext cx="352425" cy="215265"/>
                                </a:xfrm>
                                <a:prstGeom prst="rect">
                                  <a:avLst/>
                                </a:prstGeom>
                                <a:noFill/>
                                <a:ln w="9525">
                                  <a:solidFill>
                                    <a:srgbClr val="000000"/>
                                  </a:solidFill>
                                  <a:miter lim="800000"/>
                                </a:ln>
                              </wps:spPr>
                              <wps:txbx>
                                <w:txbxContent>
                                  <w:p w14:paraId="412C9D1C">
                                    <w:pPr>
                                      <w:jc w:val="center"/>
                                      <w:rPr>
                                        <w:rFonts w:ascii="仿宋" w:hAnsi="仿宋" w:eastAsia="仿宋"/>
                                        <w:sz w:val="24"/>
                                      </w:rPr>
                                    </w:pPr>
                                    <w:r>
                                      <w:rPr>
                                        <w:rFonts w:hint="eastAsia" w:ascii="仿宋" w:hAnsi="仿宋" w:eastAsia="仿宋"/>
                                        <w:sz w:val="24"/>
                                      </w:rPr>
                                      <w:t>收集</w:t>
                                    </w:r>
                                  </w:p>
                                </w:txbxContent>
                              </wps:txbx>
                              <wps:bodyPr rot="0" vert="horz" wrap="square" lIns="3600" tIns="3600" rIns="3600" bIns="3600" anchor="t" anchorCtr="0" upright="1">
                                <a:spAutoFit/>
                              </wps:bodyPr>
                            </wps:wsp>
                            <wps:wsp>
                              <wps:cNvPr id="5" name="矩形 3"/>
                              <wps:cNvSpPr>
                                <a:spLocks noChangeArrowheads="1"/>
                              </wps:cNvSpPr>
                              <wps:spPr bwMode="auto">
                                <a:xfrm>
                                  <a:off x="76200" y="0"/>
                                  <a:ext cx="626745" cy="215265"/>
                                </a:xfrm>
                                <a:prstGeom prst="rect">
                                  <a:avLst/>
                                </a:prstGeom>
                                <a:noFill/>
                                <a:ln w="9525">
                                  <a:solidFill>
                                    <a:srgbClr val="000000"/>
                                  </a:solidFill>
                                  <a:miter lim="800000"/>
                                </a:ln>
                              </wps:spPr>
                              <wps:txbx>
                                <w:txbxContent>
                                  <w:p w14:paraId="67E78508">
                                    <w:pPr>
                                      <w:jc w:val="center"/>
                                      <w:rPr>
                                        <w:rFonts w:ascii="仿宋" w:hAnsi="仿宋" w:eastAsia="仿宋"/>
                                        <w:sz w:val="24"/>
                                      </w:rPr>
                                    </w:pPr>
                                    <w:r>
                                      <w:rPr>
                                        <w:rFonts w:hint="eastAsia" w:ascii="仿宋" w:hAnsi="仿宋" w:eastAsia="仿宋"/>
                                        <w:sz w:val="24"/>
                                      </w:rPr>
                                      <w:t>危险废物</w:t>
                                    </w:r>
                                  </w:p>
                                </w:txbxContent>
                              </wps:txbx>
                              <wps:bodyPr rot="0" vert="horz" wrap="none" lIns="3600" tIns="3600" rIns="3600" bIns="3600" anchor="t" anchorCtr="0" upright="1">
                                <a:spAutoFit/>
                              </wps:bodyPr>
                            </wps:wsp>
                            <wps:wsp>
                              <wps:cNvPr id="6" name="矩形 7"/>
                              <wps:cNvSpPr>
                                <a:spLocks noChangeArrowheads="1"/>
                              </wps:cNvSpPr>
                              <wps:spPr bwMode="auto">
                                <a:xfrm>
                                  <a:off x="3333750" y="0"/>
                                  <a:ext cx="352425" cy="215265"/>
                                </a:xfrm>
                                <a:prstGeom prst="rect">
                                  <a:avLst/>
                                </a:prstGeom>
                                <a:noFill/>
                                <a:ln w="9525">
                                  <a:solidFill>
                                    <a:srgbClr val="000000"/>
                                  </a:solidFill>
                                  <a:miter lim="800000"/>
                                </a:ln>
                              </wps:spPr>
                              <wps:txbx>
                                <w:txbxContent>
                                  <w:p w14:paraId="54743E88">
                                    <w:pPr>
                                      <w:jc w:val="center"/>
                                      <w:rPr>
                                        <w:rFonts w:ascii="仿宋" w:hAnsi="仿宋" w:eastAsia="仿宋"/>
                                        <w:sz w:val="24"/>
                                      </w:rPr>
                                    </w:pPr>
                                    <w:r>
                                      <w:rPr>
                                        <w:rFonts w:hint="eastAsia" w:ascii="仿宋" w:hAnsi="仿宋" w:eastAsia="仿宋"/>
                                        <w:sz w:val="24"/>
                                      </w:rPr>
                                      <w:t>暂存</w:t>
                                    </w:r>
                                  </w:p>
                                </w:txbxContent>
                              </wps:txbx>
                              <wps:bodyPr rot="0" vert="horz" wrap="square" lIns="3600" tIns="3600" rIns="3600" bIns="3600" anchor="t" anchorCtr="0" upright="1">
                                <a:spAutoFit/>
                              </wps:bodyPr>
                            </wps:wsp>
                            <wps:wsp>
                              <wps:cNvPr id="7" name="矩形 6"/>
                              <wps:cNvSpPr>
                                <a:spLocks noChangeArrowheads="1"/>
                              </wps:cNvSpPr>
                              <wps:spPr bwMode="auto">
                                <a:xfrm>
                                  <a:off x="2619375" y="0"/>
                                  <a:ext cx="371475" cy="215265"/>
                                </a:xfrm>
                                <a:prstGeom prst="rect">
                                  <a:avLst/>
                                </a:prstGeom>
                                <a:noFill/>
                                <a:ln w="9525">
                                  <a:solidFill>
                                    <a:srgbClr val="000000"/>
                                  </a:solidFill>
                                  <a:miter lim="800000"/>
                                </a:ln>
                              </wps:spPr>
                              <wps:txbx>
                                <w:txbxContent>
                                  <w:p w14:paraId="4AA257A9">
                                    <w:pPr>
                                      <w:jc w:val="center"/>
                                      <w:rPr>
                                        <w:rFonts w:ascii="仿宋" w:hAnsi="仿宋" w:eastAsia="仿宋"/>
                                        <w:sz w:val="24"/>
                                      </w:rPr>
                                    </w:pPr>
                                    <w:r>
                                      <w:rPr>
                                        <w:rFonts w:hint="eastAsia" w:ascii="仿宋" w:hAnsi="仿宋" w:eastAsia="仿宋"/>
                                        <w:sz w:val="24"/>
                                      </w:rPr>
                                      <w:t>包装</w:t>
                                    </w:r>
                                  </w:p>
                                </w:txbxContent>
                              </wps:txbx>
                              <wps:bodyPr rot="0" vert="horz" wrap="square" lIns="3600" tIns="3600" rIns="3600" bIns="3600" anchor="t" anchorCtr="0" upright="1">
                                <a:spAutoFit/>
                              </wps:bodyPr>
                            </wps:wsp>
                            <wps:wsp>
                              <wps:cNvPr id="8" name="矩形 5"/>
                              <wps:cNvSpPr>
                                <a:spLocks noChangeArrowheads="1"/>
                              </wps:cNvSpPr>
                              <wps:spPr bwMode="auto">
                                <a:xfrm>
                                  <a:off x="1905000" y="0"/>
                                  <a:ext cx="371475" cy="215265"/>
                                </a:xfrm>
                                <a:prstGeom prst="rect">
                                  <a:avLst/>
                                </a:prstGeom>
                                <a:noFill/>
                                <a:ln w="9525">
                                  <a:solidFill>
                                    <a:srgbClr val="000000"/>
                                  </a:solidFill>
                                  <a:miter lim="800000"/>
                                </a:ln>
                              </wps:spPr>
                              <wps:txbx>
                                <w:txbxContent>
                                  <w:p w14:paraId="422BCBA3">
                                    <w:pPr>
                                      <w:jc w:val="center"/>
                                      <w:rPr>
                                        <w:rFonts w:ascii="仿宋" w:hAnsi="仿宋" w:eastAsia="仿宋"/>
                                        <w:sz w:val="24"/>
                                      </w:rPr>
                                    </w:pPr>
                                    <w:r>
                                      <w:rPr>
                                        <w:rFonts w:hint="eastAsia" w:ascii="仿宋" w:hAnsi="仿宋" w:eastAsia="仿宋"/>
                                        <w:sz w:val="24"/>
                                      </w:rPr>
                                      <w:t>分类</w:t>
                                    </w:r>
                                  </w:p>
                                </w:txbxContent>
                              </wps:txbx>
                              <wps:bodyPr rot="0" vert="horz" wrap="square" lIns="3600" tIns="3600" rIns="3600" bIns="3600" anchor="t" anchorCtr="0" upright="1">
                                <a:spAutoFit/>
                              </wps:bodyPr>
                            </wps:wsp>
                            <wps:wsp>
                              <wps:cNvPr id="9" name="矩形 13"/>
                              <wps:cNvSpPr>
                                <a:spLocks noChangeArrowheads="1"/>
                              </wps:cNvSpPr>
                              <wps:spPr bwMode="auto">
                                <a:xfrm>
                                  <a:off x="4029075" y="0"/>
                                  <a:ext cx="1388745" cy="378881"/>
                                </a:xfrm>
                                <a:prstGeom prst="rect">
                                  <a:avLst/>
                                </a:prstGeom>
                                <a:noFill/>
                                <a:ln w="9525">
                                  <a:solidFill>
                                    <a:srgbClr val="000000"/>
                                  </a:solidFill>
                                  <a:miter lim="800000"/>
                                </a:ln>
                              </wps:spPr>
                              <wps:txbx>
                                <w:txbxContent>
                                  <w:p w14:paraId="4FA81FA3">
                                    <w:pPr>
                                      <w:jc w:val="center"/>
                                      <w:rPr>
                                        <w:rFonts w:ascii="仿宋" w:hAnsi="仿宋" w:eastAsia="仿宋"/>
                                        <w:sz w:val="24"/>
                                      </w:rPr>
                                    </w:pPr>
                                    <w:r>
                                      <w:rPr>
                                        <w:rFonts w:hint="eastAsia" w:ascii="仿宋" w:hAnsi="仿宋" w:eastAsia="仿宋"/>
                                        <w:sz w:val="24"/>
                                      </w:rPr>
                                      <w:t>交由</w:t>
                                    </w:r>
                                    <w:r>
                                      <w:rPr>
                                        <w:rFonts w:hint="eastAsia" w:ascii="仿宋" w:hAnsi="仿宋" w:eastAsia="仿宋"/>
                                        <w:sz w:val="24"/>
                                        <w:lang w:val="en-US" w:eastAsia="zh-CN"/>
                                      </w:rPr>
                                      <w:t>常州菲纳斯</w:t>
                                    </w:r>
                                    <w:r>
                                      <w:rPr>
                                        <w:rFonts w:hint="eastAsia" w:ascii="仿宋" w:hAnsi="仿宋" w:eastAsia="仿宋"/>
                                        <w:sz w:val="24"/>
                                      </w:rPr>
                                      <w:t>处置</w:t>
                                    </w:r>
                                  </w:p>
                                </w:txbxContent>
                              </wps:txbx>
                              <wps:bodyPr rot="0" vert="horz" wrap="none" lIns="3600" tIns="3600" rIns="3600" bIns="3600" anchor="t" anchorCtr="0" upright="1">
                                <a:noAutofit/>
                              </wps:bodyPr>
                            </wps:wsp>
                            <wps:wsp>
                              <wps:cNvPr id="10" name="直接箭头连接符 8"/>
                              <wps:cNvCnPr>
                                <a:cxnSpLocks noChangeShapeType="1"/>
                              </wps:cNvCnPr>
                              <wps:spPr bwMode="auto">
                                <a:xfrm>
                                  <a:off x="762000" y="123825"/>
                                  <a:ext cx="447675" cy="0"/>
                                </a:xfrm>
                                <a:prstGeom prst="straightConnector1">
                                  <a:avLst/>
                                </a:prstGeom>
                                <a:noFill/>
                                <a:ln w="9525">
                                  <a:solidFill>
                                    <a:srgbClr val="000000"/>
                                  </a:solidFill>
                                  <a:round/>
                                  <a:tailEnd type="triangle" w="med" len="med"/>
                                </a:ln>
                              </wps:spPr>
                              <wps:bodyPr/>
                            </wps:wsp>
                            <wps:wsp>
                              <wps:cNvPr id="11" name="直接箭头连接符 9"/>
                              <wps:cNvCnPr>
                                <a:cxnSpLocks noChangeShapeType="1"/>
                              </wps:cNvCnPr>
                              <wps:spPr bwMode="auto">
                                <a:xfrm>
                                  <a:off x="1562100" y="114300"/>
                                  <a:ext cx="342900" cy="0"/>
                                </a:xfrm>
                                <a:prstGeom prst="straightConnector1">
                                  <a:avLst/>
                                </a:prstGeom>
                                <a:noFill/>
                                <a:ln w="9525">
                                  <a:solidFill>
                                    <a:srgbClr val="000000"/>
                                  </a:solidFill>
                                  <a:round/>
                                  <a:tailEnd type="triangle" w="med" len="med"/>
                                </a:ln>
                              </wps:spPr>
                              <wps:bodyPr/>
                            </wps:wsp>
                            <wps:wsp>
                              <wps:cNvPr id="12" name="直接箭头连接符 12"/>
                              <wps:cNvCnPr>
                                <a:cxnSpLocks noChangeShapeType="1"/>
                              </wps:cNvCnPr>
                              <wps:spPr bwMode="auto">
                                <a:xfrm>
                                  <a:off x="3686175" y="114300"/>
                                  <a:ext cx="342900" cy="0"/>
                                </a:xfrm>
                                <a:prstGeom prst="straightConnector1">
                                  <a:avLst/>
                                </a:prstGeom>
                                <a:noFill/>
                                <a:ln w="9525">
                                  <a:solidFill>
                                    <a:srgbClr val="000000"/>
                                  </a:solidFill>
                                  <a:round/>
                                  <a:tailEnd type="triangle" w="med" len="med"/>
                                </a:ln>
                              </wps:spPr>
                              <wps:bodyPr/>
                            </wps:wsp>
                            <wps:wsp>
                              <wps:cNvPr id="13" name="直接箭头连接符 11"/>
                              <wps:cNvCnPr>
                                <a:cxnSpLocks noChangeShapeType="1"/>
                              </wps:cNvCnPr>
                              <wps:spPr bwMode="auto">
                                <a:xfrm>
                                  <a:off x="2990850" y="114300"/>
                                  <a:ext cx="342900" cy="0"/>
                                </a:xfrm>
                                <a:prstGeom prst="straightConnector1">
                                  <a:avLst/>
                                </a:prstGeom>
                                <a:noFill/>
                                <a:ln w="9525">
                                  <a:solidFill>
                                    <a:srgbClr val="000000"/>
                                  </a:solidFill>
                                  <a:round/>
                                  <a:tailEnd type="triangle" w="med" len="med"/>
                                </a:ln>
                              </wps:spPr>
                              <wps:bodyPr/>
                            </wps:wsp>
                            <wps:wsp>
                              <wps:cNvPr id="14" name="直接箭头连接符 10"/>
                              <wps:cNvCnPr>
                                <a:cxnSpLocks noChangeShapeType="1"/>
                              </wps:cNvCnPr>
                              <wps:spPr bwMode="auto">
                                <a:xfrm>
                                  <a:off x="2276475" y="114300"/>
                                  <a:ext cx="342900" cy="0"/>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7.1pt;margin-top:0.2pt;height:29.85pt;width:420.6pt;z-index:251659264;mso-width-relative:page;mso-height-relative:page;" coordorigin="76200,0" coordsize="5341620,378881" o:gfxdata="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O6JEgLVAAAABgEAAA8AAAAA&#10;AAAAAQAgAAAAIgAAAGRycy9kb3ducmV2LnhtbFBLAQIUABQAAAAIAIdO4kDlArASUQQAAEQcAAAO&#10;AAAAAAAAAAEAIAAAACQBAABkcnMvZTJvRG9jLnhtbFBLBQYAAAAABgAGAFkBAADnBwAAAAA=&#10;">
                      <o:lock v:ext="edit" aspectratio="f"/>
                      <v:rect id="_x0000_s1026" o:spid="_x0000_s1026" o:spt="1" style="position:absolute;left:1209675;top:0;height:215265;width:352425;" filled="f" stroked="t" coordsize="21600,21600" o:gfxdata="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sGcu8AAAA&#10;2g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0.1mm,0.1mm,0.1mm,0.1mm" style="mso-fit-shape-to-text:t;">
                          <w:txbxContent>
                            <w:p w14:paraId="412C9D1C">
                              <w:pPr>
                                <w:jc w:val="center"/>
                                <w:rPr>
                                  <w:rFonts w:ascii="仿宋" w:hAnsi="仿宋" w:eastAsia="仿宋"/>
                                  <w:sz w:val="24"/>
                                </w:rPr>
                              </w:pPr>
                              <w:r>
                                <w:rPr>
                                  <w:rFonts w:hint="eastAsia" w:ascii="仿宋" w:hAnsi="仿宋" w:eastAsia="仿宋"/>
                                  <w:sz w:val="24"/>
                                </w:rPr>
                                <w:t>收集</w:t>
                              </w:r>
                            </w:p>
                          </w:txbxContent>
                        </v:textbox>
                      </v:rect>
                      <v:rect id="矩形 3" o:spid="_x0000_s1026" o:spt="1" style="position:absolute;left:76200;top:0;height:215265;width:626745;mso-wrap-style:none;" filled="f" stroked="t" coordsize="21600,21600" o:gfxdata="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sLNO5AAAA2g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textbox inset="0.1mm,0.1mm,0.1mm,0.1mm" style="mso-fit-shape-to-text:t;">
                          <w:txbxContent>
                            <w:p w14:paraId="67E78508">
                              <w:pPr>
                                <w:jc w:val="center"/>
                                <w:rPr>
                                  <w:rFonts w:ascii="仿宋" w:hAnsi="仿宋" w:eastAsia="仿宋"/>
                                  <w:sz w:val="24"/>
                                </w:rPr>
                              </w:pPr>
                              <w:r>
                                <w:rPr>
                                  <w:rFonts w:hint="eastAsia" w:ascii="仿宋" w:hAnsi="仿宋" w:eastAsia="仿宋"/>
                                  <w:sz w:val="24"/>
                                </w:rPr>
                                <w:t>危险废物</w:t>
                              </w:r>
                            </w:p>
                          </w:txbxContent>
                        </v:textbox>
                      </v:rect>
                      <v:rect id="矩形 7" o:spid="_x0000_s1026" o:spt="1" style="position:absolute;left:3333750;top:0;height:215265;width:352425;" filled="f" stroked="t" coordsize="21600,21600" o:gfxdata="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IiJ7sAAADa&#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1mm,0.1mm,0.1mm,0.1mm" style="mso-fit-shape-to-text:t;">
                          <w:txbxContent>
                            <w:p w14:paraId="54743E88">
                              <w:pPr>
                                <w:jc w:val="center"/>
                                <w:rPr>
                                  <w:rFonts w:ascii="仿宋" w:hAnsi="仿宋" w:eastAsia="仿宋"/>
                                  <w:sz w:val="24"/>
                                </w:rPr>
                              </w:pPr>
                              <w:r>
                                <w:rPr>
                                  <w:rFonts w:hint="eastAsia" w:ascii="仿宋" w:hAnsi="仿宋" w:eastAsia="仿宋"/>
                                  <w:sz w:val="24"/>
                                </w:rPr>
                                <w:t>暂存</w:t>
                              </w:r>
                            </w:p>
                          </w:txbxContent>
                        </v:textbox>
                      </v:rect>
                      <v:rect id="矩形 6" o:spid="_x0000_s1026" o:spt="1" style="position:absolute;left:2619375;top:0;height:215265;width:371475;" filled="f" stroked="t" coordsize="21600,21600" o:gfxdata="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h7y8AAAA&#10;2g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0.1mm,0.1mm,0.1mm,0.1mm" style="mso-fit-shape-to-text:t;">
                          <w:txbxContent>
                            <w:p w14:paraId="4AA257A9">
                              <w:pPr>
                                <w:jc w:val="center"/>
                                <w:rPr>
                                  <w:rFonts w:ascii="仿宋" w:hAnsi="仿宋" w:eastAsia="仿宋"/>
                                  <w:sz w:val="24"/>
                                </w:rPr>
                              </w:pPr>
                              <w:r>
                                <w:rPr>
                                  <w:rFonts w:hint="eastAsia" w:ascii="仿宋" w:hAnsi="仿宋" w:eastAsia="仿宋"/>
                                  <w:sz w:val="24"/>
                                </w:rPr>
                                <w:t>包装</w:t>
                              </w:r>
                            </w:p>
                          </w:txbxContent>
                        </v:textbox>
                      </v:rect>
                      <v:rect id="矩形 5" o:spid="_x0000_s1026" o:spt="1" style="position:absolute;left:1905000;top:0;height:215265;width:371475;" filled="f" stroked="t" coordsize="21600,21600" o:gfxdata="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IRPOugAAANoA&#10;AAAPAAAAAAAAAAEAIAAAACIAAABkcnMvZG93bnJldi54bWxQSwECFAAUAAAACACHTuJAMy8FnjsA&#10;AAA5AAAAEAAAAAAAAAABACAAAAAJAQAAZHJzL3NoYXBleG1sLnhtbFBLBQYAAAAABgAGAFsBAACz&#10;AwAAAAA=&#10;">
                        <v:fill on="f" focussize="0,0"/>
                        <v:stroke color="#000000" miterlimit="8" joinstyle="miter"/>
                        <v:imagedata o:title=""/>
                        <o:lock v:ext="edit" aspectratio="f"/>
                        <v:textbox inset="0.1mm,0.1mm,0.1mm,0.1mm" style="mso-fit-shape-to-text:t;">
                          <w:txbxContent>
                            <w:p w14:paraId="422BCBA3">
                              <w:pPr>
                                <w:jc w:val="center"/>
                                <w:rPr>
                                  <w:rFonts w:ascii="仿宋" w:hAnsi="仿宋" w:eastAsia="仿宋"/>
                                  <w:sz w:val="24"/>
                                </w:rPr>
                              </w:pPr>
                              <w:r>
                                <w:rPr>
                                  <w:rFonts w:hint="eastAsia" w:ascii="仿宋" w:hAnsi="仿宋" w:eastAsia="仿宋"/>
                                  <w:sz w:val="24"/>
                                </w:rPr>
                                <w:t>分类</w:t>
                              </w:r>
                            </w:p>
                          </w:txbxContent>
                        </v:textbox>
                      </v:rect>
                      <v:rect id="矩形 13" o:spid="_x0000_s1026" o:spt="1" style="position:absolute;left:4029075;top:0;height:378881;width:1388745;mso-wrap-style:none;" filled="f" stroked="t" coordsize="21600,21600" o:gfxdata="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JEQ68AAAA&#10;2g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0.1mm,0.1mm,0.1mm,0.1mm">
                          <w:txbxContent>
                            <w:p w14:paraId="4FA81FA3">
                              <w:pPr>
                                <w:jc w:val="center"/>
                                <w:rPr>
                                  <w:rFonts w:ascii="仿宋" w:hAnsi="仿宋" w:eastAsia="仿宋"/>
                                  <w:sz w:val="24"/>
                                </w:rPr>
                              </w:pPr>
                              <w:r>
                                <w:rPr>
                                  <w:rFonts w:hint="eastAsia" w:ascii="仿宋" w:hAnsi="仿宋" w:eastAsia="仿宋"/>
                                  <w:sz w:val="24"/>
                                </w:rPr>
                                <w:t>交由</w:t>
                              </w:r>
                              <w:r>
                                <w:rPr>
                                  <w:rFonts w:hint="eastAsia" w:ascii="仿宋" w:hAnsi="仿宋" w:eastAsia="仿宋"/>
                                  <w:sz w:val="24"/>
                                  <w:lang w:val="en-US" w:eastAsia="zh-CN"/>
                                </w:rPr>
                                <w:t>常州菲纳斯</w:t>
                              </w:r>
                              <w:r>
                                <w:rPr>
                                  <w:rFonts w:hint="eastAsia" w:ascii="仿宋" w:hAnsi="仿宋" w:eastAsia="仿宋"/>
                                  <w:sz w:val="24"/>
                                </w:rPr>
                                <w:t>处置</w:t>
                              </w:r>
                            </w:p>
                          </w:txbxContent>
                        </v:textbox>
                      </v:rect>
                      <v:shape id="直接箭头连接符 8" o:spid="_x0000_s1026" o:spt="32" type="#_x0000_t32" style="position:absolute;left:762000;top:123825;height:0;width:447675;" filled="f" stroked="t" coordsize="21600,21600" o:gfxdata="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zp+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9" o:spid="_x0000_s1026" o:spt="32" type="#_x0000_t32" style="position:absolute;left:1562100;top:114300;height:0;width:342900;" filled="f" stroked="t" coordsize="21600,21600" o:gfxdata="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BMY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3686175;top:114300;height:0;width:342900;"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直接箭头连接符 11" o:spid="_x0000_s1026" o:spt="32" type="#_x0000_t32" style="position:absolute;left:2990850;top:114300;height:0;width:342900;" filled="f" stroked="t" coordsize="21600,21600" o:gfxdata="UEsDBAoAAAAAAIdO4kAAAAAAAAAAAAAAAAAEAAAAZHJzL1BLAwQUAAAACACHTuJA7153jbsAAADb&#10;AAAADwAAAGRycy9kb3ducmV2LnhtbEVPS2sCMRC+F/ofwhS81awV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53j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直接箭头连接符 10" o:spid="_x0000_s1026" o:spt="32" type="#_x0000_t32" style="position:absolute;left:2276475;top:114300;height:0;width:342900;" filled="f" stroked="t" coordsize="21600,21600" o:gfxdata="UEsDBAoAAAAAAIdO4kAAAAAAAAAAAAAAAAAEAAAAZHJzL1BLAwQUAAAACACHTuJAYLfv+bsAAADb&#10;AAAADwAAAGRycy9kb3ducmV2LnhtbEVPS2sCMRC+F/ofwhS81axF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fv+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w:pict>
                </mc:Fallback>
              </mc:AlternateContent>
            </w:r>
          </w:p>
          <w:p w14:paraId="1D2539EC">
            <w:pPr>
              <w:spacing w:line="300" w:lineRule="exact"/>
            </w:pPr>
          </w:p>
          <w:p w14:paraId="7304047E">
            <w:pPr>
              <w:spacing w:line="300" w:lineRule="exact"/>
            </w:pPr>
          </w:p>
        </w:tc>
      </w:tr>
      <w:tr w14:paraId="20A9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135" w:type="dxa"/>
          </w:tcPr>
          <w:p w14:paraId="6415B4EC">
            <w:pPr>
              <w:spacing w:line="300" w:lineRule="exact"/>
              <w:rPr>
                <w:rFonts w:hint="eastAsia"/>
              </w:rPr>
            </w:pPr>
            <w:r>
              <w:rPr>
                <w:rFonts w:eastAsia="黑体"/>
                <w:sz w:val="24"/>
              </w:rPr>
              <w:t>表</w:t>
            </w:r>
            <w:r>
              <w:rPr>
                <w:rFonts w:hint="eastAsia" w:eastAsia="黑体"/>
                <w:sz w:val="24"/>
              </w:rPr>
              <w:t>3</w:t>
            </w:r>
            <w:r>
              <w:rPr>
                <w:rFonts w:eastAsia="黑体"/>
                <w:sz w:val="24"/>
              </w:rPr>
              <w:t xml:space="preserve"> </w:t>
            </w:r>
            <w:r>
              <w:rPr>
                <w:rFonts w:hint="eastAsia" w:eastAsia="黑体"/>
                <w:sz w:val="24"/>
              </w:rPr>
              <w:t>废物特性详细描述</w:t>
            </w:r>
          </w:p>
        </w:tc>
      </w:tr>
      <w:tr w14:paraId="058F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atLeast"/>
        </w:trPr>
        <w:tc>
          <w:tcPr>
            <w:tcW w:w="9135" w:type="dxa"/>
          </w:tcPr>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1782"/>
              <w:gridCol w:w="1783"/>
              <w:gridCol w:w="1782"/>
              <w:gridCol w:w="1782"/>
            </w:tblGrid>
            <w:tr w14:paraId="4DCB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Align w:val="center"/>
                </w:tcPr>
                <w:p w14:paraId="4620EF92">
                  <w:pPr>
                    <w:spacing w:line="240" w:lineRule="auto"/>
                    <w:rPr>
                      <w:rFonts w:eastAsia="黑体"/>
                      <w:sz w:val="24"/>
                      <w:vertAlign w:val="baseline"/>
                    </w:rPr>
                  </w:pPr>
                  <w:r>
                    <w:rPr>
                      <w:rFonts w:ascii="Times New Roman" w:hAnsi="宋体"/>
                      <w:szCs w:val="21"/>
                      <w:highlight w:val="none"/>
                    </w:rPr>
                    <w:t>废物名称</w:t>
                  </w:r>
                </w:p>
              </w:tc>
              <w:tc>
                <w:tcPr>
                  <w:tcW w:w="1782" w:type="dxa"/>
                  <w:vAlign w:val="center"/>
                </w:tcPr>
                <w:p w14:paraId="5F02221F">
                  <w:pPr>
                    <w:spacing w:line="240" w:lineRule="auto"/>
                    <w:rPr>
                      <w:rFonts w:eastAsia="黑体"/>
                      <w:sz w:val="24"/>
                      <w:vertAlign w:val="baseline"/>
                    </w:rPr>
                  </w:pPr>
                  <w:r>
                    <w:rPr>
                      <w:rFonts w:ascii="Times New Roman" w:hAnsi="宋体"/>
                      <w:szCs w:val="21"/>
                      <w:highlight w:val="none"/>
                    </w:rPr>
                    <w:t>主要组分</w:t>
                  </w:r>
                </w:p>
              </w:tc>
              <w:tc>
                <w:tcPr>
                  <w:tcW w:w="1783" w:type="dxa"/>
                  <w:vAlign w:val="center"/>
                </w:tcPr>
                <w:p w14:paraId="34CD1190">
                  <w:pPr>
                    <w:spacing w:line="240" w:lineRule="auto"/>
                    <w:rPr>
                      <w:rFonts w:eastAsia="黑体"/>
                      <w:sz w:val="24"/>
                      <w:vertAlign w:val="baseline"/>
                    </w:rPr>
                  </w:pPr>
                  <w:r>
                    <w:rPr>
                      <w:rFonts w:ascii="Times New Roman" w:hAnsi="宋体"/>
                      <w:szCs w:val="21"/>
                      <w:highlight w:val="none"/>
                    </w:rPr>
                    <w:t>相应比例（</w:t>
                  </w:r>
                  <w:r>
                    <w:rPr>
                      <w:rFonts w:ascii="Times New Roman" w:hAnsi="Times New Roman"/>
                      <w:szCs w:val="21"/>
                      <w:highlight w:val="none"/>
                    </w:rPr>
                    <w:t>%</w:t>
                  </w:r>
                  <w:r>
                    <w:rPr>
                      <w:rFonts w:ascii="Times New Roman" w:hAnsi="宋体"/>
                      <w:szCs w:val="21"/>
                      <w:highlight w:val="none"/>
                    </w:rPr>
                    <w:t>）</w:t>
                  </w:r>
                </w:p>
              </w:tc>
              <w:tc>
                <w:tcPr>
                  <w:tcW w:w="1782" w:type="dxa"/>
                  <w:vAlign w:val="center"/>
                </w:tcPr>
                <w:p w14:paraId="7B3B0366">
                  <w:pPr>
                    <w:spacing w:line="240" w:lineRule="auto"/>
                    <w:rPr>
                      <w:rFonts w:eastAsia="黑体"/>
                      <w:sz w:val="24"/>
                      <w:vertAlign w:val="baseline"/>
                    </w:rPr>
                  </w:pPr>
                  <w:r>
                    <w:rPr>
                      <w:rFonts w:ascii="Times New Roman" w:hAnsi="宋体"/>
                      <w:szCs w:val="21"/>
                      <w:highlight w:val="none"/>
                    </w:rPr>
                    <w:t>危害特性</w:t>
                  </w:r>
                </w:p>
              </w:tc>
              <w:tc>
                <w:tcPr>
                  <w:tcW w:w="1782" w:type="dxa"/>
                  <w:vAlign w:val="center"/>
                </w:tcPr>
                <w:p w14:paraId="6327A1B1">
                  <w:pPr>
                    <w:spacing w:line="240" w:lineRule="auto"/>
                    <w:rPr>
                      <w:rFonts w:eastAsia="黑体"/>
                      <w:sz w:val="24"/>
                      <w:vertAlign w:val="baseline"/>
                    </w:rPr>
                  </w:pPr>
                  <w:r>
                    <w:rPr>
                      <w:rFonts w:ascii="Times New Roman" w:hAnsi="宋体"/>
                      <w:szCs w:val="21"/>
                      <w:highlight w:val="none"/>
                    </w:rPr>
                    <w:t>形态</w:t>
                  </w:r>
                </w:p>
              </w:tc>
            </w:tr>
            <w:tr w14:paraId="54EE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780" w:type="dxa"/>
                  <w:vMerge w:val="restart"/>
                  <w:vAlign w:val="center"/>
                </w:tcPr>
                <w:p w14:paraId="12931A36">
                  <w:pPr>
                    <w:spacing w:line="300" w:lineRule="exact"/>
                    <w:jc w:val="left"/>
                    <w:rPr>
                      <w:rFonts w:hint="eastAsia" w:ascii="Times New Roman"/>
                      <w:szCs w:val="21"/>
                      <w:highlight w:val="none"/>
                      <w:lang w:val="en-US" w:eastAsia="zh-CN"/>
                    </w:rPr>
                  </w:pPr>
                  <w:r>
                    <w:rPr>
                      <w:rFonts w:hint="eastAsia" w:ascii="Times New Roman"/>
                      <w:szCs w:val="21"/>
                      <w:highlight w:val="none"/>
                      <w:lang w:val="en-US" w:eastAsia="zh-CN"/>
                    </w:rPr>
                    <w:t>废矿物油（自产）900-249-08</w:t>
                  </w:r>
                </w:p>
                <w:p w14:paraId="711788C8">
                  <w:pPr>
                    <w:spacing w:line="300" w:lineRule="exact"/>
                    <w:jc w:val="left"/>
                    <w:rPr>
                      <w:rFonts w:hint="eastAsia" w:ascii="Times New Roman"/>
                      <w:szCs w:val="21"/>
                      <w:highlight w:val="none"/>
                      <w:lang w:val="en-US" w:eastAsia="zh-CN"/>
                    </w:rPr>
                  </w:pPr>
                  <w:r>
                    <w:rPr>
                      <w:rFonts w:hint="eastAsia" w:ascii="Times New Roman"/>
                      <w:szCs w:val="21"/>
                      <w:highlight w:val="none"/>
                      <w:lang w:val="en-US" w:eastAsia="zh-CN"/>
                    </w:rPr>
                    <w:t>废矿物油900-209-08、</w:t>
                  </w:r>
                </w:p>
                <w:p w14:paraId="2D1E6A1E">
                  <w:pPr>
                    <w:spacing w:line="300" w:lineRule="exact"/>
                    <w:jc w:val="left"/>
                    <w:rPr>
                      <w:rFonts w:hint="eastAsia" w:ascii="Times New Roman"/>
                      <w:szCs w:val="21"/>
                      <w:highlight w:val="none"/>
                      <w:lang w:val="en-US" w:eastAsia="zh-CN"/>
                    </w:rPr>
                  </w:pPr>
                  <w:r>
                    <w:rPr>
                      <w:rFonts w:hint="eastAsia" w:ascii="Times New Roman"/>
                      <w:szCs w:val="21"/>
                      <w:highlight w:val="none"/>
                      <w:lang w:val="en-US" w:eastAsia="zh-CN"/>
                    </w:rPr>
                    <w:t>废矿物油900-249-08、</w:t>
                  </w:r>
                </w:p>
                <w:p w14:paraId="04F86C44">
                  <w:pPr>
                    <w:spacing w:line="240" w:lineRule="auto"/>
                    <w:jc w:val="both"/>
                    <w:rPr>
                      <w:rFonts w:ascii="Times New Roman" w:hAnsi="宋体"/>
                      <w:szCs w:val="21"/>
                      <w:highlight w:val="none"/>
                    </w:rPr>
                  </w:pPr>
                  <w:r>
                    <w:rPr>
                      <w:rFonts w:hint="eastAsia" w:ascii="Times New Roman"/>
                      <w:szCs w:val="21"/>
                      <w:highlight w:val="none"/>
                      <w:lang w:val="en-US" w:eastAsia="zh-CN"/>
                    </w:rPr>
                    <w:t>废矿物油900-214-08</w:t>
                  </w:r>
                </w:p>
              </w:tc>
              <w:tc>
                <w:tcPr>
                  <w:tcW w:w="1782" w:type="dxa"/>
                  <w:vAlign w:val="top"/>
                </w:tcPr>
                <w:p w14:paraId="13D2212E">
                  <w:pPr>
                    <w:spacing w:line="240" w:lineRule="auto"/>
                    <w:rPr>
                      <w:rFonts w:ascii="Times New Roman" w:hAnsi="宋体"/>
                      <w:szCs w:val="21"/>
                      <w:highlight w:val="none"/>
                    </w:rPr>
                  </w:pPr>
                  <w:r>
                    <w:rPr>
                      <w:rFonts w:hint="eastAsia" w:ascii="仿宋" w:hAnsi="仿宋" w:eastAsia="仿宋"/>
                      <w:highlight w:val="none"/>
                    </w:rPr>
                    <w:t>烯烃</w:t>
                  </w:r>
                </w:p>
              </w:tc>
              <w:tc>
                <w:tcPr>
                  <w:tcW w:w="1783" w:type="dxa"/>
                  <w:vAlign w:val="top"/>
                </w:tcPr>
                <w:p w14:paraId="7BEE3F14">
                  <w:pPr>
                    <w:spacing w:line="240" w:lineRule="auto"/>
                    <w:rPr>
                      <w:rFonts w:ascii="Times New Roman" w:hAnsi="宋体"/>
                      <w:szCs w:val="21"/>
                      <w:highlight w:val="none"/>
                    </w:rPr>
                  </w:pPr>
                  <w:r>
                    <w:rPr>
                      <w:rFonts w:eastAsia="仿宋"/>
                      <w:szCs w:val="21"/>
                      <w:highlight w:val="none"/>
                    </w:rPr>
                    <w:t>97-98</w:t>
                  </w:r>
                  <w:r>
                    <w:rPr>
                      <w:rFonts w:hint="eastAsia" w:ascii="Times New Roman" w:hAnsi="Times New Roman"/>
                      <w:szCs w:val="21"/>
                      <w:highlight w:val="none"/>
                    </w:rPr>
                    <w:t>%</w:t>
                  </w:r>
                </w:p>
              </w:tc>
              <w:tc>
                <w:tcPr>
                  <w:tcW w:w="1782" w:type="dxa"/>
                  <w:vMerge w:val="restart"/>
                  <w:vAlign w:val="center"/>
                </w:tcPr>
                <w:p w14:paraId="52A505B4">
                  <w:pPr>
                    <w:spacing w:line="240" w:lineRule="auto"/>
                    <w:jc w:val="center"/>
                    <w:rPr>
                      <w:rFonts w:hint="default" w:ascii="Times New Roman" w:hAnsi="宋体" w:eastAsia="宋体"/>
                      <w:szCs w:val="21"/>
                      <w:highlight w:val="none"/>
                      <w:lang w:val="en-US" w:eastAsia="zh-CN"/>
                    </w:rPr>
                  </w:pPr>
                  <w:r>
                    <w:rPr>
                      <w:rFonts w:hint="eastAsia" w:hAnsi="宋体"/>
                      <w:szCs w:val="21"/>
                      <w:highlight w:val="none"/>
                      <w:lang w:val="en-US" w:eastAsia="zh-CN"/>
                    </w:rPr>
                    <w:t>毒性、易燃性</w:t>
                  </w:r>
                </w:p>
              </w:tc>
              <w:tc>
                <w:tcPr>
                  <w:tcW w:w="1782" w:type="dxa"/>
                  <w:vMerge w:val="restart"/>
                  <w:vAlign w:val="center"/>
                </w:tcPr>
                <w:p w14:paraId="4BA57F2D">
                  <w:pPr>
                    <w:spacing w:line="240" w:lineRule="auto"/>
                    <w:rPr>
                      <w:rFonts w:hint="eastAsia" w:ascii="Times New Roman" w:hAnsi="宋体" w:eastAsia="宋体"/>
                      <w:szCs w:val="21"/>
                      <w:highlight w:val="none"/>
                      <w:lang w:val="en-US" w:eastAsia="zh-CN"/>
                    </w:rPr>
                  </w:pPr>
                  <w:r>
                    <w:rPr>
                      <w:rFonts w:hint="eastAsia" w:hAnsi="宋体"/>
                      <w:szCs w:val="21"/>
                      <w:highlight w:val="none"/>
                      <w:lang w:val="en-US" w:eastAsia="zh-CN"/>
                    </w:rPr>
                    <w:t>液态</w:t>
                  </w:r>
                </w:p>
              </w:tc>
            </w:tr>
            <w:tr w14:paraId="5E83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780" w:type="dxa"/>
                  <w:vMerge w:val="continue"/>
                  <w:vAlign w:val="center"/>
                </w:tcPr>
                <w:p w14:paraId="6F4EA4A6">
                  <w:pPr>
                    <w:spacing w:line="240" w:lineRule="auto"/>
                    <w:rPr>
                      <w:rFonts w:ascii="Times New Roman" w:hAnsi="宋体"/>
                      <w:szCs w:val="21"/>
                      <w:highlight w:val="none"/>
                    </w:rPr>
                  </w:pPr>
                </w:p>
              </w:tc>
              <w:tc>
                <w:tcPr>
                  <w:tcW w:w="1782" w:type="dxa"/>
                  <w:vAlign w:val="top"/>
                </w:tcPr>
                <w:p w14:paraId="17B0AA73">
                  <w:pPr>
                    <w:spacing w:line="240" w:lineRule="auto"/>
                    <w:rPr>
                      <w:rFonts w:ascii="Times New Roman" w:hAnsi="宋体"/>
                      <w:szCs w:val="21"/>
                      <w:highlight w:val="none"/>
                    </w:rPr>
                  </w:pPr>
                  <w:r>
                    <w:rPr>
                      <w:rFonts w:hint="eastAsia" w:ascii="仿宋" w:hAnsi="仿宋" w:eastAsia="仿宋"/>
                      <w:highlight w:val="none"/>
                    </w:rPr>
                    <w:t>防锈剂</w:t>
                  </w:r>
                </w:p>
              </w:tc>
              <w:tc>
                <w:tcPr>
                  <w:tcW w:w="1783" w:type="dxa"/>
                  <w:vAlign w:val="top"/>
                </w:tcPr>
                <w:p w14:paraId="1EF5EB54">
                  <w:pPr>
                    <w:spacing w:line="240" w:lineRule="auto"/>
                    <w:rPr>
                      <w:rFonts w:ascii="Times New Roman" w:hAnsi="宋体"/>
                      <w:szCs w:val="21"/>
                      <w:highlight w:val="none"/>
                    </w:rPr>
                  </w:pPr>
                  <w:r>
                    <w:rPr>
                      <w:rFonts w:eastAsia="仿宋"/>
                      <w:szCs w:val="21"/>
                      <w:highlight w:val="none"/>
                    </w:rPr>
                    <w:t>1-2</w:t>
                  </w:r>
                  <w:r>
                    <w:rPr>
                      <w:rFonts w:hint="eastAsia" w:ascii="Times New Roman" w:hAnsi="Times New Roman"/>
                      <w:szCs w:val="21"/>
                      <w:highlight w:val="none"/>
                    </w:rPr>
                    <w:t>%</w:t>
                  </w:r>
                </w:p>
              </w:tc>
              <w:tc>
                <w:tcPr>
                  <w:tcW w:w="1782" w:type="dxa"/>
                  <w:vMerge w:val="continue"/>
                  <w:vAlign w:val="center"/>
                </w:tcPr>
                <w:p w14:paraId="1A662135">
                  <w:pPr>
                    <w:spacing w:line="240" w:lineRule="auto"/>
                    <w:rPr>
                      <w:rFonts w:ascii="Times New Roman" w:hAnsi="宋体"/>
                      <w:szCs w:val="21"/>
                      <w:highlight w:val="none"/>
                    </w:rPr>
                  </w:pPr>
                </w:p>
              </w:tc>
              <w:tc>
                <w:tcPr>
                  <w:tcW w:w="1782" w:type="dxa"/>
                  <w:vMerge w:val="continue"/>
                  <w:vAlign w:val="center"/>
                </w:tcPr>
                <w:p w14:paraId="356CB0D2">
                  <w:pPr>
                    <w:spacing w:line="240" w:lineRule="auto"/>
                    <w:rPr>
                      <w:rFonts w:ascii="Times New Roman" w:hAnsi="宋体"/>
                      <w:szCs w:val="21"/>
                      <w:highlight w:val="none"/>
                    </w:rPr>
                  </w:pPr>
                </w:p>
              </w:tc>
            </w:tr>
            <w:tr w14:paraId="6A5F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780" w:type="dxa"/>
                  <w:vMerge w:val="continue"/>
                  <w:vAlign w:val="center"/>
                </w:tcPr>
                <w:p w14:paraId="10F8499A">
                  <w:pPr>
                    <w:spacing w:line="240" w:lineRule="auto"/>
                    <w:rPr>
                      <w:rFonts w:ascii="Times New Roman" w:hAnsi="宋体"/>
                      <w:szCs w:val="21"/>
                      <w:highlight w:val="none"/>
                    </w:rPr>
                  </w:pPr>
                </w:p>
              </w:tc>
              <w:tc>
                <w:tcPr>
                  <w:tcW w:w="1782" w:type="dxa"/>
                  <w:vAlign w:val="top"/>
                </w:tcPr>
                <w:p w14:paraId="66219989">
                  <w:pPr>
                    <w:spacing w:line="240" w:lineRule="auto"/>
                    <w:rPr>
                      <w:rFonts w:ascii="Times New Roman" w:hAnsi="宋体"/>
                      <w:szCs w:val="21"/>
                      <w:highlight w:val="none"/>
                    </w:rPr>
                  </w:pPr>
                  <w:r>
                    <w:rPr>
                      <w:rFonts w:hint="eastAsia" w:ascii="仿宋" w:hAnsi="仿宋" w:eastAsia="仿宋"/>
                      <w:highlight w:val="none"/>
                    </w:rPr>
                    <w:t>清净剂</w:t>
                  </w:r>
                </w:p>
              </w:tc>
              <w:tc>
                <w:tcPr>
                  <w:tcW w:w="1783" w:type="dxa"/>
                  <w:vAlign w:val="top"/>
                </w:tcPr>
                <w:p w14:paraId="61173753">
                  <w:pPr>
                    <w:spacing w:line="240" w:lineRule="auto"/>
                    <w:rPr>
                      <w:rFonts w:ascii="Times New Roman" w:hAnsi="宋体"/>
                      <w:szCs w:val="21"/>
                      <w:highlight w:val="none"/>
                    </w:rPr>
                  </w:pPr>
                  <w:r>
                    <w:rPr>
                      <w:rFonts w:eastAsia="仿宋"/>
                      <w:szCs w:val="21"/>
                      <w:highlight w:val="none"/>
                    </w:rPr>
                    <w:t>1-2</w:t>
                  </w:r>
                  <w:r>
                    <w:rPr>
                      <w:rFonts w:hint="eastAsia" w:ascii="Times New Roman" w:hAnsi="Times New Roman"/>
                      <w:szCs w:val="21"/>
                      <w:highlight w:val="none"/>
                    </w:rPr>
                    <w:t>%</w:t>
                  </w:r>
                </w:p>
              </w:tc>
              <w:tc>
                <w:tcPr>
                  <w:tcW w:w="1782" w:type="dxa"/>
                  <w:vMerge w:val="continue"/>
                  <w:vAlign w:val="center"/>
                </w:tcPr>
                <w:p w14:paraId="2D2E0A87">
                  <w:pPr>
                    <w:spacing w:line="240" w:lineRule="auto"/>
                    <w:rPr>
                      <w:rFonts w:ascii="Times New Roman" w:hAnsi="宋体"/>
                      <w:szCs w:val="21"/>
                      <w:highlight w:val="none"/>
                    </w:rPr>
                  </w:pPr>
                </w:p>
              </w:tc>
              <w:tc>
                <w:tcPr>
                  <w:tcW w:w="1782" w:type="dxa"/>
                  <w:vMerge w:val="continue"/>
                  <w:vAlign w:val="center"/>
                </w:tcPr>
                <w:p w14:paraId="16091B72">
                  <w:pPr>
                    <w:spacing w:line="240" w:lineRule="auto"/>
                    <w:rPr>
                      <w:rFonts w:ascii="Times New Roman" w:hAnsi="宋体"/>
                      <w:szCs w:val="21"/>
                      <w:highlight w:val="none"/>
                    </w:rPr>
                  </w:pPr>
                </w:p>
              </w:tc>
            </w:tr>
          </w:tbl>
          <w:p w14:paraId="461B2F0F">
            <w:pPr>
              <w:spacing w:line="300" w:lineRule="exact"/>
              <w:rPr>
                <w:rFonts w:eastAsia="黑体"/>
                <w:sz w:val="24"/>
              </w:rPr>
            </w:pPr>
          </w:p>
        </w:tc>
      </w:tr>
    </w:tbl>
    <w:p w14:paraId="49594BF2">
      <w:pPr>
        <w:rPr>
          <w:rFonts w:hint="eastAsia" w:eastAsia="黑体"/>
          <w:sz w:val="28"/>
          <w:szCs w:val="28"/>
        </w:rPr>
      </w:pPr>
    </w:p>
    <w:p w14:paraId="0AD6E423">
      <w:pPr>
        <w:rPr>
          <w:rFonts w:eastAsia="黑体"/>
          <w:sz w:val="28"/>
          <w:szCs w:val="28"/>
        </w:rPr>
      </w:pPr>
      <w:r>
        <w:rPr>
          <w:rFonts w:eastAsia="黑体"/>
          <w:sz w:val="28"/>
          <w:szCs w:val="28"/>
        </w:rPr>
        <w:t>第二部分：废物包装、运输情况</w:t>
      </w:r>
    </w:p>
    <w:tbl>
      <w:tblPr>
        <w:tblStyle w:val="6"/>
        <w:tblW w:w="924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634"/>
        <w:gridCol w:w="2075"/>
        <w:gridCol w:w="1421"/>
        <w:gridCol w:w="1379"/>
        <w:gridCol w:w="1716"/>
      </w:tblGrid>
      <w:tr w14:paraId="77EF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9240" w:type="dxa"/>
            <w:gridSpan w:val="6"/>
            <w:vAlign w:val="center"/>
          </w:tcPr>
          <w:p w14:paraId="3D1D0622">
            <w:pPr>
              <w:rPr>
                <w:b/>
                <w:bCs/>
              </w:rPr>
            </w:pPr>
            <w:r>
              <w:rPr>
                <w:b/>
                <w:bCs/>
              </w:rPr>
              <w:t>表1   废物包装情况</w:t>
            </w:r>
          </w:p>
        </w:tc>
      </w:tr>
      <w:tr w14:paraId="63E0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15" w:type="dxa"/>
            <w:vAlign w:val="center"/>
          </w:tcPr>
          <w:p w14:paraId="110D33A7">
            <w:pPr>
              <w:jc w:val="center"/>
            </w:pPr>
            <w:r>
              <w:t>序号</w:t>
            </w:r>
          </w:p>
        </w:tc>
        <w:tc>
          <w:tcPr>
            <w:tcW w:w="1634" w:type="dxa"/>
            <w:vAlign w:val="center"/>
          </w:tcPr>
          <w:p w14:paraId="6322A706">
            <w:pPr>
              <w:jc w:val="center"/>
            </w:pPr>
            <w:r>
              <w:t>废物名称</w:t>
            </w:r>
          </w:p>
        </w:tc>
        <w:tc>
          <w:tcPr>
            <w:tcW w:w="2075" w:type="dxa"/>
            <w:vAlign w:val="center"/>
          </w:tcPr>
          <w:p w14:paraId="4EE53C35">
            <w:pPr>
              <w:jc w:val="center"/>
            </w:pPr>
            <w:r>
              <w:t>包装物（容器）名称</w:t>
            </w:r>
          </w:p>
        </w:tc>
        <w:tc>
          <w:tcPr>
            <w:tcW w:w="1421" w:type="dxa"/>
            <w:vAlign w:val="center"/>
          </w:tcPr>
          <w:p w14:paraId="63F65185">
            <w:pPr>
              <w:jc w:val="center"/>
            </w:pPr>
            <w:r>
              <w:t>材质</w:t>
            </w:r>
          </w:p>
        </w:tc>
        <w:tc>
          <w:tcPr>
            <w:tcW w:w="1379" w:type="dxa"/>
            <w:vAlign w:val="center"/>
          </w:tcPr>
          <w:p w14:paraId="38D7C25C">
            <w:pPr>
              <w:jc w:val="center"/>
            </w:pPr>
            <w:r>
              <w:t>容积</w:t>
            </w:r>
          </w:p>
        </w:tc>
        <w:tc>
          <w:tcPr>
            <w:tcW w:w="1716" w:type="dxa"/>
            <w:vAlign w:val="center"/>
          </w:tcPr>
          <w:p w14:paraId="41534078">
            <w:pPr>
              <w:jc w:val="center"/>
            </w:pPr>
            <w:r>
              <w:t>是否有危废标签</w:t>
            </w:r>
          </w:p>
        </w:tc>
      </w:tr>
      <w:tr w14:paraId="0D6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exact"/>
        </w:trPr>
        <w:tc>
          <w:tcPr>
            <w:tcW w:w="1015" w:type="dxa"/>
            <w:shd w:val="clear" w:color="auto" w:fill="auto"/>
            <w:vAlign w:val="center"/>
          </w:tcPr>
          <w:p w14:paraId="3E7F35BF">
            <w:pPr>
              <w:jc w:val="center"/>
              <w:rPr>
                <w:rFonts w:ascii="Times New Roman" w:hAnsi="Times New Roman" w:eastAsia="宋体" w:cs="Times New Roman"/>
                <w:kern w:val="2"/>
                <w:sz w:val="21"/>
                <w:szCs w:val="24"/>
                <w:highlight w:val="none"/>
                <w:lang w:val="en-US" w:eastAsia="zh-CN" w:bidi="ar-SA"/>
              </w:rPr>
            </w:pPr>
            <w:r>
              <w:rPr>
                <w:rFonts w:hint="eastAsia" w:ascii="Times New Roman" w:hAnsi="Times New Roman"/>
                <w:highlight w:val="none"/>
              </w:rPr>
              <w:t>1</w:t>
            </w:r>
          </w:p>
        </w:tc>
        <w:tc>
          <w:tcPr>
            <w:tcW w:w="1634" w:type="dxa"/>
            <w:shd w:val="clear" w:color="auto" w:fill="auto"/>
            <w:vAlign w:val="top"/>
          </w:tcPr>
          <w:p w14:paraId="4C828F9C">
            <w:pPr>
              <w:spacing w:line="300" w:lineRule="exact"/>
              <w:jc w:val="left"/>
              <w:rPr>
                <w:rFonts w:hint="eastAsia" w:ascii="Times New Roman"/>
                <w:szCs w:val="21"/>
                <w:highlight w:val="none"/>
                <w:lang w:val="en-US" w:eastAsia="zh-CN"/>
              </w:rPr>
            </w:pPr>
            <w:r>
              <w:rPr>
                <w:rFonts w:hint="eastAsia" w:ascii="Times New Roman"/>
                <w:szCs w:val="21"/>
                <w:highlight w:val="none"/>
                <w:lang w:val="en-US" w:eastAsia="zh-CN"/>
              </w:rPr>
              <w:t>废矿物油（自产）900-249-08</w:t>
            </w:r>
          </w:p>
          <w:p w14:paraId="7BEAE24B">
            <w:pPr>
              <w:spacing w:line="300" w:lineRule="exact"/>
              <w:jc w:val="left"/>
              <w:rPr>
                <w:rFonts w:hint="eastAsia" w:ascii="Times New Roman"/>
                <w:szCs w:val="21"/>
                <w:highlight w:val="none"/>
                <w:lang w:val="en-US" w:eastAsia="zh-CN"/>
              </w:rPr>
            </w:pPr>
            <w:r>
              <w:rPr>
                <w:rFonts w:hint="eastAsia" w:ascii="Times New Roman"/>
                <w:szCs w:val="21"/>
                <w:highlight w:val="none"/>
                <w:lang w:val="en-US" w:eastAsia="zh-CN"/>
              </w:rPr>
              <w:t>废矿物油900-209-08、</w:t>
            </w:r>
          </w:p>
          <w:p w14:paraId="7B2F690C">
            <w:pPr>
              <w:spacing w:line="300" w:lineRule="exact"/>
              <w:jc w:val="left"/>
              <w:rPr>
                <w:rFonts w:hint="eastAsia" w:ascii="Times New Roman"/>
                <w:szCs w:val="21"/>
                <w:highlight w:val="none"/>
                <w:lang w:val="en-US" w:eastAsia="zh-CN"/>
              </w:rPr>
            </w:pPr>
            <w:r>
              <w:rPr>
                <w:rFonts w:hint="eastAsia" w:ascii="Times New Roman"/>
                <w:szCs w:val="21"/>
                <w:highlight w:val="none"/>
                <w:lang w:val="en-US" w:eastAsia="zh-CN"/>
              </w:rPr>
              <w:t>废矿物油900-249-08、</w:t>
            </w:r>
          </w:p>
          <w:p w14:paraId="5BE21C62">
            <w:pPr>
              <w:rPr>
                <w:rFonts w:hint="eastAsia" w:ascii="Times New Roman" w:hAnsi="Times New Roman" w:eastAsia="宋体" w:cs="Times New Roman"/>
                <w:kern w:val="2"/>
                <w:sz w:val="21"/>
                <w:szCs w:val="24"/>
                <w:highlight w:val="none"/>
                <w:lang w:val="en-US" w:eastAsia="zh-CN" w:bidi="ar-SA"/>
              </w:rPr>
            </w:pPr>
            <w:r>
              <w:rPr>
                <w:rFonts w:hint="eastAsia" w:ascii="Times New Roman"/>
                <w:szCs w:val="21"/>
                <w:highlight w:val="none"/>
                <w:lang w:val="en-US" w:eastAsia="zh-CN"/>
              </w:rPr>
              <w:t>废矿物油900-214-08</w:t>
            </w:r>
          </w:p>
        </w:tc>
        <w:tc>
          <w:tcPr>
            <w:tcW w:w="2075" w:type="dxa"/>
            <w:shd w:val="clear" w:color="auto" w:fill="auto"/>
            <w:vAlign w:val="top"/>
          </w:tcPr>
          <w:p w14:paraId="27A2CF16">
            <w:pPr>
              <w:jc w:val="center"/>
              <w:rPr>
                <w:rFonts w:ascii="Times New Roman" w:hAnsi="Times New Roman" w:eastAsia="宋体" w:cs="Times New Roman"/>
                <w:color w:val="000000"/>
                <w:kern w:val="2"/>
                <w:sz w:val="21"/>
                <w:szCs w:val="24"/>
                <w:highlight w:val="none"/>
                <w:lang w:val="en-US" w:eastAsia="zh-CN" w:bidi="ar-SA"/>
              </w:rPr>
            </w:pPr>
            <w:r>
              <w:rPr>
                <w:rFonts w:hint="eastAsia"/>
                <w:highlight w:val="none"/>
              </w:rPr>
              <w:t>槽罐车</w:t>
            </w:r>
          </w:p>
        </w:tc>
        <w:tc>
          <w:tcPr>
            <w:tcW w:w="1421" w:type="dxa"/>
            <w:shd w:val="clear" w:color="auto" w:fill="auto"/>
            <w:vAlign w:val="top"/>
          </w:tcPr>
          <w:p w14:paraId="57B8E3D1">
            <w:pPr>
              <w:jc w:val="center"/>
              <w:rPr>
                <w:rFonts w:ascii="Times New Roman" w:hAnsi="Times New Roman" w:eastAsia="宋体" w:cs="Times New Roman"/>
                <w:color w:val="000000"/>
                <w:kern w:val="2"/>
                <w:sz w:val="21"/>
                <w:szCs w:val="24"/>
                <w:highlight w:val="none"/>
                <w:lang w:val="en-US" w:eastAsia="zh-CN" w:bidi="ar-SA"/>
              </w:rPr>
            </w:pPr>
            <w:r>
              <w:rPr>
                <w:rFonts w:hint="eastAsia"/>
                <w:highlight w:val="none"/>
              </w:rPr>
              <w:t>金属</w:t>
            </w:r>
          </w:p>
        </w:tc>
        <w:tc>
          <w:tcPr>
            <w:tcW w:w="1379" w:type="dxa"/>
            <w:shd w:val="clear" w:color="auto" w:fill="auto"/>
            <w:vAlign w:val="top"/>
          </w:tcPr>
          <w:p w14:paraId="2F66A116">
            <w:pPr>
              <w:jc w:val="center"/>
              <w:rPr>
                <w:rFonts w:ascii="Times New Roman" w:hAnsi="Times New Roman" w:eastAsia="宋体" w:cs="Times New Roman"/>
                <w:color w:val="000000"/>
                <w:kern w:val="2"/>
                <w:sz w:val="21"/>
                <w:szCs w:val="24"/>
                <w:highlight w:val="none"/>
                <w:lang w:val="en-US" w:eastAsia="zh-CN" w:bidi="ar-SA"/>
              </w:rPr>
            </w:pPr>
            <w:r>
              <w:rPr>
                <w:rFonts w:hint="eastAsia"/>
                <w:highlight w:val="none"/>
              </w:rPr>
              <w:t>3</w:t>
            </w:r>
            <w:r>
              <w:rPr>
                <w:highlight w:val="none"/>
              </w:rPr>
              <w:t>0000</w:t>
            </w:r>
            <w:r>
              <w:rPr>
                <w:rFonts w:hint="eastAsia"/>
                <w:highlight w:val="none"/>
              </w:rPr>
              <w:t>L</w:t>
            </w:r>
          </w:p>
        </w:tc>
        <w:tc>
          <w:tcPr>
            <w:tcW w:w="1716" w:type="dxa"/>
            <w:shd w:val="clear" w:color="auto" w:fill="auto"/>
            <w:vAlign w:val="center"/>
          </w:tcPr>
          <w:p w14:paraId="36464FCF">
            <w:pPr>
              <w:jc w:val="center"/>
              <w:rPr>
                <w:rFonts w:ascii="Times New Roman" w:hAnsi="Times New Roman" w:eastAsia="宋体" w:cs="Times New Roman"/>
                <w:color w:val="000000"/>
                <w:kern w:val="2"/>
                <w:sz w:val="21"/>
                <w:szCs w:val="24"/>
                <w:highlight w:val="none"/>
                <w:lang w:val="en-US" w:eastAsia="zh-CN" w:bidi="ar-SA"/>
              </w:rPr>
            </w:pPr>
            <w:r>
              <w:rPr>
                <w:rFonts w:ascii="Times New Roman" w:hAnsi="Times New Roman"/>
                <w:color w:val="000000"/>
                <w:highlight w:val="none"/>
              </w:rPr>
              <w:t>是</w:t>
            </w:r>
          </w:p>
        </w:tc>
      </w:tr>
      <w:tr w14:paraId="3D3A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40" w:type="dxa"/>
            <w:gridSpan w:val="6"/>
            <w:vAlign w:val="center"/>
          </w:tcPr>
          <w:p w14:paraId="4726B708">
            <w:r>
              <w:rPr>
                <w:b/>
                <w:bCs/>
              </w:rPr>
              <w:t>表2  废物运输情况</w:t>
            </w:r>
          </w:p>
        </w:tc>
      </w:tr>
      <w:tr w14:paraId="1C00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exact"/>
        </w:trPr>
        <w:tc>
          <w:tcPr>
            <w:tcW w:w="9240" w:type="dxa"/>
            <w:gridSpan w:val="6"/>
          </w:tcPr>
          <w:p w14:paraId="32960171">
            <w:r>
              <w:t>运输</w:t>
            </w:r>
            <w:r>
              <w:rPr>
                <w:rFonts w:hint="eastAsia"/>
              </w:rPr>
              <w:t>单位、车辆</w:t>
            </w:r>
            <w:r>
              <w:t>是否符合交管部门运输规定</w:t>
            </w:r>
            <w:r>
              <w:rPr>
                <w:rFonts w:hint="eastAsia"/>
              </w:rPr>
              <w:t>及环保要求</w:t>
            </w:r>
            <w:r>
              <w:t>（文字描述）</w:t>
            </w:r>
          </w:p>
          <w:p w14:paraId="47188736">
            <w:pPr>
              <w:rPr>
                <w:rFonts w:hint="eastAsia" w:ascii="宋体" w:hAnsi="宋体" w:eastAsia="宋体" w:cs="宋体"/>
                <w:szCs w:val="21"/>
                <w:highlight w:val="none"/>
              </w:rPr>
            </w:pPr>
            <w:r>
              <w:rPr>
                <w:rFonts w:hint="eastAsia" w:ascii="宋体" w:hAnsi="宋体" w:eastAsia="宋体" w:cs="宋体"/>
                <w:szCs w:val="21"/>
                <w:highlight w:val="none"/>
              </w:rPr>
              <w:t>委托具有相应资质的危险货物运输单位</w:t>
            </w:r>
            <w:r>
              <w:rPr>
                <w:rFonts w:hint="eastAsia" w:ascii="宋体" w:hAnsi="宋体" w:eastAsia="宋体" w:cs="宋体"/>
                <w:szCs w:val="21"/>
                <w:highlight w:val="none"/>
                <w:lang w:eastAsia="zh-CN"/>
              </w:rPr>
              <w:t>江苏神华物流有限公司、</w:t>
            </w:r>
            <w:r>
              <w:rPr>
                <w:rFonts w:hint="default" w:ascii="宋体" w:hAnsi="宋体" w:eastAsia="宋体" w:cs="宋体"/>
                <w:szCs w:val="21"/>
                <w:highlight w:val="none"/>
                <w:lang w:val="en-US" w:eastAsia="zh-CN"/>
              </w:rPr>
              <w:t>镇江市大港顺达汽车运输</w:t>
            </w:r>
            <w:r>
              <w:rPr>
                <w:rFonts w:hint="eastAsia" w:ascii="宋体" w:hAnsi="宋体" w:eastAsia="宋体" w:cs="宋体"/>
                <w:szCs w:val="21"/>
                <w:highlight w:val="none"/>
                <w:lang w:val="en-US" w:eastAsia="zh-CN"/>
              </w:rPr>
              <w:t>有限公司</w:t>
            </w:r>
            <w:r>
              <w:rPr>
                <w:rFonts w:hint="eastAsia" w:ascii="宋体" w:hAnsi="宋体" w:eastAsia="宋体" w:cs="宋体"/>
                <w:szCs w:val="21"/>
                <w:highlight w:val="none"/>
              </w:rPr>
              <w:t>，并由符合相关规定的危货运输车辆进行运输。</w:t>
            </w:r>
          </w:p>
          <w:p w14:paraId="22784E21">
            <w:pPr>
              <w:rPr>
                <w:rFonts w:hint="eastAsia" w:ascii="宋体" w:hAnsi="宋体" w:eastAsia="宋体" w:cs="宋体"/>
                <w:szCs w:val="21"/>
                <w:highlight w:val="none"/>
              </w:rPr>
            </w:pPr>
          </w:p>
          <w:p w14:paraId="0BF03270">
            <w:pPr>
              <w:rPr>
                <w:rFonts w:hint="eastAsia" w:ascii="宋体" w:hAnsi="宋体" w:eastAsia="宋体" w:cs="宋体"/>
                <w:szCs w:val="21"/>
                <w:highlight w:val="none"/>
              </w:rPr>
            </w:pPr>
          </w:p>
          <w:p w14:paraId="08321F3B">
            <w:pPr>
              <w:rPr>
                <w:rFonts w:hint="eastAsia" w:ascii="宋体" w:hAnsi="宋体" w:eastAsia="宋体" w:cs="宋体"/>
                <w:szCs w:val="21"/>
                <w:highlight w:val="none"/>
              </w:rPr>
            </w:pPr>
          </w:p>
          <w:p w14:paraId="5EE94EE2">
            <w:pPr>
              <w:rPr>
                <w:rFonts w:hint="eastAsia" w:ascii="宋体" w:hAnsi="宋体" w:eastAsia="宋体" w:cs="宋体"/>
                <w:szCs w:val="21"/>
                <w:highlight w:val="none"/>
              </w:rPr>
            </w:pPr>
          </w:p>
          <w:p w14:paraId="4308FCF5">
            <w:pPr>
              <w:rPr>
                <w:rFonts w:hint="eastAsia" w:ascii="宋体" w:hAnsi="宋体" w:eastAsia="宋体" w:cs="宋体"/>
                <w:szCs w:val="21"/>
                <w:highlight w:val="none"/>
              </w:rPr>
            </w:pPr>
          </w:p>
          <w:p w14:paraId="1CA17C9C">
            <w:pPr>
              <w:rPr>
                <w:rFonts w:hint="eastAsia" w:ascii="宋体" w:hAnsi="宋体" w:eastAsia="宋体" w:cs="宋体"/>
                <w:szCs w:val="21"/>
                <w:highlight w:val="none"/>
              </w:rPr>
            </w:pPr>
          </w:p>
          <w:p w14:paraId="792DEC5A">
            <w:pPr>
              <w:rPr>
                <w:rFonts w:hint="eastAsia" w:ascii="宋体" w:hAnsi="宋体" w:eastAsia="宋体" w:cs="宋体"/>
                <w:szCs w:val="21"/>
                <w:highlight w:val="none"/>
              </w:rPr>
            </w:pPr>
          </w:p>
          <w:p w14:paraId="330D8D36">
            <w:pPr>
              <w:rPr>
                <w:rFonts w:hint="eastAsia" w:ascii="宋体" w:hAnsi="宋体" w:eastAsia="宋体" w:cs="宋体"/>
                <w:szCs w:val="21"/>
                <w:highlight w:val="none"/>
              </w:rPr>
            </w:pPr>
          </w:p>
          <w:p w14:paraId="6EA45E06">
            <w:pPr>
              <w:rPr>
                <w:rFonts w:hint="eastAsia" w:ascii="宋体" w:hAnsi="宋体" w:eastAsia="宋体" w:cs="宋体"/>
                <w:szCs w:val="21"/>
                <w:highlight w:val="none"/>
              </w:rPr>
            </w:pPr>
          </w:p>
          <w:p w14:paraId="733DAF55">
            <w:pPr>
              <w:rPr>
                <w:rFonts w:hint="eastAsia" w:ascii="宋体" w:hAnsi="宋体" w:eastAsia="宋体" w:cs="宋体"/>
                <w:szCs w:val="21"/>
                <w:highlight w:val="none"/>
              </w:rPr>
            </w:pPr>
          </w:p>
        </w:tc>
      </w:tr>
      <w:tr w14:paraId="2F0A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7" w:hRule="exact"/>
        </w:trPr>
        <w:tc>
          <w:tcPr>
            <w:tcW w:w="9240" w:type="dxa"/>
            <w:gridSpan w:val="6"/>
          </w:tcPr>
          <w:p w14:paraId="1CDC7361">
            <w:pPr>
              <w:rPr>
                <w:rFonts w:hint="eastAsia"/>
              </w:rPr>
            </w:pPr>
            <w:r>
              <w:t>运输路线文字描述：（写明途经省、市、县（区））</w:t>
            </w:r>
          </w:p>
          <w:p w14:paraId="1B1D29DF">
            <w:pPr>
              <w:pStyle w:val="2"/>
              <w:ind w:left="0" w:leftChars="0" w:firstLine="0" w:firstLineChars="0"/>
              <w:rPr>
                <w:rFonts w:hint="eastAsia" w:eastAsia="宋体"/>
                <w:b w:val="0"/>
                <w:bCs w:val="0"/>
                <w:color w:val="000000"/>
                <w:sz w:val="21"/>
                <w:szCs w:val="22"/>
                <w:highlight w:val="none"/>
                <w:lang w:val="en-US" w:eastAsia="zh-CN"/>
              </w:rPr>
            </w:pPr>
            <w:r>
              <w:rPr>
                <w:rFonts w:hint="eastAsia"/>
                <w:b w:val="0"/>
                <w:bCs w:val="0"/>
                <w:color w:val="000000"/>
                <w:sz w:val="21"/>
                <w:szCs w:val="22"/>
                <w:highlight w:val="none"/>
                <w:lang w:val="en-US" w:eastAsia="zh-CN"/>
              </w:rPr>
              <w:t>上海新金桥环保有限公司-S20外环高速-G1503上海绕城高速--G15沈海高速-G4221沪武高速-金湖路-常州菲纳斯能源科技有限公司</w:t>
            </w:r>
          </w:p>
          <w:p w14:paraId="3F843E20">
            <w:pPr>
              <w:pStyle w:val="3"/>
              <w:rPr>
                <w:rFonts w:hint="eastAsia"/>
                <w:color w:val="000000"/>
                <w:szCs w:val="22"/>
                <w:lang w:val="en-US" w:eastAsia="zh-CN"/>
              </w:rPr>
            </w:pPr>
            <w:r>
              <w:rPr>
                <w:rFonts w:hint="eastAsia"/>
                <w:color w:val="000000"/>
                <w:szCs w:val="22"/>
              </w:rPr>
              <w:t>所经地级市：</w:t>
            </w:r>
            <w:r>
              <w:rPr>
                <w:rFonts w:hint="eastAsia"/>
                <w:color w:val="000000"/>
                <w:szCs w:val="22"/>
                <w:lang w:val="en-US" w:eastAsia="zh-CN"/>
              </w:rPr>
              <w:t>上海市-太仓市-常熟市-张家港市-常州市</w:t>
            </w:r>
          </w:p>
          <w:p w14:paraId="7AF43836">
            <w:pPr>
              <w:pStyle w:val="3"/>
              <w:rPr>
                <w:rFonts w:hint="default"/>
                <w:color w:val="000000"/>
                <w:szCs w:val="22"/>
                <w:lang w:val="en-US" w:eastAsia="zh-CN"/>
              </w:rPr>
            </w:pPr>
          </w:p>
          <w:p w14:paraId="233B79F1">
            <w:pPr>
              <w:rPr>
                <w:rFonts w:hint="eastAsia"/>
              </w:rPr>
            </w:pPr>
          </w:p>
          <w:p w14:paraId="2FA8D907">
            <w:pPr>
              <w:rPr>
                <w:rFonts w:hint="eastAsia"/>
              </w:rPr>
            </w:pPr>
          </w:p>
          <w:p w14:paraId="19679216">
            <w:pPr>
              <w:rPr>
                <w:rFonts w:hint="eastAsia"/>
              </w:rPr>
            </w:pPr>
          </w:p>
          <w:p w14:paraId="17D6F312">
            <w:pPr>
              <w:rPr>
                <w:rFonts w:hint="eastAsia"/>
              </w:rPr>
            </w:pPr>
          </w:p>
        </w:tc>
      </w:tr>
      <w:tr w14:paraId="77C7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9240" w:type="dxa"/>
            <w:gridSpan w:val="6"/>
          </w:tcPr>
          <w:p w14:paraId="7F2BA68A">
            <w:r>
              <w:rPr>
                <w:b/>
                <w:bCs/>
              </w:rPr>
              <w:t>表3  转移的污染防治、安全防护和应急措施</w:t>
            </w:r>
          </w:p>
        </w:tc>
      </w:tr>
      <w:tr w14:paraId="0AF6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1" w:hRule="atLeast"/>
        </w:trPr>
        <w:tc>
          <w:tcPr>
            <w:tcW w:w="9240" w:type="dxa"/>
            <w:gridSpan w:val="6"/>
            <w:vAlign w:val="top"/>
          </w:tcPr>
          <w:p w14:paraId="250FB1F0">
            <w:pPr>
              <w:numPr>
                <w:ilvl w:val="0"/>
                <w:numId w:val="1"/>
              </w:numPr>
              <w:rPr>
                <w:bCs/>
              </w:rPr>
            </w:pPr>
            <w:r>
              <w:rPr>
                <w:bCs/>
              </w:rPr>
              <w:t>运输过程中的污染防治措施</w:t>
            </w:r>
            <w:r>
              <w:rPr>
                <w:rFonts w:hint="eastAsia"/>
                <w:bCs/>
              </w:rPr>
              <w:t>、</w:t>
            </w:r>
            <w:r>
              <w:rPr>
                <w:bCs/>
              </w:rPr>
              <w:t>安全防护措施以及按照要求配备的相应污染防治设备</w:t>
            </w:r>
          </w:p>
          <w:p w14:paraId="43FDFA20">
            <w:pPr>
              <w:spacing w:line="240" w:lineRule="auto"/>
              <w:rPr>
                <w:rFonts w:ascii="Times New Roman"/>
                <w:bCs/>
                <w:szCs w:val="21"/>
                <w:highlight w:val="none"/>
              </w:rPr>
            </w:pPr>
            <w:r>
              <w:rPr>
                <w:rFonts w:ascii="Times New Roman"/>
                <w:bCs/>
                <w:szCs w:val="21"/>
                <w:highlight w:val="none"/>
              </w:rPr>
              <w:t>运输过程中的污染防治措施以及按照要求配备的相应污染防治设备</w:t>
            </w:r>
          </w:p>
          <w:p w14:paraId="5F79CA4F">
            <w:pPr>
              <w:numPr>
                <w:ilvl w:val="0"/>
                <w:numId w:val="0"/>
              </w:numPr>
              <w:spacing w:line="360" w:lineRule="auto"/>
              <w:rPr>
                <w:rFonts w:hint="eastAsia" w:ascii="Times New Roman"/>
                <w:bCs/>
                <w:szCs w:val="24"/>
                <w:highlight w:val="none"/>
              </w:rPr>
            </w:pPr>
            <w:r>
              <w:rPr>
                <w:rFonts w:hint="eastAsia" w:ascii="Times New Roman"/>
                <w:bCs/>
                <w:szCs w:val="24"/>
                <w:highlight w:val="none"/>
                <w:lang w:eastAsia="zh-CN"/>
              </w:rPr>
              <w:t>①</w:t>
            </w:r>
            <w:r>
              <w:rPr>
                <w:rFonts w:hint="eastAsia" w:ascii="Times New Roman"/>
                <w:bCs/>
                <w:szCs w:val="24"/>
                <w:highlight w:val="none"/>
              </w:rPr>
              <w:t>严格按照《中华人民共和国固体废物污染环境防治法》有关规定进行操作。 </w:t>
            </w:r>
          </w:p>
          <w:p w14:paraId="690DB2C8">
            <w:pPr>
              <w:numPr>
                <w:ilvl w:val="0"/>
                <w:numId w:val="0"/>
              </w:numPr>
              <w:spacing w:line="360" w:lineRule="auto"/>
              <w:rPr>
                <w:rFonts w:hint="eastAsia" w:ascii="Times New Roman" w:eastAsia="宋体"/>
                <w:bCs/>
                <w:szCs w:val="24"/>
                <w:highlight w:val="none"/>
                <w:lang w:eastAsia="zh-CN"/>
              </w:rPr>
            </w:pPr>
            <w:r>
              <w:rPr>
                <w:rFonts w:hint="eastAsia" w:ascii="Times New Roman"/>
                <w:bCs/>
                <w:szCs w:val="24"/>
                <w:highlight w:val="none"/>
                <w:lang w:eastAsia="zh-CN"/>
              </w:rPr>
              <w:t>②</w:t>
            </w:r>
            <w:r>
              <w:rPr>
                <w:rFonts w:hint="eastAsia" w:ascii="Times New Roman"/>
                <w:bCs/>
                <w:szCs w:val="24"/>
                <w:highlight w:val="none"/>
              </w:rPr>
              <w:t>废物装卸必须废物装卸工具处理设施，尽可能采取机械作业，减少人工对其直接操作，如果采用人工搬运，应避免废物直接接触身体。 </w:t>
            </w:r>
            <w:r>
              <w:rPr>
                <w:rFonts w:hint="eastAsia" w:ascii="Times New Roman"/>
                <w:bCs/>
                <w:szCs w:val="24"/>
                <w:highlight w:val="none"/>
                <w:lang w:eastAsia="zh-CN"/>
              </w:rPr>
              <w:t>人员佩戴醒目标志，穿着防护服，戴橡胶手套，对废物所属区域进行保护，无关人员禁止进入。</w:t>
            </w:r>
          </w:p>
          <w:p w14:paraId="3B80982A">
            <w:pPr>
              <w:spacing w:line="360" w:lineRule="auto"/>
              <w:rPr>
                <w:rFonts w:hint="eastAsia" w:ascii="Times New Roman"/>
                <w:bCs/>
                <w:szCs w:val="24"/>
                <w:highlight w:val="none"/>
                <w:lang w:eastAsia="zh-CN"/>
              </w:rPr>
            </w:pPr>
            <w:r>
              <w:rPr>
                <w:rFonts w:hint="eastAsia" w:ascii="Times New Roman"/>
                <w:bCs/>
                <w:szCs w:val="24"/>
                <w:highlight w:val="none"/>
                <w:lang w:eastAsia="zh-CN"/>
              </w:rPr>
              <w:t>③</w:t>
            </w:r>
            <w:r>
              <w:rPr>
                <w:rFonts w:hint="eastAsia" w:ascii="Times New Roman"/>
                <w:bCs/>
                <w:szCs w:val="24"/>
                <w:highlight w:val="none"/>
              </w:rPr>
              <w:t>在装卸过程中</w:t>
            </w:r>
            <w:r>
              <w:rPr>
                <w:rFonts w:hint="eastAsia" w:ascii="Times New Roman"/>
                <w:bCs/>
                <w:szCs w:val="24"/>
                <w:highlight w:val="none"/>
                <w:lang w:eastAsia="zh-CN"/>
              </w:rPr>
              <w:t>，</w:t>
            </w:r>
            <w:r>
              <w:rPr>
                <w:rFonts w:hint="eastAsia" w:ascii="Times New Roman"/>
                <w:bCs/>
                <w:szCs w:val="24"/>
                <w:highlight w:val="none"/>
              </w:rPr>
              <w:t>若发生包装物泄漏情况必须立即采取措施及时</w:t>
            </w:r>
            <w:r>
              <w:rPr>
                <w:rFonts w:hint="eastAsia" w:ascii="Times New Roman"/>
                <w:bCs/>
                <w:szCs w:val="24"/>
                <w:highlight w:val="none"/>
                <w:lang w:eastAsia="zh-CN"/>
              </w:rPr>
              <w:t>根据具体品种按消防方法施救</w:t>
            </w:r>
            <w:r>
              <w:rPr>
                <w:rFonts w:hint="eastAsia" w:ascii="Times New Roman"/>
                <w:bCs/>
                <w:szCs w:val="24"/>
                <w:highlight w:val="none"/>
              </w:rPr>
              <w:t>处理</w:t>
            </w:r>
            <w:r>
              <w:rPr>
                <w:rFonts w:hint="eastAsia" w:ascii="Times New Roman"/>
                <w:bCs/>
                <w:szCs w:val="24"/>
                <w:highlight w:val="none"/>
                <w:lang w:eastAsia="zh-CN"/>
              </w:rPr>
              <w:t>，应穿戴包括氧气防毒面具在内的全身防护服。</w:t>
            </w:r>
          </w:p>
          <w:p w14:paraId="3914492D">
            <w:pPr>
              <w:spacing w:line="360" w:lineRule="auto"/>
              <w:rPr>
                <w:bCs/>
              </w:rPr>
            </w:pPr>
            <w:r>
              <w:rPr>
                <w:rFonts w:hint="eastAsia" w:ascii="Times New Roman"/>
                <w:bCs/>
                <w:szCs w:val="24"/>
                <w:highlight w:val="none"/>
              </w:rPr>
              <w:t> </w:t>
            </w:r>
            <w:r>
              <w:rPr>
                <w:rFonts w:hint="eastAsia" w:ascii="Times New Roman"/>
                <w:bCs/>
                <w:szCs w:val="24"/>
                <w:highlight w:val="none"/>
                <w:lang w:eastAsia="zh-CN"/>
              </w:rPr>
              <w:t>④</w:t>
            </w:r>
            <w:r>
              <w:rPr>
                <w:rFonts w:hint="eastAsia" w:ascii="Times New Roman"/>
                <w:bCs/>
                <w:szCs w:val="24"/>
                <w:highlight w:val="none"/>
              </w:rPr>
              <w:t>本厂在装卸运输废物过程中，如遇天气突发变化事件，如狂风暴雨、降雪等现象应停止装卸运输过程。</w:t>
            </w:r>
          </w:p>
        </w:tc>
      </w:tr>
      <w:tr w14:paraId="76C9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trPr>
        <w:tc>
          <w:tcPr>
            <w:tcW w:w="9240" w:type="dxa"/>
            <w:gridSpan w:val="6"/>
            <w:vAlign w:val="top"/>
          </w:tcPr>
          <w:p w14:paraId="7A014ED0">
            <w:pPr>
              <w:rPr>
                <w:bCs/>
              </w:rPr>
            </w:pPr>
            <w:r>
              <w:rPr>
                <w:rFonts w:hint="eastAsia"/>
                <w:bCs/>
              </w:rPr>
              <w:t>2</w:t>
            </w:r>
            <w:r>
              <w:rPr>
                <w:bCs/>
              </w:rPr>
              <w:t>、运输过程中的应急预案以及按照要求配备的相应应急设备</w:t>
            </w:r>
          </w:p>
          <w:p w14:paraId="3AD6989E">
            <w:pPr>
              <w:numPr>
                <w:ilvl w:val="0"/>
                <w:numId w:val="0"/>
              </w:numPr>
              <w:spacing w:line="360" w:lineRule="auto"/>
              <w:ind w:leftChars="0"/>
              <w:rPr>
                <w:rFonts w:hint="eastAsia" w:ascii="Times New Roman"/>
                <w:bCs/>
                <w:szCs w:val="24"/>
                <w:highlight w:val="none"/>
              </w:rPr>
            </w:pPr>
            <w:r>
              <w:rPr>
                <w:rFonts w:hint="eastAsia" w:ascii="Times New Roman"/>
                <w:bCs/>
                <w:szCs w:val="24"/>
                <w:highlight w:val="none"/>
                <w:lang w:eastAsia="zh-CN"/>
              </w:rPr>
              <w:t>①运输公司设有应急救援组，负责公司危化品和危废的运输事故应急处理的各项工作，承担运输的车辆和驾驶员积极配合用车单位对危化品和危废运输事故的应急救援工作</w:t>
            </w:r>
            <w:r>
              <w:rPr>
                <w:rFonts w:hint="eastAsia" w:ascii="Times New Roman"/>
                <w:bCs/>
                <w:szCs w:val="24"/>
                <w:highlight w:val="none"/>
              </w:rPr>
              <w:t>。 </w:t>
            </w:r>
          </w:p>
          <w:p w14:paraId="3F573602">
            <w:pPr>
              <w:numPr>
                <w:ilvl w:val="0"/>
                <w:numId w:val="0"/>
              </w:numPr>
              <w:spacing w:line="360" w:lineRule="auto"/>
              <w:ind w:leftChars="0"/>
              <w:rPr>
                <w:rFonts w:hint="eastAsia" w:ascii="Times New Roman" w:eastAsia="宋体"/>
                <w:bCs/>
                <w:szCs w:val="24"/>
                <w:highlight w:val="none"/>
                <w:lang w:eastAsia="zh-CN"/>
              </w:rPr>
            </w:pPr>
            <w:r>
              <w:rPr>
                <w:rFonts w:hint="eastAsia" w:ascii="Times New Roman"/>
                <w:bCs/>
                <w:szCs w:val="24"/>
                <w:highlight w:val="none"/>
                <w:lang w:eastAsia="zh-CN"/>
              </w:rPr>
              <w:t>②</w:t>
            </w:r>
            <w:r>
              <w:rPr>
                <w:rFonts w:hint="eastAsia" w:ascii="Times New Roman"/>
                <w:bCs/>
                <w:szCs w:val="24"/>
                <w:highlight w:val="none"/>
              </w:rPr>
              <w:t>废物运输车辆和运输人员必须具备从事危险废物运输经营的相关要求，并执有相关运输营业执照。</w:t>
            </w:r>
            <w:r>
              <w:rPr>
                <w:rFonts w:hint="eastAsia" w:ascii="Times New Roman"/>
                <w:bCs/>
                <w:szCs w:val="24"/>
                <w:highlight w:val="none"/>
                <w:lang w:eastAsia="zh-CN"/>
              </w:rPr>
              <w:t>驾驶员与押运员必须是认真负责，技术熟练，懂得危险货物运输的相关知识专业的驾驶员，非专业驾驶员不准运输危险货的。</w:t>
            </w:r>
          </w:p>
          <w:p w14:paraId="75ED15FA">
            <w:pPr>
              <w:rPr>
                <w:rFonts w:hint="eastAsia"/>
                <w:bCs/>
              </w:rPr>
            </w:pPr>
            <w:r>
              <w:rPr>
                <w:rFonts w:hint="eastAsia" w:ascii="Times New Roman"/>
                <w:bCs/>
                <w:szCs w:val="24"/>
                <w:highlight w:val="none"/>
                <w:lang w:eastAsia="zh-CN"/>
              </w:rPr>
              <w:t>③运输过程中发生翻车、撞击等意外事故时，不论何种情况，现场押运员、驾驶人员应立即采取相应措施进行救援防止事故扩大、恶化；并及时向处置中心报警。</w:t>
            </w:r>
          </w:p>
        </w:tc>
      </w:tr>
      <w:tr w14:paraId="2F8C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1" w:hRule="atLeast"/>
        </w:trPr>
        <w:tc>
          <w:tcPr>
            <w:tcW w:w="9240" w:type="dxa"/>
            <w:gridSpan w:val="6"/>
            <w:vAlign w:val="top"/>
          </w:tcPr>
          <w:p w14:paraId="1DF968A4">
            <w:pPr>
              <w:rPr>
                <w:rFonts w:ascii="Times New Roman"/>
                <w:bCs/>
                <w:szCs w:val="24"/>
                <w:highlight w:val="none"/>
              </w:rPr>
            </w:pPr>
            <w:r>
              <w:rPr>
                <w:rFonts w:ascii="Times New Roman" w:hAnsi="Times New Roman"/>
                <w:bCs/>
                <w:szCs w:val="24"/>
                <w:highlight w:val="none"/>
              </w:rPr>
              <w:t>3</w:t>
            </w:r>
            <w:r>
              <w:rPr>
                <w:rFonts w:ascii="Times New Roman"/>
                <w:bCs/>
                <w:szCs w:val="24"/>
                <w:highlight w:val="none"/>
              </w:rPr>
              <w:t>、运输过程中的应急预案以及按照要求配备的相应应急设备</w:t>
            </w:r>
          </w:p>
          <w:p w14:paraId="5AEAB8BD">
            <w:pPr>
              <w:numPr>
                <w:ilvl w:val="0"/>
                <w:numId w:val="0"/>
              </w:numPr>
              <w:spacing w:line="360" w:lineRule="auto"/>
              <w:ind w:leftChars="0"/>
              <w:rPr>
                <w:rFonts w:hint="eastAsia" w:ascii="Times New Roman" w:hAnsi="Times New Roman"/>
                <w:szCs w:val="24"/>
                <w:highlight w:val="none"/>
              </w:rPr>
            </w:pPr>
            <w:r>
              <w:rPr>
                <w:rFonts w:hint="default" w:ascii="Times New Roman" w:hAnsi="Times New Roman"/>
                <w:szCs w:val="24"/>
                <w:highlight w:val="none"/>
              </w:rPr>
              <w:t>A</w:t>
            </w:r>
            <w:r>
              <w:rPr>
                <w:rFonts w:hint="eastAsia" w:ascii="Times New Roman" w:hAnsi="Times New Roman"/>
                <w:szCs w:val="24"/>
                <w:highlight w:val="none"/>
              </w:rPr>
              <w:t>、拉警戒线隔离泄漏污染区，限制人员靠近，并及时拨打公司</w:t>
            </w:r>
            <w:r>
              <w:rPr>
                <w:rFonts w:hint="eastAsia" w:ascii="Times New Roman" w:hAnsi="Times New Roman"/>
                <w:szCs w:val="24"/>
                <w:highlight w:val="none"/>
                <w:lang w:val="en-US" w:eastAsia="zh-CN"/>
              </w:rPr>
              <w:t>和</w:t>
            </w:r>
            <w:r>
              <w:rPr>
                <w:rFonts w:hint="eastAsia" w:ascii="Times New Roman" w:hAnsi="Times New Roman"/>
                <w:szCs w:val="24"/>
                <w:highlight w:val="none"/>
              </w:rPr>
              <w:t>当地辖区环保部门应急</w:t>
            </w:r>
          </w:p>
          <w:p w14:paraId="502F2752">
            <w:pPr>
              <w:spacing w:line="360" w:lineRule="auto"/>
              <w:rPr>
                <w:rFonts w:hint="eastAsia" w:ascii="Times New Roman" w:hAnsi="Times New Roman"/>
                <w:szCs w:val="24"/>
                <w:highlight w:val="none"/>
              </w:rPr>
            </w:pPr>
            <w:r>
              <w:rPr>
                <w:rFonts w:hint="eastAsia" w:ascii="Times New Roman" w:hAnsi="Times New Roman"/>
                <w:szCs w:val="24"/>
                <w:highlight w:val="none"/>
              </w:rPr>
              <w:t>救援电话。</w:t>
            </w:r>
          </w:p>
          <w:p w14:paraId="2CC6A4AC">
            <w:pPr>
              <w:spacing w:line="360" w:lineRule="auto"/>
              <w:rPr>
                <w:rFonts w:hint="eastAsia" w:ascii="Times New Roman" w:hAnsi="Times New Roman" w:eastAsia="宋体"/>
                <w:szCs w:val="24"/>
                <w:highlight w:val="none"/>
                <w:lang w:eastAsia="zh-CN"/>
              </w:rPr>
            </w:pPr>
            <w:r>
              <w:rPr>
                <w:rFonts w:hint="eastAsia" w:ascii="Times New Roman" w:hAnsi="Times New Roman"/>
                <w:szCs w:val="24"/>
                <w:highlight w:val="none"/>
              </w:rPr>
              <w:t> </w:t>
            </w:r>
            <w:r>
              <w:rPr>
                <w:rFonts w:hint="default" w:ascii="Times New Roman" w:hAnsi="Times New Roman"/>
                <w:szCs w:val="24"/>
                <w:highlight w:val="none"/>
              </w:rPr>
              <w:t>B</w:t>
            </w:r>
            <w:r>
              <w:rPr>
                <w:rFonts w:hint="eastAsia" w:ascii="Times New Roman" w:hAnsi="Times New Roman"/>
                <w:szCs w:val="24"/>
                <w:highlight w:val="none"/>
              </w:rPr>
              <w:t>、立即使用随车配备的应急</w:t>
            </w:r>
            <w:r>
              <w:rPr>
                <w:rFonts w:hint="eastAsia" w:ascii="Times New Roman" w:hAnsi="Times New Roman"/>
                <w:szCs w:val="24"/>
                <w:highlight w:val="none"/>
                <w:lang w:eastAsia="zh-CN"/>
              </w:rPr>
              <w:t>工具，收集、堵漏、清理</w:t>
            </w:r>
            <w:r>
              <w:rPr>
                <w:rFonts w:hint="eastAsia" w:ascii="Times New Roman" w:hAnsi="Times New Roman"/>
                <w:szCs w:val="24"/>
                <w:highlight w:val="none"/>
              </w:rPr>
              <w:t>。</w:t>
            </w:r>
            <w:r>
              <w:rPr>
                <w:rFonts w:hint="eastAsia" w:ascii="Times New Roman" w:hAnsi="Times New Roman"/>
                <w:szCs w:val="24"/>
                <w:highlight w:val="none"/>
                <w:lang w:eastAsia="zh-CN"/>
              </w:rPr>
              <w:t>如渗漏情况严重，应设置隔离区，禁止车辆和行人通过，避免污染物扩散和对行人造成伤害。</w:t>
            </w:r>
          </w:p>
          <w:p w14:paraId="73BAFAA2">
            <w:pPr>
              <w:spacing w:line="360" w:lineRule="auto"/>
              <w:rPr>
                <w:rFonts w:hint="eastAsia" w:ascii="Times New Roman" w:hAnsi="Times New Roman"/>
                <w:szCs w:val="24"/>
                <w:highlight w:val="none"/>
              </w:rPr>
            </w:pPr>
            <w:r>
              <w:rPr>
                <w:rFonts w:hint="eastAsia" w:ascii="Times New Roman" w:hAnsi="Times New Roman"/>
                <w:szCs w:val="24"/>
                <w:highlight w:val="none"/>
              </w:rPr>
              <w:t> </w:t>
            </w:r>
            <w:r>
              <w:rPr>
                <w:rFonts w:hint="default" w:ascii="Times New Roman" w:hAnsi="Times New Roman"/>
                <w:szCs w:val="24"/>
                <w:highlight w:val="none"/>
              </w:rPr>
              <w:t>C</w:t>
            </w:r>
            <w:r>
              <w:rPr>
                <w:rFonts w:hint="eastAsia" w:ascii="Times New Roman" w:hAnsi="Times New Roman"/>
                <w:szCs w:val="24"/>
                <w:highlight w:val="none"/>
              </w:rPr>
              <w:t>、应急人员佩戴好防护用具（口罩、护目镜、手套、工作服等）</w:t>
            </w:r>
          </w:p>
          <w:p w14:paraId="6DFAB3C7">
            <w:pPr>
              <w:spacing w:line="360" w:lineRule="auto"/>
              <w:rPr>
                <w:rFonts w:hint="eastAsia" w:ascii="Times New Roman" w:hAnsi="Times New Roman"/>
                <w:szCs w:val="24"/>
                <w:highlight w:val="none"/>
              </w:rPr>
            </w:pPr>
            <w:r>
              <w:rPr>
                <w:rFonts w:hint="eastAsia" w:ascii="Times New Roman" w:hAnsi="Times New Roman"/>
                <w:szCs w:val="24"/>
                <w:highlight w:val="none"/>
              </w:rPr>
              <w:t>，不得直接接触泄漏物</w:t>
            </w:r>
          </w:p>
          <w:p w14:paraId="3F71A237">
            <w:pPr>
              <w:numPr>
                <w:ilvl w:val="0"/>
                <w:numId w:val="2"/>
              </w:numPr>
              <w:spacing w:line="360" w:lineRule="auto"/>
              <w:ind w:left="52" w:leftChars="0" w:firstLine="0" w:firstLineChars="0"/>
              <w:rPr>
                <w:rFonts w:hint="eastAsia" w:ascii="Times New Roman" w:hAnsi="Times New Roman"/>
                <w:szCs w:val="24"/>
                <w:highlight w:val="none"/>
              </w:rPr>
            </w:pPr>
            <w:r>
              <w:rPr>
                <w:rFonts w:hint="eastAsia" w:ascii="Times New Roman" w:hAnsi="Times New Roman"/>
                <w:szCs w:val="24"/>
                <w:highlight w:val="none"/>
                <w:lang w:eastAsia="zh-CN"/>
              </w:rPr>
              <w:t>如果清理人员的身体不慎收到伤害，应及时采取措施处理，并到医院接受救治。</w:t>
            </w:r>
          </w:p>
          <w:p w14:paraId="46507BC4">
            <w:pPr>
              <w:rPr>
                <w:rFonts w:hint="eastAsia" w:ascii="Times New Roman"/>
                <w:bCs/>
                <w:szCs w:val="24"/>
                <w:highlight w:val="none"/>
                <w:lang w:eastAsia="zh-CN"/>
              </w:rPr>
            </w:pPr>
            <w:r>
              <w:rPr>
                <w:rFonts w:hint="eastAsia" w:ascii="Times New Roman" w:hAnsi="Times New Roman"/>
                <w:szCs w:val="24"/>
                <w:highlight w:val="none"/>
              </w:rPr>
              <w:t>对于受污染的土壤，可调节</w:t>
            </w:r>
            <w:r>
              <w:rPr>
                <w:rFonts w:hint="default" w:ascii="Times New Roman" w:hAnsi="Times New Roman"/>
                <w:szCs w:val="24"/>
                <w:highlight w:val="none"/>
              </w:rPr>
              <w:t>PH</w:t>
            </w:r>
            <w:r>
              <w:rPr>
                <w:rFonts w:hint="eastAsia" w:ascii="Times New Roman" w:hAnsi="Times New Roman"/>
                <w:szCs w:val="24"/>
                <w:highlight w:val="none"/>
              </w:rPr>
              <w:t>值，以减少对农作物的腐蚀性。再将中和后的土壤一并收集与编织袋中运往处理厂进行无害化处置。</w:t>
            </w:r>
          </w:p>
        </w:tc>
      </w:tr>
    </w:tbl>
    <w:p w14:paraId="4020C3D4">
      <w:pPr>
        <w:rPr>
          <w:rFonts w:eastAsia="黑体"/>
          <w:sz w:val="28"/>
          <w:szCs w:val="28"/>
        </w:rPr>
      </w:pPr>
      <w:r>
        <w:rPr>
          <w:rFonts w:eastAsia="黑体"/>
          <w:sz w:val="28"/>
          <w:szCs w:val="28"/>
        </w:rPr>
        <w:t>第三部分   废物处理处置情况</w:t>
      </w:r>
    </w:p>
    <w:tbl>
      <w:tblPr>
        <w:tblStyle w:val="6"/>
        <w:tblW w:w="934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5"/>
        <w:gridCol w:w="4200"/>
      </w:tblGrid>
      <w:tr w14:paraId="56AB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9345" w:type="dxa"/>
            <w:gridSpan w:val="2"/>
            <w:vAlign w:val="center"/>
          </w:tcPr>
          <w:p w14:paraId="19EDE7B2">
            <w:pPr>
              <w:rPr>
                <w:b/>
                <w:bCs/>
              </w:rPr>
            </w:pPr>
            <w:r>
              <w:rPr>
                <w:b/>
                <w:bCs/>
              </w:rPr>
              <w:t>表1   接受单位基本情况</w:t>
            </w:r>
          </w:p>
        </w:tc>
      </w:tr>
      <w:tr w14:paraId="5A2E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345" w:type="dxa"/>
            <w:gridSpan w:val="2"/>
            <w:vAlign w:val="center"/>
          </w:tcPr>
          <w:p w14:paraId="10078CF9">
            <w:r>
              <w:t>单位名称：</w:t>
            </w:r>
            <w:r>
              <w:rPr>
                <w:rFonts w:hint="eastAsia" w:ascii="Times New Roman"/>
                <w:highlight w:val="none"/>
              </w:rPr>
              <w:t>常州菲纳斯能源科技有限公司</w:t>
            </w:r>
          </w:p>
        </w:tc>
      </w:tr>
      <w:tr w14:paraId="1242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145" w:type="dxa"/>
            <w:vAlign w:val="center"/>
          </w:tcPr>
          <w:p w14:paraId="418B79AF">
            <w:r>
              <w:t>危废经营许可证编号：</w:t>
            </w:r>
            <w:r>
              <w:rPr>
                <w:rFonts w:hint="eastAsia" w:ascii="Times New Roman"/>
                <w:highlight w:val="none"/>
              </w:rPr>
              <w:t>JSCZ0413</w:t>
            </w:r>
            <w:r>
              <w:rPr>
                <w:rFonts w:hint="eastAsia" w:ascii="Times New Roman"/>
                <w:highlight w:val="none"/>
                <w:lang w:val="en-US" w:eastAsia="zh-CN"/>
              </w:rPr>
              <w:t>OO</w:t>
            </w:r>
            <w:r>
              <w:rPr>
                <w:rFonts w:hint="eastAsia" w:ascii="Times New Roman"/>
                <w:highlight w:val="none"/>
              </w:rPr>
              <w:t>D026-</w:t>
            </w:r>
            <w:r>
              <w:rPr>
                <w:rFonts w:hint="eastAsia" w:ascii="Times New Roman"/>
                <w:highlight w:val="none"/>
                <w:lang w:val="en-US" w:eastAsia="zh-CN"/>
              </w:rPr>
              <w:t>6</w:t>
            </w:r>
          </w:p>
        </w:tc>
        <w:tc>
          <w:tcPr>
            <w:tcW w:w="4200" w:type="dxa"/>
            <w:vAlign w:val="center"/>
          </w:tcPr>
          <w:p w14:paraId="47F373C5">
            <w:r>
              <w:t>有效期：</w:t>
            </w:r>
            <w:r>
              <w:rPr>
                <w:rFonts w:hint="eastAsia" w:ascii="Times New Roman"/>
                <w:highlight w:val="none"/>
                <w:lang w:val="en-US" w:eastAsia="zh-CN"/>
              </w:rPr>
              <w:t>2024-11-12~2027-11-11</w:t>
            </w:r>
          </w:p>
        </w:tc>
      </w:tr>
      <w:tr w14:paraId="7127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45" w:type="dxa"/>
            <w:gridSpan w:val="2"/>
            <w:vAlign w:val="center"/>
          </w:tcPr>
          <w:p w14:paraId="193FEE61">
            <w:r>
              <w:rPr>
                <w:rFonts w:hint="eastAsia"/>
              </w:rPr>
              <w:t>接受废物的处理处置方式：</w:t>
            </w:r>
            <w:r>
              <w:rPr>
                <w:rFonts w:hint="eastAsia" w:ascii="Times New Roman"/>
                <w:highlight w:val="none"/>
              </w:rPr>
              <w:t>处置、利用废矿物油（HW08），</w:t>
            </w:r>
            <w:r>
              <w:rPr>
                <w:rFonts w:hint="eastAsia" w:ascii="Times New Roman"/>
                <w:highlight w:val="none"/>
                <w:lang w:val="en-US" w:eastAsia="zh-CN"/>
              </w:rPr>
              <w:t>60</w:t>
            </w:r>
            <w:r>
              <w:rPr>
                <w:rFonts w:hint="eastAsia" w:ascii="Times New Roman"/>
                <w:highlight w:val="none"/>
              </w:rPr>
              <w:t>000吨/年</w:t>
            </w:r>
          </w:p>
        </w:tc>
      </w:tr>
      <w:tr w14:paraId="17AA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345" w:type="dxa"/>
            <w:gridSpan w:val="2"/>
            <w:vAlign w:val="center"/>
          </w:tcPr>
          <w:p w14:paraId="30F34BC4">
            <w:r>
              <w:rPr>
                <w:b/>
                <w:bCs/>
              </w:rPr>
              <w:t>表2   与接收废物相关的处理处置情况</w:t>
            </w:r>
          </w:p>
        </w:tc>
      </w:tr>
      <w:tr w14:paraId="5288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4" w:hRule="atLeast"/>
        </w:trPr>
        <w:tc>
          <w:tcPr>
            <w:tcW w:w="9345" w:type="dxa"/>
            <w:gridSpan w:val="2"/>
          </w:tcPr>
          <w:p w14:paraId="79821800">
            <w:pPr>
              <w:spacing w:line="300" w:lineRule="exact"/>
              <w:rPr>
                <w:rFonts w:hint="eastAsia"/>
              </w:rPr>
            </w:pPr>
            <w:r>
              <w:t>文字描述及工艺流程图</w:t>
            </w:r>
          </w:p>
          <w:p w14:paraId="0B82284C">
            <w:pPr>
              <w:spacing w:line="300" w:lineRule="exact"/>
              <w:rPr>
                <w:rFonts w:hint="eastAsia"/>
              </w:rPr>
            </w:pPr>
          </w:p>
          <w:p w14:paraId="054545E8">
            <w:pPr>
              <w:tabs>
                <w:tab w:val="left" w:pos="2896"/>
              </w:tabs>
              <w:spacing w:line="500" w:lineRule="exact"/>
              <w:ind w:firstLine="472" w:firstLineChars="225"/>
              <w:rPr>
                <w:rFonts w:hint="eastAsia" w:ascii="宋体" w:hAnsi="宋体" w:eastAsia="宋体" w:cs="宋体"/>
                <w:b/>
                <w:sz w:val="21"/>
                <w:szCs w:val="21"/>
                <w:highlight w:val="none"/>
              </w:rPr>
            </w:pPr>
            <w:r>
              <w:rPr>
                <w:rFonts w:hint="eastAsia" w:ascii="宋体" w:hAnsi="宋体" w:eastAsia="宋体" w:cs="宋体"/>
                <w:sz w:val="21"/>
                <w:szCs w:val="21"/>
                <w:highlight w:val="none"/>
              </w:rPr>
              <w:t>废油加氢精制联合装置包括预处理单元、减压蒸馏单元、加氢精制单元、废水、废气处理单元、甲醇制氢单元等5个单元组成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具体工艺描述如下：</w:t>
            </w:r>
          </w:p>
          <w:p w14:paraId="752DE2F0">
            <w:pPr>
              <w:tabs>
                <w:tab w:val="left" w:pos="2896"/>
              </w:tabs>
              <w:spacing w:line="500" w:lineRule="exact"/>
              <w:ind w:firstLine="472" w:firstLineChars="225"/>
              <w:rPr>
                <w:rFonts w:hint="eastAsia" w:ascii="宋体" w:hAnsi="宋体" w:eastAsia="宋体" w:cs="宋体"/>
                <w:b/>
                <w:sz w:val="21"/>
                <w:szCs w:val="21"/>
                <w:highlight w:val="none"/>
              </w:rPr>
            </w:pP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 1 \* GB3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①</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t>预处理单元</w:t>
            </w:r>
          </w:p>
          <w:p w14:paraId="1ACF5656">
            <w:pPr>
              <w:tabs>
                <w:tab w:val="left" w:pos="2896"/>
              </w:tabs>
              <w:spacing w:line="500" w:lineRule="exact"/>
              <w:ind w:firstLine="472" w:firstLineChars="225"/>
              <w:rPr>
                <w:rFonts w:hint="eastAsia" w:ascii="宋体" w:hAnsi="宋体" w:eastAsia="宋体" w:cs="宋体"/>
                <w:sz w:val="21"/>
                <w:szCs w:val="21"/>
                <w:highlight w:val="none"/>
              </w:rPr>
            </w:pPr>
            <w:r>
              <w:rPr>
                <w:rFonts w:hint="eastAsia" w:ascii="宋体" w:hAnsi="宋体" w:eastAsia="宋体" w:cs="宋体"/>
                <w:sz w:val="21"/>
                <w:szCs w:val="21"/>
                <w:highlight w:val="none"/>
              </w:rPr>
              <w:t>从废油储罐来的废油同注碱罐中液碱在管道中完成充分混合，经管道换热后进入常压闪蒸塔进行脱水和脱轻质油。水分和轻质油组分从常压闪蒸塔塔顶蒸出，经塔顶冷凝器常温水冷后液相组分进入冷凝罐，液相组分在冷凝罐内通过内设的隔板分为轻质油和水分，水分作为含油废水后续经污水站处理。轻质油通过轻油泵送至油水分离罐，经油水分离罐静置后进一步去除少量废水</w:t>
            </w:r>
            <w:r>
              <w:rPr>
                <w:rFonts w:hint="eastAsia" w:ascii="宋体" w:hAnsi="宋体" w:eastAsia="宋体" w:cs="宋体"/>
                <w:sz w:val="21"/>
                <w:szCs w:val="21"/>
                <w:highlight w:val="none"/>
                <w:lang w:val="en-US" w:eastAsia="zh-CN"/>
              </w:rPr>
              <w:t>后进缓冲罐</w:t>
            </w:r>
            <w:r>
              <w:rPr>
                <w:rFonts w:hint="eastAsia" w:ascii="宋体" w:hAnsi="宋体" w:eastAsia="宋体" w:cs="宋体"/>
                <w:sz w:val="21"/>
                <w:szCs w:val="21"/>
                <w:highlight w:val="none"/>
              </w:rPr>
              <w:t>。</w:t>
            </w:r>
          </w:p>
          <w:p w14:paraId="7FB4FF01">
            <w:pPr>
              <w:tabs>
                <w:tab w:val="left" w:pos="2896"/>
              </w:tabs>
              <w:spacing w:line="500" w:lineRule="exact"/>
              <w:ind w:firstLine="472" w:firstLineChars="225"/>
              <w:rPr>
                <w:rFonts w:hint="eastAsia" w:ascii="宋体" w:hAnsi="宋体" w:eastAsia="宋体" w:cs="宋体"/>
                <w:sz w:val="21"/>
                <w:szCs w:val="21"/>
                <w:highlight w:val="none"/>
              </w:rPr>
            </w:pPr>
            <w:r>
              <w:rPr>
                <w:rFonts w:hint="eastAsia" w:ascii="宋体" w:hAnsi="宋体" w:eastAsia="宋体" w:cs="宋体"/>
                <w:sz w:val="21"/>
                <w:szCs w:val="21"/>
                <w:highlight w:val="none"/>
              </w:rPr>
              <w:t>常压闪蒸塔底部油品经3#工艺加热炉加热进入中间缓冲罐，后进入减压闪蒸塔进一步脱轻质油，轻质油组分从塔顶蒸出，经减压闪蒸塔塔顶冷凝器常温水冷后液相组分进入冷凝罐，再通过轻油泵送至油水分离罐。减压闪蒸塔底部油品进入后续减压蒸馏单元进料缓冲罐或储罐区精制油罐，供减压蒸馏单元进一步处理。</w:t>
            </w:r>
          </w:p>
          <w:p w14:paraId="2244266D">
            <w:pPr>
              <w:adjustRightInd w:val="0"/>
              <w:snapToGrid w:val="0"/>
              <w:spacing w:line="500" w:lineRule="exact"/>
              <w:ind w:firstLine="420"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 2 \* GB3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②</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t>减压蒸馏单元</w:t>
            </w:r>
          </w:p>
          <w:p w14:paraId="39C2CC78">
            <w:pPr>
              <w:adjustRightInd w:val="0"/>
              <w:snapToGrid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来自预处理单元的精制油经换热后送1#工艺加热炉加热进减压分馏塔，减压分馏塔塔顶油气经常温水冷后液相组分进入冷凝罐，再通过轻油泵送至预处理单元油水分离罐。减一至减四分馏产物对应进入侧线塔，液相由各层收油液斗收集分别去往罐区减一至减四线减压油中间罐（减一、减二线共用一个减压油中间罐），后送至加氢精制单元进一步处理。</w:t>
            </w:r>
          </w:p>
          <w:p w14:paraId="62F7FCF9">
            <w:pPr>
              <w:adjustRightInd w:val="0"/>
              <w:snapToGrid w:val="0"/>
              <w:spacing w:line="500" w:lineRule="exact"/>
              <w:ind w:firstLine="420"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 3 \* GB3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③</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t>加氢精制单元</w:t>
            </w:r>
          </w:p>
          <w:p w14:paraId="3C36863C">
            <w:pPr>
              <w:adjustRightInd w:val="0"/>
              <w:snapToGrid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减压蒸馏单元的减压油送入缓冲罐，经加压泵加压后与氢气混合，再经2#工艺加热炉加热进入保护剂反应器，脱除油品中金属杂质，之后进入加氢反应器进行反应，将油品中硫、氮、氯转化为易脱除的H</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S、NH</w:t>
            </w:r>
            <w:r>
              <w:rPr>
                <w:rFonts w:hint="eastAsia" w:ascii="宋体" w:hAnsi="宋体" w:eastAsia="宋体" w:cs="宋体"/>
                <w:sz w:val="21"/>
                <w:szCs w:val="21"/>
                <w:highlight w:val="none"/>
                <w:vertAlign w:val="subscript"/>
              </w:rPr>
              <w:t>3</w:t>
            </w:r>
            <w:r>
              <w:rPr>
                <w:rFonts w:hint="eastAsia" w:ascii="宋体" w:hAnsi="宋体" w:eastAsia="宋体" w:cs="宋体"/>
                <w:sz w:val="21"/>
                <w:szCs w:val="21"/>
                <w:highlight w:val="none"/>
              </w:rPr>
              <w:t>和氯离子。加氢后的油品进入高温脱氯反应器，氯离子与脱氯剂中的金属氧化物反应生成稳定的氯化物而截留在催化剂微孔中，脱氯后的产物进入热高压分离器中进行气液分离。</w:t>
            </w:r>
          </w:p>
          <w:p w14:paraId="246FCF56">
            <w:pPr>
              <w:adjustRightInd w:val="0"/>
              <w:snapToGrid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热高分油从热高压分离器底部经液位控制阀减压后进入热低压分离器，进一步在低压下将油中溶解的废气闪蒸出来送至废气处理单元，分离出溶解气后的生成油靠自压进入汽提塔。由热高压分离器顶部出来的气态料进入冷高压分离器，将纯度较高的氢气分离出来去循环氢压缩机循环利用，其余组分进入冷低压分离器再进行油水气分离，分离后的油去汽提塔，废水和废气分别去废水、废气处理单元不同工段进一步处理。</w:t>
            </w:r>
          </w:p>
          <w:p w14:paraId="04C24C77">
            <w:pPr>
              <w:adjustRightInd w:val="0"/>
              <w:snapToGrid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来自热低压分离器和冷低压分离器底部的油品进入汽提塔，过热蒸汽从汽提塔底部吹入，以除去溶解在油品中反应生成的H</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S、NH</w:t>
            </w:r>
            <w:r>
              <w:rPr>
                <w:rFonts w:hint="eastAsia" w:ascii="宋体" w:hAnsi="宋体" w:eastAsia="宋体" w:cs="宋体"/>
                <w:sz w:val="21"/>
                <w:szCs w:val="21"/>
                <w:highlight w:val="none"/>
                <w:vertAlign w:val="subscript"/>
              </w:rPr>
              <w:t>3</w:t>
            </w:r>
            <w:r>
              <w:rPr>
                <w:rFonts w:hint="eastAsia" w:ascii="宋体" w:hAnsi="宋体" w:eastAsia="宋体" w:cs="宋体"/>
                <w:sz w:val="21"/>
                <w:szCs w:val="21"/>
                <w:highlight w:val="none"/>
              </w:rPr>
              <w:t>等轻组份，汽提后塔顶含油气体进入三相分离器，分离器底部废水及含硫气分别去废水、废气处理单元不同工段进一步处理，轻油由轻油泵抽出送至预处理单元油水分离罐。汽提塔塔底油品送入分馏塔处理，柴油组分从塔顶蒸出，经塔顶冷凝器常温水冷后液相组分进入分水罐。分水罐静置分层后产生含油废水W3，柴油送至柴油罐。分馏塔底部油品根据不同粘度分别泵入储罐区基础油I储罐、基础油II储罐、基础油III储罐待外售。</w:t>
            </w:r>
          </w:p>
          <w:p w14:paraId="120ED214">
            <w:pPr>
              <w:tabs>
                <w:tab w:val="left" w:pos="2896"/>
              </w:tabs>
              <w:spacing w:line="500" w:lineRule="exact"/>
              <w:ind w:firstLine="472" w:firstLineChars="225"/>
              <w:rPr>
                <w:rFonts w:hint="eastAsia" w:ascii="宋体" w:hAnsi="宋体" w:eastAsia="宋体" w:cs="宋体"/>
                <w:b/>
                <w:sz w:val="21"/>
                <w:szCs w:val="21"/>
                <w:highlight w:val="none"/>
              </w:rPr>
            </w:pP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 4 \* GB3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④</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t>废水、废气处理单元</w:t>
            </w:r>
          </w:p>
          <w:p w14:paraId="6D2BC47B">
            <w:pPr>
              <w:tabs>
                <w:tab w:val="left" w:pos="2896"/>
              </w:tabs>
              <w:spacing w:line="500" w:lineRule="exact"/>
              <w:ind w:firstLine="472" w:firstLineChars="225"/>
              <w:rPr>
                <w:rFonts w:hint="eastAsia" w:ascii="宋体" w:hAnsi="宋体" w:eastAsia="宋体" w:cs="宋体"/>
                <w:sz w:val="21"/>
                <w:szCs w:val="21"/>
                <w:highlight w:val="none"/>
              </w:rPr>
            </w:pPr>
            <w:r>
              <w:rPr>
                <w:rFonts w:hint="eastAsia" w:ascii="宋体" w:hAnsi="宋体" w:eastAsia="宋体" w:cs="宋体"/>
                <w:sz w:val="21"/>
                <w:szCs w:val="21"/>
                <w:highlight w:val="none"/>
              </w:rPr>
              <w:t>废水首先进入废水罐，废水经过除油器将水中油相分离去除后进汽提塔，油相送至废油罐。汽提塔塔底汽提净化水作废水（W3）送厂区污水站处理，汽提塔中部侧线抽出富氨气，氨气同废气一同进入两级碱吸收反应器，气体中的H</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S与吸收反应器内的NaOH溶液进行酸碱反应，生产副产36%硫氢化钠，氨气送至氨水混合器，氨水罐内的氨水经氨水泵循环吸收氨气，待氨水罐内的氨水浓度达到20%时作为氨水产品外售。</w:t>
            </w:r>
          </w:p>
          <w:p w14:paraId="3F61687D">
            <w:pPr>
              <w:tabs>
                <w:tab w:val="left" w:pos="2896"/>
              </w:tabs>
              <w:spacing w:line="500" w:lineRule="exact"/>
              <w:ind w:firstLine="472" w:firstLineChars="225"/>
              <w:rPr>
                <w:rFonts w:hint="eastAsia" w:ascii="宋体" w:hAnsi="宋体" w:eastAsia="宋体" w:cs="宋体"/>
                <w:b/>
                <w:sz w:val="21"/>
                <w:szCs w:val="21"/>
                <w:highlight w:val="none"/>
              </w:rPr>
            </w:pP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 5 \* GB3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⑤</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t>甲醇制氢单元</w:t>
            </w:r>
          </w:p>
          <w:p w14:paraId="666E5236">
            <w:pPr>
              <w:pStyle w:val="3"/>
              <w:rPr>
                <w:highlight w:val="none"/>
              </w:rPr>
            </w:pPr>
            <w:r>
              <w:rPr>
                <w:rFonts w:hint="eastAsia" w:ascii="宋体" w:hAnsi="宋体" w:eastAsia="宋体" w:cs="宋体"/>
                <w:sz w:val="21"/>
                <w:szCs w:val="21"/>
                <w:highlight w:val="none"/>
              </w:rPr>
              <w:t>甲醇与脱盐水在中间缓冲罐按照一定比例配置，经换热后进入汽化过热器，在汽化过热器中与导热油进行第二次热交换完成汽化进入转化器内。在催化剂的作用下发生催化裂解和转化反应，生成高温转化气。高温转化气在换热器中换热降温至40℃以下，再分离净化未反应的甲醇和水并回流至缓冲罐。随后裂解的转化气进入PSA提纯工段，产品氢气输送至加氢精制单元使用。</w:t>
            </w:r>
          </w:p>
          <w:p w14:paraId="30588C89">
            <w:pPr>
              <w:spacing w:line="300" w:lineRule="exact"/>
              <w:rPr>
                <w:rFonts w:hint="eastAsia"/>
              </w:rPr>
            </w:pPr>
          </w:p>
          <w:p w14:paraId="10FA30C7">
            <w:pPr>
              <w:spacing w:line="300" w:lineRule="exact"/>
              <w:rPr>
                <w:rFonts w:hint="eastAsia"/>
              </w:rPr>
            </w:pPr>
          </w:p>
          <w:p w14:paraId="2A3A9ED7">
            <w:pPr>
              <w:spacing w:line="300" w:lineRule="exact"/>
              <w:rPr>
                <w:rFonts w:hint="eastAsia"/>
              </w:rPr>
            </w:pPr>
          </w:p>
          <w:p w14:paraId="4F4EF301">
            <w:pPr>
              <w:spacing w:line="300" w:lineRule="exact"/>
              <w:rPr>
                <w:rFonts w:hint="eastAsia"/>
              </w:rPr>
            </w:pPr>
          </w:p>
          <w:p w14:paraId="4455C11D">
            <w:pPr>
              <w:spacing w:line="300" w:lineRule="exact"/>
              <w:rPr>
                <w:rFonts w:hint="eastAsia"/>
              </w:rPr>
            </w:pPr>
          </w:p>
          <w:p w14:paraId="5A1A3318">
            <w:pPr>
              <w:spacing w:line="300" w:lineRule="exact"/>
              <w:rPr>
                <w:rFonts w:hint="eastAsia"/>
              </w:rPr>
            </w:pPr>
          </w:p>
          <w:p w14:paraId="3A08B6FF">
            <w:pPr>
              <w:spacing w:line="300" w:lineRule="exact"/>
              <w:rPr>
                <w:rFonts w:hint="eastAsia"/>
              </w:rPr>
            </w:pPr>
          </w:p>
          <w:p w14:paraId="74E26E93">
            <w:pPr>
              <w:spacing w:line="300" w:lineRule="exact"/>
              <w:rPr>
                <w:rFonts w:hint="eastAsia"/>
              </w:rPr>
            </w:pPr>
          </w:p>
          <w:p w14:paraId="70E8C84D">
            <w:pPr>
              <w:spacing w:line="300" w:lineRule="exact"/>
              <w:rPr>
                <w:rFonts w:hint="eastAsia"/>
              </w:rPr>
            </w:pPr>
          </w:p>
          <w:p w14:paraId="02B79BC2">
            <w:pPr>
              <w:spacing w:line="300" w:lineRule="exact"/>
              <w:rPr>
                <w:rFonts w:hint="eastAsia"/>
              </w:rPr>
            </w:pPr>
            <w:bookmarkStart w:id="0" w:name="_GoBack"/>
            <w:bookmarkEnd w:id="0"/>
          </w:p>
          <w:p w14:paraId="50AF915C">
            <w:pPr>
              <w:spacing w:line="300" w:lineRule="exact"/>
              <w:rPr>
                <w:rFonts w:hint="eastAsia"/>
              </w:rPr>
            </w:pPr>
          </w:p>
          <w:p w14:paraId="19D9972C">
            <w:pPr>
              <w:spacing w:line="300" w:lineRule="exact"/>
              <w:rPr>
                <w:rFonts w:hint="eastAsia"/>
              </w:rPr>
            </w:pPr>
          </w:p>
          <w:p w14:paraId="2A5340C4">
            <w:pPr>
              <w:rPr>
                <w:b/>
                <w:bCs/>
              </w:rPr>
            </w:pPr>
          </w:p>
        </w:tc>
      </w:tr>
    </w:tbl>
    <w:p w14:paraId="45B80A0F">
      <w:pPr>
        <w:sectPr>
          <w:pgSz w:w="11906" w:h="16838"/>
          <w:pgMar w:top="1440" w:right="1797" w:bottom="1440" w:left="1797" w:header="1418" w:footer="1134" w:gutter="0"/>
          <w:pgNumType w:start="6"/>
          <w:cols w:space="720" w:num="1"/>
          <w:formProt w:val="0"/>
          <w:docGrid w:type="linesAndChars" w:linePitch="312" w:charSpace="0"/>
        </w:sectPr>
      </w:pPr>
    </w:p>
    <w:p w14:paraId="6A1AB095"/>
    <w:p w14:paraId="3BDD520C">
      <w:pPr>
        <w:rPr>
          <w:rFonts w:eastAsia="黑体"/>
          <w:sz w:val="28"/>
          <w:szCs w:val="28"/>
        </w:rPr>
      </w:pPr>
      <w:r>
        <w:rPr>
          <w:rFonts w:eastAsia="黑体"/>
          <w:sz w:val="28"/>
          <w:szCs w:val="28"/>
        </w:rPr>
        <w:t>第</w:t>
      </w:r>
      <w:r>
        <w:rPr>
          <w:rFonts w:hint="eastAsia" w:eastAsia="黑体"/>
          <w:sz w:val="28"/>
          <w:szCs w:val="28"/>
        </w:rPr>
        <w:t>四</w:t>
      </w:r>
      <w:r>
        <w:rPr>
          <w:rFonts w:eastAsia="黑体"/>
          <w:sz w:val="28"/>
          <w:szCs w:val="28"/>
        </w:rPr>
        <w:t xml:space="preserve">部分   </w:t>
      </w:r>
      <w:r>
        <w:rPr>
          <w:rFonts w:hint="eastAsia" w:eastAsia="黑体"/>
          <w:sz w:val="28"/>
          <w:szCs w:val="28"/>
        </w:rPr>
        <w:t>申请转移废物上年度处置情况及跨省转移原因</w:t>
      </w:r>
    </w:p>
    <w:p w14:paraId="53B01B87">
      <w:pPr>
        <w:rPr>
          <w:rFonts w:hint="eastAsia"/>
        </w:rPr>
      </w:pPr>
    </w:p>
    <w:tbl>
      <w:tblPr>
        <w:tblStyle w:val="6"/>
        <w:tblW w:w="15255" w:type="dxa"/>
        <w:tblInd w:w="-8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062"/>
        <w:gridCol w:w="1899"/>
        <w:gridCol w:w="1160"/>
        <w:gridCol w:w="1377"/>
        <w:gridCol w:w="1269"/>
        <w:gridCol w:w="2457"/>
        <w:gridCol w:w="1460"/>
        <w:gridCol w:w="1621"/>
        <w:gridCol w:w="1583"/>
      </w:tblGrid>
      <w:tr w14:paraId="41F4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67" w:type="dxa"/>
            <w:vAlign w:val="center"/>
          </w:tcPr>
          <w:p w14:paraId="660A86BC">
            <w:pPr>
              <w:jc w:val="center"/>
              <w:rPr>
                <w:rFonts w:ascii="Times New Roman" w:hAnsi="Times New Roman"/>
              </w:rPr>
            </w:pPr>
            <w:r>
              <w:rPr>
                <w:rFonts w:ascii="Times New Roman" w:hAnsi="宋体"/>
              </w:rPr>
              <w:t>出厂日期</w:t>
            </w:r>
          </w:p>
        </w:tc>
        <w:tc>
          <w:tcPr>
            <w:tcW w:w="1062" w:type="dxa"/>
            <w:vAlign w:val="center"/>
          </w:tcPr>
          <w:p w14:paraId="03272AE4">
            <w:pPr>
              <w:jc w:val="center"/>
              <w:rPr>
                <w:rFonts w:ascii="Times New Roman" w:hAnsi="Times New Roman"/>
              </w:rPr>
            </w:pPr>
            <w:r>
              <w:rPr>
                <w:rFonts w:ascii="Times New Roman" w:hAnsi="宋体"/>
              </w:rPr>
              <w:t>转移批次</w:t>
            </w:r>
          </w:p>
        </w:tc>
        <w:tc>
          <w:tcPr>
            <w:tcW w:w="1899" w:type="dxa"/>
            <w:vAlign w:val="center"/>
          </w:tcPr>
          <w:p w14:paraId="4E95E61D">
            <w:pPr>
              <w:jc w:val="center"/>
              <w:rPr>
                <w:rFonts w:ascii="Times New Roman" w:hAnsi="Times New Roman"/>
              </w:rPr>
            </w:pPr>
            <w:r>
              <w:rPr>
                <w:rFonts w:ascii="Times New Roman" w:hAnsi="宋体"/>
              </w:rPr>
              <w:t>联单编号</w:t>
            </w:r>
          </w:p>
        </w:tc>
        <w:tc>
          <w:tcPr>
            <w:tcW w:w="1160" w:type="dxa"/>
            <w:vAlign w:val="center"/>
          </w:tcPr>
          <w:p w14:paraId="0DC99B44">
            <w:pPr>
              <w:jc w:val="center"/>
              <w:rPr>
                <w:rFonts w:ascii="Times New Roman" w:hAnsi="Times New Roman"/>
              </w:rPr>
            </w:pPr>
            <w:r>
              <w:rPr>
                <w:rFonts w:ascii="Times New Roman" w:hAnsi="宋体"/>
              </w:rPr>
              <w:t>废物名称</w:t>
            </w:r>
          </w:p>
        </w:tc>
        <w:tc>
          <w:tcPr>
            <w:tcW w:w="1377" w:type="dxa"/>
            <w:vAlign w:val="center"/>
          </w:tcPr>
          <w:p w14:paraId="04D7BFCF">
            <w:pPr>
              <w:jc w:val="center"/>
              <w:rPr>
                <w:rFonts w:ascii="Times New Roman" w:hAnsi="Times New Roman"/>
              </w:rPr>
            </w:pPr>
            <w:r>
              <w:rPr>
                <w:rFonts w:ascii="Times New Roman" w:hAnsi="宋体"/>
              </w:rPr>
              <w:t>类别</w:t>
            </w:r>
            <w:r>
              <w:rPr>
                <w:rFonts w:ascii="Times New Roman" w:hAnsi="Times New Roman"/>
              </w:rPr>
              <w:t>/</w:t>
            </w:r>
            <w:r>
              <w:rPr>
                <w:rFonts w:ascii="Times New Roman" w:hAnsi="宋体"/>
              </w:rPr>
              <w:t>代码</w:t>
            </w:r>
          </w:p>
        </w:tc>
        <w:tc>
          <w:tcPr>
            <w:tcW w:w="1269" w:type="dxa"/>
            <w:vAlign w:val="center"/>
          </w:tcPr>
          <w:p w14:paraId="6503B9F8">
            <w:pPr>
              <w:jc w:val="center"/>
              <w:rPr>
                <w:rFonts w:ascii="Times New Roman" w:hAnsi="Times New Roman"/>
              </w:rPr>
            </w:pPr>
            <w:r>
              <w:rPr>
                <w:rFonts w:ascii="Times New Roman" w:hAnsi="宋体"/>
              </w:rPr>
              <w:t>转移量（吨）</w:t>
            </w:r>
          </w:p>
        </w:tc>
        <w:tc>
          <w:tcPr>
            <w:tcW w:w="2457" w:type="dxa"/>
            <w:vAlign w:val="center"/>
          </w:tcPr>
          <w:p w14:paraId="7983D7B2">
            <w:pPr>
              <w:jc w:val="center"/>
              <w:rPr>
                <w:rFonts w:ascii="Times New Roman" w:hAnsi="Times New Roman"/>
              </w:rPr>
            </w:pPr>
            <w:r>
              <w:rPr>
                <w:rFonts w:ascii="Times New Roman"/>
              </w:rPr>
              <w:t>运输单位</w:t>
            </w:r>
          </w:p>
        </w:tc>
        <w:tc>
          <w:tcPr>
            <w:tcW w:w="1460" w:type="dxa"/>
            <w:vAlign w:val="center"/>
          </w:tcPr>
          <w:p w14:paraId="73D64547">
            <w:pPr>
              <w:jc w:val="center"/>
              <w:rPr>
                <w:rFonts w:ascii="Times New Roman" w:hAnsi="Times New Roman"/>
              </w:rPr>
            </w:pPr>
            <w:r>
              <w:rPr>
                <w:rFonts w:ascii="Times New Roman"/>
              </w:rPr>
              <w:t>车号</w:t>
            </w:r>
          </w:p>
        </w:tc>
        <w:tc>
          <w:tcPr>
            <w:tcW w:w="1621" w:type="dxa"/>
            <w:vAlign w:val="center"/>
          </w:tcPr>
          <w:p w14:paraId="67840893">
            <w:pPr>
              <w:jc w:val="center"/>
              <w:rPr>
                <w:rFonts w:ascii="Times New Roman" w:hAnsi="Times New Roman"/>
              </w:rPr>
            </w:pPr>
            <w:r>
              <w:rPr>
                <w:rFonts w:ascii="Times New Roman" w:hAnsi="宋体"/>
              </w:rPr>
              <w:t>接收单位</w:t>
            </w:r>
          </w:p>
        </w:tc>
        <w:tc>
          <w:tcPr>
            <w:tcW w:w="1583" w:type="dxa"/>
            <w:vAlign w:val="center"/>
          </w:tcPr>
          <w:p w14:paraId="127360C1">
            <w:pPr>
              <w:jc w:val="center"/>
              <w:rPr>
                <w:rFonts w:ascii="Times New Roman" w:hAnsi="Times New Roman"/>
              </w:rPr>
            </w:pPr>
            <w:r>
              <w:rPr>
                <w:rFonts w:ascii="Times New Roman" w:hAnsi="宋体"/>
              </w:rPr>
              <w:t>接收日期</w:t>
            </w:r>
          </w:p>
        </w:tc>
      </w:tr>
      <w:tr w14:paraId="5D3E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67" w:type="dxa"/>
            <w:vAlign w:val="center"/>
          </w:tcPr>
          <w:p w14:paraId="72AFB785">
            <w:pPr>
              <w:keepNext w:val="0"/>
              <w:keepLines w:val="0"/>
              <w:widowControl/>
              <w:suppressLineNumbers w:val="0"/>
              <w:jc w:val="center"/>
              <w:textAlignment w:val="center"/>
              <w:rPr>
                <w:rFonts w:hint="default" w:eastAsia="宋体"/>
                <w:lang w:val="en-US" w:eastAsia="zh-CN"/>
              </w:rPr>
            </w:pPr>
            <w:r>
              <w:rPr>
                <w:rFonts w:hint="eastAsia" w:ascii="等线" w:hAnsi="等线" w:eastAsia="等线" w:cs="等线"/>
                <w:i w:val="0"/>
                <w:iCs w:val="0"/>
                <w:color w:val="000000"/>
                <w:kern w:val="0"/>
                <w:sz w:val="22"/>
                <w:szCs w:val="22"/>
                <w:u w:val="none"/>
                <w:lang w:val="en-US" w:eastAsia="zh-CN" w:bidi="ar"/>
              </w:rPr>
              <w:t>2025-11-27</w:t>
            </w:r>
          </w:p>
        </w:tc>
        <w:tc>
          <w:tcPr>
            <w:tcW w:w="1062" w:type="dxa"/>
          </w:tcPr>
          <w:p w14:paraId="3699F768">
            <w:pPr>
              <w:spacing w:line="720" w:lineRule="auto"/>
              <w:jc w:val="center"/>
              <w:rPr>
                <w:rFonts w:hint="default" w:ascii="Times New Roman" w:hAnsi="Times New Roman" w:eastAsiaTheme="minorEastAsia"/>
                <w:lang w:val="en-US" w:eastAsia="zh-CN"/>
              </w:rPr>
            </w:pPr>
            <w:r>
              <w:rPr>
                <w:rFonts w:hint="eastAsia" w:ascii="Times New Roman" w:hAnsi="Times New Roman"/>
                <w:lang w:val="en-US" w:eastAsia="zh-CN"/>
              </w:rPr>
              <w:t>1</w:t>
            </w:r>
          </w:p>
        </w:tc>
        <w:tc>
          <w:tcPr>
            <w:tcW w:w="1899" w:type="dxa"/>
            <w:vAlign w:val="center"/>
          </w:tcPr>
          <w:p w14:paraId="44EE096E">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20253101277412</w:t>
            </w:r>
          </w:p>
        </w:tc>
        <w:tc>
          <w:tcPr>
            <w:tcW w:w="1160" w:type="dxa"/>
            <w:vAlign w:val="center"/>
          </w:tcPr>
          <w:p w14:paraId="0B2AC404">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废矿物油</w:t>
            </w:r>
          </w:p>
        </w:tc>
        <w:tc>
          <w:tcPr>
            <w:tcW w:w="1377" w:type="dxa"/>
            <w:vAlign w:val="center"/>
          </w:tcPr>
          <w:p w14:paraId="5AE5C51A">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900-214-08</w:t>
            </w:r>
          </w:p>
        </w:tc>
        <w:tc>
          <w:tcPr>
            <w:tcW w:w="1269" w:type="dxa"/>
            <w:vAlign w:val="center"/>
          </w:tcPr>
          <w:p w14:paraId="38A11262">
            <w:pPr>
              <w:keepNext w:val="0"/>
              <w:keepLines w:val="0"/>
              <w:widowControl/>
              <w:suppressLineNumbers w:val="0"/>
              <w:jc w:val="right"/>
              <w:textAlignment w:val="center"/>
            </w:pPr>
            <w:r>
              <w:rPr>
                <w:rFonts w:hint="eastAsia" w:ascii="等线" w:hAnsi="等线" w:eastAsia="等线" w:cs="等线"/>
                <w:i w:val="0"/>
                <w:iCs w:val="0"/>
                <w:color w:val="000000"/>
                <w:kern w:val="0"/>
                <w:sz w:val="22"/>
                <w:szCs w:val="22"/>
                <w:u w:val="none"/>
                <w:lang w:val="en-US" w:eastAsia="zh-CN" w:bidi="ar"/>
              </w:rPr>
              <w:t>32.6</w:t>
            </w:r>
          </w:p>
        </w:tc>
        <w:tc>
          <w:tcPr>
            <w:tcW w:w="2457" w:type="dxa"/>
            <w:vAlign w:val="center"/>
          </w:tcPr>
          <w:p w14:paraId="3F0FA93C">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江苏神华物流有限公司</w:t>
            </w:r>
          </w:p>
        </w:tc>
        <w:tc>
          <w:tcPr>
            <w:tcW w:w="1460" w:type="dxa"/>
            <w:vAlign w:val="center"/>
          </w:tcPr>
          <w:p w14:paraId="60510208">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苏J86652</w:t>
            </w:r>
          </w:p>
        </w:tc>
        <w:tc>
          <w:tcPr>
            <w:tcW w:w="1621" w:type="dxa"/>
            <w:vAlign w:val="center"/>
          </w:tcPr>
          <w:p w14:paraId="3BACDC08">
            <w:pPr>
              <w:keepNext w:val="0"/>
              <w:keepLines w:val="0"/>
              <w:widowControl/>
              <w:suppressLineNumbers w:val="0"/>
              <w:jc w:val="left"/>
              <w:textAlignment w:val="center"/>
              <w:rPr>
                <w:rFonts w:ascii="Times New Roman" w:hAnsi="Times New Roman"/>
              </w:rPr>
            </w:pPr>
            <w:r>
              <w:rPr>
                <w:rFonts w:hint="eastAsia" w:ascii="等线" w:hAnsi="等线" w:eastAsia="等线" w:cs="等线"/>
                <w:i w:val="0"/>
                <w:iCs w:val="0"/>
                <w:color w:val="000000"/>
                <w:kern w:val="0"/>
                <w:sz w:val="22"/>
                <w:szCs w:val="22"/>
                <w:u w:val="none"/>
                <w:lang w:val="en-US" w:eastAsia="zh-CN" w:bidi="ar"/>
              </w:rPr>
              <w:t>常州菲纳斯能源科技有限公司</w:t>
            </w:r>
          </w:p>
        </w:tc>
        <w:tc>
          <w:tcPr>
            <w:tcW w:w="1583" w:type="dxa"/>
            <w:vAlign w:val="center"/>
          </w:tcPr>
          <w:p w14:paraId="3F9AA523">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2025-11-27 22:33:03.000</w:t>
            </w:r>
          </w:p>
        </w:tc>
      </w:tr>
      <w:tr w14:paraId="76C1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67" w:type="dxa"/>
            <w:vAlign w:val="center"/>
          </w:tcPr>
          <w:p w14:paraId="31FD5043">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2025-10-15</w:t>
            </w:r>
          </w:p>
        </w:tc>
        <w:tc>
          <w:tcPr>
            <w:tcW w:w="1062" w:type="dxa"/>
          </w:tcPr>
          <w:p w14:paraId="66A5B9AD">
            <w:pPr>
              <w:spacing w:line="720" w:lineRule="auto"/>
              <w:jc w:val="center"/>
              <w:rPr>
                <w:rFonts w:hint="default" w:ascii="Times New Roman" w:hAnsi="Times New Roman" w:eastAsiaTheme="minorEastAsia"/>
                <w:lang w:val="en-US" w:eastAsia="zh-CN"/>
              </w:rPr>
            </w:pPr>
            <w:r>
              <w:rPr>
                <w:rFonts w:hint="eastAsia" w:ascii="Times New Roman" w:hAnsi="Times New Roman"/>
                <w:lang w:val="en-US" w:eastAsia="zh-CN"/>
              </w:rPr>
              <w:t>2</w:t>
            </w:r>
          </w:p>
        </w:tc>
        <w:tc>
          <w:tcPr>
            <w:tcW w:w="1899" w:type="dxa"/>
            <w:vAlign w:val="center"/>
          </w:tcPr>
          <w:p w14:paraId="7FFC95EC">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20253101235420</w:t>
            </w:r>
          </w:p>
        </w:tc>
        <w:tc>
          <w:tcPr>
            <w:tcW w:w="1160" w:type="dxa"/>
            <w:vAlign w:val="center"/>
          </w:tcPr>
          <w:p w14:paraId="6C117194">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废矿物油</w:t>
            </w:r>
          </w:p>
        </w:tc>
        <w:tc>
          <w:tcPr>
            <w:tcW w:w="1377" w:type="dxa"/>
            <w:vAlign w:val="center"/>
          </w:tcPr>
          <w:p w14:paraId="2C2F53F2">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900-214-08</w:t>
            </w:r>
          </w:p>
        </w:tc>
        <w:tc>
          <w:tcPr>
            <w:tcW w:w="1269" w:type="dxa"/>
            <w:vAlign w:val="center"/>
          </w:tcPr>
          <w:p w14:paraId="60F9CF9C">
            <w:pPr>
              <w:keepNext w:val="0"/>
              <w:keepLines w:val="0"/>
              <w:widowControl/>
              <w:suppressLineNumbers w:val="0"/>
              <w:jc w:val="right"/>
              <w:textAlignment w:val="center"/>
            </w:pPr>
            <w:r>
              <w:rPr>
                <w:rFonts w:hint="eastAsia" w:ascii="等线" w:hAnsi="等线" w:eastAsia="等线" w:cs="等线"/>
                <w:i w:val="0"/>
                <w:iCs w:val="0"/>
                <w:color w:val="000000"/>
                <w:kern w:val="0"/>
                <w:sz w:val="22"/>
                <w:szCs w:val="22"/>
                <w:u w:val="none"/>
                <w:lang w:val="en-US" w:eastAsia="zh-CN" w:bidi="ar"/>
              </w:rPr>
              <w:t>32.12</w:t>
            </w:r>
          </w:p>
        </w:tc>
        <w:tc>
          <w:tcPr>
            <w:tcW w:w="2457" w:type="dxa"/>
            <w:vAlign w:val="center"/>
          </w:tcPr>
          <w:p w14:paraId="6077569A">
            <w:pPr>
              <w:keepNext w:val="0"/>
              <w:keepLines w:val="0"/>
              <w:widowControl/>
              <w:suppressLineNumbers w:val="0"/>
              <w:jc w:val="left"/>
              <w:textAlignment w:val="center"/>
              <w:rPr>
                <w:rFonts w:ascii="Times New Roman" w:hAnsi="Times New Roman"/>
              </w:rPr>
            </w:pPr>
            <w:r>
              <w:rPr>
                <w:rFonts w:hint="eastAsia" w:ascii="等线" w:hAnsi="等线" w:eastAsia="等线" w:cs="等线"/>
                <w:i w:val="0"/>
                <w:iCs w:val="0"/>
                <w:color w:val="000000"/>
                <w:kern w:val="0"/>
                <w:sz w:val="22"/>
                <w:szCs w:val="22"/>
                <w:u w:val="none"/>
                <w:lang w:val="en-US" w:eastAsia="zh-CN" w:bidi="ar"/>
              </w:rPr>
              <w:t>江苏神华物流有限公司</w:t>
            </w:r>
          </w:p>
        </w:tc>
        <w:tc>
          <w:tcPr>
            <w:tcW w:w="1460" w:type="dxa"/>
            <w:vAlign w:val="center"/>
          </w:tcPr>
          <w:p w14:paraId="4C3FB3CF">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苏JN5911</w:t>
            </w:r>
          </w:p>
        </w:tc>
        <w:tc>
          <w:tcPr>
            <w:tcW w:w="1621" w:type="dxa"/>
            <w:vAlign w:val="center"/>
          </w:tcPr>
          <w:p w14:paraId="33769C25">
            <w:pPr>
              <w:keepNext w:val="0"/>
              <w:keepLines w:val="0"/>
              <w:widowControl/>
              <w:suppressLineNumbers w:val="0"/>
              <w:jc w:val="left"/>
              <w:textAlignment w:val="center"/>
              <w:rPr>
                <w:rFonts w:ascii="Times New Roman" w:hAnsi="Times New Roman"/>
              </w:rPr>
            </w:pPr>
            <w:r>
              <w:rPr>
                <w:rFonts w:hint="eastAsia" w:ascii="等线" w:hAnsi="等线" w:eastAsia="等线" w:cs="等线"/>
                <w:i w:val="0"/>
                <w:iCs w:val="0"/>
                <w:color w:val="000000"/>
                <w:kern w:val="0"/>
                <w:sz w:val="22"/>
                <w:szCs w:val="22"/>
                <w:u w:val="none"/>
                <w:lang w:val="en-US" w:eastAsia="zh-CN" w:bidi="ar"/>
              </w:rPr>
              <w:t>常州菲纳斯能源科技有限公司</w:t>
            </w:r>
          </w:p>
        </w:tc>
        <w:tc>
          <w:tcPr>
            <w:tcW w:w="1583" w:type="dxa"/>
            <w:vAlign w:val="center"/>
          </w:tcPr>
          <w:p w14:paraId="2CAD93A4">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2025-10-17 10:38:22.000</w:t>
            </w:r>
          </w:p>
        </w:tc>
      </w:tr>
      <w:tr w14:paraId="6B3A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67" w:type="dxa"/>
            <w:vAlign w:val="center"/>
          </w:tcPr>
          <w:p w14:paraId="4518A77D">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2025-09-04</w:t>
            </w:r>
          </w:p>
        </w:tc>
        <w:tc>
          <w:tcPr>
            <w:tcW w:w="1062" w:type="dxa"/>
          </w:tcPr>
          <w:p w14:paraId="6BA5ABAB">
            <w:pPr>
              <w:spacing w:line="720" w:lineRule="auto"/>
              <w:jc w:val="center"/>
              <w:rPr>
                <w:rFonts w:hint="default" w:ascii="Times New Roman" w:hAnsi="Times New Roman" w:eastAsiaTheme="minorEastAsia"/>
                <w:lang w:val="en-US" w:eastAsia="zh-CN"/>
              </w:rPr>
            </w:pPr>
            <w:r>
              <w:rPr>
                <w:rFonts w:hint="eastAsia" w:ascii="Times New Roman" w:hAnsi="Times New Roman"/>
                <w:lang w:val="en-US" w:eastAsia="zh-CN"/>
              </w:rPr>
              <w:t>3</w:t>
            </w:r>
          </w:p>
        </w:tc>
        <w:tc>
          <w:tcPr>
            <w:tcW w:w="1899" w:type="dxa"/>
            <w:vAlign w:val="center"/>
          </w:tcPr>
          <w:p w14:paraId="0B602E1B">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20253101201423</w:t>
            </w:r>
          </w:p>
        </w:tc>
        <w:tc>
          <w:tcPr>
            <w:tcW w:w="1160" w:type="dxa"/>
            <w:vAlign w:val="center"/>
          </w:tcPr>
          <w:p w14:paraId="15E44F1D">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废矿物油</w:t>
            </w:r>
          </w:p>
        </w:tc>
        <w:tc>
          <w:tcPr>
            <w:tcW w:w="1377" w:type="dxa"/>
            <w:vAlign w:val="center"/>
          </w:tcPr>
          <w:p w14:paraId="02830AA0">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900-214-08</w:t>
            </w:r>
          </w:p>
        </w:tc>
        <w:tc>
          <w:tcPr>
            <w:tcW w:w="1269" w:type="dxa"/>
            <w:vAlign w:val="center"/>
          </w:tcPr>
          <w:p w14:paraId="16CF08EC">
            <w:pPr>
              <w:keepNext w:val="0"/>
              <w:keepLines w:val="0"/>
              <w:widowControl/>
              <w:suppressLineNumbers w:val="0"/>
              <w:jc w:val="right"/>
              <w:textAlignment w:val="center"/>
            </w:pPr>
            <w:r>
              <w:rPr>
                <w:rFonts w:hint="eastAsia" w:ascii="等线" w:hAnsi="等线" w:eastAsia="等线" w:cs="等线"/>
                <w:i w:val="0"/>
                <w:iCs w:val="0"/>
                <w:color w:val="000000"/>
                <w:kern w:val="0"/>
                <w:sz w:val="22"/>
                <w:szCs w:val="22"/>
                <w:u w:val="none"/>
                <w:lang w:val="en-US" w:eastAsia="zh-CN" w:bidi="ar"/>
              </w:rPr>
              <w:t>31.86</w:t>
            </w:r>
          </w:p>
        </w:tc>
        <w:tc>
          <w:tcPr>
            <w:tcW w:w="2457" w:type="dxa"/>
            <w:vAlign w:val="center"/>
          </w:tcPr>
          <w:p w14:paraId="41898692">
            <w:pPr>
              <w:keepNext w:val="0"/>
              <w:keepLines w:val="0"/>
              <w:widowControl/>
              <w:suppressLineNumbers w:val="0"/>
              <w:jc w:val="left"/>
              <w:textAlignment w:val="center"/>
              <w:rPr>
                <w:rFonts w:ascii="Times New Roman" w:hAnsi="Times New Roman"/>
              </w:rPr>
            </w:pPr>
            <w:r>
              <w:rPr>
                <w:rFonts w:hint="eastAsia" w:ascii="等线" w:hAnsi="等线" w:eastAsia="等线" w:cs="等线"/>
                <w:i w:val="0"/>
                <w:iCs w:val="0"/>
                <w:color w:val="000000"/>
                <w:kern w:val="0"/>
                <w:sz w:val="22"/>
                <w:szCs w:val="22"/>
                <w:u w:val="none"/>
                <w:lang w:val="en-US" w:eastAsia="zh-CN" w:bidi="ar"/>
              </w:rPr>
              <w:t>江苏神华物流有限公司</w:t>
            </w:r>
          </w:p>
        </w:tc>
        <w:tc>
          <w:tcPr>
            <w:tcW w:w="1460" w:type="dxa"/>
            <w:vAlign w:val="center"/>
          </w:tcPr>
          <w:p w14:paraId="6B074925">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苏JN5911</w:t>
            </w:r>
          </w:p>
        </w:tc>
        <w:tc>
          <w:tcPr>
            <w:tcW w:w="1621" w:type="dxa"/>
            <w:vAlign w:val="center"/>
          </w:tcPr>
          <w:p w14:paraId="1F243BBC">
            <w:pPr>
              <w:keepNext w:val="0"/>
              <w:keepLines w:val="0"/>
              <w:widowControl/>
              <w:suppressLineNumbers w:val="0"/>
              <w:jc w:val="left"/>
              <w:textAlignment w:val="center"/>
              <w:rPr>
                <w:rFonts w:ascii="Times New Roman" w:hAnsi="Times New Roman"/>
              </w:rPr>
            </w:pPr>
            <w:r>
              <w:rPr>
                <w:rFonts w:hint="eastAsia" w:ascii="等线" w:hAnsi="等线" w:eastAsia="等线" w:cs="等线"/>
                <w:i w:val="0"/>
                <w:iCs w:val="0"/>
                <w:color w:val="000000"/>
                <w:kern w:val="0"/>
                <w:sz w:val="22"/>
                <w:szCs w:val="22"/>
                <w:u w:val="none"/>
                <w:lang w:val="en-US" w:eastAsia="zh-CN" w:bidi="ar"/>
              </w:rPr>
              <w:t>常州菲纳斯能源科技有限公司</w:t>
            </w:r>
          </w:p>
        </w:tc>
        <w:tc>
          <w:tcPr>
            <w:tcW w:w="1583" w:type="dxa"/>
            <w:vAlign w:val="center"/>
          </w:tcPr>
          <w:p w14:paraId="1BDB49B0">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2025-09-06 09:22:40.000</w:t>
            </w:r>
          </w:p>
        </w:tc>
      </w:tr>
      <w:tr w14:paraId="5A44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67" w:type="dxa"/>
            <w:vAlign w:val="center"/>
          </w:tcPr>
          <w:p w14:paraId="4E17EE28">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2025-08-06</w:t>
            </w:r>
          </w:p>
        </w:tc>
        <w:tc>
          <w:tcPr>
            <w:tcW w:w="1062" w:type="dxa"/>
          </w:tcPr>
          <w:p w14:paraId="5F9AAC7E">
            <w:pPr>
              <w:spacing w:line="720" w:lineRule="auto"/>
              <w:jc w:val="center"/>
              <w:rPr>
                <w:rFonts w:hint="default" w:ascii="Times New Roman" w:hAnsi="Times New Roman" w:eastAsiaTheme="minorEastAsia"/>
                <w:lang w:val="en-US" w:eastAsia="zh-CN"/>
              </w:rPr>
            </w:pPr>
            <w:r>
              <w:rPr>
                <w:rFonts w:hint="eastAsia" w:ascii="Times New Roman" w:hAnsi="Times New Roman"/>
                <w:lang w:val="en-US" w:eastAsia="zh-CN"/>
              </w:rPr>
              <w:t>4</w:t>
            </w:r>
          </w:p>
        </w:tc>
        <w:tc>
          <w:tcPr>
            <w:tcW w:w="1899" w:type="dxa"/>
            <w:vAlign w:val="center"/>
          </w:tcPr>
          <w:p w14:paraId="511DE39D">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20253101176134</w:t>
            </w:r>
          </w:p>
        </w:tc>
        <w:tc>
          <w:tcPr>
            <w:tcW w:w="1160" w:type="dxa"/>
            <w:vAlign w:val="center"/>
          </w:tcPr>
          <w:p w14:paraId="3B79AE8C">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废矿物油</w:t>
            </w:r>
          </w:p>
        </w:tc>
        <w:tc>
          <w:tcPr>
            <w:tcW w:w="1377" w:type="dxa"/>
            <w:vAlign w:val="center"/>
          </w:tcPr>
          <w:p w14:paraId="6920C44E">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900-214-08</w:t>
            </w:r>
          </w:p>
        </w:tc>
        <w:tc>
          <w:tcPr>
            <w:tcW w:w="1269" w:type="dxa"/>
            <w:vAlign w:val="center"/>
          </w:tcPr>
          <w:p w14:paraId="04A11692">
            <w:pPr>
              <w:keepNext w:val="0"/>
              <w:keepLines w:val="0"/>
              <w:widowControl/>
              <w:suppressLineNumbers w:val="0"/>
              <w:jc w:val="right"/>
              <w:textAlignment w:val="center"/>
            </w:pPr>
            <w:r>
              <w:rPr>
                <w:rFonts w:hint="eastAsia" w:ascii="等线" w:hAnsi="等线" w:eastAsia="等线" w:cs="等线"/>
                <w:i w:val="0"/>
                <w:iCs w:val="0"/>
                <w:color w:val="000000"/>
                <w:kern w:val="0"/>
                <w:sz w:val="22"/>
                <w:szCs w:val="22"/>
                <w:u w:val="none"/>
                <w:lang w:val="en-US" w:eastAsia="zh-CN" w:bidi="ar"/>
              </w:rPr>
              <w:t>32.31</w:t>
            </w:r>
          </w:p>
        </w:tc>
        <w:tc>
          <w:tcPr>
            <w:tcW w:w="2457" w:type="dxa"/>
            <w:vAlign w:val="center"/>
          </w:tcPr>
          <w:p w14:paraId="780FD20E">
            <w:pPr>
              <w:keepNext w:val="0"/>
              <w:keepLines w:val="0"/>
              <w:widowControl/>
              <w:suppressLineNumbers w:val="0"/>
              <w:jc w:val="left"/>
              <w:textAlignment w:val="center"/>
              <w:rPr>
                <w:rFonts w:ascii="Times New Roman" w:hAnsi="Times New Roman"/>
              </w:rPr>
            </w:pPr>
            <w:r>
              <w:rPr>
                <w:rFonts w:hint="eastAsia" w:ascii="等线" w:hAnsi="等线" w:eastAsia="等线" w:cs="等线"/>
                <w:i w:val="0"/>
                <w:iCs w:val="0"/>
                <w:color w:val="000000"/>
                <w:kern w:val="0"/>
                <w:sz w:val="22"/>
                <w:szCs w:val="22"/>
                <w:u w:val="none"/>
                <w:lang w:val="en-US" w:eastAsia="zh-CN" w:bidi="ar"/>
              </w:rPr>
              <w:t>江苏神华物流有限公司</w:t>
            </w:r>
          </w:p>
        </w:tc>
        <w:tc>
          <w:tcPr>
            <w:tcW w:w="1460" w:type="dxa"/>
            <w:vAlign w:val="center"/>
          </w:tcPr>
          <w:p w14:paraId="40DBC2CF">
            <w:pPr>
              <w:keepNext w:val="0"/>
              <w:keepLines w:val="0"/>
              <w:widowControl/>
              <w:suppressLineNumbers w:val="0"/>
              <w:jc w:val="left"/>
              <w:textAlignment w:val="center"/>
            </w:pPr>
            <w:r>
              <w:rPr>
                <w:rFonts w:hint="eastAsia" w:ascii="等线" w:hAnsi="等线" w:eastAsia="等线" w:cs="等线"/>
                <w:i w:val="0"/>
                <w:iCs w:val="0"/>
                <w:color w:val="000000"/>
                <w:kern w:val="0"/>
                <w:sz w:val="22"/>
                <w:szCs w:val="22"/>
                <w:u w:val="none"/>
                <w:lang w:val="en-US" w:eastAsia="zh-CN" w:bidi="ar"/>
              </w:rPr>
              <w:t>苏J86652</w:t>
            </w:r>
          </w:p>
        </w:tc>
        <w:tc>
          <w:tcPr>
            <w:tcW w:w="1621" w:type="dxa"/>
            <w:vAlign w:val="center"/>
          </w:tcPr>
          <w:p w14:paraId="16EC5552">
            <w:pPr>
              <w:keepNext w:val="0"/>
              <w:keepLines w:val="0"/>
              <w:widowControl/>
              <w:suppressLineNumbers w:val="0"/>
              <w:jc w:val="left"/>
              <w:textAlignment w:val="center"/>
              <w:rPr>
                <w:rFonts w:ascii="Times New Roman" w:hAnsi="Times New Roman"/>
              </w:rPr>
            </w:pPr>
            <w:r>
              <w:rPr>
                <w:rFonts w:hint="eastAsia" w:ascii="等线" w:hAnsi="等线" w:eastAsia="等线" w:cs="等线"/>
                <w:i w:val="0"/>
                <w:iCs w:val="0"/>
                <w:color w:val="000000"/>
                <w:kern w:val="0"/>
                <w:sz w:val="22"/>
                <w:szCs w:val="22"/>
                <w:u w:val="none"/>
                <w:lang w:val="en-US" w:eastAsia="zh-CN" w:bidi="ar"/>
              </w:rPr>
              <w:t>常州菲纳斯能源科技有限公司</w:t>
            </w:r>
          </w:p>
        </w:tc>
        <w:tc>
          <w:tcPr>
            <w:tcW w:w="1583" w:type="dxa"/>
            <w:vAlign w:val="center"/>
          </w:tcPr>
          <w:p w14:paraId="74863E80">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2025-08-09 16:08:28.000</w:t>
            </w:r>
          </w:p>
        </w:tc>
      </w:tr>
      <w:tr w14:paraId="1D9F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67" w:type="dxa"/>
            <w:vAlign w:val="center"/>
          </w:tcPr>
          <w:p w14:paraId="28C7B157">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2025-07-21</w:t>
            </w:r>
          </w:p>
        </w:tc>
        <w:tc>
          <w:tcPr>
            <w:tcW w:w="1062" w:type="dxa"/>
          </w:tcPr>
          <w:p w14:paraId="226543CE">
            <w:pPr>
              <w:spacing w:line="720" w:lineRule="auto"/>
              <w:jc w:val="center"/>
              <w:rPr>
                <w:rFonts w:hint="default" w:ascii="Times New Roman" w:hAnsi="Times New Roman"/>
                <w:lang w:val="en-US" w:eastAsia="zh-CN"/>
              </w:rPr>
            </w:pPr>
            <w:r>
              <w:rPr>
                <w:rFonts w:hint="eastAsia"/>
                <w:lang w:val="en-US" w:eastAsia="zh-CN"/>
              </w:rPr>
              <w:t>5</w:t>
            </w:r>
          </w:p>
        </w:tc>
        <w:tc>
          <w:tcPr>
            <w:tcW w:w="1899" w:type="dxa"/>
            <w:vAlign w:val="center"/>
          </w:tcPr>
          <w:p w14:paraId="3830D7B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20253101161821</w:t>
            </w:r>
          </w:p>
        </w:tc>
        <w:tc>
          <w:tcPr>
            <w:tcW w:w="1160" w:type="dxa"/>
            <w:vAlign w:val="center"/>
          </w:tcPr>
          <w:p w14:paraId="7BCF6BF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废矿物油</w:t>
            </w:r>
          </w:p>
        </w:tc>
        <w:tc>
          <w:tcPr>
            <w:tcW w:w="1377" w:type="dxa"/>
            <w:vAlign w:val="center"/>
          </w:tcPr>
          <w:p w14:paraId="2219A91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900-214-08</w:t>
            </w:r>
          </w:p>
        </w:tc>
        <w:tc>
          <w:tcPr>
            <w:tcW w:w="1269" w:type="dxa"/>
            <w:vAlign w:val="center"/>
          </w:tcPr>
          <w:p w14:paraId="2E1D23AC">
            <w:pPr>
              <w:keepNext w:val="0"/>
              <w:keepLines w:val="0"/>
              <w:widowControl/>
              <w:suppressLineNumbers w:val="0"/>
              <w:jc w:val="righ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32.15</w:t>
            </w:r>
          </w:p>
        </w:tc>
        <w:tc>
          <w:tcPr>
            <w:tcW w:w="2457" w:type="dxa"/>
            <w:vAlign w:val="center"/>
          </w:tcPr>
          <w:p w14:paraId="58D9322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江苏神华物流有限公司</w:t>
            </w:r>
          </w:p>
        </w:tc>
        <w:tc>
          <w:tcPr>
            <w:tcW w:w="1460" w:type="dxa"/>
            <w:vAlign w:val="center"/>
          </w:tcPr>
          <w:p w14:paraId="73E5FC3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苏J86652</w:t>
            </w:r>
          </w:p>
        </w:tc>
        <w:tc>
          <w:tcPr>
            <w:tcW w:w="1621" w:type="dxa"/>
            <w:vAlign w:val="center"/>
          </w:tcPr>
          <w:p w14:paraId="7F91252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常州菲纳斯能源科技有限公司</w:t>
            </w:r>
          </w:p>
        </w:tc>
        <w:tc>
          <w:tcPr>
            <w:tcW w:w="1583" w:type="dxa"/>
            <w:vAlign w:val="center"/>
          </w:tcPr>
          <w:p w14:paraId="3A748CF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2025-07-23 11:26:45.000</w:t>
            </w:r>
          </w:p>
        </w:tc>
      </w:tr>
      <w:tr w14:paraId="464E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67" w:type="dxa"/>
            <w:vAlign w:val="center"/>
          </w:tcPr>
          <w:p w14:paraId="497F2099">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2025-07-02</w:t>
            </w:r>
          </w:p>
        </w:tc>
        <w:tc>
          <w:tcPr>
            <w:tcW w:w="1062" w:type="dxa"/>
          </w:tcPr>
          <w:p w14:paraId="0830F6E0">
            <w:pPr>
              <w:spacing w:line="720" w:lineRule="auto"/>
              <w:jc w:val="center"/>
              <w:rPr>
                <w:rFonts w:hint="default" w:ascii="Times New Roman" w:hAnsi="Times New Roman"/>
                <w:lang w:val="en-US" w:eastAsia="zh-CN"/>
              </w:rPr>
            </w:pPr>
            <w:r>
              <w:rPr>
                <w:rFonts w:hint="eastAsia"/>
                <w:lang w:val="en-US" w:eastAsia="zh-CN"/>
              </w:rPr>
              <w:t>6</w:t>
            </w:r>
          </w:p>
        </w:tc>
        <w:tc>
          <w:tcPr>
            <w:tcW w:w="1899" w:type="dxa"/>
            <w:vAlign w:val="center"/>
          </w:tcPr>
          <w:p w14:paraId="638F2DA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20253101145292</w:t>
            </w:r>
          </w:p>
        </w:tc>
        <w:tc>
          <w:tcPr>
            <w:tcW w:w="1160" w:type="dxa"/>
            <w:vAlign w:val="center"/>
          </w:tcPr>
          <w:p w14:paraId="2EBE756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废矿物油</w:t>
            </w:r>
          </w:p>
        </w:tc>
        <w:tc>
          <w:tcPr>
            <w:tcW w:w="1377" w:type="dxa"/>
            <w:vAlign w:val="center"/>
          </w:tcPr>
          <w:p w14:paraId="702876C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900-214-08</w:t>
            </w:r>
          </w:p>
        </w:tc>
        <w:tc>
          <w:tcPr>
            <w:tcW w:w="1269" w:type="dxa"/>
            <w:vAlign w:val="center"/>
          </w:tcPr>
          <w:p w14:paraId="532A0C41">
            <w:pPr>
              <w:keepNext w:val="0"/>
              <w:keepLines w:val="0"/>
              <w:widowControl/>
              <w:suppressLineNumbers w:val="0"/>
              <w:jc w:val="righ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32.27</w:t>
            </w:r>
          </w:p>
        </w:tc>
        <w:tc>
          <w:tcPr>
            <w:tcW w:w="2457" w:type="dxa"/>
            <w:vAlign w:val="center"/>
          </w:tcPr>
          <w:p w14:paraId="349ED65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江苏神华物流有限公司</w:t>
            </w:r>
          </w:p>
        </w:tc>
        <w:tc>
          <w:tcPr>
            <w:tcW w:w="1460" w:type="dxa"/>
            <w:vAlign w:val="center"/>
          </w:tcPr>
          <w:p w14:paraId="371C8D4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苏J86652</w:t>
            </w:r>
          </w:p>
        </w:tc>
        <w:tc>
          <w:tcPr>
            <w:tcW w:w="1621" w:type="dxa"/>
            <w:vAlign w:val="center"/>
          </w:tcPr>
          <w:p w14:paraId="2648C4B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常州菲纳斯能源科技有限公司</w:t>
            </w:r>
          </w:p>
        </w:tc>
        <w:tc>
          <w:tcPr>
            <w:tcW w:w="1583" w:type="dxa"/>
            <w:vAlign w:val="center"/>
          </w:tcPr>
          <w:p w14:paraId="7973FBF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2025-07-04 09:56:54.000</w:t>
            </w:r>
          </w:p>
        </w:tc>
      </w:tr>
      <w:tr w14:paraId="4656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67" w:type="dxa"/>
            <w:vAlign w:val="center"/>
          </w:tcPr>
          <w:p w14:paraId="13F6CEFA">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2025-05-29</w:t>
            </w:r>
          </w:p>
        </w:tc>
        <w:tc>
          <w:tcPr>
            <w:tcW w:w="1062" w:type="dxa"/>
          </w:tcPr>
          <w:p w14:paraId="7AD012A0">
            <w:pPr>
              <w:spacing w:line="720" w:lineRule="auto"/>
              <w:jc w:val="center"/>
              <w:rPr>
                <w:rFonts w:hint="default" w:ascii="Times New Roman" w:hAnsi="Times New Roman"/>
                <w:lang w:val="en-US" w:eastAsia="zh-CN"/>
              </w:rPr>
            </w:pPr>
            <w:r>
              <w:rPr>
                <w:rFonts w:hint="eastAsia"/>
                <w:lang w:val="en-US" w:eastAsia="zh-CN"/>
              </w:rPr>
              <w:t>7</w:t>
            </w:r>
          </w:p>
        </w:tc>
        <w:tc>
          <w:tcPr>
            <w:tcW w:w="1899" w:type="dxa"/>
            <w:vAlign w:val="center"/>
          </w:tcPr>
          <w:p w14:paraId="082479F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20253101115450</w:t>
            </w:r>
          </w:p>
        </w:tc>
        <w:tc>
          <w:tcPr>
            <w:tcW w:w="1160" w:type="dxa"/>
            <w:vAlign w:val="center"/>
          </w:tcPr>
          <w:p w14:paraId="1E05278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废矿物油</w:t>
            </w:r>
          </w:p>
        </w:tc>
        <w:tc>
          <w:tcPr>
            <w:tcW w:w="1377" w:type="dxa"/>
            <w:vAlign w:val="center"/>
          </w:tcPr>
          <w:p w14:paraId="2095857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900-214-08</w:t>
            </w:r>
          </w:p>
        </w:tc>
        <w:tc>
          <w:tcPr>
            <w:tcW w:w="1269" w:type="dxa"/>
            <w:vAlign w:val="center"/>
          </w:tcPr>
          <w:p w14:paraId="5B10E8BD">
            <w:pPr>
              <w:keepNext w:val="0"/>
              <w:keepLines w:val="0"/>
              <w:widowControl/>
              <w:suppressLineNumbers w:val="0"/>
              <w:jc w:val="righ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32.08</w:t>
            </w:r>
          </w:p>
        </w:tc>
        <w:tc>
          <w:tcPr>
            <w:tcW w:w="2457" w:type="dxa"/>
            <w:vAlign w:val="center"/>
          </w:tcPr>
          <w:p w14:paraId="31F11F1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江苏神华物流有限公司</w:t>
            </w:r>
          </w:p>
        </w:tc>
        <w:tc>
          <w:tcPr>
            <w:tcW w:w="1460" w:type="dxa"/>
            <w:vAlign w:val="center"/>
          </w:tcPr>
          <w:p w14:paraId="1ED2ECE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苏J86652</w:t>
            </w:r>
          </w:p>
        </w:tc>
        <w:tc>
          <w:tcPr>
            <w:tcW w:w="1621" w:type="dxa"/>
            <w:vAlign w:val="center"/>
          </w:tcPr>
          <w:p w14:paraId="6664D59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常州菲纳斯能源科技有限公司</w:t>
            </w:r>
          </w:p>
        </w:tc>
        <w:tc>
          <w:tcPr>
            <w:tcW w:w="1583" w:type="dxa"/>
            <w:vAlign w:val="center"/>
          </w:tcPr>
          <w:p w14:paraId="49C6264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2025-05-30 16:38:24.000</w:t>
            </w:r>
          </w:p>
        </w:tc>
      </w:tr>
      <w:tr w14:paraId="490B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67" w:type="dxa"/>
            <w:vAlign w:val="center"/>
          </w:tcPr>
          <w:p w14:paraId="35B17AE8">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2025-05-15</w:t>
            </w:r>
          </w:p>
        </w:tc>
        <w:tc>
          <w:tcPr>
            <w:tcW w:w="1062" w:type="dxa"/>
            <w:vAlign w:val="center"/>
          </w:tcPr>
          <w:p w14:paraId="5704BB49">
            <w:pPr>
              <w:jc w:val="center"/>
              <w:rPr>
                <w:rFonts w:hint="default" w:ascii="Times New Roman" w:hAnsi="Times New Roman"/>
                <w:lang w:val="en-US" w:eastAsia="zh-CN"/>
              </w:rPr>
            </w:pPr>
            <w:r>
              <w:rPr>
                <w:rFonts w:hint="eastAsia"/>
                <w:lang w:val="en-US" w:eastAsia="zh-CN"/>
              </w:rPr>
              <w:t>8</w:t>
            </w:r>
          </w:p>
        </w:tc>
        <w:tc>
          <w:tcPr>
            <w:tcW w:w="1899" w:type="dxa"/>
            <w:vAlign w:val="center"/>
          </w:tcPr>
          <w:p w14:paraId="1F1A0A7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20253101102769</w:t>
            </w:r>
          </w:p>
        </w:tc>
        <w:tc>
          <w:tcPr>
            <w:tcW w:w="1160" w:type="dxa"/>
            <w:vAlign w:val="center"/>
          </w:tcPr>
          <w:p w14:paraId="16CC933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废矿物油</w:t>
            </w:r>
          </w:p>
        </w:tc>
        <w:tc>
          <w:tcPr>
            <w:tcW w:w="1377" w:type="dxa"/>
            <w:vAlign w:val="center"/>
          </w:tcPr>
          <w:p w14:paraId="5298A21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900-214-08</w:t>
            </w:r>
          </w:p>
        </w:tc>
        <w:tc>
          <w:tcPr>
            <w:tcW w:w="1269" w:type="dxa"/>
            <w:vAlign w:val="center"/>
          </w:tcPr>
          <w:p w14:paraId="53F5E913">
            <w:pPr>
              <w:keepNext w:val="0"/>
              <w:keepLines w:val="0"/>
              <w:widowControl/>
              <w:suppressLineNumbers w:val="0"/>
              <w:jc w:val="righ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31.42</w:t>
            </w:r>
          </w:p>
        </w:tc>
        <w:tc>
          <w:tcPr>
            <w:tcW w:w="2457" w:type="dxa"/>
            <w:vAlign w:val="center"/>
          </w:tcPr>
          <w:p w14:paraId="62E14DA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江苏神华物流有限公司</w:t>
            </w:r>
          </w:p>
        </w:tc>
        <w:tc>
          <w:tcPr>
            <w:tcW w:w="1460" w:type="dxa"/>
            <w:vAlign w:val="center"/>
          </w:tcPr>
          <w:p w14:paraId="3326BC9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苏JQ1339</w:t>
            </w:r>
          </w:p>
        </w:tc>
        <w:tc>
          <w:tcPr>
            <w:tcW w:w="1621" w:type="dxa"/>
            <w:vAlign w:val="center"/>
          </w:tcPr>
          <w:p w14:paraId="081847B7">
            <w:pPr>
              <w:jc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常州菲纳斯能源科技有限公司</w:t>
            </w:r>
          </w:p>
        </w:tc>
        <w:tc>
          <w:tcPr>
            <w:tcW w:w="1583" w:type="dxa"/>
            <w:vAlign w:val="center"/>
          </w:tcPr>
          <w:p w14:paraId="6D53B36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2025-05-17 10:30:23.000</w:t>
            </w:r>
          </w:p>
        </w:tc>
      </w:tr>
      <w:tr w14:paraId="71E6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67" w:type="dxa"/>
            <w:vAlign w:val="center"/>
          </w:tcPr>
          <w:p w14:paraId="3D2C740E">
            <w:pPr>
              <w:keepNext w:val="0"/>
              <w:keepLines w:val="0"/>
              <w:widowControl/>
              <w:suppressLineNumbers w:val="0"/>
              <w:jc w:val="center"/>
              <w:textAlignment w:val="center"/>
            </w:pPr>
            <w:r>
              <w:rPr>
                <w:rFonts w:hint="eastAsia" w:ascii="等线" w:hAnsi="等线" w:eastAsia="等线" w:cs="等线"/>
                <w:i w:val="0"/>
                <w:iCs w:val="0"/>
                <w:color w:val="000000"/>
                <w:kern w:val="0"/>
                <w:sz w:val="22"/>
                <w:szCs w:val="22"/>
                <w:u w:val="none"/>
                <w:lang w:val="en-US" w:eastAsia="zh-CN" w:bidi="ar"/>
              </w:rPr>
              <w:t>2025-04-28</w:t>
            </w:r>
          </w:p>
        </w:tc>
        <w:tc>
          <w:tcPr>
            <w:tcW w:w="1062" w:type="dxa"/>
          </w:tcPr>
          <w:p w14:paraId="5EF11CE9">
            <w:pPr>
              <w:spacing w:line="720" w:lineRule="auto"/>
              <w:jc w:val="center"/>
              <w:rPr>
                <w:rFonts w:hint="default" w:ascii="Times New Roman" w:hAnsi="Times New Roman"/>
                <w:lang w:val="en-US" w:eastAsia="zh-CN"/>
              </w:rPr>
            </w:pPr>
            <w:r>
              <w:rPr>
                <w:rFonts w:hint="eastAsia"/>
                <w:lang w:val="en-US" w:eastAsia="zh-CN"/>
              </w:rPr>
              <w:t>9</w:t>
            </w:r>
          </w:p>
        </w:tc>
        <w:tc>
          <w:tcPr>
            <w:tcW w:w="1899" w:type="dxa"/>
            <w:vAlign w:val="center"/>
          </w:tcPr>
          <w:p w14:paraId="5297285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20253101089760</w:t>
            </w:r>
          </w:p>
        </w:tc>
        <w:tc>
          <w:tcPr>
            <w:tcW w:w="1160" w:type="dxa"/>
            <w:vAlign w:val="center"/>
          </w:tcPr>
          <w:p w14:paraId="02A6EBA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废矿物油</w:t>
            </w:r>
          </w:p>
        </w:tc>
        <w:tc>
          <w:tcPr>
            <w:tcW w:w="1377" w:type="dxa"/>
            <w:vAlign w:val="center"/>
          </w:tcPr>
          <w:p w14:paraId="1471F2F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900-214-08</w:t>
            </w:r>
          </w:p>
        </w:tc>
        <w:tc>
          <w:tcPr>
            <w:tcW w:w="1269" w:type="dxa"/>
            <w:vAlign w:val="center"/>
          </w:tcPr>
          <w:p w14:paraId="322E2F85">
            <w:pPr>
              <w:keepNext w:val="0"/>
              <w:keepLines w:val="0"/>
              <w:widowControl/>
              <w:suppressLineNumbers w:val="0"/>
              <w:jc w:val="righ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32.58</w:t>
            </w:r>
          </w:p>
        </w:tc>
        <w:tc>
          <w:tcPr>
            <w:tcW w:w="2457" w:type="dxa"/>
            <w:vAlign w:val="center"/>
          </w:tcPr>
          <w:p w14:paraId="6111870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江苏神华物流有限公司</w:t>
            </w:r>
          </w:p>
        </w:tc>
        <w:tc>
          <w:tcPr>
            <w:tcW w:w="1460" w:type="dxa"/>
            <w:vAlign w:val="center"/>
          </w:tcPr>
          <w:p w14:paraId="2BFF1BB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苏J86652</w:t>
            </w:r>
          </w:p>
        </w:tc>
        <w:tc>
          <w:tcPr>
            <w:tcW w:w="1621" w:type="dxa"/>
            <w:vAlign w:val="center"/>
          </w:tcPr>
          <w:p w14:paraId="05A7332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常州菲纳斯能源科技有限公司</w:t>
            </w:r>
          </w:p>
        </w:tc>
        <w:tc>
          <w:tcPr>
            <w:tcW w:w="1583" w:type="dxa"/>
            <w:vAlign w:val="center"/>
          </w:tcPr>
          <w:p w14:paraId="050446B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2025-04-29 14:28:59.000</w:t>
            </w:r>
          </w:p>
        </w:tc>
      </w:tr>
      <w:tr w14:paraId="4B67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67" w:type="dxa"/>
            <w:vAlign w:val="center"/>
          </w:tcPr>
          <w:p w14:paraId="55847A59">
            <w:pPr>
              <w:keepNext w:val="0"/>
              <w:keepLines w:val="0"/>
              <w:widowControl/>
              <w:suppressLineNumbers w:val="0"/>
              <w:jc w:val="center"/>
              <w:textAlignment w:val="center"/>
              <w:rPr>
                <w:rFonts w:hint="eastAsia" w:eastAsia="宋体"/>
                <w:lang w:val="en-US" w:eastAsia="zh-CN"/>
              </w:rPr>
            </w:pPr>
            <w:r>
              <w:rPr>
                <w:rFonts w:hint="eastAsia"/>
                <w:lang w:val="en-US" w:eastAsia="zh-CN"/>
              </w:rPr>
              <w:t>合计</w:t>
            </w:r>
          </w:p>
        </w:tc>
        <w:tc>
          <w:tcPr>
            <w:tcW w:w="1062" w:type="dxa"/>
          </w:tcPr>
          <w:p w14:paraId="6B542B5E">
            <w:pPr>
              <w:spacing w:line="720" w:lineRule="auto"/>
              <w:jc w:val="center"/>
              <w:rPr>
                <w:rFonts w:hint="eastAsia"/>
                <w:lang w:val="en-US" w:eastAsia="zh-CN"/>
              </w:rPr>
            </w:pPr>
          </w:p>
        </w:tc>
        <w:tc>
          <w:tcPr>
            <w:tcW w:w="1899" w:type="dxa"/>
            <w:vAlign w:val="center"/>
          </w:tcPr>
          <w:p w14:paraId="06B60A1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p>
        </w:tc>
        <w:tc>
          <w:tcPr>
            <w:tcW w:w="1160" w:type="dxa"/>
            <w:vAlign w:val="center"/>
          </w:tcPr>
          <w:p w14:paraId="6017D97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p>
        </w:tc>
        <w:tc>
          <w:tcPr>
            <w:tcW w:w="1377" w:type="dxa"/>
            <w:vAlign w:val="center"/>
          </w:tcPr>
          <w:p w14:paraId="4603C6C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269" w:type="dxa"/>
            <w:vAlign w:val="center"/>
          </w:tcPr>
          <w:p w14:paraId="0807EF9D">
            <w:pPr>
              <w:keepNext w:val="0"/>
              <w:keepLines w:val="0"/>
              <w:widowControl/>
              <w:suppressLineNumbers w:val="0"/>
              <w:jc w:val="right"/>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289.39吨</w:t>
            </w:r>
          </w:p>
        </w:tc>
        <w:tc>
          <w:tcPr>
            <w:tcW w:w="2457" w:type="dxa"/>
            <w:vAlign w:val="center"/>
          </w:tcPr>
          <w:p w14:paraId="67F694C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p>
        </w:tc>
        <w:tc>
          <w:tcPr>
            <w:tcW w:w="1460" w:type="dxa"/>
            <w:vAlign w:val="center"/>
          </w:tcPr>
          <w:p w14:paraId="12335A6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p>
        </w:tc>
        <w:tc>
          <w:tcPr>
            <w:tcW w:w="1621" w:type="dxa"/>
            <w:vAlign w:val="center"/>
          </w:tcPr>
          <w:p w14:paraId="0D2DA6C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p>
        </w:tc>
        <w:tc>
          <w:tcPr>
            <w:tcW w:w="1583" w:type="dxa"/>
            <w:vAlign w:val="center"/>
          </w:tcPr>
          <w:p w14:paraId="0CB810B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bl>
    <w:p w14:paraId="3D0040E2">
      <w:pPr>
        <w:pStyle w:val="12"/>
        <w:adjustRightInd w:val="0"/>
        <w:snapToGrid w:val="0"/>
        <w:spacing w:line="360" w:lineRule="auto"/>
        <w:ind w:firstLine="0" w:firstLineChars="0"/>
        <w:rPr>
          <w:rFonts w:hAnsi="宋体"/>
          <w:sz w:val="28"/>
          <w:szCs w:val="28"/>
        </w:rPr>
        <w:sectPr>
          <w:pgSz w:w="16838" w:h="11906" w:orient="landscape"/>
          <w:pgMar w:top="1797" w:right="1440" w:bottom="1797" w:left="1440" w:header="1418" w:footer="1134" w:gutter="0"/>
          <w:pgNumType w:start="6"/>
          <w:cols w:space="720" w:num="1"/>
          <w:formProt w:val="0"/>
          <w:docGrid w:type="linesAndChars" w:linePitch="312" w:charSpace="0"/>
        </w:sectPr>
      </w:pPr>
    </w:p>
    <w:p w14:paraId="20380E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3C004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C14C4"/>
    <w:multiLevelType w:val="singleLevel"/>
    <w:tmpl w:val="DE9C14C4"/>
    <w:lvl w:ilvl="0" w:tentative="0">
      <w:start w:val="1"/>
      <w:numFmt w:val="decimal"/>
      <w:suff w:val="nothing"/>
      <w:lvlText w:val="%1、"/>
      <w:lvlJc w:val="left"/>
    </w:lvl>
  </w:abstractNum>
  <w:abstractNum w:abstractNumId="1">
    <w:nsid w:val="4C612411"/>
    <w:multiLevelType w:val="singleLevel"/>
    <w:tmpl w:val="4C612411"/>
    <w:lvl w:ilvl="0" w:tentative="0">
      <w:start w:val="4"/>
      <w:numFmt w:val="upperLetter"/>
      <w:suff w:val="nothing"/>
      <w:lvlText w:val="%1、"/>
      <w:lvlJc w:val="left"/>
      <w:pPr>
        <w:ind w:left="52"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DD"/>
    <w:rsid w:val="004D30DD"/>
    <w:rsid w:val="005205C5"/>
    <w:rsid w:val="007868DF"/>
    <w:rsid w:val="00BD00DE"/>
    <w:rsid w:val="09DC61A3"/>
    <w:rsid w:val="102478C4"/>
    <w:rsid w:val="19A60971"/>
    <w:rsid w:val="1CEB541D"/>
    <w:rsid w:val="20515ADA"/>
    <w:rsid w:val="42457D9D"/>
    <w:rsid w:val="46046F29"/>
    <w:rsid w:val="BFD5E0A0"/>
    <w:rsid w:val="DF7F8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unhideWhenUsed/>
    <w:qFormat/>
    <w:uiPriority w:val="9"/>
    <w:pPr>
      <w:keepNext/>
      <w:keepLines/>
      <w:spacing w:before="280" w:after="290" w:line="376" w:lineRule="auto"/>
      <w:outlineLvl w:val="4"/>
    </w:pPr>
    <w:rPr>
      <w:rFonts w:ascii="Calibri" w:hAnsi="Calibri" w:eastAsia="宋体" w:cs="Times New Roman"/>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spacing w:line="240" w:lineRule="auto"/>
    </w:pPr>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段 Char"/>
    <w:link w:val="12"/>
    <w:qFormat/>
    <w:uiPriority w:val="0"/>
    <w:rPr>
      <w:rFonts w:ascii="宋体"/>
    </w:rPr>
  </w:style>
  <w:style w:type="paragraph" w:customStyle="1" w:styleId="12">
    <w:name w:val="段"/>
    <w:link w:val="11"/>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1832</Words>
  <Characters>1967</Characters>
  <Lines>5</Lines>
  <Paragraphs>1</Paragraphs>
  <TotalTime>0</TotalTime>
  <ScaleCrop>false</ScaleCrop>
  <LinksUpToDate>false</LinksUpToDate>
  <CharactersWithSpaces>2120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2019-02-15T10:17:00Z</dcterms:created>
  <dc:creator>沈静</dc:creator>
  <cp:lastModifiedBy>可乐、</cp:lastModifiedBy>
  <dcterms:modified xsi:type="dcterms:W3CDTF">2026-03-05T06:46:13Z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28D3508A46A14A18B8B4D03B975E0C72_13</vt:lpwstr>
  </property>
  <property fmtid="{D5CDD505-2E9C-101B-9397-08002B2CF9AE}" pid="4" name="KSOTemplateDocerSaveRecord">
    <vt:lpwstr>eyJoZGlkIjoiYzdjNmYyOTQ1ZTkzZGY5ODAzM2FiZjg0NjY2MWExNTQiLCJ1c2VySWQiOiI0MjY0MjE0OTQifQ==</vt:lpwstr>
  </property>
</Properties>
</file>