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BCAA6">
      <w:pPr>
        <w:jc w:val="center"/>
        <w:rPr>
          <w:rFonts w:ascii="Times New Roman" w:hAnsi="Times New Roman" w:eastAsia="方正小标宋_GBK"/>
          <w:b/>
          <w:sz w:val="52"/>
          <w:szCs w:val="52"/>
        </w:rPr>
      </w:pPr>
    </w:p>
    <w:p w14:paraId="3952960A">
      <w:pPr>
        <w:jc w:val="center"/>
        <w:rPr>
          <w:rFonts w:ascii="Times New Roman" w:hAnsi="Times New Roman" w:eastAsia="方正小标宋_GBK"/>
          <w:sz w:val="52"/>
          <w:szCs w:val="52"/>
        </w:rPr>
      </w:pPr>
      <w:r>
        <w:rPr>
          <w:rFonts w:ascii="Times New Roman" w:hAnsi="Times New Roman" w:eastAsia="方正小标宋_GBK"/>
          <w:sz w:val="52"/>
          <w:szCs w:val="52"/>
        </w:rPr>
        <w:t>江苏省固体（危险）废物</w:t>
      </w:r>
    </w:p>
    <w:p w14:paraId="58C5EAAA">
      <w:pPr>
        <w:jc w:val="center"/>
        <w:rPr>
          <w:rFonts w:ascii="Times New Roman" w:hAnsi="Times New Roman" w:eastAsia="方正小标宋_GBK"/>
          <w:sz w:val="52"/>
          <w:szCs w:val="52"/>
        </w:rPr>
      </w:pPr>
      <w:r>
        <w:rPr>
          <w:rFonts w:ascii="Times New Roman" w:hAnsi="Times New Roman" w:eastAsia="方正小标宋_GBK"/>
          <w:sz w:val="52"/>
          <w:szCs w:val="52"/>
        </w:rPr>
        <w:t>跨省</w:t>
      </w:r>
      <w:r>
        <w:rPr>
          <w:rFonts w:hint="eastAsia" w:ascii="Times New Roman" w:hAnsi="Times New Roman" w:eastAsia="方正小标宋_GBK"/>
          <w:sz w:val="52"/>
          <w:szCs w:val="52"/>
        </w:rPr>
        <w:t>（市）</w:t>
      </w:r>
      <w:r>
        <w:rPr>
          <w:rFonts w:ascii="Times New Roman" w:hAnsi="Times New Roman" w:eastAsia="方正小标宋_GBK"/>
          <w:sz w:val="52"/>
          <w:szCs w:val="52"/>
        </w:rPr>
        <w:t>转移实施方案</w:t>
      </w:r>
    </w:p>
    <w:p w14:paraId="22D23E67">
      <w:pPr>
        <w:jc w:val="center"/>
        <w:rPr>
          <w:rFonts w:ascii="Times New Roman" w:hAnsi="Times New Roman"/>
          <w:sz w:val="52"/>
        </w:rPr>
      </w:pPr>
    </w:p>
    <w:p w14:paraId="331BC340">
      <w:pPr>
        <w:jc w:val="center"/>
        <w:rPr>
          <w:rFonts w:ascii="Times New Roman" w:hAnsi="Times New Roman"/>
          <w:sz w:val="52"/>
        </w:rPr>
      </w:pPr>
    </w:p>
    <w:p w14:paraId="2C32E303">
      <w:pPr>
        <w:jc w:val="center"/>
        <w:rPr>
          <w:rFonts w:ascii="Times New Roman" w:hAnsi="Times New Roman"/>
        </w:rPr>
      </w:pPr>
    </w:p>
    <w:p w14:paraId="5549ECF8">
      <w:pPr>
        <w:rPr>
          <w:rFonts w:ascii="Times New Roman" w:hAnsi="Times New Roman"/>
        </w:rPr>
      </w:pPr>
    </w:p>
    <w:p w14:paraId="51475575">
      <w:pPr>
        <w:rPr>
          <w:rFonts w:ascii="Times New Roman" w:hAnsi="Times New Roman"/>
        </w:rPr>
      </w:pPr>
    </w:p>
    <w:p w14:paraId="02FDFB76">
      <w:pPr>
        <w:rPr>
          <w:rFonts w:ascii="Times New Roman" w:hAnsi="Times New Roman"/>
        </w:rPr>
      </w:pPr>
    </w:p>
    <w:p w14:paraId="422779F0">
      <w:pPr>
        <w:rPr>
          <w:rFonts w:ascii="Times New Roman" w:hAnsi="Times New Roman"/>
        </w:rPr>
      </w:pPr>
    </w:p>
    <w:p w14:paraId="01A739D9">
      <w:pPr>
        <w:rPr>
          <w:rFonts w:ascii="Times New Roman" w:hAnsi="Times New Roman"/>
        </w:rPr>
      </w:pPr>
    </w:p>
    <w:p w14:paraId="56485E53">
      <w:pPr>
        <w:rPr>
          <w:rFonts w:ascii="Times New Roman" w:hAnsi="Times New Roman"/>
        </w:rPr>
      </w:pPr>
    </w:p>
    <w:p w14:paraId="75DB0893">
      <w:pPr>
        <w:rPr>
          <w:rFonts w:ascii="Times New Roman" w:hAnsi="Times New Roman"/>
        </w:rPr>
      </w:pPr>
    </w:p>
    <w:p w14:paraId="481AFC36">
      <w:pPr>
        <w:pStyle w:val="2"/>
        <w:tabs>
          <w:tab w:val="left" w:pos="5940"/>
        </w:tabs>
        <w:snapToGrid w:val="0"/>
        <w:jc w:val="left"/>
        <w:rPr>
          <w:rFonts w:ascii="Times New Roman" w:hAnsi="Times New Roman"/>
          <w:b/>
          <w:sz w:val="32"/>
        </w:rPr>
      </w:pPr>
      <w:r>
        <w:rPr>
          <w:rFonts w:ascii="Times New Roman" w:hAnsi="宋体"/>
          <w:b/>
          <w:sz w:val="32"/>
        </w:rPr>
        <w:t>申请单位</w:t>
      </w:r>
      <w:r>
        <w:rPr>
          <w:rFonts w:hint="eastAsia" w:ascii="Times New Roman" w:hAnsi="宋体"/>
          <w:b/>
          <w:sz w:val="32"/>
          <w:lang w:eastAsia="zh-CN"/>
        </w:rPr>
        <w:t>：</w:t>
      </w:r>
      <w:r>
        <w:rPr>
          <w:rFonts w:hint="eastAsia" w:ascii="Times New Roman" w:hAnsi="Times New Roman" w:eastAsia="宋体" w:cs="Times New Roman"/>
          <w:b/>
          <w:kern w:val="2"/>
          <w:sz w:val="32"/>
          <w:szCs w:val="22"/>
          <w:u w:val="single"/>
          <w:lang w:val="en-US" w:eastAsia="zh-CN" w:bidi="ar-SA"/>
        </w:rPr>
        <w:t xml:space="preserve"> </w:t>
      </w:r>
      <w:r>
        <w:rPr>
          <w:rFonts w:hint="eastAsia" w:ascii="Times New Roman" w:hAnsi="Times New Roman" w:cs="Times New Roman"/>
          <w:b/>
          <w:kern w:val="2"/>
          <w:sz w:val="32"/>
          <w:szCs w:val="22"/>
          <w:u w:val="single"/>
          <w:lang w:val="en-US" w:eastAsia="zh-CN" w:bidi="ar-SA"/>
        </w:rPr>
        <w:t xml:space="preserve">   浙江普若恩环保技术有限公司</w:t>
      </w:r>
      <w:r>
        <w:rPr>
          <w:rFonts w:hint="eastAsia" w:ascii="Times New Roman" w:hAnsi="Times New Roman" w:eastAsia="宋体" w:cs="Times New Roman"/>
          <w:b/>
          <w:kern w:val="2"/>
          <w:sz w:val="32"/>
          <w:szCs w:val="22"/>
          <w:u w:val="single"/>
          <w:lang w:val="en-US" w:eastAsia="zh-CN" w:bidi="ar-SA"/>
        </w:rPr>
        <w:t xml:space="preserve">   </w:t>
      </w:r>
      <w:r>
        <w:rPr>
          <w:rFonts w:ascii="Times New Roman" w:hAnsi="Times New Roman"/>
          <w:b/>
          <w:sz w:val="32"/>
          <w:u w:val="single"/>
        </w:rPr>
        <w:t xml:space="preserve">  </w:t>
      </w:r>
      <w:r>
        <w:rPr>
          <w:rFonts w:ascii="Times New Roman" w:hAnsi="宋体"/>
          <w:b/>
          <w:sz w:val="32"/>
        </w:rPr>
        <w:t>（公章）</w:t>
      </w:r>
    </w:p>
    <w:p w14:paraId="644493E4">
      <w:pPr>
        <w:tabs>
          <w:tab w:val="left" w:pos="5940"/>
        </w:tabs>
        <w:snapToGrid w:val="0"/>
        <w:rPr>
          <w:rFonts w:ascii="Times New Roman" w:hAnsi="Times New Roman"/>
          <w:b/>
          <w:sz w:val="32"/>
        </w:rPr>
      </w:pPr>
    </w:p>
    <w:p w14:paraId="13FC4CAB">
      <w:pPr>
        <w:tabs>
          <w:tab w:val="left" w:pos="5940"/>
        </w:tabs>
        <w:snapToGrid w:val="0"/>
        <w:rPr>
          <w:rFonts w:ascii="Times New Roman" w:hAnsi="Times New Roman"/>
          <w:b/>
          <w:sz w:val="32"/>
        </w:rPr>
      </w:pPr>
    </w:p>
    <w:p w14:paraId="283B27B8">
      <w:pPr>
        <w:tabs>
          <w:tab w:val="left" w:pos="5940"/>
        </w:tabs>
        <w:snapToGrid w:val="0"/>
        <w:rPr>
          <w:rFonts w:ascii="Times New Roman" w:hAnsi="Times New Roman"/>
          <w:b/>
          <w:sz w:val="32"/>
        </w:rPr>
      </w:pPr>
      <w:r>
        <w:rPr>
          <w:rFonts w:ascii="Times New Roman" w:hAnsi="宋体"/>
          <w:b/>
          <w:sz w:val="32"/>
        </w:rPr>
        <w:t>填报日期：</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     </w:t>
      </w:r>
      <w:r>
        <w:rPr>
          <w:rFonts w:ascii="Times New Roman" w:hAnsi="Times New Roman"/>
          <w:b/>
          <w:sz w:val="32"/>
          <w:u w:val="single"/>
        </w:rPr>
        <w:t xml:space="preserve">  </w:t>
      </w:r>
      <w:r>
        <w:rPr>
          <w:rFonts w:hint="eastAsia" w:ascii="Times New Roman" w:hAnsi="Times New Roman"/>
          <w:b/>
          <w:sz w:val="32"/>
          <w:u w:val="single"/>
          <w:lang w:val="en-US" w:eastAsia="zh-CN"/>
        </w:rPr>
        <w:t xml:space="preserve">2025  </w:t>
      </w:r>
      <w:r>
        <w:rPr>
          <w:rFonts w:hint="eastAsia" w:ascii="Times New Roman" w:hAnsi="Times New Roman"/>
          <w:b/>
          <w:sz w:val="32"/>
          <w:u w:val="single"/>
        </w:rPr>
        <w:t>年</w:t>
      </w:r>
      <w:r>
        <w:rPr>
          <w:rFonts w:hint="eastAsia" w:ascii="Times New Roman" w:hAnsi="Times New Roman"/>
          <w:b/>
          <w:sz w:val="32"/>
          <w:u w:val="single"/>
          <w:lang w:val="en-US" w:eastAsia="zh-CN"/>
        </w:rPr>
        <w:t xml:space="preserve"> 10 </w:t>
      </w:r>
      <w:r>
        <w:rPr>
          <w:rFonts w:hint="eastAsia" w:ascii="Times New Roman" w:hAnsi="Times New Roman"/>
          <w:b/>
          <w:sz w:val="32"/>
          <w:u w:val="single"/>
        </w:rPr>
        <w:t>月</w:t>
      </w:r>
      <w:r>
        <w:rPr>
          <w:rFonts w:hint="eastAsia" w:ascii="Times New Roman" w:hAnsi="Times New Roman"/>
          <w:b/>
          <w:sz w:val="32"/>
          <w:u w:val="single"/>
          <w:lang w:val="en-US" w:eastAsia="zh-CN"/>
        </w:rPr>
        <w:t xml:space="preserve"> 23 日</w:t>
      </w:r>
      <w:r>
        <w:rPr>
          <w:rFonts w:ascii="Times New Roman" w:hAnsi="Times New Roman"/>
          <w:b/>
          <w:sz w:val="32"/>
          <w:u w:val="single"/>
        </w:rPr>
        <w:t xml:space="preserve">                     </w:t>
      </w:r>
      <w:r>
        <w:rPr>
          <w:rFonts w:ascii="Times New Roman" w:hAnsi="Times New Roman"/>
          <w:b/>
          <w:sz w:val="32"/>
        </w:rPr>
        <w:t xml:space="preserve">     </w:t>
      </w:r>
    </w:p>
    <w:p w14:paraId="06DC2BBE">
      <w:pPr>
        <w:tabs>
          <w:tab w:val="left" w:pos="5940"/>
        </w:tabs>
        <w:snapToGrid w:val="0"/>
        <w:spacing w:line="400" w:lineRule="exact"/>
        <w:rPr>
          <w:rFonts w:ascii="Times New Roman" w:hAnsi="Times New Roman"/>
          <w:b/>
          <w:sz w:val="24"/>
        </w:rPr>
      </w:pPr>
    </w:p>
    <w:p w14:paraId="713F2325">
      <w:pPr>
        <w:tabs>
          <w:tab w:val="left" w:pos="5940"/>
        </w:tabs>
        <w:snapToGrid w:val="0"/>
        <w:spacing w:line="400" w:lineRule="exact"/>
        <w:rPr>
          <w:rFonts w:ascii="Times New Roman" w:hAnsi="Times New Roman" w:eastAsia="楷体_GB2312"/>
          <w:spacing w:val="20"/>
          <w:sz w:val="30"/>
        </w:rPr>
      </w:pPr>
    </w:p>
    <w:p w14:paraId="353AE2EB">
      <w:pPr>
        <w:tabs>
          <w:tab w:val="left" w:pos="5940"/>
        </w:tabs>
        <w:snapToGrid w:val="0"/>
        <w:spacing w:line="400" w:lineRule="exact"/>
        <w:rPr>
          <w:rFonts w:ascii="Times New Roman" w:hAnsi="Times New Roman"/>
          <w:b/>
          <w:sz w:val="24"/>
        </w:rPr>
      </w:pPr>
    </w:p>
    <w:p w14:paraId="67EDA9DC">
      <w:pPr>
        <w:tabs>
          <w:tab w:val="left" w:pos="5940"/>
        </w:tabs>
        <w:snapToGrid w:val="0"/>
        <w:spacing w:line="400" w:lineRule="exact"/>
        <w:rPr>
          <w:rFonts w:ascii="Times New Roman" w:hAnsi="Times New Roman"/>
          <w:b/>
          <w:sz w:val="24"/>
        </w:rPr>
      </w:pPr>
    </w:p>
    <w:p w14:paraId="63D62D3E">
      <w:pPr>
        <w:tabs>
          <w:tab w:val="left" w:pos="5940"/>
        </w:tabs>
        <w:snapToGrid w:val="0"/>
        <w:spacing w:line="400" w:lineRule="exact"/>
        <w:rPr>
          <w:rFonts w:ascii="Times New Roman" w:hAnsi="Times New Roman"/>
          <w:b/>
          <w:sz w:val="24"/>
        </w:rPr>
      </w:pPr>
    </w:p>
    <w:p w14:paraId="654CC1B0">
      <w:pPr>
        <w:tabs>
          <w:tab w:val="left" w:pos="5940"/>
        </w:tabs>
        <w:snapToGrid w:val="0"/>
        <w:spacing w:line="400" w:lineRule="exact"/>
        <w:jc w:val="center"/>
        <w:rPr>
          <w:rFonts w:ascii="Times New Roman" w:hAnsi="Times New Roman"/>
          <w:sz w:val="24"/>
        </w:rPr>
        <w:sectPr>
          <w:pgSz w:w="11906" w:h="16838"/>
          <w:pgMar w:top="1440" w:right="1800" w:bottom="1440" w:left="1800" w:header="851" w:footer="992" w:gutter="0"/>
          <w:pgNumType w:start="1"/>
          <w:cols w:space="425" w:num="1"/>
          <w:docGrid w:type="lines" w:linePitch="286" w:charSpace="0"/>
        </w:sectPr>
      </w:pPr>
      <w:r>
        <w:rPr>
          <w:rFonts w:ascii="Times New Roman" w:hAnsi="宋体"/>
          <w:b/>
          <w:sz w:val="24"/>
        </w:rPr>
        <w:t>江苏省环境保护厅制</w:t>
      </w:r>
    </w:p>
    <w:p w14:paraId="20F2A0C7">
      <w:pPr>
        <w:ind w:right="-758" w:rightChars="-361"/>
        <w:jc w:val="center"/>
        <w:rPr>
          <w:rFonts w:ascii="Times New Roman" w:hAnsi="Times New Roman" w:eastAsia="方正小标宋_GBK"/>
          <w:sz w:val="44"/>
          <w:szCs w:val="44"/>
        </w:rPr>
      </w:pPr>
      <w:r>
        <w:rPr>
          <w:rFonts w:ascii="Times New Roman" w:hAnsi="Times New Roman" w:eastAsia="方正小标宋_GBK"/>
          <w:sz w:val="44"/>
          <w:szCs w:val="44"/>
        </w:rPr>
        <w:t>申请者声明</w:t>
      </w:r>
    </w:p>
    <w:p w14:paraId="3D778F81">
      <w:pPr>
        <w:ind w:right="-758" w:rightChars="-361"/>
        <w:jc w:val="center"/>
        <w:rPr>
          <w:rFonts w:ascii="Times New Roman" w:hAnsi="Times New Roman" w:eastAsia="方正小标宋_GBK"/>
          <w:b/>
          <w:sz w:val="44"/>
          <w:szCs w:val="44"/>
        </w:rPr>
      </w:pPr>
    </w:p>
    <w:p w14:paraId="5BBED66A">
      <w:pPr>
        <w:spacing w:line="360" w:lineRule="auto"/>
        <w:ind w:left="-210" w:leftChars="-100" w:right="-210" w:rightChars="-100" w:firstLine="640" w:firstLineChars="200"/>
        <w:rPr>
          <w:rFonts w:ascii="Times New Roman" w:hAnsi="Times New Roman" w:eastAsia="方正仿宋_GBK"/>
          <w:sz w:val="32"/>
          <w:szCs w:val="32"/>
        </w:rPr>
      </w:pPr>
      <w:r>
        <w:rPr>
          <w:rFonts w:ascii="Times New Roman" w:hAnsi="方正仿宋_GBK" w:eastAsia="方正仿宋_GBK"/>
          <w:sz w:val="32"/>
          <w:szCs w:val="32"/>
        </w:rPr>
        <w:t>我代表申请单位郑重承诺：本实施方案所填资料是完整的和真实的。转移的危险废物名称、</w:t>
      </w:r>
      <w:r>
        <w:rPr>
          <w:rFonts w:hint="eastAsia" w:ascii="Times New Roman" w:hAnsi="方正仿宋_GBK" w:eastAsia="方正仿宋_GBK"/>
          <w:sz w:val="32"/>
          <w:szCs w:val="32"/>
        </w:rPr>
        <w:t>类别、</w:t>
      </w:r>
      <w:r>
        <w:rPr>
          <w:rFonts w:ascii="Times New Roman" w:hAnsi="方正仿宋_GBK" w:eastAsia="方正仿宋_GBK"/>
          <w:sz w:val="32"/>
          <w:szCs w:val="32"/>
        </w:rPr>
        <w:t>代码、数量与实际相符</w:t>
      </w:r>
      <w:r>
        <w:rPr>
          <w:rFonts w:hint="eastAsia" w:ascii="Times New Roman" w:hAnsi="方正仿宋_GBK" w:eastAsia="方正仿宋_GBK"/>
          <w:sz w:val="32"/>
          <w:szCs w:val="32"/>
        </w:rPr>
        <w:t>。危险废物接受单位具备相应的处置利用能力</w:t>
      </w:r>
      <w:r>
        <w:rPr>
          <w:rFonts w:ascii="Times New Roman" w:hAnsi="方正仿宋_GBK" w:eastAsia="方正仿宋_GBK"/>
          <w:sz w:val="32"/>
          <w:szCs w:val="32"/>
        </w:rPr>
        <w:t>和污染防治</w:t>
      </w:r>
      <w:r>
        <w:rPr>
          <w:rFonts w:hint="eastAsia" w:ascii="Times New Roman" w:hAnsi="方正仿宋_GBK" w:eastAsia="方正仿宋_GBK"/>
          <w:sz w:val="32"/>
          <w:szCs w:val="32"/>
        </w:rPr>
        <w:t>措施。</w:t>
      </w:r>
      <w:r>
        <w:rPr>
          <w:rFonts w:ascii="Times New Roman"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ascii="Times New Roman" w:hAnsi="方正仿宋_GBK" w:eastAsia="方正仿宋_GBK"/>
          <w:sz w:val="32"/>
          <w:szCs w:val="32"/>
        </w:rPr>
        <w:t>（市）</w:t>
      </w:r>
      <w:r>
        <w:rPr>
          <w:rFonts w:ascii="Times New Roman" w:hAnsi="方正仿宋_GBK" w:eastAsia="方正仿宋_GBK"/>
          <w:sz w:val="32"/>
          <w:szCs w:val="32"/>
        </w:rPr>
        <w:t>转移网上报告，承担转移全过程监控责任。</w:t>
      </w:r>
    </w:p>
    <w:p w14:paraId="6730E804">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6"/>
          <w:szCs w:val="36"/>
        </w:rPr>
        <w:t xml:space="preserve">                                </w:t>
      </w:r>
    </w:p>
    <w:p w14:paraId="1AE3058A">
      <w:pPr>
        <w:ind w:left="-210" w:leftChars="-100" w:right="-210" w:rightChars="-100" w:firstLine="1264"/>
        <w:rPr>
          <w:rFonts w:ascii="Times New Roman" w:hAnsi="Times New Roman" w:eastAsia="方正仿宋_GBK"/>
          <w:sz w:val="36"/>
          <w:szCs w:val="36"/>
        </w:rPr>
      </w:pPr>
    </w:p>
    <w:p w14:paraId="598E5CB0">
      <w:pPr>
        <w:ind w:left="-210" w:leftChars="-100" w:right="-210" w:rightChars="-100" w:firstLine="1264"/>
        <w:rPr>
          <w:rFonts w:ascii="Times New Roman" w:hAnsi="Times New Roman" w:eastAsia="方正仿宋_GBK"/>
          <w:sz w:val="36"/>
          <w:szCs w:val="36"/>
        </w:rPr>
      </w:pPr>
    </w:p>
    <w:p w14:paraId="3981A1E4">
      <w:pPr>
        <w:ind w:left="-210" w:leftChars="-100" w:right="-210" w:rightChars="-100" w:firstLine="1264"/>
        <w:rPr>
          <w:rFonts w:ascii="Times New Roman" w:hAnsi="Times New Roman" w:eastAsia="方正仿宋_GBK"/>
          <w:sz w:val="36"/>
          <w:szCs w:val="36"/>
        </w:rPr>
      </w:pPr>
      <w:r>
        <w:rPr>
          <w:rFonts w:ascii="Times New Roman" w:hAnsi="Times New Roman" w:eastAsia="方正仿宋_GBK"/>
          <w:sz w:val="32"/>
          <w:szCs w:val="32"/>
        </w:rPr>
        <w:t xml:space="preserve">     </w:t>
      </w:r>
    </w:p>
    <w:p w14:paraId="4C5E5D90">
      <w:pPr>
        <w:ind w:left="-210" w:leftChars="-100" w:right="-210" w:rightChars="-100" w:firstLine="1264"/>
        <w:jc w:val="center"/>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法人代表签字：</w:t>
      </w:r>
    </w:p>
    <w:p w14:paraId="72713A1A">
      <w:pPr>
        <w:ind w:left="-210" w:leftChars="-100" w:right="-210" w:rightChars="-100" w:firstLine="1264"/>
        <w:jc w:val="center"/>
        <w:rPr>
          <w:rFonts w:ascii="Times New Roman" w:hAnsi="Times New Roman"/>
          <w:sz w:val="36"/>
          <w:szCs w:val="36"/>
        </w:rPr>
      </w:pPr>
      <w:r>
        <w:rPr>
          <w:rFonts w:ascii="Times New Roman" w:hAnsi="Times New Roman"/>
          <w:sz w:val="36"/>
          <w:szCs w:val="36"/>
        </w:rPr>
        <w:t xml:space="preserve">                 </w:t>
      </w:r>
      <w:r>
        <w:rPr>
          <w:rFonts w:hint="eastAsia" w:ascii="Times New Roman" w:hAnsi="Times New Roman"/>
          <w:sz w:val="36"/>
          <w:szCs w:val="36"/>
          <w:lang w:val="en-US" w:eastAsia="zh-CN"/>
        </w:rPr>
        <w:t xml:space="preserve"> 2025 </w:t>
      </w:r>
      <w:r>
        <w:rPr>
          <w:rFonts w:ascii="Times New Roman" w:hAnsi="方正仿宋_GBK" w:eastAsia="方正仿宋_GBK"/>
          <w:sz w:val="32"/>
          <w:szCs w:val="32"/>
        </w:rPr>
        <w:t>年</w:t>
      </w:r>
      <w:r>
        <w:rPr>
          <w:rFonts w:hint="eastAsia" w:ascii="Times New Roman" w:hAnsi="Times New Roman" w:eastAsia="方正仿宋_GBK"/>
          <w:sz w:val="32"/>
          <w:szCs w:val="32"/>
          <w:lang w:val="en-US" w:eastAsia="zh-CN"/>
        </w:rPr>
        <w:t xml:space="preserve"> 10</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hint="eastAsia" w:ascii="Times New Roman" w:hAnsi="Times New Roman" w:eastAsia="方正仿宋_GBK"/>
          <w:sz w:val="32"/>
          <w:szCs w:val="32"/>
          <w:lang w:val="en-US" w:eastAsia="zh-CN"/>
        </w:rPr>
        <w:t xml:space="preserve"> 23</w:t>
      </w:r>
      <w:r>
        <w:rPr>
          <w:rFonts w:ascii="Times New Roman" w:hAnsi="方正仿宋_GBK" w:eastAsia="方正仿宋_GBK"/>
          <w:sz w:val="32"/>
          <w:szCs w:val="32"/>
        </w:rPr>
        <w:t>日</w:t>
      </w:r>
    </w:p>
    <w:p w14:paraId="0F22C588">
      <w:pPr>
        <w:ind w:left="-210" w:leftChars="-100" w:right="-210" w:rightChars="-100" w:firstLine="1264"/>
        <w:jc w:val="center"/>
        <w:rPr>
          <w:rFonts w:ascii="Times New Roman" w:hAnsi="Times New Roman"/>
          <w:sz w:val="36"/>
          <w:szCs w:val="36"/>
        </w:rPr>
      </w:pPr>
    </w:p>
    <w:p w14:paraId="74626CFB">
      <w:pPr>
        <w:ind w:left="-708" w:leftChars="-337" w:right="-758" w:rightChars="-361" w:firstLine="1264"/>
        <w:rPr>
          <w:rFonts w:ascii="Times New Roman" w:hAnsi="Times New Roman"/>
          <w:sz w:val="36"/>
          <w:szCs w:val="36"/>
        </w:rPr>
      </w:pPr>
    </w:p>
    <w:p w14:paraId="09BAE4F3">
      <w:pPr>
        <w:ind w:left="-708" w:leftChars="-337" w:right="-758" w:rightChars="-361" w:firstLine="1264"/>
        <w:rPr>
          <w:rFonts w:ascii="Times New Roman" w:hAnsi="Times New Roman"/>
          <w:sz w:val="36"/>
          <w:szCs w:val="36"/>
        </w:rPr>
      </w:pPr>
    </w:p>
    <w:p w14:paraId="0065CADB">
      <w:pPr>
        <w:ind w:left="-708" w:leftChars="-337" w:right="-758" w:rightChars="-361" w:firstLine="1264"/>
        <w:rPr>
          <w:rFonts w:ascii="Times New Roman" w:hAnsi="Times New Roman"/>
          <w:sz w:val="36"/>
          <w:szCs w:val="36"/>
        </w:rPr>
      </w:pPr>
    </w:p>
    <w:p w14:paraId="5CFAB8F9">
      <w:pPr>
        <w:ind w:left="-708" w:leftChars="-337" w:right="-758" w:rightChars="-361" w:firstLine="1264"/>
        <w:rPr>
          <w:rFonts w:ascii="Times New Roman" w:hAnsi="Times New Roman"/>
          <w:sz w:val="28"/>
        </w:rPr>
      </w:pPr>
    </w:p>
    <w:p w14:paraId="713FE740">
      <w:pPr>
        <w:ind w:right="-758" w:rightChars="-361"/>
        <w:rPr>
          <w:rFonts w:ascii="Times New Roman" w:hAnsi="Times New Roman"/>
          <w:sz w:val="28"/>
        </w:rPr>
      </w:pPr>
    </w:p>
    <w:p w14:paraId="7D196F31">
      <w:pPr>
        <w:ind w:left="-708" w:leftChars="-337" w:right="-758" w:rightChars="-361" w:firstLine="1264"/>
        <w:rPr>
          <w:rFonts w:ascii="Times New Roman" w:hAnsi="Times New Roman"/>
          <w:sz w:val="28"/>
        </w:rPr>
      </w:pPr>
    </w:p>
    <w:p w14:paraId="0316BE67">
      <w:pPr>
        <w:ind w:left="-708" w:leftChars="-337" w:right="-758" w:rightChars="-361" w:firstLine="1264"/>
        <w:rPr>
          <w:rFonts w:ascii="Times New Roman" w:hAnsi="Times New Roman"/>
          <w:sz w:val="28"/>
        </w:rPr>
      </w:pPr>
    </w:p>
    <w:p w14:paraId="757A44A8">
      <w:pPr>
        <w:ind w:left="-708" w:leftChars="-337" w:right="-758" w:rightChars="-361" w:firstLine="1264"/>
        <w:rPr>
          <w:rFonts w:ascii="Times New Roman" w:hAnsi="Times New Roman"/>
          <w:sz w:val="28"/>
        </w:rPr>
      </w:pPr>
    </w:p>
    <w:p w14:paraId="7F5035D9">
      <w:pPr>
        <w:rPr>
          <w:rFonts w:ascii="Times New Roman" w:hAnsi="Times New Roman" w:eastAsia="黑体"/>
          <w:sz w:val="28"/>
          <w:szCs w:val="28"/>
        </w:rPr>
      </w:pPr>
      <w:r>
        <w:rPr>
          <w:rFonts w:ascii="Times New Roman" w:eastAsia="黑体"/>
          <w:sz w:val="28"/>
          <w:szCs w:val="28"/>
        </w:rPr>
        <w:t>第一部分：拟转移废物基本情况</w:t>
      </w:r>
    </w:p>
    <w:tbl>
      <w:tblPr>
        <w:tblStyle w:val="7"/>
        <w:tblW w:w="912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048"/>
        <w:gridCol w:w="1348"/>
        <w:gridCol w:w="2405"/>
        <w:gridCol w:w="1804"/>
      </w:tblGrid>
      <w:tr w14:paraId="3673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120" w:type="dxa"/>
            <w:gridSpan w:val="5"/>
          </w:tcPr>
          <w:p w14:paraId="18E67F63">
            <w:pPr>
              <w:rPr>
                <w:rFonts w:ascii="Times New Roman" w:hAnsi="Times New Roman" w:eastAsia="黑体"/>
                <w:sz w:val="24"/>
                <w:szCs w:val="24"/>
              </w:rPr>
            </w:pPr>
            <w:r>
              <w:rPr>
                <w:rFonts w:ascii="Times New Roman" w:eastAsia="黑体"/>
                <w:sz w:val="24"/>
                <w:szCs w:val="24"/>
              </w:rPr>
              <w:t>表</w:t>
            </w:r>
            <w:r>
              <w:rPr>
                <w:rFonts w:ascii="Times New Roman" w:hAnsi="Times New Roman" w:eastAsia="黑体"/>
                <w:sz w:val="24"/>
                <w:szCs w:val="24"/>
              </w:rPr>
              <w:t xml:space="preserve">1 </w:t>
            </w:r>
            <w:r>
              <w:rPr>
                <w:rFonts w:ascii="Times New Roman" w:eastAsia="黑体"/>
                <w:sz w:val="24"/>
                <w:szCs w:val="24"/>
              </w:rPr>
              <w:t>废物产生情况</w:t>
            </w:r>
          </w:p>
        </w:tc>
      </w:tr>
      <w:tr w14:paraId="2787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8" w:hRule="atLeast"/>
        </w:trPr>
        <w:tc>
          <w:tcPr>
            <w:tcW w:w="9120" w:type="dxa"/>
            <w:gridSpan w:val="5"/>
          </w:tcPr>
          <w:p w14:paraId="54682CC3">
            <w:pPr>
              <w:spacing w:line="240" w:lineRule="auto"/>
              <w:rPr>
                <w:rFonts w:ascii="Times New Roman"/>
                <w:color w:val="auto"/>
                <w:szCs w:val="21"/>
                <w:highlight w:val="none"/>
              </w:rPr>
            </w:pPr>
          </w:p>
          <w:p w14:paraId="2B3AB6D8">
            <w:pPr>
              <w:spacing w:line="240" w:lineRule="auto"/>
              <w:rPr>
                <w:rFonts w:ascii="Times New Roman"/>
                <w:color w:val="auto"/>
                <w:szCs w:val="21"/>
                <w:highlight w:val="none"/>
              </w:rPr>
            </w:pPr>
            <w:r>
              <w:rPr>
                <w:rFonts w:ascii="Times New Roman"/>
                <w:color w:val="auto"/>
                <w:szCs w:val="21"/>
                <w:highlight w:val="none"/>
              </w:rPr>
              <w:t>废物产生企业概况（企业投产时间、主要经营范围及规模）</w:t>
            </w:r>
          </w:p>
          <w:p w14:paraId="2BD86C8A">
            <w:pPr>
              <w:spacing w:line="240" w:lineRule="auto"/>
              <w:rPr>
                <w:rFonts w:ascii="Helvetica" w:hAnsi="Helvetica" w:eastAsia="Helvetica" w:cs="Helvetica"/>
                <w:i w:val="0"/>
                <w:iCs w:val="0"/>
                <w:caps w:val="0"/>
                <w:color w:val="000000"/>
                <w:spacing w:val="0"/>
                <w:sz w:val="21"/>
                <w:szCs w:val="21"/>
                <w:shd w:val="clear" w:fill="FFFFFF"/>
              </w:rPr>
            </w:pPr>
          </w:p>
          <w:p w14:paraId="2420456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color w:val="auto"/>
                <w:szCs w:val="21"/>
                <w:highlight w:val="none"/>
              </w:rPr>
            </w:pPr>
            <w:r>
              <w:rPr>
                <w:rFonts w:ascii="Helvetica" w:hAnsi="Helvetica" w:eastAsia="Helvetica" w:cs="Helvetica"/>
                <w:i w:val="0"/>
                <w:iCs w:val="0"/>
                <w:caps w:val="0"/>
                <w:color w:val="000000"/>
                <w:spacing w:val="0"/>
                <w:sz w:val="21"/>
                <w:szCs w:val="21"/>
                <w:shd w:val="clear" w:fill="FFFFFF"/>
              </w:rPr>
              <w:t>浙江普若恩环保技术有限公司成立于2015年07月08日，注册地位于浙江省金华市永康市江南金胜路143弄2幢3号第三层，法定代表人为应浪涛。经营范围包括环保设备，润滑油（不含危险物品）销售，固体废物处置咨询；废旧金属、再生资源回收；废矿物油收集；废铅酸蓄电池收集（凭有效许可证经营）[分支机构经营场所（生产）：浙江省金华市永康市芝英镇工业功能分区群帮路3号第一幢第3层]</w:t>
            </w:r>
          </w:p>
          <w:p w14:paraId="4B2024E0">
            <w:pPr>
              <w:spacing w:line="240" w:lineRule="auto"/>
              <w:rPr>
                <w:rFonts w:ascii="Times New Roman"/>
                <w:color w:val="auto"/>
                <w:szCs w:val="21"/>
                <w:highlight w:val="none"/>
              </w:rPr>
            </w:pPr>
          </w:p>
          <w:p w14:paraId="67D023FB">
            <w:pPr>
              <w:spacing w:line="240" w:lineRule="auto"/>
              <w:rPr>
                <w:rFonts w:ascii="Times New Roman"/>
                <w:color w:val="auto"/>
                <w:szCs w:val="21"/>
                <w:highlight w:val="none"/>
              </w:rPr>
            </w:pPr>
          </w:p>
          <w:p w14:paraId="50F798BC">
            <w:pPr>
              <w:spacing w:line="240" w:lineRule="auto"/>
              <w:rPr>
                <w:rFonts w:ascii="Times New Roman"/>
                <w:color w:val="auto"/>
                <w:szCs w:val="21"/>
                <w:highlight w:val="none"/>
              </w:rPr>
            </w:pPr>
          </w:p>
          <w:p w14:paraId="0CB98B09">
            <w:pPr>
              <w:spacing w:line="240" w:lineRule="auto"/>
              <w:rPr>
                <w:rFonts w:ascii="Times New Roman"/>
                <w:color w:val="auto"/>
                <w:szCs w:val="21"/>
                <w:highlight w:val="none"/>
              </w:rPr>
            </w:pPr>
          </w:p>
        </w:tc>
      </w:tr>
      <w:tr w14:paraId="145C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9120" w:type="dxa"/>
            <w:gridSpan w:val="5"/>
            <w:vAlign w:val="center"/>
          </w:tcPr>
          <w:p w14:paraId="27B37DBC">
            <w:pPr>
              <w:rPr>
                <w:rFonts w:hint="eastAsia" w:ascii="Times New Roman"/>
                <w:color w:val="auto"/>
                <w:szCs w:val="21"/>
                <w:highlight w:val="none"/>
                <w:lang w:val="en-US" w:eastAsia="zh-CN"/>
              </w:rPr>
            </w:pPr>
            <w:r>
              <w:rPr>
                <w:rFonts w:ascii="Times New Roman"/>
                <w:szCs w:val="21"/>
              </w:rPr>
              <w:t>产品及产废情况</w:t>
            </w:r>
            <w:r>
              <w:rPr>
                <w:rFonts w:hint="eastAsia" w:ascii="Times New Roman"/>
                <w:szCs w:val="21"/>
                <w:lang w:eastAsia="zh-CN"/>
              </w:rPr>
              <w:t>：</w:t>
            </w:r>
            <w:r>
              <w:rPr>
                <w:rFonts w:hint="eastAsia" w:ascii="Times New Roman"/>
                <w:color w:val="auto"/>
                <w:szCs w:val="21"/>
                <w:highlight w:val="none"/>
                <w:lang w:eastAsia="zh-CN"/>
              </w:rPr>
              <w:t>主要收集修理厂，4S 店机动车维修产生的废矿物油</w:t>
            </w:r>
            <w:r>
              <w:rPr>
                <w:rFonts w:hint="eastAsia" w:ascii="Times New Roman"/>
                <w:color w:val="auto"/>
                <w:szCs w:val="21"/>
                <w:highlight w:val="none"/>
                <w:lang w:val="en-US" w:eastAsia="zh-CN"/>
              </w:rPr>
              <w:t>等。</w:t>
            </w:r>
          </w:p>
        </w:tc>
      </w:tr>
      <w:tr w14:paraId="3E5B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4911" w:type="dxa"/>
            <w:gridSpan w:val="3"/>
            <w:vAlign w:val="center"/>
          </w:tcPr>
          <w:p w14:paraId="26C73243">
            <w:pPr>
              <w:spacing w:line="300" w:lineRule="exact"/>
              <w:jc w:val="center"/>
              <w:rPr>
                <w:rFonts w:ascii="Times New Roman" w:hAnsi="Times New Roman"/>
                <w:szCs w:val="21"/>
              </w:rPr>
            </w:pPr>
            <w:r>
              <w:rPr>
                <w:rFonts w:ascii="Times New Roman"/>
                <w:szCs w:val="21"/>
              </w:rPr>
              <w:t>产品情况</w:t>
            </w:r>
          </w:p>
        </w:tc>
        <w:tc>
          <w:tcPr>
            <w:tcW w:w="4209" w:type="dxa"/>
            <w:gridSpan w:val="2"/>
            <w:vAlign w:val="center"/>
          </w:tcPr>
          <w:p w14:paraId="47C1D953">
            <w:pPr>
              <w:spacing w:line="300" w:lineRule="exact"/>
              <w:jc w:val="center"/>
              <w:rPr>
                <w:rFonts w:ascii="Times New Roman" w:hAnsi="Times New Roman"/>
                <w:szCs w:val="21"/>
              </w:rPr>
            </w:pPr>
            <w:r>
              <w:rPr>
                <w:rFonts w:ascii="Times New Roman"/>
                <w:szCs w:val="21"/>
              </w:rPr>
              <w:t>产生危险废物情况</w:t>
            </w:r>
          </w:p>
        </w:tc>
      </w:tr>
      <w:tr w14:paraId="6732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15" w:type="dxa"/>
            <w:vAlign w:val="center"/>
          </w:tcPr>
          <w:p w14:paraId="1B24FE4B">
            <w:pPr>
              <w:spacing w:line="300" w:lineRule="exact"/>
              <w:jc w:val="center"/>
              <w:rPr>
                <w:rFonts w:ascii="Times New Roman" w:hAnsi="Times New Roman"/>
                <w:szCs w:val="21"/>
              </w:rPr>
            </w:pPr>
            <w:r>
              <w:rPr>
                <w:rFonts w:ascii="Times New Roman"/>
                <w:szCs w:val="21"/>
              </w:rPr>
              <w:t>产品名称</w:t>
            </w:r>
          </w:p>
        </w:tc>
        <w:tc>
          <w:tcPr>
            <w:tcW w:w="2048" w:type="dxa"/>
            <w:vAlign w:val="center"/>
          </w:tcPr>
          <w:p w14:paraId="2DB87669">
            <w:pPr>
              <w:spacing w:line="300" w:lineRule="exact"/>
              <w:jc w:val="center"/>
              <w:rPr>
                <w:rFonts w:ascii="Times New Roman" w:hAnsi="Times New Roman"/>
                <w:szCs w:val="21"/>
              </w:rPr>
            </w:pPr>
            <w:r>
              <w:rPr>
                <w:rFonts w:ascii="Times New Roman"/>
                <w:szCs w:val="21"/>
              </w:rPr>
              <w:t>主要成分化学名</w:t>
            </w:r>
          </w:p>
        </w:tc>
        <w:tc>
          <w:tcPr>
            <w:tcW w:w="1348" w:type="dxa"/>
            <w:vAlign w:val="center"/>
          </w:tcPr>
          <w:p w14:paraId="0C2BA1FB">
            <w:pPr>
              <w:spacing w:line="300" w:lineRule="exact"/>
              <w:jc w:val="center"/>
              <w:rPr>
                <w:rFonts w:ascii="Times New Roman" w:hAnsi="Times New Roman"/>
                <w:szCs w:val="21"/>
              </w:rPr>
            </w:pPr>
            <w:r>
              <w:rPr>
                <w:rFonts w:ascii="Times New Roman"/>
                <w:szCs w:val="21"/>
              </w:rPr>
              <w:t>年产量</w:t>
            </w:r>
          </w:p>
        </w:tc>
        <w:tc>
          <w:tcPr>
            <w:tcW w:w="2405" w:type="dxa"/>
            <w:vAlign w:val="center"/>
          </w:tcPr>
          <w:p w14:paraId="76FCF8AB">
            <w:pPr>
              <w:spacing w:line="300" w:lineRule="exact"/>
              <w:jc w:val="center"/>
              <w:rPr>
                <w:rFonts w:ascii="Times New Roman" w:hAnsi="Times New Roman"/>
                <w:szCs w:val="21"/>
              </w:rPr>
            </w:pPr>
            <w:r>
              <w:rPr>
                <w:rFonts w:ascii="Times New Roman"/>
                <w:szCs w:val="21"/>
              </w:rPr>
              <w:t>废物名称</w:t>
            </w:r>
          </w:p>
        </w:tc>
        <w:tc>
          <w:tcPr>
            <w:tcW w:w="1804" w:type="dxa"/>
            <w:vAlign w:val="center"/>
          </w:tcPr>
          <w:p w14:paraId="181FFE19">
            <w:pPr>
              <w:spacing w:line="300" w:lineRule="exact"/>
              <w:jc w:val="center"/>
              <w:rPr>
                <w:rFonts w:ascii="Times New Roman" w:hAnsi="Times New Roman"/>
                <w:szCs w:val="21"/>
              </w:rPr>
            </w:pPr>
            <w:r>
              <w:rPr>
                <w:rFonts w:ascii="Times New Roman"/>
                <w:szCs w:val="21"/>
              </w:rPr>
              <w:t>年产生量</w:t>
            </w:r>
          </w:p>
        </w:tc>
      </w:tr>
      <w:tr w14:paraId="497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restart"/>
            <w:vAlign w:val="center"/>
          </w:tcPr>
          <w:p w14:paraId="2DB75477">
            <w:pPr>
              <w:spacing w:line="300" w:lineRule="exact"/>
              <w:jc w:val="center"/>
              <w:rPr>
                <w:rFonts w:ascii="Times New Roman" w:hAnsi="Times New Roman"/>
                <w:szCs w:val="24"/>
              </w:rPr>
            </w:pPr>
            <w:r>
              <w:rPr>
                <w:rFonts w:hint="eastAsia" w:ascii="Times New Roman" w:hAnsi="Times New Roman"/>
                <w:szCs w:val="24"/>
              </w:rPr>
              <w:t>废机油</w:t>
            </w:r>
          </w:p>
        </w:tc>
        <w:tc>
          <w:tcPr>
            <w:tcW w:w="2048" w:type="dxa"/>
            <w:vMerge w:val="restart"/>
            <w:vAlign w:val="center"/>
          </w:tcPr>
          <w:p w14:paraId="546B43C8">
            <w:pPr>
              <w:spacing w:line="300" w:lineRule="exact"/>
              <w:jc w:val="center"/>
              <w:rPr>
                <w:rFonts w:ascii="Times New Roman" w:hAnsi="Times New Roman"/>
                <w:szCs w:val="24"/>
              </w:rPr>
            </w:pPr>
            <w:r>
              <w:rPr>
                <w:rFonts w:hint="eastAsia" w:ascii="Times New Roman" w:hAnsi="Times New Roman"/>
                <w:szCs w:val="24"/>
              </w:rPr>
              <w:t>废矿物油</w:t>
            </w:r>
          </w:p>
        </w:tc>
        <w:tc>
          <w:tcPr>
            <w:tcW w:w="1348" w:type="dxa"/>
            <w:vMerge w:val="restart"/>
            <w:vAlign w:val="center"/>
          </w:tcPr>
          <w:p w14:paraId="11E6BF5A">
            <w:pPr>
              <w:spacing w:line="300" w:lineRule="exact"/>
              <w:jc w:val="center"/>
              <w:rPr>
                <w:rFonts w:hint="default" w:ascii="Times New Roman" w:hAnsi="Times New Roman"/>
                <w:szCs w:val="24"/>
                <w:lang w:val="en-US"/>
              </w:rPr>
            </w:pPr>
            <w:r>
              <w:rPr>
                <w:rFonts w:hint="eastAsia" w:ascii="Times New Roman" w:hAnsi="Times New Roman"/>
                <w:szCs w:val="24"/>
                <w:lang w:val="en-US" w:eastAsia="zh-CN"/>
              </w:rPr>
              <w:t>2000</w:t>
            </w:r>
          </w:p>
        </w:tc>
        <w:tc>
          <w:tcPr>
            <w:tcW w:w="2405" w:type="dxa"/>
            <w:vAlign w:val="center"/>
          </w:tcPr>
          <w:p w14:paraId="61923D05">
            <w:pPr>
              <w:spacing w:line="300" w:lineRule="exact"/>
              <w:jc w:val="center"/>
              <w:rPr>
                <w:rFonts w:hint="eastAsia" w:ascii="Times New Roman" w:hAnsi="Times New Roman" w:eastAsia="宋体"/>
                <w:szCs w:val="24"/>
                <w:lang w:eastAsia="zh-CN"/>
              </w:rPr>
            </w:pPr>
            <w:r>
              <w:rPr>
                <w:rFonts w:hint="eastAsia" w:ascii="Times New Roman" w:hAnsi="Times New Roman"/>
                <w:szCs w:val="24"/>
                <w:lang w:eastAsia="zh-CN"/>
              </w:rPr>
              <w:t>废矿物油</w:t>
            </w:r>
          </w:p>
        </w:tc>
        <w:tc>
          <w:tcPr>
            <w:tcW w:w="1804" w:type="dxa"/>
          </w:tcPr>
          <w:p w14:paraId="697898C2">
            <w:pPr>
              <w:spacing w:line="300" w:lineRule="exact"/>
              <w:jc w:val="center"/>
              <w:rPr>
                <w:rFonts w:hint="default" w:ascii="Times New Roman" w:hAnsi="Times New Roman" w:eastAsia="宋体"/>
                <w:szCs w:val="24"/>
                <w:lang w:val="en-US" w:eastAsia="zh-CN"/>
              </w:rPr>
            </w:pPr>
            <w:r>
              <w:rPr>
                <w:rFonts w:hint="eastAsia" w:ascii="Times New Roman" w:hAnsi="Times New Roman"/>
                <w:szCs w:val="24"/>
                <w:lang w:val="en-US" w:eastAsia="zh-CN"/>
              </w:rPr>
              <w:t>2000</w:t>
            </w:r>
          </w:p>
        </w:tc>
      </w:tr>
      <w:tr w14:paraId="128C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7491EDD2">
            <w:pPr>
              <w:spacing w:line="300" w:lineRule="exact"/>
              <w:jc w:val="center"/>
              <w:rPr>
                <w:rFonts w:ascii="Times New Roman" w:hAnsi="Times New Roman"/>
                <w:szCs w:val="24"/>
              </w:rPr>
            </w:pPr>
          </w:p>
        </w:tc>
        <w:tc>
          <w:tcPr>
            <w:tcW w:w="2048" w:type="dxa"/>
            <w:vMerge w:val="continue"/>
            <w:vAlign w:val="center"/>
          </w:tcPr>
          <w:p w14:paraId="359B079A">
            <w:pPr>
              <w:spacing w:line="300" w:lineRule="exact"/>
              <w:jc w:val="center"/>
              <w:rPr>
                <w:rFonts w:ascii="Times New Roman" w:hAnsi="Times New Roman"/>
                <w:szCs w:val="24"/>
              </w:rPr>
            </w:pPr>
          </w:p>
        </w:tc>
        <w:tc>
          <w:tcPr>
            <w:tcW w:w="1348" w:type="dxa"/>
            <w:vMerge w:val="continue"/>
            <w:vAlign w:val="center"/>
          </w:tcPr>
          <w:p w14:paraId="400798B7">
            <w:pPr>
              <w:spacing w:line="300" w:lineRule="exact"/>
              <w:jc w:val="center"/>
              <w:rPr>
                <w:rFonts w:ascii="Times New Roman" w:hAnsi="Times New Roman"/>
                <w:szCs w:val="24"/>
              </w:rPr>
            </w:pPr>
          </w:p>
        </w:tc>
        <w:tc>
          <w:tcPr>
            <w:tcW w:w="2405" w:type="dxa"/>
            <w:vAlign w:val="center"/>
          </w:tcPr>
          <w:p w14:paraId="25A687C7">
            <w:pPr>
              <w:spacing w:line="300" w:lineRule="exact"/>
              <w:jc w:val="center"/>
              <w:rPr>
                <w:rFonts w:ascii="Times New Roman" w:hAnsi="Times New Roman"/>
                <w:szCs w:val="24"/>
              </w:rPr>
            </w:pPr>
          </w:p>
        </w:tc>
        <w:tc>
          <w:tcPr>
            <w:tcW w:w="1804" w:type="dxa"/>
          </w:tcPr>
          <w:p w14:paraId="29DBF11C">
            <w:pPr>
              <w:spacing w:line="300" w:lineRule="exact"/>
              <w:jc w:val="center"/>
              <w:rPr>
                <w:rFonts w:ascii="Times New Roman" w:hAnsi="Times New Roman"/>
                <w:szCs w:val="24"/>
              </w:rPr>
            </w:pPr>
          </w:p>
        </w:tc>
      </w:tr>
      <w:tr w14:paraId="4ED4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24B88506">
            <w:pPr>
              <w:spacing w:line="300" w:lineRule="exact"/>
              <w:jc w:val="center"/>
              <w:rPr>
                <w:rFonts w:ascii="Times New Roman" w:hAnsi="Times New Roman"/>
                <w:szCs w:val="24"/>
              </w:rPr>
            </w:pPr>
          </w:p>
        </w:tc>
        <w:tc>
          <w:tcPr>
            <w:tcW w:w="2048" w:type="dxa"/>
            <w:vMerge w:val="continue"/>
            <w:vAlign w:val="center"/>
          </w:tcPr>
          <w:p w14:paraId="1D24E485">
            <w:pPr>
              <w:spacing w:line="300" w:lineRule="exact"/>
              <w:jc w:val="center"/>
              <w:rPr>
                <w:rFonts w:ascii="Times New Roman" w:hAnsi="Times New Roman"/>
                <w:szCs w:val="24"/>
              </w:rPr>
            </w:pPr>
          </w:p>
        </w:tc>
        <w:tc>
          <w:tcPr>
            <w:tcW w:w="1348" w:type="dxa"/>
            <w:vMerge w:val="continue"/>
            <w:vAlign w:val="center"/>
          </w:tcPr>
          <w:p w14:paraId="7C491DFF">
            <w:pPr>
              <w:spacing w:line="300" w:lineRule="exact"/>
              <w:jc w:val="center"/>
              <w:rPr>
                <w:rFonts w:ascii="Times New Roman" w:hAnsi="Times New Roman"/>
                <w:szCs w:val="24"/>
              </w:rPr>
            </w:pPr>
          </w:p>
        </w:tc>
        <w:tc>
          <w:tcPr>
            <w:tcW w:w="2405" w:type="dxa"/>
            <w:vAlign w:val="center"/>
          </w:tcPr>
          <w:p w14:paraId="0A7D18E0">
            <w:pPr>
              <w:spacing w:line="300" w:lineRule="exact"/>
              <w:jc w:val="center"/>
              <w:rPr>
                <w:rFonts w:ascii="Times New Roman" w:hAnsi="Times New Roman"/>
                <w:szCs w:val="24"/>
              </w:rPr>
            </w:pPr>
          </w:p>
        </w:tc>
        <w:tc>
          <w:tcPr>
            <w:tcW w:w="1804" w:type="dxa"/>
          </w:tcPr>
          <w:p w14:paraId="55E3A726">
            <w:pPr>
              <w:spacing w:line="300" w:lineRule="exact"/>
              <w:jc w:val="center"/>
              <w:rPr>
                <w:rFonts w:ascii="Times New Roman" w:hAnsi="Times New Roman"/>
                <w:szCs w:val="24"/>
              </w:rPr>
            </w:pPr>
          </w:p>
        </w:tc>
      </w:tr>
      <w:tr w14:paraId="7299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5BBAA590">
            <w:pPr>
              <w:spacing w:line="300" w:lineRule="exact"/>
              <w:jc w:val="center"/>
              <w:rPr>
                <w:rFonts w:ascii="Times New Roman" w:hAnsi="Times New Roman"/>
                <w:szCs w:val="24"/>
              </w:rPr>
            </w:pPr>
          </w:p>
        </w:tc>
        <w:tc>
          <w:tcPr>
            <w:tcW w:w="2048" w:type="dxa"/>
            <w:vMerge w:val="continue"/>
            <w:vAlign w:val="center"/>
          </w:tcPr>
          <w:p w14:paraId="433EA315">
            <w:pPr>
              <w:spacing w:line="300" w:lineRule="exact"/>
              <w:jc w:val="center"/>
              <w:rPr>
                <w:rFonts w:ascii="Times New Roman" w:hAnsi="Times New Roman"/>
                <w:szCs w:val="24"/>
              </w:rPr>
            </w:pPr>
          </w:p>
        </w:tc>
        <w:tc>
          <w:tcPr>
            <w:tcW w:w="1348" w:type="dxa"/>
            <w:vMerge w:val="continue"/>
            <w:vAlign w:val="center"/>
          </w:tcPr>
          <w:p w14:paraId="7D8A3033">
            <w:pPr>
              <w:spacing w:line="300" w:lineRule="exact"/>
              <w:jc w:val="center"/>
              <w:rPr>
                <w:rFonts w:ascii="Times New Roman" w:hAnsi="Times New Roman"/>
                <w:szCs w:val="24"/>
              </w:rPr>
            </w:pPr>
          </w:p>
        </w:tc>
        <w:tc>
          <w:tcPr>
            <w:tcW w:w="2405" w:type="dxa"/>
            <w:vAlign w:val="center"/>
          </w:tcPr>
          <w:p w14:paraId="2DC9EDF3">
            <w:pPr>
              <w:spacing w:line="300" w:lineRule="exact"/>
              <w:jc w:val="center"/>
              <w:rPr>
                <w:rFonts w:ascii="Times New Roman" w:hAnsi="Times New Roman"/>
                <w:szCs w:val="24"/>
              </w:rPr>
            </w:pPr>
          </w:p>
        </w:tc>
        <w:tc>
          <w:tcPr>
            <w:tcW w:w="1804" w:type="dxa"/>
          </w:tcPr>
          <w:p w14:paraId="7C8EA035">
            <w:pPr>
              <w:spacing w:line="300" w:lineRule="exact"/>
              <w:jc w:val="center"/>
              <w:rPr>
                <w:rFonts w:ascii="Times New Roman" w:hAnsi="Times New Roman"/>
                <w:szCs w:val="24"/>
              </w:rPr>
            </w:pPr>
          </w:p>
        </w:tc>
      </w:tr>
      <w:tr w14:paraId="30B24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789B767B">
            <w:pPr>
              <w:spacing w:line="300" w:lineRule="exact"/>
              <w:jc w:val="center"/>
              <w:rPr>
                <w:rFonts w:ascii="Times New Roman" w:hAnsi="Times New Roman"/>
                <w:szCs w:val="24"/>
              </w:rPr>
            </w:pPr>
          </w:p>
        </w:tc>
        <w:tc>
          <w:tcPr>
            <w:tcW w:w="2048" w:type="dxa"/>
            <w:vMerge w:val="continue"/>
            <w:vAlign w:val="center"/>
          </w:tcPr>
          <w:p w14:paraId="3FEFE15E">
            <w:pPr>
              <w:spacing w:line="300" w:lineRule="exact"/>
              <w:jc w:val="center"/>
              <w:rPr>
                <w:rFonts w:ascii="Times New Roman" w:hAnsi="Times New Roman"/>
                <w:szCs w:val="24"/>
              </w:rPr>
            </w:pPr>
          </w:p>
        </w:tc>
        <w:tc>
          <w:tcPr>
            <w:tcW w:w="1348" w:type="dxa"/>
            <w:vMerge w:val="continue"/>
            <w:vAlign w:val="center"/>
          </w:tcPr>
          <w:p w14:paraId="3C9E076B">
            <w:pPr>
              <w:spacing w:line="300" w:lineRule="exact"/>
              <w:jc w:val="center"/>
              <w:rPr>
                <w:rFonts w:ascii="Times New Roman" w:hAnsi="Times New Roman"/>
                <w:szCs w:val="24"/>
              </w:rPr>
            </w:pPr>
          </w:p>
        </w:tc>
        <w:tc>
          <w:tcPr>
            <w:tcW w:w="2405" w:type="dxa"/>
            <w:vAlign w:val="center"/>
          </w:tcPr>
          <w:p w14:paraId="0D6A6797">
            <w:pPr>
              <w:spacing w:line="300" w:lineRule="exact"/>
              <w:jc w:val="center"/>
              <w:rPr>
                <w:rFonts w:ascii="Times New Roman" w:hAnsi="Times New Roman"/>
                <w:szCs w:val="24"/>
              </w:rPr>
            </w:pPr>
          </w:p>
        </w:tc>
        <w:tc>
          <w:tcPr>
            <w:tcW w:w="1804" w:type="dxa"/>
          </w:tcPr>
          <w:p w14:paraId="70046FB3">
            <w:pPr>
              <w:spacing w:line="300" w:lineRule="exact"/>
              <w:jc w:val="center"/>
              <w:rPr>
                <w:rFonts w:ascii="Times New Roman" w:hAnsi="Times New Roman"/>
                <w:szCs w:val="24"/>
              </w:rPr>
            </w:pPr>
          </w:p>
        </w:tc>
      </w:tr>
      <w:tr w14:paraId="210F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restart"/>
            <w:vAlign w:val="center"/>
          </w:tcPr>
          <w:p w14:paraId="0AE22361">
            <w:pPr>
              <w:spacing w:line="300" w:lineRule="exact"/>
              <w:jc w:val="center"/>
              <w:rPr>
                <w:rFonts w:ascii="Times New Roman" w:hAnsi="Times New Roman"/>
                <w:szCs w:val="24"/>
              </w:rPr>
            </w:pPr>
          </w:p>
        </w:tc>
        <w:tc>
          <w:tcPr>
            <w:tcW w:w="2048" w:type="dxa"/>
            <w:vMerge w:val="restart"/>
            <w:vAlign w:val="center"/>
          </w:tcPr>
          <w:p w14:paraId="5C77220E">
            <w:pPr>
              <w:spacing w:line="300" w:lineRule="exact"/>
              <w:jc w:val="center"/>
              <w:rPr>
                <w:rFonts w:ascii="Times New Roman" w:hAnsi="Times New Roman"/>
                <w:szCs w:val="24"/>
              </w:rPr>
            </w:pPr>
          </w:p>
        </w:tc>
        <w:tc>
          <w:tcPr>
            <w:tcW w:w="1348" w:type="dxa"/>
            <w:vMerge w:val="restart"/>
            <w:vAlign w:val="center"/>
          </w:tcPr>
          <w:p w14:paraId="41383E67">
            <w:pPr>
              <w:spacing w:line="300" w:lineRule="exact"/>
              <w:jc w:val="center"/>
              <w:rPr>
                <w:rFonts w:ascii="Times New Roman" w:hAnsi="Times New Roman"/>
                <w:szCs w:val="24"/>
              </w:rPr>
            </w:pPr>
          </w:p>
        </w:tc>
        <w:tc>
          <w:tcPr>
            <w:tcW w:w="2405" w:type="dxa"/>
            <w:vAlign w:val="center"/>
          </w:tcPr>
          <w:p w14:paraId="2480F7B5">
            <w:pPr>
              <w:spacing w:line="300" w:lineRule="exact"/>
              <w:jc w:val="center"/>
              <w:rPr>
                <w:rFonts w:ascii="Times New Roman" w:hAnsi="Times New Roman"/>
                <w:szCs w:val="24"/>
              </w:rPr>
            </w:pPr>
          </w:p>
        </w:tc>
        <w:tc>
          <w:tcPr>
            <w:tcW w:w="1804" w:type="dxa"/>
          </w:tcPr>
          <w:p w14:paraId="000A3DB4">
            <w:pPr>
              <w:spacing w:line="300" w:lineRule="exact"/>
              <w:jc w:val="center"/>
              <w:rPr>
                <w:rFonts w:ascii="Times New Roman" w:hAnsi="Times New Roman"/>
                <w:szCs w:val="24"/>
              </w:rPr>
            </w:pPr>
          </w:p>
        </w:tc>
      </w:tr>
      <w:tr w14:paraId="0F588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0672D15F">
            <w:pPr>
              <w:spacing w:line="300" w:lineRule="exact"/>
              <w:jc w:val="center"/>
              <w:rPr>
                <w:rFonts w:ascii="Times New Roman" w:hAnsi="Times New Roman"/>
                <w:szCs w:val="24"/>
              </w:rPr>
            </w:pPr>
          </w:p>
        </w:tc>
        <w:tc>
          <w:tcPr>
            <w:tcW w:w="2048" w:type="dxa"/>
            <w:vMerge w:val="continue"/>
            <w:vAlign w:val="center"/>
          </w:tcPr>
          <w:p w14:paraId="020A06B7">
            <w:pPr>
              <w:spacing w:line="300" w:lineRule="exact"/>
              <w:jc w:val="center"/>
              <w:rPr>
                <w:rFonts w:ascii="Times New Roman" w:hAnsi="Times New Roman"/>
                <w:szCs w:val="24"/>
              </w:rPr>
            </w:pPr>
          </w:p>
        </w:tc>
        <w:tc>
          <w:tcPr>
            <w:tcW w:w="1348" w:type="dxa"/>
            <w:vMerge w:val="continue"/>
            <w:vAlign w:val="center"/>
          </w:tcPr>
          <w:p w14:paraId="529DE6A3">
            <w:pPr>
              <w:spacing w:line="300" w:lineRule="exact"/>
              <w:jc w:val="center"/>
              <w:rPr>
                <w:rFonts w:ascii="Times New Roman" w:hAnsi="Times New Roman"/>
                <w:szCs w:val="24"/>
              </w:rPr>
            </w:pPr>
          </w:p>
        </w:tc>
        <w:tc>
          <w:tcPr>
            <w:tcW w:w="2405" w:type="dxa"/>
            <w:vAlign w:val="center"/>
          </w:tcPr>
          <w:p w14:paraId="75023CD5">
            <w:pPr>
              <w:spacing w:line="300" w:lineRule="exact"/>
              <w:jc w:val="center"/>
              <w:rPr>
                <w:rFonts w:ascii="Times New Roman" w:hAnsi="Times New Roman"/>
                <w:szCs w:val="24"/>
              </w:rPr>
            </w:pPr>
          </w:p>
        </w:tc>
        <w:tc>
          <w:tcPr>
            <w:tcW w:w="1804" w:type="dxa"/>
          </w:tcPr>
          <w:p w14:paraId="30E6598A">
            <w:pPr>
              <w:spacing w:line="300" w:lineRule="exact"/>
              <w:jc w:val="center"/>
              <w:rPr>
                <w:rFonts w:ascii="Times New Roman" w:hAnsi="Times New Roman"/>
                <w:szCs w:val="24"/>
              </w:rPr>
            </w:pPr>
          </w:p>
        </w:tc>
      </w:tr>
      <w:tr w14:paraId="3571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0CA7C778">
            <w:pPr>
              <w:spacing w:line="300" w:lineRule="exact"/>
              <w:jc w:val="center"/>
              <w:rPr>
                <w:rFonts w:ascii="Times New Roman" w:hAnsi="Times New Roman"/>
                <w:szCs w:val="24"/>
              </w:rPr>
            </w:pPr>
          </w:p>
        </w:tc>
        <w:tc>
          <w:tcPr>
            <w:tcW w:w="2048" w:type="dxa"/>
            <w:vMerge w:val="continue"/>
            <w:vAlign w:val="center"/>
          </w:tcPr>
          <w:p w14:paraId="34B889D5">
            <w:pPr>
              <w:spacing w:line="300" w:lineRule="exact"/>
              <w:jc w:val="center"/>
              <w:rPr>
                <w:rFonts w:ascii="Times New Roman" w:hAnsi="Times New Roman"/>
                <w:szCs w:val="24"/>
              </w:rPr>
            </w:pPr>
          </w:p>
        </w:tc>
        <w:tc>
          <w:tcPr>
            <w:tcW w:w="1348" w:type="dxa"/>
            <w:vMerge w:val="continue"/>
            <w:vAlign w:val="center"/>
          </w:tcPr>
          <w:p w14:paraId="26CD6F36">
            <w:pPr>
              <w:spacing w:line="300" w:lineRule="exact"/>
              <w:jc w:val="center"/>
              <w:rPr>
                <w:rFonts w:ascii="Times New Roman" w:hAnsi="Times New Roman"/>
                <w:szCs w:val="24"/>
              </w:rPr>
            </w:pPr>
          </w:p>
        </w:tc>
        <w:tc>
          <w:tcPr>
            <w:tcW w:w="2405" w:type="dxa"/>
            <w:vAlign w:val="center"/>
          </w:tcPr>
          <w:p w14:paraId="5E442FBD">
            <w:pPr>
              <w:spacing w:line="300" w:lineRule="exact"/>
              <w:jc w:val="center"/>
              <w:rPr>
                <w:rFonts w:ascii="Times New Roman" w:hAnsi="Times New Roman"/>
                <w:szCs w:val="24"/>
              </w:rPr>
            </w:pPr>
          </w:p>
        </w:tc>
        <w:tc>
          <w:tcPr>
            <w:tcW w:w="1804" w:type="dxa"/>
          </w:tcPr>
          <w:p w14:paraId="267CB039">
            <w:pPr>
              <w:spacing w:line="300" w:lineRule="exact"/>
              <w:jc w:val="center"/>
              <w:rPr>
                <w:rFonts w:ascii="Times New Roman" w:hAnsi="Times New Roman"/>
                <w:szCs w:val="24"/>
              </w:rPr>
            </w:pPr>
          </w:p>
        </w:tc>
      </w:tr>
      <w:tr w14:paraId="1A3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4111A932">
            <w:pPr>
              <w:spacing w:line="300" w:lineRule="exact"/>
              <w:jc w:val="center"/>
              <w:rPr>
                <w:rFonts w:ascii="Times New Roman" w:hAnsi="Times New Roman"/>
                <w:szCs w:val="24"/>
              </w:rPr>
            </w:pPr>
          </w:p>
        </w:tc>
        <w:tc>
          <w:tcPr>
            <w:tcW w:w="2048" w:type="dxa"/>
            <w:vMerge w:val="continue"/>
            <w:vAlign w:val="center"/>
          </w:tcPr>
          <w:p w14:paraId="45C5CA96">
            <w:pPr>
              <w:spacing w:line="300" w:lineRule="exact"/>
              <w:jc w:val="center"/>
              <w:rPr>
                <w:rFonts w:ascii="Times New Roman" w:hAnsi="Times New Roman"/>
                <w:szCs w:val="24"/>
              </w:rPr>
            </w:pPr>
          </w:p>
        </w:tc>
        <w:tc>
          <w:tcPr>
            <w:tcW w:w="1348" w:type="dxa"/>
            <w:vMerge w:val="continue"/>
            <w:vAlign w:val="center"/>
          </w:tcPr>
          <w:p w14:paraId="7862DCBB">
            <w:pPr>
              <w:spacing w:line="300" w:lineRule="exact"/>
              <w:jc w:val="center"/>
              <w:rPr>
                <w:rFonts w:ascii="Times New Roman" w:hAnsi="Times New Roman"/>
                <w:szCs w:val="24"/>
              </w:rPr>
            </w:pPr>
          </w:p>
        </w:tc>
        <w:tc>
          <w:tcPr>
            <w:tcW w:w="2405" w:type="dxa"/>
            <w:vAlign w:val="center"/>
          </w:tcPr>
          <w:p w14:paraId="087C4DDF">
            <w:pPr>
              <w:spacing w:line="300" w:lineRule="exact"/>
              <w:jc w:val="center"/>
              <w:rPr>
                <w:rFonts w:ascii="Times New Roman" w:hAnsi="Times New Roman"/>
                <w:szCs w:val="24"/>
              </w:rPr>
            </w:pPr>
          </w:p>
        </w:tc>
        <w:tc>
          <w:tcPr>
            <w:tcW w:w="1804" w:type="dxa"/>
          </w:tcPr>
          <w:p w14:paraId="7E2708A8">
            <w:pPr>
              <w:spacing w:line="300" w:lineRule="exact"/>
              <w:jc w:val="center"/>
              <w:rPr>
                <w:rFonts w:ascii="Times New Roman" w:hAnsi="Times New Roman"/>
                <w:szCs w:val="24"/>
              </w:rPr>
            </w:pPr>
          </w:p>
        </w:tc>
      </w:tr>
      <w:tr w14:paraId="680A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31D5C587">
            <w:pPr>
              <w:spacing w:line="300" w:lineRule="exact"/>
              <w:jc w:val="center"/>
              <w:rPr>
                <w:rFonts w:ascii="Times New Roman" w:hAnsi="Times New Roman"/>
                <w:szCs w:val="24"/>
              </w:rPr>
            </w:pPr>
          </w:p>
        </w:tc>
        <w:tc>
          <w:tcPr>
            <w:tcW w:w="2048" w:type="dxa"/>
            <w:vMerge w:val="continue"/>
            <w:vAlign w:val="center"/>
          </w:tcPr>
          <w:p w14:paraId="289173DA">
            <w:pPr>
              <w:spacing w:line="300" w:lineRule="exact"/>
              <w:jc w:val="center"/>
              <w:rPr>
                <w:rFonts w:ascii="Times New Roman" w:hAnsi="Times New Roman"/>
                <w:szCs w:val="24"/>
              </w:rPr>
            </w:pPr>
          </w:p>
        </w:tc>
        <w:tc>
          <w:tcPr>
            <w:tcW w:w="1348" w:type="dxa"/>
            <w:vMerge w:val="continue"/>
            <w:vAlign w:val="center"/>
          </w:tcPr>
          <w:p w14:paraId="206FE8AD">
            <w:pPr>
              <w:spacing w:line="300" w:lineRule="exact"/>
              <w:jc w:val="center"/>
              <w:rPr>
                <w:rFonts w:ascii="Times New Roman" w:hAnsi="Times New Roman"/>
                <w:szCs w:val="24"/>
              </w:rPr>
            </w:pPr>
          </w:p>
        </w:tc>
        <w:tc>
          <w:tcPr>
            <w:tcW w:w="2405" w:type="dxa"/>
            <w:vAlign w:val="center"/>
          </w:tcPr>
          <w:p w14:paraId="12D01AA5">
            <w:pPr>
              <w:spacing w:line="300" w:lineRule="exact"/>
              <w:jc w:val="center"/>
              <w:rPr>
                <w:rFonts w:ascii="Times New Roman" w:hAnsi="Times New Roman"/>
                <w:szCs w:val="24"/>
              </w:rPr>
            </w:pPr>
          </w:p>
        </w:tc>
        <w:tc>
          <w:tcPr>
            <w:tcW w:w="1804" w:type="dxa"/>
          </w:tcPr>
          <w:p w14:paraId="742741EE">
            <w:pPr>
              <w:spacing w:line="300" w:lineRule="exact"/>
              <w:jc w:val="center"/>
              <w:rPr>
                <w:rFonts w:ascii="Times New Roman" w:hAnsi="Times New Roman"/>
                <w:szCs w:val="24"/>
              </w:rPr>
            </w:pPr>
          </w:p>
        </w:tc>
      </w:tr>
      <w:tr w14:paraId="76C0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restart"/>
            <w:vAlign w:val="center"/>
          </w:tcPr>
          <w:p w14:paraId="66B987A7">
            <w:pPr>
              <w:spacing w:line="300" w:lineRule="exact"/>
              <w:jc w:val="center"/>
              <w:rPr>
                <w:rFonts w:ascii="Times New Roman" w:hAnsi="Times New Roman"/>
                <w:szCs w:val="24"/>
              </w:rPr>
            </w:pPr>
          </w:p>
        </w:tc>
        <w:tc>
          <w:tcPr>
            <w:tcW w:w="2048" w:type="dxa"/>
            <w:vMerge w:val="restart"/>
            <w:vAlign w:val="center"/>
          </w:tcPr>
          <w:p w14:paraId="06DA7C44">
            <w:pPr>
              <w:spacing w:line="300" w:lineRule="exact"/>
              <w:jc w:val="center"/>
              <w:rPr>
                <w:rFonts w:ascii="Times New Roman" w:hAnsi="Times New Roman"/>
                <w:szCs w:val="24"/>
              </w:rPr>
            </w:pPr>
          </w:p>
        </w:tc>
        <w:tc>
          <w:tcPr>
            <w:tcW w:w="1348" w:type="dxa"/>
            <w:vMerge w:val="restart"/>
            <w:vAlign w:val="center"/>
          </w:tcPr>
          <w:p w14:paraId="49A884E1">
            <w:pPr>
              <w:spacing w:line="300" w:lineRule="exact"/>
              <w:jc w:val="center"/>
              <w:rPr>
                <w:rFonts w:ascii="Times New Roman" w:hAnsi="Times New Roman"/>
                <w:szCs w:val="24"/>
              </w:rPr>
            </w:pPr>
          </w:p>
        </w:tc>
        <w:tc>
          <w:tcPr>
            <w:tcW w:w="2405" w:type="dxa"/>
            <w:vAlign w:val="center"/>
          </w:tcPr>
          <w:p w14:paraId="1B0A63EF">
            <w:pPr>
              <w:spacing w:line="300" w:lineRule="exact"/>
              <w:jc w:val="center"/>
              <w:rPr>
                <w:rFonts w:ascii="Times New Roman" w:hAnsi="Times New Roman"/>
                <w:szCs w:val="24"/>
              </w:rPr>
            </w:pPr>
          </w:p>
        </w:tc>
        <w:tc>
          <w:tcPr>
            <w:tcW w:w="1804" w:type="dxa"/>
          </w:tcPr>
          <w:p w14:paraId="704821B9">
            <w:pPr>
              <w:spacing w:line="300" w:lineRule="exact"/>
              <w:jc w:val="center"/>
              <w:rPr>
                <w:rFonts w:ascii="Times New Roman" w:hAnsi="Times New Roman"/>
                <w:szCs w:val="24"/>
              </w:rPr>
            </w:pPr>
          </w:p>
        </w:tc>
      </w:tr>
      <w:tr w14:paraId="685E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735B701E">
            <w:pPr>
              <w:spacing w:line="300" w:lineRule="exact"/>
              <w:jc w:val="center"/>
              <w:rPr>
                <w:rFonts w:ascii="Times New Roman" w:hAnsi="Times New Roman"/>
                <w:szCs w:val="24"/>
              </w:rPr>
            </w:pPr>
          </w:p>
        </w:tc>
        <w:tc>
          <w:tcPr>
            <w:tcW w:w="2048" w:type="dxa"/>
            <w:vMerge w:val="continue"/>
            <w:vAlign w:val="center"/>
          </w:tcPr>
          <w:p w14:paraId="1094E4D3">
            <w:pPr>
              <w:spacing w:line="300" w:lineRule="exact"/>
              <w:jc w:val="center"/>
              <w:rPr>
                <w:rFonts w:ascii="Times New Roman" w:hAnsi="Times New Roman"/>
                <w:szCs w:val="24"/>
              </w:rPr>
            </w:pPr>
          </w:p>
        </w:tc>
        <w:tc>
          <w:tcPr>
            <w:tcW w:w="1348" w:type="dxa"/>
            <w:vMerge w:val="continue"/>
            <w:vAlign w:val="center"/>
          </w:tcPr>
          <w:p w14:paraId="07509E34">
            <w:pPr>
              <w:spacing w:line="300" w:lineRule="exact"/>
              <w:jc w:val="center"/>
              <w:rPr>
                <w:rFonts w:ascii="Times New Roman" w:hAnsi="Times New Roman"/>
                <w:szCs w:val="24"/>
              </w:rPr>
            </w:pPr>
          </w:p>
        </w:tc>
        <w:tc>
          <w:tcPr>
            <w:tcW w:w="2405" w:type="dxa"/>
            <w:vAlign w:val="center"/>
          </w:tcPr>
          <w:p w14:paraId="43BFEB6F">
            <w:pPr>
              <w:spacing w:line="300" w:lineRule="exact"/>
              <w:jc w:val="center"/>
              <w:rPr>
                <w:rFonts w:ascii="Times New Roman" w:hAnsi="Times New Roman"/>
                <w:szCs w:val="24"/>
              </w:rPr>
            </w:pPr>
          </w:p>
        </w:tc>
        <w:tc>
          <w:tcPr>
            <w:tcW w:w="1804" w:type="dxa"/>
          </w:tcPr>
          <w:p w14:paraId="452C79FD">
            <w:pPr>
              <w:spacing w:line="300" w:lineRule="exact"/>
              <w:jc w:val="center"/>
              <w:rPr>
                <w:rFonts w:ascii="Times New Roman" w:hAnsi="Times New Roman"/>
                <w:szCs w:val="24"/>
              </w:rPr>
            </w:pPr>
          </w:p>
        </w:tc>
      </w:tr>
      <w:tr w14:paraId="55F9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31252248">
            <w:pPr>
              <w:spacing w:line="300" w:lineRule="exact"/>
              <w:jc w:val="center"/>
              <w:rPr>
                <w:rFonts w:ascii="Times New Roman" w:hAnsi="Times New Roman"/>
                <w:szCs w:val="24"/>
              </w:rPr>
            </w:pPr>
          </w:p>
        </w:tc>
        <w:tc>
          <w:tcPr>
            <w:tcW w:w="2048" w:type="dxa"/>
            <w:vMerge w:val="continue"/>
            <w:vAlign w:val="center"/>
          </w:tcPr>
          <w:p w14:paraId="02367B06">
            <w:pPr>
              <w:spacing w:line="300" w:lineRule="exact"/>
              <w:jc w:val="center"/>
              <w:rPr>
                <w:rFonts w:ascii="Times New Roman" w:hAnsi="Times New Roman"/>
                <w:szCs w:val="24"/>
              </w:rPr>
            </w:pPr>
          </w:p>
        </w:tc>
        <w:tc>
          <w:tcPr>
            <w:tcW w:w="1348" w:type="dxa"/>
            <w:vMerge w:val="continue"/>
            <w:vAlign w:val="center"/>
          </w:tcPr>
          <w:p w14:paraId="5B7613F7">
            <w:pPr>
              <w:spacing w:line="300" w:lineRule="exact"/>
              <w:jc w:val="center"/>
              <w:rPr>
                <w:rFonts w:ascii="Times New Roman" w:hAnsi="Times New Roman"/>
                <w:szCs w:val="24"/>
              </w:rPr>
            </w:pPr>
          </w:p>
        </w:tc>
        <w:tc>
          <w:tcPr>
            <w:tcW w:w="2405" w:type="dxa"/>
            <w:vAlign w:val="center"/>
          </w:tcPr>
          <w:p w14:paraId="3D6B4D5C">
            <w:pPr>
              <w:spacing w:line="300" w:lineRule="exact"/>
              <w:jc w:val="center"/>
              <w:rPr>
                <w:rFonts w:ascii="Times New Roman" w:hAnsi="Times New Roman"/>
                <w:szCs w:val="24"/>
              </w:rPr>
            </w:pPr>
          </w:p>
        </w:tc>
        <w:tc>
          <w:tcPr>
            <w:tcW w:w="1804" w:type="dxa"/>
          </w:tcPr>
          <w:p w14:paraId="1CA50DDE">
            <w:pPr>
              <w:spacing w:line="300" w:lineRule="exact"/>
              <w:jc w:val="center"/>
              <w:rPr>
                <w:rFonts w:ascii="Times New Roman" w:hAnsi="Times New Roman"/>
                <w:szCs w:val="24"/>
              </w:rPr>
            </w:pPr>
          </w:p>
        </w:tc>
      </w:tr>
      <w:tr w14:paraId="2BE7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515" w:type="dxa"/>
            <w:vMerge w:val="continue"/>
            <w:vAlign w:val="center"/>
          </w:tcPr>
          <w:p w14:paraId="2810C8E5">
            <w:pPr>
              <w:spacing w:line="300" w:lineRule="exact"/>
              <w:jc w:val="center"/>
              <w:rPr>
                <w:rFonts w:ascii="Times New Roman" w:hAnsi="Times New Roman"/>
                <w:szCs w:val="24"/>
              </w:rPr>
            </w:pPr>
          </w:p>
        </w:tc>
        <w:tc>
          <w:tcPr>
            <w:tcW w:w="2048" w:type="dxa"/>
            <w:vMerge w:val="continue"/>
            <w:vAlign w:val="center"/>
          </w:tcPr>
          <w:p w14:paraId="033DF35F">
            <w:pPr>
              <w:spacing w:line="300" w:lineRule="exact"/>
              <w:jc w:val="center"/>
              <w:rPr>
                <w:rFonts w:ascii="Times New Roman" w:hAnsi="Times New Roman"/>
                <w:szCs w:val="24"/>
              </w:rPr>
            </w:pPr>
          </w:p>
        </w:tc>
        <w:tc>
          <w:tcPr>
            <w:tcW w:w="1348" w:type="dxa"/>
            <w:vMerge w:val="continue"/>
            <w:vAlign w:val="center"/>
          </w:tcPr>
          <w:p w14:paraId="07B3BBC4">
            <w:pPr>
              <w:spacing w:line="300" w:lineRule="exact"/>
              <w:jc w:val="center"/>
              <w:rPr>
                <w:rFonts w:ascii="Times New Roman" w:hAnsi="Times New Roman"/>
                <w:szCs w:val="24"/>
              </w:rPr>
            </w:pPr>
          </w:p>
        </w:tc>
        <w:tc>
          <w:tcPr>
            <w:tcW w:w="2405" w:type="dxa"/>
            <w:vAlign w:val="center"/>
          </w:tcPr>
          <w:p w14:paraId="7C18CB5A">
            <w:pPr>
              <w:spacing w:line="300" w:lineRule="exact"/>
              <w:jc w:val="center"/>
              <w:rPr>
                <w:rFonts w:ascii="Times New Roman" w:hAnsi="Times New Roman"/>
                <w:szCs w:val="24"/>
              </w:rPr>
            </w:pPr>
          </w:p>
        </w:tc>
        <w:tc>
          <w:tcPr>
            <w:tcW w:w="1804" w:type="dxa"/>
          </w:tcPr>
          <w:p w14:paraId="5BC7A5E1">
            <w:pPr>
              <w:spacing w:line="300" w:lineRule="exact"/>
              <w:jc w:val="center"/>
              <w:rPr>
                <w:rFonts w:ascii="Times New Roman" w:hAnsi="Times New Roman"/>
                <w:szCs w:val="24"/>
              </w:rPr>
            </w:pPr>
          </w:p>
        </w:tc>
      </w:tr>
      <w:tr w14:paraId="55F2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04B86975">
            <w:pPr>
              <w:spacing w:line="300" w:lineRule="exact"/>
              <w:jc w:val="center"/>
              <w:rPr>
                <w:rFonts w:ascii="Times New Roman" w:hAnsi="Times New Roman"/>
                <w:szCs w:val="24"/>
              </w:rPr>
            </w:pPr>
          </w:p>
        </w:tc>
        <w:tc>
          <w:tcPr>
            <w:tcW w:w="2048" w:type="dxa"/>
            <w:vMerge w:val="continue"/>
            <w:vAlign w:val="center"/>
          </w:tcPr>
          <w:p w14:paraId="2D1956A5">
            <w:pPr>
              <w:spacing w:line="300" w:lineRule="exact"/>
              <w:jc w:val="center"/>
              <w:rPr>
                <w:rFonts w:ascii="Times New Roman" w:hAnsi="Times New Roman"/>
                <w:szCs w:val="24"/>
              </w:rPr>
            </w:pPr>
          </w:p>
        </w:tc>
        <w:tc>
          <w:tcPr>
            <w:tcW w:w="1348" w:type="dxa"/>
            <w:vMerge w:val="continue"/>
            <w:vAlign w:val="center"/>
          </w:tcPr>
          <w:p w14:paraId="19600341">
            <w:pPr>
              <w:spacing w:line="300" w:lineRule="exact"/>
              <w:jc w:val="center"/>
              <w:rPr>
                <w:rFonts w:ascii="Times New Roman" w:hAnsi="Times New Roman"/>
                <w:szCs w:val="24"/>
              </w:rPr>
            </w:pPr>
          </w:p>
        </w:tc>
        <w:tc>
          <w:tcPr>
            <w:tcW w:w="2405" w:type="dxa"/>
            <w:vAlign w:val="center"/>
          </w:tcPr>
          <w:p w14:paraId="79405140">
            <w:pPr>
              <w:spacing w:line="300" w:lineRule="exact"/>
              <w:jc w:val="center"/>
              <w:rPr>
                <w:rFonts w:ascii="Times New Roman" w:hAnsi="Times New Roman"/>
                <w:szCs w:val="24"/>
              </w:rPr>
            </w:pPr>
          </w:p>
        </w:tc>
        <w:tc>
          <w:tcPr>
            <w:tcW w:w="1804" w:type="dxa"/>
          </w:tcPr>
          <w:p w14:paraId="7873211B">
            <w:pPr>
              <w:spacing w:line="300" w:lineRule="exact"/>
              <w:jc w:val="center"/>
              <w:rPr>
                <w:rFonts w:ascii="Times New Roman" w:hAnsi="Times New Roman"/>
                <w:szCs w:val="24"/>
              </w:rPr>
            </w:pPr>
          </w:p>
        </w:tc>
      </w:tr>
      <w:tr w14:paraId="746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restart"/>
            <w:vAlign w:val="center"/>
          </w:tcPr>
          <w:p w14:paraId="0E8FECA1">
            <w:pPr>
              <w:spacing w:line="300" w:lineRule="exact"/>
              <w:jc w:val="center"/>
              <w:rPr>
                <w:rFonts w:ascii="Times New Roman" w:hAnsi="Times New Roman"/>
                <w:szCs w:val="24"/>
              </w:rPr>
            </w:pPr>
          </w:p>
        </w:tc>
        <w:tc>
          <w:tcPr>
            <w:tcW w:w="2048" w:type="dxa"/>
            <w:vMerge w:val="restart"/>
            <w:vAlign w:val="center"/>
          </w:tcPr>
          <w:p w14:paraId="2235200C">
            <w:pPr>
              <w:spacing w:line="300" w:lineRule="exact"/>
              <w:jc w:val="center"/>
              <w:rPr>
                <w:rFonts w:ascii="Times New Roman" w:hAnsi="Times New Roman"/>
                <w:szCs w:val="24"/>
              </w:rPr>
            </w:pPr>
          </w:p>
        </w:tc>
        <w:tc>
          <w:tcPr>
            <w:tcW w:w="1348" w:type="dxa"/>
            <w:vMerge w:val="restart"/>
            <w:vAlign w:val="center"/>
          </w:tcPr>
          <w:p w14:paraId="3AE74DAB">
            <w:pPr>
              <w:spacing w:line="300" w:lineRule="exact"/>
              <w:jc w:val="center"/>
              <w:rPr>
                <w:rFonts w:ascii="Times New Roman" w:hAnsi="Times New Roman"/>
                <w:szCs w:val="24"/>
              </w:rPr>
            </w:pPr>
          </w:p>
        </w:tc>
        <w:tc>
          <w:tcPr>
            <w:tcW w:w="2405" w:type="dxa"/>
            <w:vAlign w:val="center"/>
          </w:tcPr>
          <w:p w14:paraId="1E4164E2">
            <w:pPr>
              <w:spacing w:line="300" w:lineRule="exact"/>
              <w:jc w:val="center"/>
              <w:rPr>
                <w:rFonts w:ascii="Times New Roman" w:hAnsi="Times New Roman"/>
                <w:szCs w:val="24"/>
              </w:rPr>
            </w:pPr>
          </w:p>
        </w:tc>
        <w:tc>
          <w:tcPr>
            <w:tcW w:w="1804" w:type="dxa"/>
          </w:tcPr>
          <w:p w14:paraId="5AD084D8">
            <w:pPr>
              <w:spacing w:line="300" w:lineRule="exact"/>
              <w:jc w:val="center"/>
              <w:rPr>
                <w:rFonts w:ascii="Times New Roman" w:hAnsi="Times New Roman"/>
                <w:szCs w:val="24"/>
              </w:rPr>
            </w:pPr>
          </w:p>
        </w:tc>
      </w:tr>
      <w:tr w14:paraId="7744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25533B11">
            <w:pPr>
              <w:spacing w:line="300" w:lineRule="exact"/>
              <w:rPr>
                <w:rFonts w:ascii="Times New Roman" w:hAnsi="Times New Roman"/>
                <w:szCs w:val="24"/>
              </w:rPr>
            </w:pPr>
          </w:p>
        </w:tc>
        <w:tc>
          <w:tcPr>
            <w:tcW w:w="2048" w:type="dxa"/>
            <w:vMerge w:val="continue"/>
            <w:vAlign w:val="center"/>
          </w:tcPr>
          <w:p w14:paraId="5B52D6A0">
            <w:pPr>
              <w:spacing w:line="300" w:lineRule="exact"/>
              <w:jc w:val="center"/>
              <w:rPr>
                <w:rFonts w:ascii="Times New Roman" w:hAnsi="Times New Roman"/>
                <w:szCs w:val="24"/>
              </w:rPr>
            </w:pPr>
          </w:p>
        </w:tc>
        <w:tc>
          <w:tcPr>
            <w:tcW w:w="1348" w:type="dxa"/>
            <w:vMerge w:val="continue"/>
            <w:vAlign w:val="center"/>
          </w:tcPr>
          <w:p w14:paraId="53E28F91">
            <w:pPr>
              <w:spacing w:line="300" w:lineRule="exact"/>
              <w:jc w:val="center"/>
              <w:rPr>
                <w:rFonts w:ascii="Times New Roman" w:hAnsi="Times New Roman"/>
                <w:szCs w:val="24"/>
              </w:rPr>
            </w:pPr>
          </w:p>
        </w:tc>
        <w:tc>
          <w:tcPr>
            <w:tcW w:w="2405" w:type="dxa"/>
            <w:vAlign w:val="center"/>
          </w:tcPr>
          <w:p w14:paraId="244831AE">
            <w:pPr>
              <w:spacing w:line="300" w:lineRule="exact"/>
              <w:jc w:val="center"/>
              <w:rPr>
                <w:rFonts w:ascii="Times New Roman" w:hAnsi="Times New Roman"/>
                <w:szCs w:val="24"/>
              </w:rPr>
            </w:pPr>
          </w:p>
        </w:tc>
        <w:tc>
          <w:tcPr>
            <w:tcW w:w="1804" w:type="dxa"/>
          </w:tcPr>
          <w:p w14:paraId="18AB5613">
            <w:pPr>
              <w:spacing w:line="300" w:lineRule="exact"/>
              <w:jc w:val="center"/>
              <w:rPr>
                <w:rFonts w:ascii="Times New Roman" w:hAnsi="Times New Roman"/>
                <w:szCs w:val="24"/>
              </w:rPr>
            </w:pPr>
          </w:p>
        </w:tc>
      </w:tr>
      <w:tr w14:paraId="06E8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076643EF">
            <w:pPr>
              <w:spacing w:line="300" w:lineRule="exact"/>
              <w:jc w:val="center"/>
              <w:rPr>
                <w:rFonts w:ascii="Times New Roman" w:hAnsi="Times New Roman"/>
                <w:szCs w:val="24"/>
              </w:rPr>
            </w:pPr>
          </w:p>
        </w:tc>
        <w:tc>
          <w:tcPr>
            <w:tcW w:w="2048" w:type="dxa"/>
            <w:vMerge w:val="continue"/>
            <w:vAlign w:val="center"/>
          </w:tcPr>
          <w:p w14:paraId="6E2413AF">
            <w:pPr>
              <w:spacing w:line="300" w:lineRule="exact"/>
              <w:jc w:val="center"/>
              <w:rPr>
                <w:rFonts w:ascii="Times New Roman" w:hAnsi="Times New Roman"/>
                <w:szCs w:val="24"/>
              </w:rPr>
            </w:pPr>
          </w:p>
        </w:tc>
        <w:tc>
          <w:tcPr>
            <w:tcW w:w="1348" w:type="dxa"/>
            <w:vMerge w:val="continue"/>
            <w:vAlign w:val="center"/>
          </w:tcPr>
          <w:p w14:paraId="5446254E">
            <w:pPr>
              <w:spacing w:line="300" w:lineRule="exact"/>
              <w:jc w:val="center"/>
              <w:rPr>
                <w:rFonts w:ascii="Times New Roman" w:hAnsi="Times New Roman"/>
                <w:szCs w:val="24"/>
              </w:rPr>
            </w:pPr>
          </w:p>
        </w:tc>
        <w:tc>
          <w:tcPr>
            <w:tcW w:w="2405" w:type="dxa"/>
            <w:vAlign w:val="center"/>
          </w:tcPr>
          <w:p w14:paraId="31DBD0D4">
            <w:pPr>
              <w:spacing w:line="300" w:lineRule="exact"/>
              <w:jc w:val="center"/>
              <w:rPr>
                <w:rFonts w:ascii="Times New Roman" w:hAnsi="Times New Roman"/>
                <w:szCs w:val="24"/>
              </w:rPr>
            </w:pPr>
          </w:p>
        </w:tc>
        <w:tc>
          <w:tcPr>
            <w:tcW w:w="1804" w:type="dxa"/>
          </w:tcPr>
          <w:p w14:paraId="225FEB83">
            <w:pPr>
              <w:spacing w:line="300" w:lineRule="exact"/>
              <w:jc w:val="center"/>
              <w:rPr>
                <w:rFonts w:ascii="Times New Roman" w:hAnsi="Times New Roman"/>
                <w:szCs w:val="24"/>
              </w:rPr>
            </w:pPr>
          </w:p>
        </w:tc>
      </w:tr>
      <w:tr w14:paraId="094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3F7AAA69">
            <w:pPr>
              <w:spacing w:line="300" w:lineRule="exact"/>
              <w:jc w:val="center"/>
              <w:rPr>
                <w:rFonts w:ascii="Times New Roman" w:hAnsi="Times New Roman"/>
                <w:szCs w:val="24"/>
              </w:rPr>
            </w:pPr>
          </w:p>
        </w:tc>
        <w:tc>
          <w:tcPr>
            <w:tcW w:w="2048" w:type="dxa"/>
            <w:vMerge w:val="continue"/>
            <w:vAlign w:val="center"/>
          </w:tcPr>
          <w:p w14:paraId="3C091892">
            <w:pPr>
              <w:spacing w:line="300" w:lineRule="exact"/>
              <w:jc w:val="center"/>
              <w:rPr>
                <w:rFonts w:ascii="Times New Roman" w:hAnsi="Times New Roman"/>
                <w:szCs w:val="24"/>
              </w:rPr>
            </w:pPr>
          </w:p>
        </w:tc>
        <w:tc>
          <w:tcPr>
            <w:tcW w:w="1348" w:type="dxa"/>
            <w:vMerge w:val="continue"/>
            <w:vAlign w:val="center"/>
          </w:tcPr>
          <w:p w14:paraId="1CA5CA34">
            <w:pPr>
              <w:spacing w:line="300" w:lineRule="exact"/>
              <w:jc w:val="center"/>
              <w:rPr>
                <w:rFonts w:ascii="Times New Roman" w:hAnsi="Times New Roman"/>
                <w:szCs w:val="24"/>
              </w:rPr>
            </w:pPr>
          </w:p>
        </w:tc>
        <w:tc>
          <w:tcPr>
            <w:tcW w:w="2405" w:type="dxa"/>
            <w:vAlign w:val="center"/>
          </w:tcPr>
          <w:p w14:paraId="3E9D04A9">
            <w:pPr>
              <w:spacing w:line="300" w:lineRule="exact"/>
              <w:jc w:val="center"/>
              <w:rPr>
                <w:rFonts w:ascii="Times New Roman" w:hAnsi="Times New Roman"/>
                <w:szCs w:val="24"/>
              </w:rPr>
            </w:pPr>
          </w:p>
        </w:tc>
        <w:tc>
          <w:tcPr>
            <w:tcW w:w="1804" w:type="dxa"/>
          </w:tcPr>
          <w:p w14:paraId="7B38ECA9">
            <w:pPr>
              <w:spacing w:line="300" w:lineRule="exact"/>
              <w:jc w:val="center"/>
              <w:rPr>
                <w:rFonts w:ascii="Times New Roman" w:hAnsi="Times New Roman"/>
                <w:szCs w:val="24"/>
              </w:rPr>
            </w:pPr>
          </w:p>
        </w:tc>
      </w:tr>
      <w:tr w14:paraId="6D9A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1515" w:type="dxa"/>
            <w:vMerge w:val="continue"/>
            <w:vAlign w:val="center"/>
          </w:tcPr>
          <w:p w14:paraId="44087F3A">
            <w:pPr>
              <w:spacing w:line="300" w:lineRule="exact"/>
              <w:jc w:val="center"/>
              <w:rPr>
                <w:rFonts w:ascii="Times New Roman" w:hAnsi="Times New Roman"/>
                <w:szCs w:val="24"/>
              </w:rPr>
            </w:pPr>
          </w:p>
        </w:tc>
        <w:tc>
          <w:tcPr>
            <w:tcW w:w="2048" w:type="dxa"/>
            <w:vMerge w:val="continue"/>
            <w:vAlign w:val="center"/>
          </w:tcPr>
          <w:p w14:paraId="1ECA0393">
            <w:pPr>
              <w:spacing w:line="300" w:lineRule="exact"/>
              <w:jc w:val="center"/>
              <w:rPr>
                <w:rFonts w:ascii="Times New Roman" w:hAnsi="Times New Roman"/>
                <w:szCs w:val="24"/>
              </w:rPr>
            </w:pPr>
          </w:p>
        </w:tc>
        <w:tc>
          <w:tcPr>
            <w:tcW w:w="1348" w:type="dxa"/>
            <w:vMerge w:val="continue"/>
            <w:vAlign w:val="center"/>
          </w:tcPr>
          <w:p w14:paraId="250A3D2D">
            <w:pPr>
              <w:spacing w:line="300" w:lineRule="exact"/>
              <w:jc w:val="center"/>
              <w:rPr>
                <w:rFonts w:ascii="Times New Roman" w:hAnsi="Times New Roman"/>
                <w:szCs w:val="24"/>
              </w:rPr>
            </w:pPr>
          </w:p>
        </w:tc>
        <w:tc>
          <w:tcPr>
            <w:tcW w:w="2405" w:type="dxa"/>
            <w:vAlign w:val="center"/>
          </w:tcPr>
          <w:p w14:paraId="37128706">
            <w:pPr>
              <w:spacing w:line="300" w:lineRule="exact"/>
              <w:jc w:val="center"/>
              <w:rPr>
                <w:rFonts w:ascii="Times New Roman" w:hAnsi="Times New Roman"/>
                <w:szCs w:val="24"/>
              </w:rPr>
            </w:pPr>
          </w:p>
        </w:tc>
        <w:tc>
          <w:tcPr>
            <w:tcW w:w="1804" w:type="dxa"/>
          </w:tcPr>
          <w:p w14:paraId="2EE4C12E">
            <w:pPr>
              <w:spacing w:line="300" w:lineRule="exact"/>
              <w:jc w:val="center"/>
              <w:rPr>
                <w:rFonts w:ascii="Times New Roman" w:hAnsi="Times New Roman"/>
                <w:szCs w:val="24"/>
              </w:rPr>
            </w:pPr>
          </w:p>
        </w:tc>
      </w:tr>
      <w:tr w14:paraId="0E0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120" w:type="dxa"/>
            <w:gridSpan w:val="5"/>
            <w:vAlign w:val="center"/>
          </w:tcPr>
          <w:p w14:paraId="687B0259">
            <w:pPr>
              <w:spacing w:line="300" w:lineRule="exact"/>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2 </w:t>
            </w:r>
            <w:r>
              <w:rPr>
                <w:rFonts w:ascii="Times New Roman" w:eastAsia="黑体"/>
                <w:sz w:val="24"/>
                <w:szCs w:val="24"/>
              </w:rPr>
              <w:t>与申请转移废物相关的生产工艺</w:t>
            </w:r>
          </w:p>
        </w:tc>
      </w:tr>
      <w:tr w14:paraId="274E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5" w:hRule="atLeast"/>
        </w:trPr>
        <w:tc>
          <w:tcPr>
            <w:tcW w:w="9120" w:type="dxa"/>
            <w:gridSpan w:val="5"/>
          </w:tcPr>
          <w:p w14:paraId="670F9907">
            <w:pPr>
              <w:spacing w:line="300" w:lineRule="exact"/>
              <w:rPr>
                <w:rFonts w:ascii="Times New Roman" w:hAnsi="Times New Roman"/>
                <w:szCs w:val="24"/>
              </w:rPr>
            </w:pPr>
            <w:r>
              <w:rPr>
                <w:rFonts w:ascii="Times New Roman"/>
                <w:szCs w:val="24"/>
              </w:rPr>
              <w:t>文字描述及工艺流程图</w:t>
            </w:r>
          </w:p>
          <w:p w14:paraId="75EB281C">
            <w:pPr>
              <w:pBdr>
                <w:top w:val="none" w:color="auto" w:sz="0" w:space="1"/>
                <w:left w:val="none" w:color="auto" w:sz="0" w:space="4"/>
                <w:bottom w:val="none" w:color="auto" w:sz="0" w:space="1"/>
                <w:right w:val="none" w:color="auto" w:sz="0" w:space="4"/>
              </w:pBdr>
              <w:spacing w:line="360" w:lineRule="auto"/>
              <w:rPr>
                <w:b/>
                <w:sz w:val="24"/>
              </w:rPr>
            </w:pPr>
            <w:r>
              <w:rPr>
                <w:rFonts w:hint="eastAsia"/>
                <w:b/>
                <w:sz w:val="24"/>
              </w:rPr>
              <w:t>工艺流程</w:t>
            </w:r>
            <w:r>
              <w:rPr>
                <w:rFonts w:hint="eastAsia"/>
                <w:b/>
                <w:sz w:val="24"/>
                <w:lang w:eastAsia="zh-CN"/>
              </w:rPr>
              <w:t>文字描述</w:t>
            </w:r>
            <w:r>
              <w:rPr>
                <w:rFonts w:hint="eastAsia"/>
                <w:b/>
                <w:sz w:val="24"/>
              </w:rPr>
              <w:t>：</w:t>
            </w:r>
          </w:p>
          <w:p w14:paraId="442CF767">
            <w:pPr>
              <w:spacing w:line="300" w:lineRule="exact"/>
              <w:rPr>
                <w:rFonts w:ascii="Times New Roman"/>
                <w:szCs w:val="24"/>
              </w:rPr>
            </w:pPr>
            <w:r>
              <w:rPr>
                <w:rFonts w:hint="eastAsia" w:ascii="Times New Roman"/>
                <w:szCs w:val="24"/>
              </w:rPr>
              <w:t>废矿物油</w:t>
            </w:r>
            <w:r>
              <w:rPr>
                <w:rFonts w:hint="eastAsia" w:ascii="Times New Roman"/>
                <w:szCs w:val="24"/>
                <w:lang w:val="en-GB"/>
              </w:rPr>
              <w:t>经专用的运输车辆运至储罐区，通过专用泵和软管装入储罐内。废矿物油在装车前，通过专用泵对罐内储油进行搅拌，使罐内油品混合均匀。再将收集的废矿物油通过专用的泵和软管将储罐内的物料装至由下游接收厂家</w:t>
            </w:r>
            <w:r>
              <w:rPr>
                <w:rFonts w:hint="eastAsia" w:ascii="Times New Roman"/>
                <w:szCs w:val="24"/>
              </w:rPr>
              <w:t>派遣的有运输资质的</w:t>
            </w:r>
            <w:r>
              <w:rPr>
                <w:rFonts w:hint="eastAsia" w:ascii="Times New Roman"/>
                <w:szCs w:val="24"/>
                <w:lang w:val="en-GB"/>
              </w:rPr>
              <w:t>槽罐车内，运至下游接收厂家处理。</w:t>
            </w:r>
          </w:p>
          <w:p w14:paraId="6358D527">
            <w:pPr>
              <w:spacing w:line="300" w:lineRule="exact"/>
              <w:rPr>
                <w:rFonts w:ascii="Times New Roman" w:hAnsi="Times New Roman"/>
                <w:szCs w:val="24"/>
              </w:rPr>
            </w:pPr>
          </w:p>
          <w:p w14:paraId="421542C5">
            <w:pPr>
              <w:spacing w:line="300" w:lineRule="exact"/>
              <w:rPr>
                <w:rFonts w:hint="eastAsia"/>
                <w:b/>
                <w:sz w:val="24"/>
                <w:lang w:eastAsia="zh-CN"/>
              </w:rPr>
            </w:pPr>
            <w:r>
              <w:rPr>
                <w:rFonts w:hint="eastAsia"/>
                <w:b/>
                <w:sz w:val="24"/>
              </w:rPr>
              <w:t>工艺流程</w:t>
            </w:r>
            <w:r>
              <w:rPr>
                <w:rFonts w:hint="eastAsia"/>
                <w:b/>
                <w:sz w:val="24"/>
                <w:lang w:eastAsia="zh-CN"/>
              </w:rPr>
              <w:t>图：</w:t>
            </w:r>
          </w:p>
          <w:p w14:paraId="0BFE96A3">
            <w:pPr>
              <w:spacing w:line="300" w:lineRule="exact"/>
              <w:rPr>
                <w:rFonts w:hint="eastAsia"/>
                <w:b/>
                <w:sz w:val="24"/>
                <w:lang w:eastAsia="zh-CN"/>
              </w:rPr>
            </w:pPr>
          </w:p>
          <w:p w14:paraId="0C932FB6">
            <w:pPr>
              <w:spacing w:line="300" w:lineRule="exact"/>
              <w:rPr>
                <w:rFonts w:ascii="Times New Roman" w:hAnsi="Times New Roman"/>
                <w:szCs w:val="24"/>
              </w:rPr>
            </w:pPr>
          </w:p>
          <w:p w14:paraId="644B894D">
            <w:pPr>
              <w:spacing w:line="300" w:lineRule="exact"/>
              <w:rPr>
                <w:rFonts w:ascii="Times New Roman" w:hAnsi="Times New Roman"/>
                <w:szCs w:val="24"/>
              </w:rPr>
            </w:pPr>
          </w:p>
          <w:p w14:paraId="55F8176E">
            <w:pPr>
              <w:spacing w:line="300" w:lineRule="exact"/>
              <w:rPr>
                <w:rFonts w:ascii="Times New Roman" w:hAnsi="Times New Roman"/>
                <w:szCs w:val="24"/>
              </w:rPr>
            </w:pPr>
          </w:p>
          <w:p w14:paraId="526B5616">
            <w:pPr>
              <w:spacing w:line="300" w:lineRule="exact"/>
              <w:rPr>
                <w:rFonts w:ascii="Times New Roman" w:hAnsi="Times New Roman"/>
                <w:szCs w:val="24"/>
              </w:rPr>
            </w:pPr>
          </w:p>
          <w:p w14:paraId="61B1EC7C">
            <w:pPr>
              <w:spacing w:line="300" w:lineRule="exact"/>
              <w:rPr>
                <w:rFonts w:ascii="Times New Roman" w:hAnsi="Times New Roman"/>
                <w:szCs w:val="24"/>
              </w:rPr>
            </w:pPr>
          </w:p>
          <w:p w14:paraId="05B9FFDB">
            <w:pPr>
              <w:spacing w:line="300" w:lineRule="exact"/>
              <w:rPr>
                <w:rFonts w:ascii="Times New Roman" w:hAnsi="Times New Roman"/>
                <w:szCs w:val="24"/>
              </w:rPr>
            </w:pPr>
          </w:p>
          <w:p w14:paraId="41252BBA">
            <w:pPr>
              <w:spacing w:line="300" w:lineRule="exact"/>
              <w:rPr>
                <w:rFonts w:ascii="Times New Roman" w:hAnsi="Times New Roman"/>
                <w:szCs w:val="24"/>
              </w:rPr>
            </w:pPr>
          </w:p>
          <w:p w14:paraId="12D820D9">
            <w:pPr>
              <w:spacing w:line="300" w:lineRule="exact"/>
              <w:rPr>
                <w:rFonts w:ascii="Times New Roman" w:hAnsi="Times New Roman"/>
                <w:szCs w:val="24"/>
              </w:rPr>
            </w:pPr>
          </w:p>
        </w:tc>
      </w:tr>
    </w:tbl>
    <w:p w14:paraId="270945AE">
      <w:pPr>
        <w:rPr>
          <w:rFonts w:ascii="Times New Roman" w:hAnsi="Times New Roman" w:eastAsia="仿宋_GB2312"/>
          <w:sz w:val="28"/>
        </w:rPr>
      </w:pPr>
    </w:p>
    <w:tbl>
      <w:tblPr>
        <w:tblStyle w:val="7"/>
        <w:tblW w:w="91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77"/>
        <w:gridCol w:w="1688"/>
        <w:gridCol w:w="2215"/>
        <w:gridCol w:w="1691"/>
      </w:tblGrid>
      <w:tr w14:paraId="6B87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180" w:type="dxa"/>
            <w:gridSpan w:val="5"/>
            <w:vAlign w:val="center"/>
          </w:tcPr>
          <w:p w14:paraId="68A625C0">
            <w:pPr>
              <w:rPr>
                <w:rFonts w:ascii="Times New Roman" w:hAnsi="Times New Roman"/>
                <w:sz w:val="24"/>
                <w:szCs w:val="24"/>
              </w:rPr>
            </w:pPr>
            <w:r>
              <w:rPr>
                <w:rFonts w:ascii="Times New Roman" w:eastAsia="黑体"/>
                <w:sz w:val="24"/>
                <w:szCs w:val="24"/>
              </w:rPr>
              <w:t>表</w:t>
            </w:r>
            <w:r>
              <w:rPr>
                <w:rFonts w:ascii="Times New Roman" w:hAnsi="Times New Roman" w:eastAsia="黑体"/>
                <w:sz w:val="24"/>
                <w:szCs w:val="24"/>
              </w:rPr>
              <w:t xml:space="preserve">3   </w:t>
            </w:r>
            <w:r>
              <w:rPr>
                <w:rFonts w:ascii="Times New Roman" w:eastAsia="黑体"/>
                <w:sz w:val="24"/>
                <w:szCs w:val="24"/>
              </w:rPr>
              <w:t>废物组分、特性（详见附件）</w:t>
            </w:r>
          </w:p>
        </w:tc>
      </w:tr>
      <w:tr w14:paraId="132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09" w:type="dxa"/>
            <w:vAlign w:val="center"/>
          </w:tcPr>
          <w:p w14:paraId="144F9311">
            <w:pPr>
              <w:spacing w:line="240" w:lineRule="auto"/>
              <w:rPr>
                <w:rFonts w:ascii="Times New Roman" w:hAnsi="Times New Roman"/>
                <w:szCs w:val="21"/>
              </w:rPr>
            </w:pPr>
            <w:r>
              <w:rPr>
                <w:rFonts w:ascii="Times New Roman" w:hAnsi="宋体"/>
                <w:szCs w:val="21"/>
              </w:rPr>
              <w:t>废物名称</w:t>
            </w:r>
          </w:p>
        </w:tc>
        <w:tc>
          <w:tcPr>
            <w:tcW w:w="1777" w:type="dxa"/>
            <w:vAlign w:val="center"/>
          </w:tcPr>
          <w:p w14:paraId="120A798D">
            <w:pPr>
              <w:spacing w:line="240" w:lineRule="auto"/>
              <w:rPr>
                <w:rFonts w:ascii="Times New Roman" w:hAnsi="Times New Roman"/>
                <w:szCs w:val="21"/>
              </w:rPr>
            </w:pPr>
            <w:r>
              <w:rPr>
                <w:rFonts w:ascii="Times New Roman" w:hAnsi="宋体"/>
                <w:szCs w:val="21"/>
              </w:rPr>
              <w:t>主要组分</w:t>
            </w:r>
          </w:p>
        </w:tc>
        <w:tc>
          <w:tcPr>
            <w:tcW w:w="1688" w:type="dxa"/>
            <w:vAlign w:val="center"/>
          </w:tcPr>
          <w:p w14:paraId="76513DF7">
            <w:pPr>
              <w:spacing w:line="240" w:lineRule="auto"/>
              <w:rPr>
                <w:rFonts w:ascii="Times New Roman" w:hAnsi="Times New Roman"/>
                <w:szCs w:val="21"/>
              </w:rPr>
            </w:pPr>
            <w:r>
              <w:rPr>
                <w:rFonts w:ascii="Times New Roman" w:hAnsi="宋体"/>
                <w:szCs w:val="21"/>
              </w:rPr>
              <w:t>相应比例（</w:t>
            </w:r>
            <w:r>
              <w:rPr>
                <w:rFonts w:ascii="Times New Roman" w:hAnsi="Times New Roman"/>
                <w:szCs w:val="21"/>
              </w:rPr>
              <w:t>%</w:t>
            </w:r>
            <w:r>
              <w:rPr>
                <w:rFonts w:ascii="Times New Roman" w:hAnsi="宋体"/>
                <w:szCs w:val="21"/>
              </w:rPr>
              <w:t>）</w:t>
            </w:r>
          </w:p>
        </w:tc>
        <w:tc>
          <w:tcPr>
            <w:tcW w:w="2215" w:type="dxa"/>
            <w:vAlign w:val="center"/>
          </w:tcPr>
          <w:p w14:paraId="2A234D1D">
            <w:pPr>
              <w:spacing w:line="240" w:lineRule="auto"/>
              <w:rPr>
                <w:rFonts w:ascii="Times New Roman" w:hAnsi="Times New Roman"/>
                <w:szCs w:val="21"/>
              </w:rPr>
            </w:pPr>
            <w:r>
              <w:rPr>
                <w:rFonts w:ascii="Times New Roman" w:hAnsi="宋体"/>
                <w:szCs w:val="21"/>
              </w:rPr>
              <w:t>危害特性</w:t>
            </w:r>
          </w:p>
        </w:tc>
        <w:tc>
          <w:tcPr>
            <w:tcW w:w="1691" w:type="dxa"/>
            <w:vAlign w:val="center"/>
          </w:tcPr>
          <w:p w14:paraId="2F293E88">
            <w:pPr>
              <w:spacing w:line="240" w:lineRule="auto"/>
              <w:rPr>
                <w:rFonts w:ascii="Times New Roman" w:hAnsi="Times New Roman"/>
                <w:szCs w:val="21"/>
              </w:rPr>
            </w:pPr>
            <w:r>
              <w:rPr>
                <w:rFonts w:ascii="Times New Roman" w:hAnsi="宋体"/>
                <w:szCs w:val="21"/>
              </w:rPr>
              <w:t>形态</w:t>
            </w:r>
          </w:p>
        </w:tc>
      </w:tr>
      <w:tr w14:paraId="020C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809" w:type="dxa"/>
            <w:vMerge w:val="restart"/>
          </w:tcPr>
          <w:p w14:paraId="6BAF9E75">
            <w:pPr>
              <w:spacing w:line="240" w:lineRule="auto"/>
              <w:jc w:val="center"/>
              <w:rPr>
                <w:rFonts w:ascii="Times New Roman" w:hAnsi="Times New Roman"/>
                <w:szCs w:val="21"/>
              </w:rPr>
            </w:pPr>
            <w:r>
              <w:rPr>
                <w:rFonts w:hint="eastAsia" w:ascii="Times New Roman" w:hAnsi="Times New Roman"/>
                <w:szCs w:val="21"/>
              </w:rPr>
              <w:t>废机油</w:t>
            </w:r>
          </w:p>
        </w:tc>
        <w:tc>
          <w:tcPr>
            <w:tcW w:w="1777" w:type="dxa"/>
          </w:tcPr>
          <w:p w14:paraId="0CDE36FE">
            <w:pPr>
              <w:spacing w:line="240" w:lineRule="auto"/>
              <w:rPr>
                <w:rFonts w:hint="eastAsia" w:ascii="Times New Roman" w:hAnsi="Times New Roman" w:eastAsia="宋体"/>
                <w:szCs w:val="21"/>
                <w:lang w:eastAsia="zh-CN"/>
              </w:rPr>
            </w:pPr>
            <w:r>
              <w:rPr>
                <w:rFonts w:hint="eastAsia" w:ascii="Times New Roman" w:hAnsi="Times New Roman"/>
                <w:szCs w:val="21"/>
                <w:lang w:eastAsia="zh-CN"/>
              </w:rPr>
              <w:t>废矿物油</w:t>
            </w:r>
          </w:p>
        </w:tc>
        <w:tc>
          <w:tcPr>
            <w:tcW w:w="1688" w:type="dxa"/>
          </w:tcPr>
          <w:p w14:paraId="5930253D">
            <w:pPr>
              <w:spacing w:line="240" w:lineRule="auto"/>
              <w:rPr>
                <w:rFonts w:hint="default" w:ascii="Times New Roman" w:hAnsi="Times New Roman" w:eastAsia="宋体"/>
                <w:szCs w:val="21"/>
                <w:lang w:val="en-US" w:eastAsia="zh-CN"/>
              </w:rPr>
            </w:pPr>
            <w:r>
              <w:rPr>
                <w:rFonts w:hint="eastAsia" w:ascii="Times New Roman" w:hAnsi="Times New Roman"/>
                <w:szCs w:val="21"/>
                <w:lang w:val="en-US" w:eastAsia="zh-CN"/>
              </w:rPr>
              <w:t>100%</w:t>
            </w:r>
          </w:p>
        </w:tc>
        <w:tc>
          <w:tcPr>
            <w:tcW w:w="2215" w:type="dxa"/>
            <w:vMerge w:val="restart"/>
            <w:vAlign w:val="center"/>
          </w:tcPr>
          <w:p w14:paraId="7827DB1B">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711AE28D">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r>
              <w:rPr>
                <w:rFonts w:ascii="Times New Roman" w:hAnsi="Times New Roman"/>
                <w:szCs w:val="21"/>
              </w:rPr>
              <w:sym w:font="Wingdings 2" w:char="0052"/>
            </w:r>
          </w:p>
          <w:p w14:paraId="16E8283E">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r>
              <w:rPr>
                <w:rFonts w:ascii="Times New Roman" w:hAnsi="Times New Roman"/>
                <w:szCs w:val="21"/>
              </w:rPr>
              <w:sym w:font="Wingdings 2" w:char="0052"/>
            </w:r>
          </w:p>
          <w:p w14:paraId="3D3EF37D">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0AA0246F">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Merge w:val="restart"/>
            <w:vAlign w:val="center"/>
          </w:tcPr>
          <w:p w14:paraId="1F9C6DF2">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5A7A3CD4">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71EC9EB1">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0DBFCB83">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35974134">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r>
              <w:rPr>
                <w:rFonts w:ascii="Times New Roman" w:hAnsi="Times New Roman"/>
                <w:szCs w:val="21"/>
              </w:rPr>
              <w:sym w:font="Wingdings 2" w:char="0052"/>
            </w:r>
          </w:p>
        </w:tc>
      </w:tr>
      <w:tr w14:paraId="4697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809" w:type="dxa"/>
            <w:vMerge w:val="continue"/>
          </w:tcPr>
          <w:p w14:paraId="3DDC1606">
            <w:pPr>
              <w:spacing w:line="240" w:lineRule="auto"/>
              <w:rPr>
                <w:rFonts w:ascii="Times New Roman" w:hAnsi="Times New Roman"/>
                <w:szCs w:val="21"/>
              </w:rPr>
            </w:pPr>
          </w:p>
        </w:tc>
        <w:tc>
          <w:tcPr>
            <w:tcW w:w="1777" w:type="dxa"/>
          </w:tcPr>
          <w:p w14:paraId="0935F775">
            <w:pPr>
              <w:spacing w:line="240" w:lineRule="auto"/>
              <w:rPr>
                <w:rFonts w:ascii="Times New Roman" w:hAnsi="Times New Roman"/>
                <w:szCs w:val="21"/>
              </w:rPr>
            </w:pPr>
          </w:p>
        </w:tc>
        <w:tc>
          <w:tcPr>
            <w:tcW w:w="1688" w:type="dxa"/>
          </w:tcPr>
          <w:p w14:paraId="4F1AB567">
            <w:pPr>
              <w:spacing w:line="240" w:lineRule="auto"/>
              <w:rPr>
                <w:rFonts w:ascii="Times New Roman" w:hAnsi="Times New Roman"/>
                <w:szCs w:val="21"/>
              </w:rPr>
            </w:pPr>
          </w:p>
        </w:tc>
        <w:tc>
          <w:tcPr>
            <w:tcW w:w="2215" w:type="dxa"/>
            <w:vMerge w:val="continue"/>
            <w:vAlign w:val="center"/>
          </w:tcPr>
          <w:p w14:paraId="55902C90">
            <w:pPr>
              <w:spacing w:line="240" w:lineRule="auto"/>
              <w:rPr>
                <w:rFonts w:ascii="Times New Roman" w:hAnsi="Times New Roman"/>
                <w:szCs w:val="21"/>
              </w:rPr>
            </w:pPr>
          </w:p>
        </w:tc>
        <w:tc>
          <w:tcPr>
            <w:tcW w:w="1691" w:type="dxa"/>
            <w:vMerge w:val="continue"/>
            <w:vAlign w:val="center"/>
          </w:tcPr>
          <w:p w14:paraId="103FBB5D">
            <w:pPr>
              <w:spacing w:line="240" w:lineRule="auto"/>
              <w:rPr>
                <w:rFonts w:ascii="Times New Roman" w:hAnsi="Times New Roman"/>
                <w:szCs w:val="21"/>
              </w:rPr>
            </w:pPr>
          </w:p>
        </w:tc>
      </w:tr>
      <w:tr w14:paraId="2187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809" w:type="dxa"/>
            <w:vMerge w:val="continue"/>
          </w:tcPr>
          <w:p w14:paraId="7D745E8D">
            <w:pPr>
              <w:spacing w:line="240" w:lineRule="auto"/>
              <w:rPr>
                <w:rFonts w:ascii="Times New Roman" w:hAnsi="Times New Roman"/>
                <w:szCs w:val="21"/>
              </w:rPr>
            </w:pPr>
          </w:p>
        </w:tc>
        <w:tc>
          <w:tcPr>
            <w:tcW w:w="1777" w:type="dxa"/>
          </w:tcPr>
          <w:p w14:paraId="5B4BAC74">
            <w:pPr>
              <w:spacing w:line="240" w:lineRule="auto"/>
              <w:rPr>
                <w:rFonts w:ascii="Times New Roman" w:hAnsi="Times New Roman"/>
                <w:szCs w:val="21"/>
              </w:rPr>
            </w:pPr>
          </w:p>
        </w:tc>
        <w:tc>
          <w:tcPr>
            <w:tcW w:w="1688" w:type="dxa"/>
          </w:tcPr>
          <w:p w14:paraId="1F978272">
            <w:pPr>
              <w:spacing w:line="240" w:lineRule="auto"/>
              <w:rPr>
                <w:rFonts w:ascii="Times New Roman" w:hAnsi="Times New Roman"/>
                <w:szCs w:val="21"/>
              </w:rPr>
            </w:pPr>
          </w:p>
        </w:tc>
        <w:tc>
          <w:tcPr>
            <w:tcW w:w="2215" w:type="dxa"/>
            <w:vMerge w:val="continue"/>
            <w:vAlign w:val="center"/>
          </w:tcPr>
          <w:p w14:paraId="63DC1F2D">
            <w:pPr>
              <w:spacing w:line="240" w:lineRule="auto"/>
              <w:rPr>
                <w:rFonts w:ascii="Times New Roman" w:hAnsi="Times New Roman"/>
                <w:szCs w:val="21"/>
              </w:rPr>
            </w:pPr>
          </w:p>
        </w:tc>
        <w:tc>
          <w:tcPr>
            <w:tcW w:w="1691" w:type="dxa"/>
            <w:vMerge w:val="continue"/>
            <w:vAlign w:val="center"/>
          </w:tcPr>
          <w:p w14:paraId="6699CF11">
            <w:pPr>
              <w:spacing w:line="240" w:lineRule="auto"/>
              <w:rPr>
                <w:rFonts w:ascii="Times New Roman" w:hAnsi="Times New Roman"/>
                <w:szCs w:val="21"/>
              </w:rPr>
            </w:pPr>
          </w:p>
        </w:tc>
      </w:tr>
      <w:tr w14:paraId="2AA3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 w:hRule="atLeast"/>
        </w:trPr>
        <w:tc>
          <w:tcPr>
            <w:tcW w:w="1809" w:type="dxa"/>
            <w:vMerge w:val="continue"/>
          </w:tcPr>
          <w:p w14:paraId="53A54BE4">
            <w:pPr>
              <w:spacing w:line="240" w:lineRule="auto"/>
              <w:rPr>
                <w:rFonts w:ascii="Times New Roman" w:hAnsi="Times New Roman"/>
                <w:szCs w:val="21"/>
              </w:rPr>
            </w:pPr>
          </w:p>
        </w:tc>
        <w:tc>
          <w:tcPr>
            <w:tcW w:w="1777" w:type="dxa"/>
          </w:tcPr>
          <w:p w14:paraId="657E8498">
            <w:pPr>
              <w:spacing w:line="240" w:lineRule="auto"/>
              <w:rPr>
                <w:rFonts w:ascii="Times New Roman" w:hAnsi="Times New Roman"/>
                <w:szCs w:val="21"/>
              </w:rPr>
            </w:pPr>
          </w:p>
        </w:tc>
        <w:tc>
          <w:tcPr>
            <w:tcW w:w="1688" w:type="dxa"/>
          </w:tcPr>
          <w:p w14:paraId="0F877666">
            <w:pPr>
              <w:spacing w:line="240" w:lineRule="auto"/>
              <w:rPr>
                <w:rFonts w:ascii="Times New Roman" w:hAnsi="Times New Roman"/>
                <w:szCs w:val="21"/>
              </w:rPr>
            </w:pPr>
          </w:p>
        </w:tc>
        <w:tc>
          <w:tcPr>
            <w:tcW w:w="2215" w:type="dxa"/>
            <w:vMerge w:val="continue"/>
            <w:vAlign w:val="center"/>
          </w:tcPr>
          <w:p w14:paraId="7B331C54">
            <w:pPr>
              <w:spacing w:line="240" w:lineRule="auto"/>
              <w:rPr>
                <w:rFonts w:ascii="Times New Roman" w:hAnsi="Times New Roman"/>
                <w:szCs w:val="21"/>
              </w:rPr>
            </w:pPr>
          </w:p>
        </w:tc>
        <w:tc>
          <w:tcPr>
            <w:tcW w:w="1691" w:type="dxa"/>
            <w:vMerge w:val="continue"/>
            <w:vAlign w:val="center"/>
          </w:tcPr>
          <w:p w14:paraId="49FC2A76">
            <w:pPr>
              <w:spacing w:line="240" w:lineRule="auto"/>
              <w:rPr>
                <w:rFonts w:ascii="Times New Roman" w:hAnsi="Times New Roman"/>
                <w:szCs w:val="21"/>
              </w:rPr>
            </w:pPr>
          </w:p>
        </w:tc>
      </w:tr>
      <w:tr w14:paraId="3143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809" w:type="dxa"/>
            <w:vMerge w:val="continue"/>
          </w:tcPr>
          <w:p w14:paraId="396426CD">
            <w:pPr>
              <w:spacing w:line="240" w:lineRule="auto"/>
              <w:rPr>
                <w:rFonts w:ascii="Times New Roman" w:hAnsi="Times New Roman"/>
                <w:szCs w:val="21"/>
              </w:rPr>
            </w:pPr>
          </w:p>
        </w:tc>
        <w:tc>
          <w:tcPr>
            <w:tcW w:w="1777" w:type="dxa"/>
          </w:tcPr>
          <w:p w14:paraId="0ED15333">
            <w:pPr>
              <w:spacing w:line="240" w:lineRule="auto"/>
              <w:rPr>
                <w:rFonts w:ascii="Times New Roman" w:hAnsi="Times New Roman"/>
                <w:szCs w:val="21"/>
              </w:rPr>
            </w:pPr>
          </w:p>
        </w:tc>
        <w:tc>
          <w:tcPr>
            <w:tcW w:w="1688" w:type="dxa"/>
          </w:tcPr>
          <w:p w14:paraId="6EFE9D47">
            <w:pPr>
              <w:spacing w:line="240" w:lineRule="auto"/>
              <w:rPr>
                <w:rFonts w:ascii="Times New Roman" w:hAnsi="Times New Roman"/>
                <w:szCs w:val="21"/>
              </w:rPr>
            </w:pPr>
          </w:p>
        </w:tc>
        <w:tc>
          <w:tcPr>
            <w:tcW w:w="2215" w:type="dxa"/>
            <w:vMerge w:val="continue"/>
            <w:vAlign w:val="center"/>
          </w:tcPr>
          <w:p w14:paraId="00BC92D4">
            <w:pPr>
              <w:spacing w:line="240" w:lineRule="auto"/>
              <w:rPr>
                <w:rFonts w:ascii="Times New Roman" w:hAnsi="Times New Roman"/>
                <w:szCs w:val="21"/>
              </w:rPr>
            </w:pPr>
          </w:p>
        </w:tc>
        <w:tc>
          <w:tcPr>
            <w:tcW w:w="1691" w:type="dxa"/>
            <w:vMerge w:val="continue"/>
            <w:vAlign w:val="center"/>
          </w:tcPr>
          <w:p w14:paraId="10446CC0">
            <w:pPr>
              <w:spacing w:line="240" w:lineRule="auto"/>
              <w:rPr>
                <w:rFonts w:ascii="Times New Roman" w:hAnsi="Times New Roman"/>
                <w:szCs w:val="21"/>
              </w:rPr>
            </w:pPr>
          </w:p>
        </w:tc>
      </w:tr>
      <w:tr w14:paraId="431B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809" w:type="dxa"/>
            <w:vMerge w:val="restart"/>
          </w:tcPr>
          <w:p w14:paraId="3005887B">
            <w:pPr>
              <w:spacing w:line="240" w:lineRule="auto"/>
              <w:rPr>
                <w:rFonts w:ascii="Times New Roman" w:hAnsi="Times New Roman"/>
                <w:szCs w:val="21"/>
              </w:rPr>
            </w:pPr>
          </w:p>
          <w:p w14:paraId="67B3B6F8">
            <w:pPr>
              <w:spacing w:line="240" w:lineRule="auto"/>
              <w:rPr>
                <w:rFonts w:ascii="Times New Roman" w:hAnsi="Times New Roman"/>
                <w:szCs w:val="21"/>
              </w:rPr>
            </w:pPr>
          </w:p>
          <w:p w14:paraId="2C046B66">
            <w:pPr>
              <w:spacing w:line="240" w:lineRule="auto"/>
              <w:rPr>
                <w:rFonts w:ascii="Times New Roman" w:hAnsi="Times New Roman"/>
                <w:szCs w:val="21"/>
              </w:rPr>
            </w:pPr>
          </w:p>
          <w:p w14:paraId="496A53A6">
            <w:pPr>
              <w:spacing w:line="240" w:lineRule="auto"/>
              <w:rPr>
                <w:rFonts w:ascii="Times New Roman" w:hAnsi="Times New Roman"/>
                <w:szCs w:val="21"/>
              </w:rPr>
            </w:pPr>
          </w:p>
          <w:p w14:paraId="1F250B6E">
            <w:pPr>
              <w:spacing w:line="240" w:lineRule="auto"/>
              <w:rPr>
                <w:rFonts w:ascii="Times New Roman" w:hAnsi="Times New Roman"/>
                <w:szCs w:val="21"/>
              </w:rPr>
            </w:pPr>
          </w:p>
        </w:tc>
        <w:tc>
          <w:tcPr>
            <w:tcW w:w="1777" w:type="dxa"/>
          </w:tcPr>
          <w:p w14:paraId="18D12496">
            <w:pPr>
              <w:spacing w:line="240" w:lineRule="auto"/>
              <w:rPr>
                <w:rFonts w:ascii="Times New Roman" w:hAnsi="Times New Roman"/>
                <w:szCs w:val="21"/>
              </w:rPr>
            </w:pPr>
          </w:p>
        </w:tc>
        <w:tc>
          <w:tcPr>
            <w:tcW w:w="1688" w:type="dxa"/>
          </w:tcPr>
          <w:p w14:paraId="1DF60769">
            <w:pPr>
              <w:spacing w:line="240" w:lineRule="auto"/>
              <w:rPr>
                <w:rFonts w:ascii="Times New Roman" w:hAnsi="Times New Roman"/>
                <w:szCs w:val="21"/>
              </w:rPr>
            </w:pPr>
          </w:p>
        </w:tc>
        <w:tc>
          <w:tcPr>
            <w:tcW w:w="2215" w:type="dxa"/>
            <w:vMerge w:val="restart"/>
            <w:vAlign w:val="center"/>
          </w:tcPr>
          <w:p w14:paraId="7AA2835F">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08F26DDC">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18001D4D">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22BBC729">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6B6AADD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Merge w:val="restart"/>
            <w:vAlign w:val="center"/>
          </w:tcPr>
          <w:p w14:paraId="2E8D3929">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2828E6C6">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36F672A8">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452647ED">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23E2D1C1">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03EB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809" w:type="dxa"/>
            <w:vMerge w:val="continue"/>
          </w:tcPr>
          <w:p w14:paraId="1A1F4127">
            <w:pPr>
              <w:spacing w:line="240" w:lineRule="auto"/>
              <w:rPr>
                <w:rFonts w:ascii="Times New Roman" w:hAnsi="Times New Roman"/>
                <w:szCs w:val="21"/>
              </w:rPr>
            </w:pPr>
          </w:p>
        </w:tc>
        <w:tc>
          <w:tcPr>
            <w:tcW w:w="1777" w:type="dxa"/>
          </w:tcPr>
          <w:p w14:paraId="00D01C19">
            <w:pPr>
              <w:spacing w:line="240" w:lineRule="auto"/>
              <w:rPr>
                <w:rFonts w:ascii="Times New Roman" w:hAnsi="Times New Roman"/>
                <w:szCs w:val="21"/>
              </w:rPr>
            </w:pPr>
          </w:p>
        </w:tc>
        <w:tc>
          <w:tcPr>
            <w:tcW w:w="1688" w:type="dxa"/>
          </w:tcPr>
          <w:p w14:paraId="64B92A5A">
            <w:pPr>
              <w:spacing w:line="240" w:lineRule="auto"/>
              <w:rPr>
                <w:rFonts w:ascii="Times New Roman" w:hAnsi="Times New Roman"/>
                <w:szCs w:val="21"/>
              </w:rPr>
            </w:pPr>
          </w:p>
        </w:tc>
        <w:tc>
          <w:tcPr>
            <w:tcW w:w="2215" w:type="dxa"/>
            <w:vMerge w:val="continue"/>
            <w:vAlign w:val="center"/>
          </w:tcPr>
          <w:p w14:paraId="7B7FFF2D">
            <w:pPr>
              <w:spacing w:line="240" w:lineRule="auto"/>
              <w:rPr>
                <w:rFonts w:ascii="Times New Roman" w:hAnsi="Times New Roman"/>
                <w:szCs w:val="21"/>
              </w:rPr>
            </w:pPr>
          </w:p>
        </w:tc>
        <w:tc>
          <w:tcPr>
            <w:tcW w:w="1691" w:type="dxa"/>
            <w:vMerge w:val="continue"/>
            <w:vAlign w:val="center"/>
          </w:tcPr>
          <w:p w14:paraId="7FC989A0">
            <w:pPr>
              <w:spacing w:line="240" w:lineRule="auto"/>
              <w:rPr>
                <w:rFonts w:ascii="Times New Roman" w:hAnsi="Times New Roman"/>
                <w:szCs w:val="21"/>
              </w:rPr>
            </w:pPr>
          </w:p>
        </w:tc>
      </w:tr>
      <w:tr w14:paraId="6781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809" w:type="dxa"/>
            <w:vMerge w:val="continue"/>
          </w:tcPr>
          <w:p w14:paraId="6C6936F0">
            <w:pPr>
              <w:spacing w:line="240" w:lineRule="auto"/>
              <w:rPr>
                <w:rFonts w:ascii="Times New Roman" w:hAnsi="Times New Roman"/>
                <w:szCs w:val="21"/>
              </w:rPr>
            </w:pPr>
          </w:p>
        </w:tc>
        <w:tc>
          <w:tcPr>
            <w:tcW w:w="1777" w:type="dxa"/>
          </w:tcPr>
          <w:p w14:paraId="6794796C">
            <w:pPr>
              <w:spacing w:line="240" w:lineRule="auto"/>
              <w:rPr>
                <w:rFonts w:ascii="Times New Roman" w:hAnsi="Times New Roman"/>
                <w:szCs w:val="21"/>
              </w:rPr>
            </w:pPr>
          </w:p>
        </w:tc>
        <w:tc>
          <w:tcPr>
            <w:tcW w:w="1688" w:type="dxa"/>
          </w:tcPr>
          <w:p w14:paraId="2D4D0C9C">
            <w:pPr>
              <w:spacing w:line="240" w:lineRule="auto"/>
              <w:rPr>
                <w:rFonts w:ascii="Times New Roman" w:hAnsi="Times New Roman"/>
                <w:szCs w:val="21"/>
              </w:rPr>
            </w:pPr>
          </w:p>
        </w:tc>
        <w:tc>
          <w:tcPr>
            <w:tcW w:w="2215" w:type="dxa"/>
            <w:vMerge w:val="continue"/>
            <w:vAlign w:val="center"/>
          </w:tcPr>
          <w:p w14:paraId="2A2EEA62">
            <w:pPr>
              <w:spacing w:line="240" w:lineRule="auto"/>
              <w:rPr>
                <w:rFonts w:ascii="Times New Roman" w:hAnsi="Times New Roman"/>
                <w:szCs w:val="21"/>
              </w:rPr>
            </w:pPr>
          </w:p>
        </w:tc>
        <w:tc>
          <w:tcPr>
            <w:tcW w:w="1691" w:type="dxa"/>
            <w:vMerge w:val="continue"/>
            <w:vAlign w:val="center"/>
          </w:tcPr>
          <w:p w14:paraId="15D27C84">
            <w:pPr>
              <w:spacing w:line="240" w:lineRule="auto"/>
              <w:rPr>
                <w:rFonts w:ascii="Times New Roman" w:hAnsi="Times New Roman"/>
                <w:szCs w:val="21"/>
              </w:rPr>
            </w:pPr>
          </w:p>
        </w:tc>
      </w:tr>
      <w:tr w14:paraId="3C6D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809" w:type="dxa"/>
            <w:vMerge w:val="continue"/>
          </w:tcPr>
          <w:p w14:paraId="504A66CD">
            <w:pPr>
              <w:spacing w:line="240" w:lineRule="auto"/>
              <w:rPr>
                <w:rFonts w:ascii="Times New Roman" w:hAnsi="Times New Roman"/>
                <w:szCs w:val="21"/>
              </w:rPr>
            </w:pPr>
          </w:p>
        </w:tc>
        <w:tc>
          <w:tcPr>
            <w:tcW w:w="1777" w:type="dxa"/>
          </w:tcPr>
          <w:p w14:paraId="2FE34CA2">
            <w:pPr>
              <w:spacing w:line="240" w:lineRule="auto"/>
              <w:rPr>
                <w:rFonts w:ascii="Times New Roman" w:hAnsi="Times New Roman"/>
                <w:szCs w:val="21"/>
              </w:rPr>
            </w:pPr>
          </w:p>
        </w:tc>
        <w:tc>
          <w:tcPr>
            <w:tcW w:w="1688" w:type="dxa"/>
          </w:tcPr>
          <w:p w14:paraId="61239EF3">
            <w:pPr>
              <w:spacing w:line="240" w:lineRule="auto"/>
              <w:rPr>
                <w:rFonts w:ascii="Times New Roman" w:hAnsi="Times New Roman"/>
                <w:szCs w:val="21"/>
              </w:rPr>
            </w:pPr>
          </w:p>
        </w:tc>
        <w:tc>
          <w:tcPr>
            <w:tcW w:w="2215" w:type="dxa"/>
            <w:vMerge w:val="continue"/>
            <w:vAlign w:val="center"/>
          </w:tcPr>
          <w:p w14:paraId="6E1A6EA6">
            <w:pPr>
              <w:spacing w:line="240" w:lineRule="auto"/>
              <w:rPr>
                <w:rFonts w:ascii="Times New Roman" w:hAnsi="Times New Roman"/>
                <w:szCs w:val="21"/>
              </w:rPr>
            </w:pPr>
          </w:p>
        </w:tc>
        <w:tc>
          <w:tcPr>
            <w:tcW w:w="1691" w:type="dxa"/>
            <w:vMerge w:val="continue"/>
            <w:vAlign w:val="center"/>
          </w:tcPr>
          <w:p w14:paraId="6316E1B7">
            <w:pPr>
              <w:spacing w:line="240" w:lineRule="auto"/>
              <w:rPr>
                <w:rFonts w:ascii="Times New Roman" w:hAnsi="Times New Roman"/>
                <w:szCs w:val="21"/>
              </w:rPr>
            </w:pPr>
          </w:p>
        </w:tc>
      </w:tr>
      <w:tr w14:paraId="4C8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809" w:type="dxa"/>
            <w:vMerge w:val="continue"/>
          </w:tcPr>
          <w:p w14:paraId="30B5178E">
            <w:pPr>
              <w:spacing w:line="240" w:lineRule="auto"/>
              <w:rPr>
                <w:rFonts w:ascii="Times New Roman" w:hAnsi="Times New Roman"/>
                <w:szCs w:val="21"/>
              </w:rPr>
            </w:pPr>
          </w:p>
        </w:tc>
        <w:tc>
          <w:tcPr>
            <w:tcW w:w="1777" w:type="dxa"/>
          </w:tcPr>
          <w:p w14:paraId="311B1DFD">
            <w:pPr>
              <w:spacing w:line="240" w:lineRule="auto"/>
              <w:rPr>
                <w:rFonts w:ascii="Times New Roman" w:hAnsi="Times New Roman"/>
                <w:szCs w:val="21"/>
              </w:rPr>
            </w:pPr>
          </w:p>
        </w:tc>
        <w:tc>
          <w:tcPr>
            <w:tcW w:w="1688" w:type="dxa"/>
          </w:tcPr>
          <w:p w14:paraId="3ACC735A">
            <w:pPr>
              <w:spacing w:line="240" w:lineRule="auto"/>
              <w:rPr>
                <w:rFonts w:ascii="Times New Roman" w:hAnsi="Times New Roman"/>
                <w:szCs w:val="21"/>
              </w:rPr>
            </w:pPr>
          </w:p>
        </w:tc>
        <w:tc>
          <w:tcPr>
            <w:tcW w:w="2215" w:type="dxa"/>
            <w:vMerge w:val="continue"/>
            <w:vAlign w:val="center"/>
          </w:tcPr>
          <w:p w14:paraId="54BDE9C3">
            <w:pPr>
              <w:spacing w:line="240" w:lineRule="auto"/>
              <w:rPr>
                <w:rFonts w:ascii="Times New Roman" w:hAnsi="Times New Roman"/>
                <w:szCs w:val="21"/>
              </w:rPr>
            </w:pPr>
          </w:p>
        </w:tc>
        <w:tc>
          <w:tcPr>
            <w:tcW w:w="1691" w:type="dxa"/>
            <w:vMerge w:val="continue"/>
            <w:vAlign w:val="center"/>
          </w:tcPr>
          <w:p w14:paraId="43F06477">
            <w:pPr>
              <w:spacing w:line="240" w:lineRule="auto"/>
              <w:rPr>
                <w:rFonts w:ascii="Times New Roman" w:hAnsi="Times New Roman"/>
                <w:szCs w:val="21"/>
              </w:rPr>
            </w:pPr>
          </w:p>
        </w:tc>
      </w:tr>
      <w:tr w14:paraId="7932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809" w:type="dxa"/>
            <w:vMerge w:val="restart"/>
          </w:tcPr>
          <w:p w14:paraId="435A477C">
            <w:pPr>
              <w:spacing w:line="240" w:lineRule="auto"/>
              <w:rPr>
                <w:rFonts w:ascii="Times New Roman" w:hAnsi="Times New Roman"/>
                <w:szCs w:val="21"/>
              </w:rPr>
            </w:pPr>
          </w:p>
          <w:p w14:paraId="66683276">
            <w:pPr>
              <w:spacing w:line="240" w:lineRule="auto"/>
              <w:rPr>
                <w:rFonts w:ascii="Times New Roman" w:hAnsi="Times New Roman"/>
                <w:szCs w:val="21"/>
              </w:rPr>
            </w:pPr>
          </w:p>
          <w:p w14:paraId="65E77709">
            <w:pPr>
              <w:spacing w:line="240" w:lineRule="auto"/>
              <w:rPr>
                <w:rFonts w:ascii="Times New Roman" w:hAnsi="Times New Roman"/>
                <w:szCs w:val="21"/>
              </w:rPr>
            </w:pPr>
          </w:p>
          <w:p w14:paraId="4D9FE19B">
            <w:pPr>
              <w:spacing w:line="240" w:lineRule="auto"/>
              <w:rPr>
                <w:rFonts w:ascii="Times New Roman" w:hAnsi="Times New Roman"/>
                <w:szCs w:val="21"/>
              </w:rPr>
            </w:pPr>
          </w:p>
          <w:p w14:paraId="02F90943">
            <w:pPr>
              <w:spacing w:line="240" w:lineRule="auto"/>
              <w:rPr>
                <w:rFonts w:ascii="Times New Roman" w:hAnsi="Times New Roman"/>
                <w:szCs w:val="21"/>
              </w:rPr>
            </w:pPr>
          </w:p>
        </w:tc>
        <w:tc>
          <w:tcPr>
            <w:tcW w:w="1777" w:type="dxa"/>
          </w:tcPr>
          <w:p w14:paraId="0E544D5A">
            <w:pPr>
              <w:spacing w:line="240" w:lineRule="auto"/>
              <w:rPr>
                <w:rFonts w:ascii="Times New Roman" w:hAnsi="Times New Roman"/>
                <w:szCs w:val="21"/>
              </w:rPr>
            </w:pPr>
          </w:p>
        </w:tc>
        <w:tc>
          <w:tcPr>
            <w:tcW w:w="1688" w:type="dxa"/>
          </w:tcPr>
          <w:p w14:paraId="1670E6E3">
            <w:pPr>
              <w:spacing w:line="240" w:lineRule="auto"/>
              <w:rPr>
                <w:rFonts w:ascii="Times New Roman" w:hAnsi="Times New Roman"/>
                <w:szCs w:val="21"/>
              </w:rPr>
            </w:pPr>
          </w:p>
        </w:tc>
        <w:tc>
          <w:tcPr>
            <w:tcW w:w="2215" w:type="dxa"/>
            <w:vMerge w:val="restart"/>
            <w:vAlign w:val="center"/>
          </w:tcPr>
          <w:p w14:paraId="2D64A978">
            <w:pPr>
              <w:spacing w:line="240" w:lineRule="auto"/>
              <w:rPr>
                <w:rFonts w:ascii="Times New Roman" w:hAnsi="Times New Roman"/>
                <w:szCs w:val="21"/>
              </w:rPr>
            </w:pPr>
            <w:r>
              <w:rPr>
                <w:rFonts w:ascii="Times New Roman" w:hAnsi="宋体"/>
                <w:szCs w:val="21"/>
              </w:rPr>
              <w:t>腐蚀性</w:t>
            </w:r>
            <w:r>
              <w:rPr>
                <w:rFonts w:ascii="Times New Roman" w:hAnsi="Times New Roman"/>
                <w:szCs w:val="21"/>
              </w:rPr>
              <w:t xml:space="preserve">         □</w:t>
            </w:r>
          </w:p>
          <w:p w14:paraId="32E889AE">
            <w:pPr>
              <w:spacing w:line="240" w:lineRule="auto"/>
              <w:rPr>
                <w:rFonts w:ascii="Times New Roman" w:hAnsi="Times New Roman"/>
                <w:szCs w:val="21"/>
              </w:rPr>
            </w:pPr>
            <w:r>
              <w:rPr>
                <w:rFonts w:ascii="Times New Roman" w:hAnsi="宋体"/>
                <w:szCs w:val="21"/>
              </w:rPr>
              <w:t>毒性</w:t>
            </w:r>
            <w:r>
              <w:rPr>
                <w:rFonts w:ascii="Times New Roman" w:hAnsi="Times New Roman"/>
                <w:szCs w:val="21"/>
              </w:rPr>
              <w:t xml:space="preserve">           □</w:t>
            </w:r>
          </w:p>
          <w:p w14:paraId="73F72218">
            <w:pPr>
              <w:spacing w:line="240" w:lineRule="auto"/>
              <w:rPr>
                <w:rFonts w:ascii="Times New Roman" w:hAnsi="Times New Roman"/>
                <w:szCs w:val="21"/>
              </w:rPr>
            </w:pPr>
            <w:r>
              <w:rPr>
                <w:rFonts w:ascii="Times New Roman" w:hAnsi="宋体"/>
                <w:szCs w:val="21"/>
              </w:rPr>
              <w:t>易燃性</w:t>
            </w:r>
            <w:r>
              <w:rPr>
                <w:rFonts w:ascii="Times New Roman" w:hAnsi="Times New Roman"/>
                <w:szCs w:val="21"/>
              </w:rPr>
              <w:t xml:space="preserve">         □</w:t>
            </w:r>
          </w:p>
          <w:p w14:paraId="0E733090">
            <w:pPr>
              <w:spacing w:line="240" w:lineRule="auto"/>
              <w:rPr>
                <w:rFonts w:ascii="Times New Roman" w:hAnsi="Times New Roman"/>
                <w:szCs w:val="21"/>
              </w:rPr>
            </w:pPr>
            <w:r>
              <w:rPr>
                <w:rFonts w:ascii="Times New Roman" w:hAnsi="宋体"/>
                <w:szCs w:val="21"/>
              </w:rPr>
              <w:t>反应性</w:t>
            </w:r>
            <w:r>
              <w:rPr>
                <w:rFonts w:ascii="Times New Roman" w:hAnsi="Times New Roman"/>
                <w:szCs w:val="21"/>
              </w:rPr>
              <w:t xml:space="preserve">         □</w:t>
            </w:r>
          </w:p>
          <w:p w14:paraId="6DF140B2">
            <w:pPr>
              <w:spacing w:line="240" w:lineRule="auto"/>
              <w:rPr>
                <w:rFonts w:ascii="Times New Roman" w:hAnsi="Times New Roman"/>
                <w:szCs w:val="21"/>
              </w:rPr>
            </w:pPr>
            <w:r>
              <w:rPr>
                <w:rFonts w:ascii="Times New Roman" w:hAnsi="宋体"/>
                <w:szCs w:val="21"/>
              </w:rPr>
              <w:t>感染性</w:t>
            </w:r>
            <w:r>
              <w:rPr>
                <w:rFonts w:ascii="Times New Roman" w:hAnsi="Times New Roman"/>
                <w:szCs w:val="21"/>
              </w:rPr>
              <w:t xml:space="preserve">         □</w:t>
            </w:r>
          </w:p>
        </w:tc>
        <w:tc>
          <w:tcPr>
            <w:tcW w:w="1691" w:type="dxa"/>
            <w:vMerge w:val="restart"/>
            <w:vAlign w:val="center"/>
          </w:tcPr>
          <w:p w14:paraId="3EB38F16">
            <w:pPr>
              <w:spacing w:line="240" w:lineRule="auto"/>
              <w:rPr>
                <w:rFonts w:ascii="Times New Roman" w:hAnsi="Times New Roman"/>
                <w:szCs w:val="21"/>
              </w:rPr>
            </w:pPr>
            <w:r>
              <w:rPr>
                <w:rFonts w:ascii="Times New Roman" w:hAnsi="宋体"/>
                <w:szCs w:val="21"/>
              </w:rPr>
              <w:t>固态</w:t>
            </w:r>
            <w:r>
              <w:rPr>
                <w:rFonts w:ascii="Times New Roman" w:hAnsi="Times New Roman"/>
                <w:szCs w:val="21"/>
              </w:rPr>
              <w:t xml:space="preserve">       □</w:t>
            </w:r>
          </w:p>
          <w:p w14:paraId="3B3C065B">
            <w:pPr>
              <w:spacing w:line="240" w:lineRule="auto"/>
              <w:rPr>
                <w:rFonts w:ascii="Times New Roman" w:hAnsi="Times New Roman"/>
                <w:szCs w:val="21"/>
              </w:rPr>
            </w:pPr>
            <w:r>
              <w:rPr>
                <w:rFonts w:ascii="Times New Roman" w:hAnsi="宋体"/>
                <w:szCs w:val="21"/>
              </w:rPr>
              <w:t>半固态</w:t>
            </w:r>
            <w:r>
              <w:rPr>
                <w:rFonts w:ascii="Times New Roman" w:hAnsi="Times New Roman"/>
                <w:szCs w:val="21"/>
              </w:rPr>
              <w:t xml:space="preserve">     □</w:t>
            </w:r>
          </w:p>
          <w:p w14:paraId="58312E2C">
            <w:pPr>
              <w:spacing w:line="240" w:lineRule="auto"/>
              <w:rPr>
                <w:rFonts w:ascii="Times New Roman" w:hAnsi="Times New Roman"/>
                <w:szCs w:val="21"/>
              </w:rPr>
            </w:pPr>
            <w:r>
              <w:rPr>
                <w:rFonts w:ascii="Times New Roman" w:hAnsi="宋体"/>
                <w:szCs w:val="21"/>
              </w:rPr>
              <w:t>粉末态</w:t>
            </w:r>
            <w:r>
              <w:rPr>
                <w:rFonts w:ascii="Times New Roman" w:hAnsi="Times New Roman"/>
                <w:szCs w:val="21"/>
              </w:rPr>
              <w:t xml:space="preserve">     □</w:t>
            </w:r>
          </w:p>
          <w:p w14:paraId="0DDE302C">
            <w:pPr>
              <w:spacing w:line="240" w:lineRule="auto"/>
              <w:rPr>
                <w:rFonts w:ascii="Times New Roman" w:hAnsi="Times New Roman"/>
                <w:szCs w:val="21"/>
              </w:rPr>
            </w:pPr>
            <w:r>
              <w:rPr>
                <w:rFonts w:ascii="Times New Roman" w:hAnsi="宋体"/>
                <w:szCs w:val="21"/>
              </w:rPr>
              <w:t>颗粒态</w:t>
            </w:r>
            <w:r>
              <w:rPr>
                <w:rFonts w:ascii="Times New Roman" w:hAnsi="Times New Roman"/>
                <w:szCs w:val="21"/>
              </w:rPr>
              <w:t xml:space="preserve">     □</w:t>
            </w:r>
          </w:p>
          <w:p w14:paraId="159E6632">
            <w:pPr>
              <w:spacing w:line="240" w:lineRule="auto"/>
              <w:rPr>
                <w:rFonts w:ascii="Times New Roman" w:hAnsi="Times New Roman"/>
                <w:szCs w:val="21"/>
              </w:rPr>
            </w:pPr>
            <w:r>
              <w:rPr>
                <w:rFonts w:ascii="Times New Roman" w:hAnsi="宋体"/>
                <w:szCs w:val="21"/>
              </w:rPr>
              <w:t>液态</w:t>
            </w:r>
            <w:r>
              <w:rPr>
                <w:rFonts w:ascii="Times New Roman" w:hAnsi="Times New Roman"/>
                <w:szCs w:val="21"/>
              </w:rPr>
              <w:t xml:space="preserve">       □</w:t>
            </w:r>
          </w:p>
        </w:tc>
      </w:tr>
      <w:tr w14:paraId="584F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809" w:type="dxa"/>
            <w:vMerge w:val="continue"/>
          </w:tcPr>
          <w:p w14:paraId="13E8E21F">
            <w:pPr>
              <w:spacing w:line="240" w:lineRule="auto"/>
            </w:pPr>
          </w:p>
        </w:tc>
        <w:tc>
          <w:tcPr>
            <w:tcW w:w="1777" w:type="dxa"/>
          </w:tcPr>
          <w:p w14:paraId="574B75D7">
            <w:pPr>
              <w:spacing w:line="240" w:lineRule="auto"/>
              <w:rPr>
                <w:rFonts w:ascii="Times New Roman" w:hAnsi="Times New Roman"/>
                <w:szCs w:val="21"/>
              </w:rPr>
            </w:pPr>
          </w:p>
        </w:tc>
        <w:tc>
          <w:tcPr>
            <w:tcW w:w="1688" w:type="dxa"/>
          </w:tcPr>
          <w:p w14:paraId="2628869D">
            <w:pPr>
              <w:spacing w:line="240" w:lineRule="auto"/>
              <w:rPr>
                <w:rFonts w:ascii="Times New Roman" w:hAnsi="Times New Roman"/>
                <w:szCs w:val="21"/>
              </w:rPr>
            </w:pPr>
          </w:p>
        </w:tc>
        <w:tc>
          <w:tcPr>
            <w:tcW w:w="2215" w:type="dxa"/>
            <w:vMerge w:val="continue"/>
            <w:vAlign w:val="center"/>
          </w:tcPr>
          <w:p w14:paraId="3EDE7D58">
            <w:pPr>
              <w:spacing w:line="240" w:lineRule="auto"/>
              <w:rPr>
                <w:rFonts w:ascii="Times New Roman" w:hAnsi="Times New Roman"/>
                <w:szCs w:val="21"/>
              </w:rPr>
            </w:pPr>
          </w:p>
        </w:tc>
        <w:tc>
          <w:tcPr>
            <w:tcW w:w="1691" w:type="dxa"/>
            <w:vMerge w:val="continue"/>
            <w:vAlign w:val="center"/>
          </w:tcPr>
          <w:p w14:paraId="5647DEC0">
            <w:pPr>
              <w:spacing w:line="240" w:lineRule="auto"/>
              <w:rPr>
                <w:rFonts w:ascii="Times New Roman" w:hAnsi="Times New Roman"/>
                <w:szCs w:val="21"/>
              </w:rPr>
            </w:pPr>
          </w:p>
        </w:tc>
      </w:tr>
      <w:tr w14:paraId="0A8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809" w:type="dxa"/>
            <w:vMerge w:val="continue"/>
          </w:tcPr>
          <w:p w14:paraId="2B887CC2">
            <w:pPr>
              <w:spacing w:line="240" w:lineRule="auto"/>
              <w:rPr>
                <w:rFonts w:ascii="Times New Roman" w:hAnsi="Times New Roman"/>
                <w:szCs w:val="21"/>
              </w:rPr>
            </w:pPr>
          </w:p>
        </w:tc>
        <w:tc>
          <w:tcPr>
            <w:tcW w:w="1777" w:type="dxa"/>
          </w:tcPr>
          <w:p w14:paraId="620E882F">
            <w:pPr>
              <w:spacing w:line="240" w:lineRule="auto"/>
              <w:rPr>
                <w:rFonts w:ascii="Times New Roman" w:hAnsi="Times New Roman"/>
                <w:szCs w:val="21"/>
              </w:rPr>
            </w:pPr>
          </w:p>
        </w:tc>
        <w:tc>
          <w:tcPr>
            <w:tcW w:w="1688" w:type="dxa"/>
          </w:tcPr>
          <w:p w14:paraId="2B9DE358">
            <w:pPr>
              <w:spacing w:line="240" w:lineRule="auto"/>
              <w:rPr>
                <w:rFonts w:ascii="Times New Roman" w:hAnsi="Times New Roman"/>
                <w:szCs w:val="21"/>
              </w:rPr>
            </w:pPr>
          </w:p>
        </w:tc>
        <w:tc>
          <w:tcPr>
            <w:tcW w:w="2215" w:type="dxa"/>
            <w:vMerge w:val="continue"/>
            <w:vAlign w:val="center"/>
          </w:tcPr>
          <w:p w14:paraId="69531B78">
            <w:pPr>
              <w:spacing w:line="240" w:lineRule="auto"/>
              <w:rPr>
                <w:rFonts w:ascii="Times New Roman" w:hAnsi="Times New Roman"/>
                <w:szCs w:val="21"/>
              </w:rPr>
            </w:pPr>
          </w:p>
        </w:tc>
        <w:tc>
          <w:tcPr>
            <w:tcW w:w="1691" w:type="dxa"/>
            <w:vMerge w:val="continue"/>
            <w:vAlign w:val="center"/>
          </w:tcPr>
          <w:p w14:paraId="0AFD83A7">
            <w:pPr>
              <w:spacing w:line="240" w:lineRule="auto"/>
              <w:rPr>
                <w:rFonts w:ascii="Times New Roman" w:hAnsi="Times New Roman"/>
                <w:szCs w:val="21"/>
              </w:rPr>
            </w:pPr>
          </w:p>
        </w:tc>
      </w:tr>
      <w:tr w14:paraId="2B81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809" w:type="dxa"/>
            <w:vMerge w:val="continue"/>
          </w:tcPr>
          <w:p w14:paraId="05B1FA77">
            <w:pPr>
              <w:spacing w:line="240" w:lineRule="auto"/>
              <w:rPr>
                <w:rFonts w:ascii="Times New Roman" w:hAnsi="Times New Roman"/>
                <w:szCs w:val="21"/>
              </w:rPr>
            </w:pPr>
          </w:p>
        </w:tc>
        <w:tc>
          <w:tcPr>
            <w:tcW w:w="1777" w:type="dxa"/>
          </w:tcPr>
          <w:p w14:paraId="78166FEB">
            <w:pPr>
              <w:spacing w:line="240" w:lineRule="auto"/>
              <w:rPr>
                <w:rFonts w:ascii="Times New Roman" w:hAnsi="Times New Roman"/>
                <w:szCs w:val="21"/>
              </w:rPr>
            </w:pPr>
          </w:p>
        </w:tc>
        <w:tc>
          <w:tcPr>
            <w:tcW w:w="1688" w:type="dxa"/>
          </w:tcPr>
          <w:p w14:paraId="2E550FA1">
            <w:pPr>
              <w:spacing w:line="240" w:lineRule="auto"/>
              <w:rPr>
                <w:rFonts w:ascii="Times New Roman" w:hAnsi="Times New Roman"/>
                <w:szCs w:val="21"/>
              </w:rPr>
            </w:pPr>
          </w:p>
        </w:tc>
        <w:tc>
          <w:tcPr>
            <w:tcW w:w="2215" w:type="dxa"/>
            <w:vMerge w:val="continue"/>
            <w:vAlign w:val="center"/>
          </w:tcPr>
          <w:p w14:paraId="553B2C3B">
            <w:pPr>
              <w:spacing w:line="240" w:lineRule="auto"/>
              <w:rPr>
                <w:rFonts w:ascii="Times New Roman" w:hAnsi="Times New Roman"/>
                <w:szCs w:val="21"/>
              </w:rPr>
            </w:pPr>
          </w:p>
        </w:tc>
        <w:tc>
          <w:tcPr>
            <w:tcW w:w="1691" w:type="dxa"/>
            <w:vMerge w:val="continue"/>
            <w:vAlign w:val="center"/>
          </w:tcPr>
          <w:p w14:paraId="0D07EF11">
            <w:pPr>
              <w:spacing w:line="240" w:lineRule="auto"/>
              <w:rPr>
                <w:rFonts w:ascii="Times New Roman" w:hAnsi="Times New Roman"/>
                <w:szCs w:val="21"/>
              </w:rPr>
            </w:pPr>
          </w:p>
        </w:tc>
      </w:tr>
      <w:tr w14:paraId="6A0E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809" w:type="dxa"/>
            <w:vMerge w:val="continue"/>
          </w:tcPr>
          <w:p w14:paraId="76DC9A3F">
            <w:pPr>
              <w:spacing w:line="240" w:lineRule="auto"/>
              <w:rPr>
                <w:rFonts w:ascii="Times New Roman" w:hAnsi="Times New Roman"/>
                <w:szCs w:val="21"/>
              </w:rPr>
            </w:pPr>
          </w:p>
        </w:tc>
        <w:tc>
          <w:tcPr>
            <w:tcW w:w="1777" w:type="dxa"/>
          </w:tcPr>
          <w:p w14:paraId="228286FD">
            <w:pPr>
              <w:spacing w:line="240" w:lineRule="auto"/>
              <w:rPr>
                <w:rFonts w:ascii="Times New Roman" w:hAnsi="Times New Roman"/>
                <w:szCs w:val="21"/>
              </w:rPr>
            </w:pPr>
          </w:p>
        </w:tc>
        <w:tc>
          <w:tcPr>
            <w:tcW w:w="1688" w:type="dxa"/>
          </w:tcPr>
          <w:p w14:paraId="2F34645F">
            <w:pPr>
              <w:spacing w:line="240" w:lineRule="auto"/>
              <w:rPr>
                <w:rFonts w:ascii="Times New Roman" w:hAnsi="Times New Roman"/>
                <w:szCs w:val="21"/>
              </w:rPr>
            </w:pPr>
          </w:p>
        </w:tc>
        <w:tc>
          <w:tcPr>
            <w:tcW w:w="2215" w:type="dxa"/>
            <w:vMerge w:val="continue"/>
            <w:vAlign w:val="center"/>
          </w:tcPr>
          <w:p w14:paraId="6588A585">
            <w:pPr>
              <w:spacing w:line="240" w:lineRule="auto"/>
              <w:rPr>
                <w:rFonts w:ascii="Times New Roman" w:hAnsi="Times New Roman"/>
                <w:szCs w:val="21"/>
              </w:rPr>
            </w:pPr>
          </w:p>
        </w:tc>
        <w:tc>
          <w:tcPr>
            <w:tcW w:w="1691" w:type="dxa"/>
            <w:vMerge w:val="continue"/>
            <w:vAlign w:val="center"/>
          </w:tcPr>
          <w:p w14:paraId="5866EA76">
            <w:pPr>
              <w:spacing w:line="240" w:lineRule="auto"/>
              <w:rPr>
                <w:rFonts w:ascii="Times New Roman" w:hAnsi="Times New Roman"/>
                <w:szCs w:val="21"/>
              </w:rPr>
            </w:pPr>
          </w:p>
        </w:tc>
      </w:tr>
    </w:tbl>
    <w:p w14:paraId="65496D05">
      <w:pPr>
        <w:rPr>
          <w:rFonts w:ascii="Times New Roman" w:hAnsi="Times New Roman" w:eastAsia="黑体"/>
          <w:sz w:val="28"/>
          <w:szCs w:val="28"/>
        </w:rPr>
      </w:pPr>
      <w:r>
        <w:rPr>
          <w:rFonts w:ascii="Times New Roman" w:eastAsia="黑体"/>
          <w:sz w:val="28"/>
          <w:szCs w:val="28"/>
        </w:rPr>
        <w:t>第二部分：废物包装、运输情况</w:t>
      </w:r>
    </w:p>
    <w:p w14:paraId="2F91F6C5">
      <w:pPr>
        <w:rPr>
          <w:rFonts w:ascii="Times New Roman" w:hAnsi="Times New Roman" w:eastAsia="黑体"/>
          <w:sz w:val="28"/>
          <w:szCs w:val="28"/>
        </w:rPr>
      </w:pPr>
    </w:p>
    <w:tbl>
      <w:tblPr>
        <w:tblStyle w:val="7"/>
        <w:tblW w:w="916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14:paraId="0208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62" w:type="dxa"/>
            <w:vAlign w:val="center"/>
          </w:tcPr>
          <w:tbl>
            <w:tblPr>
              <w:tblStyle w:val="7"/>
              <w:tblpPr w:leftFromText="180" w:rightFromText="180" w:vertAnchor="text" w:horzAnchor="page" w:tblpX="-62" w:tblpY="311"/>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634"/>
              <w:gridCol w:w="2075"/>
              <w:gridCol w:w="1421"/>
              <w:gridCol w:w="1379"/>
              <w:gridCol w:w="1716"/>
            </w:tblGrid>
            <w:tr w14:paraId="702C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9240" w:type="dxa"/>
                  <w:gridSpan w:val="6"/>
                  <w:vAlign w:val="center"/>
                </w:tcPr>
                <w:p w14:paraId="0620D769">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废物包装情况</w:t>
                  </w:r>
                </w:p>
              </w:tc>
            </w:tr>
            <w:tr w14:paraId="6528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015" w:type="dxa"/>
                  <w:vAlign w:val="center"/>
                </w:tcPr>
                <w:p w14:paraId="622BD036">
                  <w:pPr>
                    <w:jc w:val="center"/>
                    <w:rPr>
                      <w:rFonts w:ascii="Times New Roman" w:hAnsi="Times New Roman"/>
                    </w:rPr>
                  </w:pPr>
                  <w:r>
                    <w:rPr>
                      <w:rFonts w:ascii="Times New Roman"/>
                    </w:rPr>
                    <w:t>序号</w:t>
                  </w:r>
                </w:p>
              </w:tc>
              <w:tc>
                <w:tcPr>
                  <w:tcW w:w="1634" w:type="dxa"/>
                  <w:vAlign w:val="center"/>
                </w:tcPr>
                <w:p w14:paraId="10DDB6C4">
                  <w:pPr>
                    <w:jc w:val="center"/>
                    <w:rPr>
                      <w:rFonts w:ascii="Times New Roman" w:hAnsi="Times New Roman"/>
                    </w:rPr>
                  </w:pPr>
                  <w:r>
                    <w:rPr>
                      <w:rFonts w:ascii="Times New Roman"/>
                    </w:rPr>
                    <w:t>废物名称</w:t>
                  </w:r>
                </w:p>
              </w:tc>
              <w:tc>
                <w:tcPr>
                  <w:tcW w:w="2075" w:type="dxa"/>
                  <w:vAlign w:val="center"/>
                </w:tcPr>
                <w:p w14:paraId="607FA927">
                  <w:pPr>
                    <w:jc w:val="center"/>
                    <w:rPr>
                      <w:rFonts w:ascii="Times New Roman" w:hAnsi="Times New Roman"/>
                    </w:rPr>
                  </w:pPr>
                  <w:r>
                    <w:rPr>
                      <w:rFonts w:ascii="Times New Roman"/>
                    </w:rPr>
                    <w:t>包装物（容器）名称</w:t>
                  </w:r>
                </w:p>
              </w:tc>
              <w:tc>
                <w:tcPr>
                  <w:tcW w:w="1421" w:type="dxa"/>
                  <w:vAlign w:val="center"/>
                </w:tcPr>
                <w:p w14:paraId="169AF5F5">
                  <w:pPr>
                    <w:jc w:val="center"/>
                    <w:rPr>
                      <w:rFonts w:ascii="Times New Roman" w:hAnsi="Times New Roman"/>
                    </w:rPr>
                  </w:pPr>
                  <w:r>
                    <w:rPr>
                      <w:rFonts w:ascii="Times New Roman"/>
                    </w:rPr>
                    <w:t>材质</w:t>
                  </w:r>
                </w:p>
              </w:tc>
              <w:tc>
                <w:tcPr>
                  <w:tcW w:w="1379" w:type="dxa"/>
                  <w:vAlign w:val="center"/>
                </w:tcPr>
                <w:p w14:paraId="7EBECF1A">
                  <w:pPr>
                    <w:jc w:val="center"/>
                    <w:rPr>
                      <w:rFonts w:ascii="Times New Roman" w:hAnsi="Times New Roman"/>
                    </w:rPr>
                  </w:pPr>
                  <w:r>
                    <w:rPr>
                      <w:rFonts w:ascii="Times New Roman"/>
                    </w:rPr>
                    <w:t>容积</w:t>
                  </w:r>
                </w:p>
              </w:tc>
              <w:tc>
                <w:tcPr>
                  <w:tcW w:w="1716" w:type="dxa"/>
                  <w:vAlign w:val="center"/>
                </w:tcPr>
                <w:p w14:paraId="31E421CC">
                  <w:pPr>
                    <w:jc w:val="left"/>
                    <w:rPr>
                      <w:rFonts w:ascii="Times New Roman" w:hAnsi="Times New Roman"/>
                    </w:rPr>
                  </w:pPr>
                  <w:r>
                    <w:rPr>
                      <w:rFonts w:ascii="Times New Roman"/>
                    </w:rPr>
                    <w:t>是否有危废标签</w:t>
                  </w:r>
                </w:p>
              </w:tc>
            </w:tr>
            <w:tr w14:paraId="50EC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vAlign w:val="center"/>
                </w:tcPr>
                <w:p w14:paraId="416ACC81">
                  <w:pPr>
                    <w:jc w:val="center"/>
                    <w:rPr>
                      <w:rFonts w:ascii="Times New Roman" w:hAnsi="Times New Roman"/>
                    </w:rPr>
                  </w:pPr>
                  <w:r>
                    <w:rPr>
                      <w:rFonts w:hint="eastAsia" w:ascii="Times New Roman" w:hAnsi="Times New Roman"/>
                    </w:rPr>
                    <w:t>1</w:t>
                  </w:r>
                </w:p>
              </w:tc>
              <w:tc>
                <w:tcPr>
                  <w:tcW w:w="1634" w:type="dxa"/>
                  <w:vAlign w:val="center"/>
                </w:tcPr>
                <w:p w14:paraId="4D1DD43C">
                  <w:pPr>
                    <w:jc w:val="center"/>
                    <w:rPr>
                      <w:rFonts w:ascii="Times New Roman" w:hAnsi="Times New Roman"/>
                    </w:rPr>
                  </w:pPr>
                  <w:r>
                    <w:rPr>
                      <w:rFonts w:hint="eastAsia" w:ascii="Times New Roman" w:hAnsi="Times New Roman"/>
                    </w:rPr>
                    <w:t>废机油</w:t>
                  </w:r>
                </w:p>
              </w:tc>
              <w:tc>
                <w:tcPr>
                  <w:tcW w:w="2075" w:type="dxa"/>
                  <w:vAlign w:val="center"/>
                </w:tcPr>
                <w:p w14:paraId="500B7A8E">
                  <w:pPr>
                    <w:jc w:val="center"/>
                    <w:rPr>
                      <w:rFonts w:ascii="Times New Roman" w:hAnsi="Times New Roman"/>
                    </w:rPr>
                  </w:pPr>
                  <w:r>
                    <w:rPr>
                      <w:rFonts w:hint="eastAsia" w:ascii="Times New Roman" w:hAnsi="Times New Roman"/>
                    </w:rPr>
                    <w:t>油罐车</w:t>
                  </w:r>
                </w:p>
              </w:tc>
              <w:tc>
                <w:tcPr>
                  <w:tcW w:w="1421" w:type="dxa"/>
                  <w:vAlign w:val="center"/>
                </w:tcPr>
                <w:p w14:paraId="6963F4F9">
                  <w:pPr>
                    <w:jc w:val="center"/>
                    <w:rPr>
                      <w:rFonts w:ascii="Times New Roman" w:hAnsi="Times New Roman"/>
                    </w:rPr>
                  </w:pPr>
                  <w:r>
                    <w:rPr>
                      <w:rFonts w:hint="eastAsia" w:ascii="Times New Roman" w:hAnsi="Times New Roman"/>
                    </w:rPr>
                    <w:t>大型货车</w:t>
                  </w:r>
                </w:p>
              </w:tc>
              <w:tc>
                <w:tcPr>
                  <w:tcW w:w="1379" w:type="dxa"/>
                </w:tcPr>
                <w:p w14:paraId="7CFB67BC">
                  <w:pPr>
                    <w:jc w:val="center"/>
                    <w:rPr>
                      <w:rFonts w:ascii="Times New Roman" w:hAnsi="Times New Roman"/>
                    </w:rPr>
                  </w:pPr>
                  <w:r>
                    <w:rPr>
                      <w:rFonts w:hint="eastAsia" w:ascii="Times New Roman" w:hAnsi="Times New Roman"/>
                    </w:rPr>
                    <w:t>35吨</w:t>
                  </w:r>
                </w:p>
              </w:tc>
              <w:tc>
                <w:tcPr>
                  <w:tcW w:w="1716" w:type="dxa"/>
                  <w:vAlign w:val="center"/>
                </w:tcPr>
                <w:p w14:paraId="6229E988">
                  <w:pPr>
                    <w:jc w:val="center"/>
                    <w:rPr>
                      <w:rFonts w:hint="default" w:ascii="Times New Roman" w:hAnsi="Times New Roman" w:eastAsia="宋体"/>
                      <w:lang w:val="en-US" w:eastAsia="zh-CN"/>
                    </w:rPr>
                  </w:pPr>
                  <w:r>
                    <w:rPr>
                      <w:rFonts w:hint="eastAsia" w:ascii="Times New Roman" w:hAnsi="Times New Roman"/>
                      <w:lang w:val="en-US" w:eastAsia="zh-CN"/>
                    </w:rPr>
                    <w:t>是</w:t>
                  </w:r>
                </w:p>
              </w:tc>
            </w:tr>
            <w:tr w14:paraId="09BE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145C4AB9">
                  <w:pPr>
                    <w:rPr>
                      <w:rFonts w:ascii="Times New Roman" w:hAnsi="Times New Roman"/>
                    </w:rPr>
                  </w:pPr>
                </w:p>
              </w:tc>
              <w:tc>
                <w:tcPr>
                  <w:tcW w:w="1634" w:type="dxa"/>
                </w:tcPr>
                <w:p w14:paraId="34C4A8AE">
                  <w:pPr>
                    <w:rPr>
                      <w:rFonts w:ascii="Times New Roman" w:hAnsi="Times New Roman"/>
                    </w:rPr>
                  </w:pPr>
                </w:p>
              </w:tc>
              <w:tc>
                <w:tcPr>
                  <w:tcW w:w="2075" w:type="dxa"/>
                </w:tcPr>
                <w:p w14:paraId="1C52B220">
                  <w:pPr>
                    <w:rPr>
                      <w:rFonts w:ascii="Times New Roman" w:hAnsi="Times New Roman"/>
                    </w:rPr>
                  </w:pPr>
                </w:p>
              </w:tc>
              <w:tc>
                <w:tcPr>
                  <w:tcW w:w="1421" w:type="dxa"/>
                </w:tcPr>
                <w:p w14:paraId="1C8D1162">
                  <w:pPr>
                    <w:rPr>
                      <w:rFonts w:ascii="Times New Roman" w:hAnsi="Times New Roman"/>
                    </w:rPr>
                  </w:pPr>
                </w:p>
              </w:tc>
              <w:tc>
                <w:tcPr>
                  <w:tcW w:w="1379" w:type="dxa"/>
                </w:tcPr>
                <w:p w14:paraId="30B4F5D9">
                  <w:pPr>
                    <w:rPr>
                      <w:rFonts w:ascii="Times New Roman" w:hAnsi="Times New Roman"/>
                    </w:rPr>
                  </w:pPr>
                </w:p>
              </w:tc>
              <w:tc>
                <w:tcPr>
                  <w:tcW w:w="1716" w:type="dxa"/>
                </w:tcPr>
                <w:p w14:paraId="45C81002">
                  <w:pPr>
                    <w:rPr>
                      <w:rFonts w:ascii="Times New Roman" w:hAnsi="Times New Roman"/>
                    </w:rPr>
                  </w:pPr>
                </w:p>
              </w:tc>
            </w:tr>
            <w:tr w14:paraId="4044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48ECC9D9">
                  <w:pPr>
                    <w:rPr>
                      <w:rFonts w:ascii="Times New Roman" w:hAnsi="Times New Roman"/>
                    </w:rPr>
                  </w:pPr>
                </w:p>
              </w:tc>
              <w:tc>
                <w:tcPr>
                  <w:tcW w:w="1634" w:type="dxa"/>
                </w:tcPr>
                <w:p w14:paraId="799B69B6">
                  <w:pPr>
                    <w:rPr>
                      <w:rFonts w:ascii="Times New Roman" w:hAnsi="Times New Roman"/>
                    </w:rPr>
                  </w:pPr>
                </w:p>
              </w:tc>
              <w:tc>
                <w:tcPr>
                  <w:tcW w:w="2075" w:type="dxa"/>
                </w:tcPr>
                <w:p w14:paraId="59013E3D">
                  <w:pPr>
                    <w:rPr>
                      <w:rFonts w:ascii="Times New Roman" w:hAnsi="Times New Roman"/>
                    </w:rPr>
                  </w:pPr>
                </w:p>
              </w:tc>
              <w:tc>
                <w:tcPr>
                  <w:tcW w:w="1421" w:type="dxa"/>
                </w:tcPr>
                <w:p w14:paraId="10C8C5C4">
                  <w:pPr>
                    <w:rPr>
                      <w:rFonts w:ascii="Times New Roman" w:hAnsi="Times New Roman"/>
                    </w:rPr>
                  </w:pPr>
                </w:p>
              </w:tc>
              <w:tc>
                <w:tcPr>
                  <w:tcW w:w="1379" w:type="dxa"/>
                </w:tcPr>
                <w:p w14:paraId="6B0E06AF">
                  <w:pPr>
                    <w:rPr>
                      <w:rFonts w:ascii="Times New Roman" w:hAnsi="Times New Roman"/>
                    </w:rPr>
                  </w:pPr>
                </w:p>
              </w:tc>
              <w:tc>
                <w:tcPr>
                  <w:tcW w:w="1716" w:type="dxa"/>
                </w:tcPr>
                <w:p w14:paraId="78728C61">
                  <w:pPr>
                    <w:rPr>
                      <w:rFonts w:ascii="Times New Roman" w:hAnsi="Times New Roman"/>
                    </w:rPr>
                  </w:pPr>
                </w:p>
              </w:tc>
            </w:tr>
            <w:tr w14:paraId="63B9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196F7871">
                  <w:pPr>
                    <w:rPr>
                      <w:rFonts w:ascii="Times New Roman" w:hAnsi="Times New Roman"/>
                    </w:rPr>
                  </w:pPr>
                </w:p>
              </w:tc>
              <w:tc>
                <w:tcPr>
                  <w:tcW w:w="1634" w:type="dxa"/>
                </w:tcPr>
                <w:p w14:paraId="136BB212">
                  <w:pPr>
                    <w:rPr>
                      <w:rFonts w:ascii="Times New Roman" w:hAnsi="Times New Roman"/>
                    </w:rPr>
                  </w:pPr>
                </w:p>
              </w:tc>
              <w:tc>
                <w:tcPr>
                  <w:tcW w:w="2075" w:type="dxa"/>
                </w:tcPr>
                <w:p w14:paraId="02FDFEF5">
                  <w:pPr>
                    <w:rPr>
                      <w:rFonts w:ascii="Times New Roman" w:hAnsi="Times New Roman"/>
                    </w:rPr>
                  </w:pPr>
                </w:p>
              </w:tc>
              <w:tc>
                <w:tcPr>
                  <w:tcW w:w="1421" w:type="dxa"/>
                </w:tcPr>
                <w:p w14:paraId="6F42D6EE">
                  <w:pPr>
                    <w:rPr>
                      <w:rFonts w:ascii="Times New Roman" w:hAnsi="Times New Roman"/>
                    </w:rPr>
                  </w:pPr>
                </w:p>
              </w:tc>
              <w:tc>
                <w:tcPr>
                  <w:tcW w:w="1379" w:type="dxa"/>
                </w:tcPr>
                <w:p w14:paraId="2B724354">
                  <w:pPr>
                    <w:rPr>
                      <w:rFonts w:ascii="Times New Roman" w:hAnsi="Times New Roman"/>
                    </w:rPr>
                  </w:pPr>
                </w:p>
              </w:tc>
              <w:tc>
                <w:tcPr>
                  <w:tcW w:w="1716" w:type="dxa"/>
                </w:tcPr>
                <w:p w14:paraId="19CE4EAD">
                  <w:pPr>
                    <w:rPr>
                      <w:rFonts w:ascii="Times New Roman" w:hAnsi="Times New Roman"/>
                    </w:rPr>
                  </w:pPr>
                </w:p>
              </w:tc>
            </w:tr>
            <w:tr w14:paraId="292F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15" w:type="dxa"/>
                </w:tcPr>
                <w:p w14:paraId="1B84B394">
                  <w:pPr>
                    <w:rPr>
                      <w:rFonts w:ascii="Times New Roman" w:hAnsi="Times New Roman"/>
                    </w:rPr>
                  </w:pPr>
                </w:p>
              </w:tc>
              <w:tc>
                <w:tcPr>
                  <w:tcW w:w="1634" w:type="dxa"/>
                </w:tcPr>
                <w:p w14:paraId="52EB9643">
                  <w:pPr>
                    <w:rPr>
                      <w:rFonts w:ascii="Times New Roman" w:hAnsi="Times New Roman"/>
                    </w:rPr>
                  </w:pPr>
                </w:p>
              </w:tc>
              <w:tc>
                <w:tcPr>
                  <w:tcW w:w="2075" w:type="dxa"/>
                </w:tcPr>
                <w:p w14:paraId="6AA9D58F">
                  <w:pPr>
                    <w:rPr>
                      <w:rFonts w:ascii="Times New Roman" w:hAnsi="Times New Roman"/>
                    </w:rPr>
                  </w:pPr>
                </w:p>
              </w:tc>
              <w:tc>
                <w:tcPr>
                  <w:tcW w:w="1421" w:type="dxa"/>
                </w:tcPr>
                <w:p w14:paraId="17698DA5">
                  <w:pPr>
                    <w:rPr>
                      <w:rFonts w:ascii="Times New Roman" w:hAnsi="Times New Roman"/>
                    </w:rPr>
                  </w:pPr>
                </w:p>
              </w:tc>
              <w:tc>
                <w:tcPr>
                  <w:tcW w:w="1379" w:type="dxa"/>
                </w:tcPr>
                <w:p w14:paraId="0C6BACFF">
                  <w:pPr>
                    <w:rPr>
                      <w:rFonts w:ascii="Times New Roman" w:hAnsi="Times New Roman"/>
                    </w:rPr>
                  </w:pPr>
                </w:p>
              </w:tc>
              <w:tc>
                <w:tcPr>
                  <w:tcW w:w="1716" w:type="dxa"/>
                </w:tcPr>
                <w:p w14:paraId="6CF14BA1">
                  <w:pPr>
                    <w:rPr>
                      <w:rFonts w:ascii="Times New Roman" w:hAnsi="Times New Roman"/>
                    </w:rPr>
                  </w:pPr>
                </w:p>
              </w:tc>
            </w:tr>
          </w:tbl>
          <w:p w14:paraId="43F90A0A">
            <w:pPr>
              <w:rPr>
                <w:rFonts w:ascii="Times New Roman" w:hAnsi="Times New Roman"/>
                <w:b/>
                <w:bCs/>
                <w:szCs w:val="24"/>
              </w:rPr>
            </w:pPr>
            <w:r>
              <w:rPr>
                <w:rFonts w:ascii="Times New Roman"/>
                <w:b/>
                <w:bCs/>
                <w:szCs w:val="24"/>
              </w:rPr>
              <w:t>表</w:t>
            </w:r>
            <w:r>
              <w:rPr>
                <w:rFonts w:ascii="Times New Roman" w:hAnsi="Times New Roman"/>
                <w:b/>
                <w:bCs/>
                <w:szCs w:val="24"/>
              </w:rPr>
              <w:t xml:space="preserve">2  </w:t>
            </w:r>
            <w:r>
              <w:rPr>
                <w:rFonts w:ascii="Times New Roman"/>
                <w:b/>
                <w:bCs/>
                <w:szCs w:val="24"/>
              </w:rPr>
              <w:t>废物运输情况</w:t>
            </w:r>
          </w:p>
        </w:tc>
      </w:tr>
      <w:tr w14:paraId="715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8" w:hRule="atLeast"/>
        </w:trPr>
        <w:tc>
          <w:tcPr>
            <w:tcW w:w="9162" w:type="dxa"/>
          </w:tcPr>
          <w:p w14:paraId="7FB96236">
            <w:pPr>
              <w:spacing w:line="360" w:lineRule="auto"/>
              <w:rPr>
                <w:rFonts w:ascii="Times New Roman" w:hAnsi="Times New Roman"/>
                <w:szCs w:val="24"/>
              </w:rPr>
            </w:pPr>
            <w:r>
              <w:rPr>
                <w:rFonts w:ascii="Times New Roman"/>
                <w:szCs w:val="24"/>
              </w:rPr>
              <w:t>运输是否符合交管部门运输相关规定（文字描述）</w:t>
            </w:r>
          </w:p>
          <w:p w14:paraId="65F2C0A4">
            <w:pPr>
              <w:rPr>
                <w:rFonts w:hint="eastAsia" w:ascii="Times New Roman" w:hAnsi="Times New Roman"/>
                <w:szCs w:val="24"/>
                <w:lang w:val="en-US" w:eastAsia="zh-CN"/>
              </w:rPr>
            </w:pPr>
            <w:r>
              <w:rPr>
                <w:rFonts w:hint="eastAsia" w:ascii="Times New Roman" w:hAnsi="Times New Roman"/>
                <w:szCs w:val="24"/>
                <w:lang w:eastAsia="zh-CN"/>
              </w:rPr>
              <w:t>镇江市大港顺达汽车运输有限公司是一家具有道路运输经营许可证，经营道路普通货物运输，货物专业运输（集装箱），货物专用运输（罐式），服务范围：</w:t>
            </w:r>
            <w:r>
              <w:rPr>
                <w:rFonts w:hint="eastAsia" w:ascii="Times New Roman" w:hAnsi="Times New Roman"/>
                <w:szCs w:val="24"/>
                <w:lang w:val="en-US" w:eastAsia="zh-CN"/>
              </w:rPr>
              <w:t>1专业危险货物运输（危险品2类1项，2类2项，3类，4类1项，4类2项，4类3项，5类1项，5类2项，6类1项，8类，9类，医药废物，危险废物）（剧毒化学品除外）镇字321113301019号</w:t>
            </w:r>
          </w:p>
          <w:p w14:paraId="3C5CDA13">
            <w:pPr>
              <w:rPr>
                <w:rFonts w:hint="eastAsia" w:ascii="Times New Roman" w:hAnsi="Times New Roman"/>
                <w:szCs w:val="24"/>
                <w:lang w:val="en-US" w:eastAsia="zh-CN"/>
              </w:rPr>
            </w:pPr>
          </w:p>
          <w:p w14:paraId="1E48F162">
            <w:pPr>
              <w:rPr>
                <w:rFonts w:hint="default" w:ascii="Times New Roman" w:hAnsi="Times New Roman"/>
                <w:szCs w:val="24"/>
                <w:lang w:val="en-US" w:eastAsia="zh-CN"/>
              </w:rPr>
            </w:pPr>
            <w:r>
              <w:rPr>
                <w:rFonts w:hint="eastAsia" w:ascii="Times New Roman" w:hAnsi="Times New Roman"/>
                <w:szCs w:val="24"/>
                <w:lang w:val="en-US" w:eastAsia="zh-CN"/>
              </w:rPr>
              <w:t>江苏神华物流有限公司是一家具有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经营道路普通货物运输，大型物件运输，经营性道路危险货物运输（2类1项，2类2项，2类3项，3类，4类1项，4类2项，4类3项，5类1项，5类2项，6类1项，8类，9类，危险废物）（剧毒化学品除外）盐字320924500002</w:t>
            </w:r>
          </w:p>
          <w:p w14:paraId="202F2088">
            <w:pPr>
              <w:rPr>
                <w:rFonts w:hint="eastAsia" w:ascii="Times New Roman" w:hAnsi="Times New Roman"/>
                <w:szCs w:val="24"/>
                <w:lang w:val="en-US" w:eastAsia="zh-CN"/>
              </w:rPr>
            </w:pPr>
          </w:p>
          <w:p w14:paraId="1BE7CA3B">
            <w:pPr>
              <w:spacing w:before="72" w:line="458" w:lineRule="auto"/>
              <w:rPr>
                <w:rFonts w:hint="eastAsia" w:ascii="Times New Roman" w:hAnsi="Times New Roman"/>
                <w:szCs w:val="24"/>
                <w:lang w:val="en-US" w:eastAsia="zh-CN"/>
              </w:rPr>
            </w:pPr>
            <w:r>
              <w:rPr>
                <w:rFonts w:hint="eastAsia" w:ascii="Times New Roman" w:hAnsi="Times New Roman"/>
                <w:szCs w:val="24"/>
                <w:lang w:val="en-US" w:eastAsia="zh-CN"/>
              </w:rPr>
              <w:t>江苏恒进物流发展有限公司是一家具有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w:t>
            </w:r>
            <w:r>
              <w:rPr>
                <w:rFonts w:ascii="宋体" w:hAnsi="宋体" w:eastAsia="宋体" w:cs="宋体"/>
                <w:spacing w:val="-19"/>
                <w:sz w:val="22"/>
                <w:szCs w:val="22"/>
              </w:rPr>
              <w:t>货物专用</w:t>
            </w:r>
            <w:r>
              <w:rPr>
                <w:rFonts w:ascii="宋体" w:hAnsi="宋体" w:eastAsia="宋体" w:cs="宋体"/>
                <w:sz w:val="22"/>
                <w:szCs w:val="22"/>
              </w:rPr>
              <w:t>运输(集装箱),货物专用运输(罐式),</w:t>
            </w:r>
            <w:r>
              <w:rPr>
                <w:rFonts w:hint="eastAsia" w:ascii="Times New Roman" w:hAnsi="Times New Roman"/>
                <w:szCs w:val="24"/>
                <w:lang w:val="en-US" w:eastAsia="zh-CN"/>
              </w:rPr>
              <w:t>经营性道路危险货物运输（2类1项，2类2项，2类3项，3类，4类1项，5类1项，6类1项，8类，9类，危险废物）（剧毒化学品除外）</w:t>
            </w:r>
          </w:p>
          <w:p w14:paraId="2188478A">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常字320400300151号</w:t>
            </w:r>
          </w:p>
          <w:p w14:paraId="32687991">
            <w:pPr>
              <w:spacing w:before="72" w:line="458" w:lineRule="auto"/>
              <w:rPr>
                <w:rFonts w:hint="default" w:ascii="Times New Roman" w:hAnsi="Times New Roman"/>
                <w:szCs w:val="24"/>
                <w:lang w:val="en-US" w:eastAsia="zh-CN"/>
              </w:rPr>
            </w:pPr>
          </w:p>
          <w:p w14:paraId="6BE868D5">
            <w:pPr>
              <w:spacing w:line="480" w:lineRule="auto"/>
              <w:rPr>
                <w:rFonts w:hint="eastAsia" w:ascii="Times New Roman" w:hAnsi="Times New Roman"/>
                <w:szCs w:val="24"/>
                <w:lang w:val="en-US" w:eastAsia="zh-CN"/>
              </w:rPr>
            </w:pPr>
          </w:p>
          <w:p w14:paraId="225B1E53">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常州和仁物流有限公司是一家具有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经营道路普通货物运输，</w:t>
            </w:r>
            <w:r>
              <w:rPr>
                <w:rFonts w:ascii="宋体" w:hAnsi="宋体" w:eastAsia="宋体" w:cs="宋体"/>
                <w:spacing w:val="-19"/>
                <w:sz w:val="22"/>
                <w:szCs w:val="22"/>
              </w:rPr>
              <w:t>货物专用</w:t>
            </w:r>
            <w:r>
              <w:rPr>
                <w:rFonts w:ascii="宋体" w:hAnsi="宋体" w:eastAsia="宋体" w:cs="宋体"/>
                <w:sz w:val="22"/>
                <w:szCs w:val="22"/>
              </w:rPr>
              <w:t>运输(集装箱),货物专用运输(罐式),</w:t>
            </w:r>
            <w:r>
              <w:rPr>
                <w:rFonts w:hint="eastAsia" w:ascii="Times New Roman" w:hAnsi="Times New Roman"/>
                <w:szCs w:val="24"/>
                <w:lang w:val="en-US" w:eastAsia="zh-CN"/>
              </w:rPr>
              <w:t>经营性道路危险货物运输（2类1项，2类2项，2类3项，3类，4类1项，4类2项，4类3项，5类1项，5类2项，6类1项，6类2项，8类，9类，危险废物）（剧毒化学品除外）常字320412314692号</w:t>
            </w:r>
          </w:p>
          <w:p w14:paraId="5F8198F1">
            <w:pPr>
              <w:spacing w:before="72" w:line="458" w:lineRule="auto"/>
              <w:rPr>
                <w:rFonts w:hint="default" w:ascii="Times New Roman" w:hAnsi="Times New Roman"/>
                <w:szCs w:val="24"/>
                <w:lang w:val="en-US" w:eastAsia="zh-CN"/>
              </w:rPr>
            </w:pPr>
          </w:p>
          <w:p w14:paraId="3AA6E3B6">
            <w:pPr>
              <w:spacing w:line="480" w:lineRule="auto"/>
              <w:rPr>
                <w:rFonts w:hint="eastAsia" w:ascii="Times New Roman" w:hAnsi="Times New Roman"/>
                <w:szCs w:val="24"/>
                <w:lang w:val="en-US" w:eastAsia="zh-CN"/>
              </w:rPr>
            </w:pPr>
          </w:p>
          <w:p w14:paraId="2D8171EE">
            <w:pPr>
              <w:spacing w:before="72" w:line="458" w:lineRule="auto"/>
              <w:rPr>
                <w:rFonts w:hint="default" w:ascii="Times New Roman" w:hAnsi="Times New Roman"/>
                <w:szCs w:val="24"/>
                <w:lang w:val="en-US" w:eastAsia="zh-CN"/>
              </w:rPr>
            </w:pPr>
            <w:r>
              <w:rPr>
                <w:rFonts w:hint="eastAsia" w:ascii="Times New Roman" w:hAnsi="Times New Roman"/>
                <w:szCs w:val="24"/>
                <w:lang w:val="en-US" w:eastAsia="zh-CN"/>
              </w:rPr>
              <w:t>江苏依航物流有限公司是一家具有</w:t>
            </w:r>
            <w:r>
              <w:rPr>
                <w:rFonts w:hint="eastAsia" w:ascii="Times New Roman" w:hAnsi="Times New Roman"/>
                <w:szCs w:val="24"/>
                <w:lang w:eastAsia="zh-CN"/>
              </w:rPr>
              <w:t>道路运输经营许可证，</w:t>
            </w:r>
            <w:r>
              <w:rPr>
                <w:rFonts w:hint="eastAsia" w:ascii="Times New Roman" w:hAnsi="Times New Roman"/>
                <w:szCs w:val="24"/>
                <w:lang w:val="en-US" w:eastAsia="zh-CN"/>
              </w:rPr>
              <w:t>经营道路危险货物运输，道路货物运输（不含危险货物），</w:t>
            </w:r>
            <w:r>
              <w:rPr>
                <w:rFonts w:ascii="宋体" w:hAnsi="宋体" w:eastAsia="宋体" w:cs="宋体"/>
                <w:sz w:val="22"/>
                <w:szCs w:val="22"/>
              </w:rPr>
              <w:t>货物专用运输(罐式),</w:t>
            </w:r>
            <w:r>
              <w:rPr>
                <w:rFonts w:hint="eastAsia" w:ascii="Times New Roman" w:hAnsi="Times New Roman"/>
                <w:szCs w:val="24"/>
                <w:lang w:val="en-US" w:eastAsia="zh-CN"/>
              </w:rPr>
              <w:t>经营性道路危险货物运输（3类，6类1项，8类，9类，危险废物）（剧毒化学品除外）连字320700002490号</w:t>
            </w:r>
          </w:p>
          <w:p w14:paraId="39B5F280">
            <w:pPr>
              <w:rPr>
                <w:rFonts w:hint="default" w:ascii="Times New Roman" w:hAnsi="Times New Roman"/>
                <w:szCs w:val="24"/>
                <w:lang w:val="en-US" w:eastAsia="zh-CN"/>
              </w:rPr>
            </w:pPr>
          </w:p>
          <w:p w14:paraId="294C07BE">
            <w:pPr>
              <w:spacing w:line="240" w:lineRule="auto"/>
              <w:rPr>
                <w:rFonts w:hint="default" w:ascii="Times New Roman" w:hAnsi="Times New Roman"/>
                <w:szCs w:val="24"/>
                <w:lang w:val="en-US" w:eastAsia="zh-CN"/>
              </w:rPr>
            </w:pPr>
          </w:p>
        </w:tc>
      </w:tr>
      <w:tr w14:paraId="49AF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162" w:type="dxa"/>
            <w:vAlign w:val="center"/>
          </w:tcPr>
          <w:p w14:paraId="1B3B515F">
            <w:pPr>
              <w:rPr>
                <w:rFonts w:ascii="Times New Roman" w:hAnsi="Times New Roman"/>
                <w:szCs w:val="24"/>
              </w:rPr>
            </w:pPr>
            <w:r>
              <w:rPr>
                <w:rFonts w:ascii="Times New Roman"/>
                <w:szCs w:val="24"/>
              </w:rPr>
              <w:t>运输方式：</w:t>
            </w:r>
            <w:r>
              <w:rPr>
                <w:rFonts w:ascii="Times New Roman" w:hAnsi="Times New Roman"/>
                <w:szCs w:val="24"/>
              </w:rPr>
              <w:t xml:space="preserve">   </w:t>
            </w:r>
            <w:r>
              <w:rPr>
                <w:rFonts w:ascii="Times New Roman"/>
                <w:szCs w:val="24"/>
              </w:rPr>
              <w:t>道路</w:t>
            </w:r>
            <w:r>
              <w:rPr>
                <w:rFonts w:ascii="Times New Roman" w:hAnsi="Times New Roman"/>
                <w:szCs w:val="24"/>
              </w:rPr>
              <w:t xml:space="preserve"> </w:t>
            </w:r>
            <w:r>
              <w:rPr>
                <w:rFonts w:ascii="Times New Roman" w:hAnsi="Times New Roman"/>
                <w:szCs w:val="24"/>
              </w:rPr>
              <w:sym w:font="Wingdings 2" w:char="0052"/>
            </w:r>
            <w:r>
              <w:rPr>
                <w:rFonts w:ascii="Times New Roman" w:hAnsi="Times New Roman"/>
                <w:szCs w:val="24"/>
              </w:rPr>
              <w:t xml:space="preserve">       </w:t>
            </w:r>
            <w:r>
              <w:rPr>
                <w:rFonts w:ascii="Times New Roman" w:hAnsi="宋体"/>
                <w:szCs w:val="24"/>
              </w:rPr>
              <w:t>铁路</w:t>
            </w:r>
            <w:r>
              <w:rPr>
                <w:rFonts w:ascii="Times New Roman" w:hAnsi="Times New Roman"/>
                <w:szCs w:val="24"/>
              </w:rPr>
              <w:t xml:space="preserve"> □      </w:t>
            </w:r>
            <w:r>
              <w:rPr>
                <w:rFonts w:ascii="Times New Roman" w:hAnsi="宋体"/>
                <w:szCs w:val="24"/>
              </w:rPr>
              <w:t>水路</w:t>
            </w:r>
            <w:r>
              <w:rPr>
                <w:rFonts w:ascii="Times New Roman" w:hAnsi="Times New Roman"/>
                <w:szCs w:val="24"/>
              </w:rPr>
              <w:t xml:space="preserve"> □</w:t>
            </w:r>
          </w:p>
        </w:tc>
      </w:tr>
      <w:tr w14:paraId="0674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2" w:hRule="atLeast"/>
        </w:trPr>
        <w:tc>
          <w:tcPr>
            <w:tcW w:w="9162" w:type="dxa"/>
          </w:tcPr>
          <w:p w14:paraId="2C68B7AB">
            <w:pPr>
              <w:rPr>
                <w:rFonts w:ascii="Times New Roman"/>
                <w:szCs w:val="24"/>
              </w:rPr>
            </w:pPr>
            <w:r>
              <w:rPr>
                <w:rFonts w:ascii="Times New Roman"/>
                <w:szCs w:val="24"/>
              </w:rPr>
              <w:t>运输路线文字描述：（写明途经省、市、县（区），附路线图）</w:t>
            </w:r>
          </w:p>
          <w:p w14:paraId="05A28EEA">
            <w:pPr>
              <w:keepNext w:val="0"/>
              <w:keepLines w:val="0"/>
              <w:widowControl/>
              <w:suppressLineNumbers w:val="0"/>
              <w:jc w:val="left"/>
              <w:rPr>
                <w:rFonts w:hint="default" w:ascii="Times New Roman"/>
                <w:szCs w:val="24"/>
                <w:lang w:val="en-US" w:eastAsia="zh-CN"/>
              </w:rPr>
            </w:pPr>
            <w:r>
              <w:rPr>
                <w:rFonts w:hint="eastAsia" w:ascii="Times New Roman"/>
                <w:szCs w:val="24"/>
                <w:lang w:val="en-US" w:eastAsia="zh-CN"/>
              </w:rPr>
              <w:t>永康市-诸暨市-杭州市-溧阳市-常州市</w:t>
            </w:r>
          </w:p>
          <w:p w14:paraId="23EC6669">
            <w:pPr>
              <w:spacing w:line="240" w:lineRule="auto"/>
              <w:jc w:val="center"/>
              <w:rPr>
                <w:rFonts w:hint="eastAsia"/>
                <w:sz w:val="28"/>
                <w:szCs w:val="28"/>
                <w:lang w:val="en-US" w:eastAsia="zh-CN"/>
              </w:rPr>
            </w:pPr>
          </w:p>
        </w:tc>
      </w:tr>
    </w:tbl>
    <w:p w14:paraId="0845822B">
      <w:pPr>
        <w:rPr>
          <w:rFonts w:ascii="Times New Roman" w:hAnsi="Times New Roman"/>
          <w:szCs w:val="24"/>
        </w:rPr>
        <w:sectPr>
          <w:pgSz w:w="11906" w:h="16838"/>
          <w:pgMar w:top="1440" w:right="1797" w:bottom="1299" w:left="1797" w:header="851" w:footer="992" w:gutter="0"/>
          <w:cols w:space="425" w:num="1"/>
          <w:docGrid w:type="lines" w:linePitch="286" w:charSpace="0"/>
        </w:sectPr>
      </w:pPr>
    </w:p>
    <w:tbl>
      <w:tblPr>
        <w:tblStyle w:val="7"/>
        <w:tblW w:w="934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14:paraId="4451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345" w:type="dxa"/>
            <w:vAlign w:val="center"/>
          </w:tcPr>
          <w:p w14:paraId="22D2A643">
            <w:pPr>
              <w:jc w:val="left"/>
              <w:rPr>
                <w:rFonts w:ascii="Times New Roman" w:hAnsi="Times New Roman"/>
                <w:b/>
                <w:bCs/>
                <w:szCs w:val="24"/>
              </w:rPr>
            </w:pPr>
            <w:r>
              <w:rPr>
                <w:rFonts w:ascii="Times New Roman"/>
                <w:b/>
                <w:bCs/>
                <w:szCs w:val="24"/>
              </w:rPr>
              <w:t>表</w:t>
            </w:r>
            <w:r>
              <w:rPr>
                <w:rFonts w:ascii="Times New Roman" w:hAnsi="Times New Roman"/>
                <w:b/>
                <w:bCs/>
                <w:szCs w:val="24"/>
              </w:rPr>
              <w:t xml:space="preserve">3  </w:t>
            </w:r>
            <w:r>
              <w:rPr>
                <w:rFonts w:ascii="Times New Roman"/>
                <w:b/>
                <w:bCs/>
                <w:szCs w:val="24"/>
              </w:rPr>
              <w:t>转移的污染防治、安全防护和应急措施</w:t>
            </w:r>
          </w:p>
        </w:tc>
      </w:tr>
      <w:tr w14:paraId="0A7D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345" w:type="dxa"/>
          </w:tcPr>
          <w:p w14:paraId="538447B5">
            <w:pPr>
              <w:numPr>
                <w:ilvl w:val="0"/>
                <w:numId w:val="1"/>
              </w:numPr>
              <w:spacing w:line="240" w:lineRule="auto"/>
              <w:rPr>
                <w:rFonts w:ascii="Times New Roman" w:hAnsi="Times New Roman"/>
                <w:bCs/>
                <w:szCs w:val="24"/>
              </w:rPr>
            </w:pPr>
            <w:r>
              <w:rPr>
                <w:rFonts w:ascii="Times New Roman"/>
                <w:bCs/>
                <w:szCs w:val="24"/>
              </w:rPr>
              <w:t>运输过程中的污染防治措施以及按照要求配备的相应污染防治设备</w:t>
            </w:r>
          </w:p>
          <w:p w14:paraId="33CC06EA">
            <w:pPr>
              <w:numPr>
                <w:ilvl w:val="0"/>
                <w:numId w:val="0"/>
              </w:numPr>
              <w:spacing w:line="360" w:lineRule="auto"/>
              <w:rPr>
                <w:rFonts w:hint="eastAsia" w:ascii="Times New Roman"/>
                <w:bCs/>
                <w:szCs w:val="24"/>
              </w:rPr>
            </w:pPr>
            <w:r>
              <w:rPr>
                <w:rFonts w:hint="eastAsia" w:ascii="Times New Roman"/>
                <w:bCs/>
                <w:szCs w:val="24"/>
                <w:lang w:eastAsia="zh-CN"/>
              </w:rPr>
              <w:t>①</w:t>
            </w:r>
            <w:r>
              <w:rPr>
                <w:rFonts w:hint="eastAsia" w:ascii="Times New Roman"/>
                <w:bCs/>
                <w:szCs w:val="24"/>
              </w:rPr>
              <w:t>严格按照《中华人民共和国固体废物污染环境防治法》有关规定进行操作。 </w:t>
            </w:r>
          </w:p>
          <w:p w14:paraId="53516176">
            <w:pPr>
              <w:numPr>
                <w:ilvl w:val="0"/>
                <w:numId w:val="0"/>
              </w:numPr>
              <w:spacing w:line="360" w:lineRule="auto"/>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废物装卸必须废物装卸工具处理设施，尽可能采取机械作业，减少人工对其直接操作，如果采用人工搬运，应避免废物直接接触身体。 </w:t>
            </w:r>
            <w:r>
              <w:rPr>
                <w:rFonts w:hint="eastAsia" w:ascii="Times New Roman"/>
                <w:bCs/>
                <w:szCs w:val="24"/>
                <w:lang w:eastAsia="zh-CN"/>
              </w:rPr>
              <w:t>人员佩戴醒目标志，穿着防护服，戴橡胶手套，对废物所属区域进行保护，无关人员禁止进入。</w:t>
            </w:r>
          </w:p>
          <w:p w14:paraId="41B69E8F">
            <w:pPr>
              <w:spacing w:line="360" w:lineRule="auto"/>
              <w:rPr>
                <w:rFonts w:hint="eastAsia" w:ascii="Times New Roman" w:eastAsia="宋体"/>
                <w:bCs/>
                <w:szCs w:val="24"/>
                <w:lang w:eastAsia="zh-CN"/>
              </w:rPr>
            </w:pPr>
            <w:r>
              <w:rPr>
                <w:rFonts w:hint="eastAsia" w:ascii="Times New Roman"/>
                <w:bCs/>
                <w:szCs w:val="24"/>
                <w:lang w:eastAsia="zh-CN"/>
              </w:rPr>
              <w:t>③</w:t>
            </w:r>
            <w:r>
              <w:rPr>
                <w:rFonts w:hint="eastAsia" w:ascii="Times New Roman"/>
                <w:bCs/>
                <w:szCs w:val="24"/>
              </w:rPr>
              <w:t>在装卸过程中</w:t>
            </w:r>
            <w:r>
              <w:rPr>
                <w:rFonts w:hint="eastAsia" w:ascii="Times New Roman"/>
                <w:bCs/>
                <w:szCs w:val="24"/>
                <w:lang w:eastAsia="zh-CN"/>
              </w:rPr>
              <w:t>，</w:t>
            </w:r>
            <w:r>
              <w:rPr>
                <w:rFonts w:hint="eastAsia" w:ascii="Times New Roman"/>
                <w:bCs/>
                <w:szCs w:val="24"/>
              </w:rPr>
              <w:t>若发生包装物泄漏情况必须立即采取措施及时</w:t>
            </w:r>
            <w:r>
              <w:rPr>
                <w:rFonts w:hint="eastAsia" w:ascii="Times New Roman"/>
                <w:bCs/>
                <w:szCs w:val="24"/>
                <w:lang w:eastAsia="zh-CN"/>
              </w:rPr>
              <w:t>根据具体品种按消防方法施救</w:t>
            </w:r>
            <w:r>
              <w:rPr>
                <w:rFonts w:hint="eastAsia" w:ascii="Times New Roman"/>
                <w:bCs/>
                <w:szCs w:val="24"/>
              </w:rPr>
              <w:t>处理</w:t>
            </w:r>
            <w:r>
              <w:rPr>
                <w:rFonts w:hint="eastAsia" w:ascii="Times New Roman"/>
                <w:bCs/>
                <w:szCs w:val="24"/>
                <w:lang w:eastAsia="zh-CN"/>
              </w:rPr>
              <w:t>，应穿戴包括氧气防毒面具在内的全身防护服。</w:t>
            </w:r>
          </w:p>
          <w:p w14:paraId="13195D09">
            <w:pPr>
              <w:spacing w:line="360" w:lineRule="auto"/>
              <w:rPr>
                <w:rFonts w:ascii="Times New Roman" w:hAnsi="Times New Roman"/>
                <w:bCs/>
                <w:szCs w:val="24"/>
              </w:rPr>
            </w:pPr>
            <w:r>
              <w:rPr>
                <w:rFonts w:hint="eastAsia" w:ascii="Times New Roman"/>
                <w:bCs/>
                <w:szCs w:val="24"/>
              </w:rPr>
              <w:t> </w:t>
            </w:r>
            <w:r>
              <w:rPr>
                <w:rFonts w:hint="eastAsia" w:ascii="Times New Roman"/>
                <w:bCs/>
                <w:szCs w:val="24"/>
                <w:lang w:eastAsia="zh-CN"/>
              </w:rPr>
              <w:t>④</w:t>
            </w:r>
            <w:r>
              <w:rPr>
                <w:rFonts w:hint="eastAsia" w:ascii="Times New Roman"/>
                <w:bCs/>
                <w:szCs w:val="24"/>
              </w:rPr>
              <w:t>本厂在装卸运输废物过程中，如遇天气突发变化事件，如狂风暴雨、降雪等现象应停止装卸运输过程。</w:t>
            </w:r>
          </w:p>
        </w:tc>
      </w:tr>
      <w:tr w14:paraId="126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9345" w:type="dxa"/>
          </w:tcPr>
          <w:p w14:paraId="42C1DE3C">
            <w:pPr>
              <w:numPr>
                <w:ilvl w:val="0"/>
                <w:numId w:val="1"/>
              </w:numPr>
              <w:spacing w:line="360" w:lineRule="auto"/>
              <w:ind w:left="360" w:leftChars="0" w:hanging="360" w:firstLineChars="0"/>
              <w:rPr>
                <w:rFonts w:ascii="Times New Roman"/>
                <w:bCs/>
                <w:szCs w:val="24"/>
              </w:rPr>
            </w:pPr>
            <w:r>
              <w:rPr>
                <w:rFonts w:ascii="Times New Roman"/>
                <w:bCs/>
                <w:szCs w:val="24"/>
              </w:rPr>
              <w:t>运输过程中的安全防护措施以及按照要求配备的相应安全防护设备</w:t>
            </w:r>
          </w:p>
          <w:p w14:paraId="5B126A44">
            <w:pPr>
              <w:numPr>
                <w:ilvl w:val="0"/>
                <w:numId w:val="0"/>
              </w:numPr>
              <w:spacing w:line="360" w:lineRule="auto"/>
              <w:ind w:leftChars="0"/>
              <w:rPr>
                <w:rFonts w:hint="eastAsia" w:ascii="Times New Roman"/>
                <w:bCs/>
                <w:szCs w:val="24"/>
              </w:rPr>
            </w:pPr>
            <w:r>
              <w:rPr>
                <w:rFonts w:hint="eastAsia" w:ascii="Times New Roman"/>
                <w:bCs/>
                <w:szCs w:val="24"/>
                <w:lang w:eastAsia="zh-CN"/>
              </w:rPr>
              <w:t>①运输公司设有应急救援组，负责公司危化品和危废的运输事故应急处理的各项工作，承担运输的车辆和驾驶员积极配合用车单位对危化品和危废运输事故的应急救援工作</w:t>
            </w:r>
            <w:r>
              <w:rPr>
                <w:rFonts w:hint="eastAsia" w:ascii="Times New Roman"/>
                <w:bCs/>
                <w:szCs w:val="24"/>
              </w:rPr>
              <w:t>。 </w:t>
            </w:r>
          </w:p>
          <w:p w14:paraId="7440A3B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②</w:t>
            </w:r>
            <w:r>
              <w:rPr>
                <w:rFonts w:hint="eastAsia" w:ascii="Times New Roman"/>
                <w:bCs/>
                <w:szCs w:val="24"/>
              </w:rPr>
              <w:t>废物运输车辆和运输人员必须具备从事危险废物运输经营的相关要求，并执有相关运输营业执照。</w:t>
            </w:r>
            <w:r>
              <w:rPr>
                <w:rFonts w:hint="eastAsia" w:ascii="Times New Roman"/>
                <w:bCs/>
                <w:szCs w:val="24"/>
                <w:lang w:eastAsia="zh-CN"/>
              </w:rPr>
              <w:t>驾驶员与押运员必须是认真负责，技术熟练，懂得危险货物运输的相关知识专业的驾驶员，非专业驾驶员不准运输危险货的。</w:t>
            </w:r>
          </w:p>
          <w:p w14:paraId="77AFB950">
            <w:pPr>
              <w:numPr>
                <w:ilvl w:val="0"/>
                <w:numId w:val="0"/>
              </w:numPr>
              <w:spacing w:line="360" w:lineRule="auto"/>
              <w:ind w:leftChars="0"/>
              <w:rPr>
                <w:rFonts w:hint="eastAsia" w:ascii="Times New Roman" w:eastAsia="宋体"/>
                <w:bCs/>
                <w:szCs w:val="24"/>
                <w:lang w:eastAsia="zh-CN"/>
              </w:rPr>
            </w:pPr>
            <w:r>
              <w:rPr>
                <w:rFonts w:hint="eastAsia" w:ascii="Times New Roman"/>
                <w:bCs/>
                <w:szCs w:val="24"/>
                <w:lang w:eastAsia="zh-CN"/>
              </w:rPr>
              <w:t>③运输过程中发生翻车、撞击等意外事故时，不论何种情况，现场押运员、驾驶人员应立即采取相应措施进行救援防止事故扩大、恶化；并及时向处置中心报警。</w:t>
            </w:r>
          </w:p>
        </w:tc>
      </w:tr>
      <w:tr w14:paraId="688B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9345" w:type="dxa"/>
          </w:tcPr>
          <w:p w14:paraId="677F027B">
            <w:pPr>
              <w:numPr>
                <w:ilvl w:val="0"/>
                <w:numId w:val="0"/>
              </w:numPr>
              <w:spacing w:line="360" w:lineRule="auto"/>
              <w:ind w:leftChars="0"/>
              <w:rPr>
                <w:rFonts w:ascii="Times New Roman"/>
                <w:bCs/>
                <w:szCs w:val="24"/>
              </w:rPr>
            </w:pPr>
            <w:r>
              <w:rPr>
                <w:rFonts w:hint="eastAsia" w:ascii="Times New Roman"/>
                <w:bCs/>
                <w:szCs w:val="24"/>
                <w:lang w:val="en-US" w:eastAsia="zh-CN"/>
              </w:rPr>
              <w:t>3、</w:t>
            </w:r>
            <w:r>
              <w:rPr>
                <w:rFonts w:ascii="Times New Roman"/>
                <w:bCs/>
                <w:szCs w:val="24"/>
              </w:rPr>
              <w:t>运输过程中的应急预案以及按照要求配备的相应应急设备</w:t>
            </w:r>
          </w:p>
          <w:p w14:paraId="703A8038">
            <w:pPr>
              <w:numPr>
                <w:ilvl w:val="0"/>
                <w:numId w:val="0"/>
              </w:numPr>
              <w:spacing w:line="360" w:lineRule="auto"/>
              <w:ind w:leftChars="0"/>
              <w:rPr>
                <w:rFonts w:hint="eastAsia" w:ascii="Times New Roman" w:hAnsi="Times New Roman"/>
                <w:szCs w:val="24"/>
              </w:rPr>
            </w:pPr>
            <w:r>
              <w:rPr>
                <w:rFonts w:hint="default" w:ascii="Times New Roman" w:hAnsi="Times New Roman"/>
                <w:szCs w:val="24"/>
              </w:rPr>
              <w:t>A</w:t>
            </w:r>
            <w:r>
              <w:rPr>
                <w:rFonts w:hint="eastAsia" w:ascii="Times New Roman" w:hAnsi="Times New Roman"/>
                <w:szCs w:val="24"/>
              </w:rPr>
              <w:t>、拉警戒线隔离泄漏污染区，限制人员靠近，并及时拨打公司</w:t>
            </w:r>
            <w:r>
              <w:rPr>
                <w:rFonts w:hint="eastAsia" w:ascii="Times New Roman" w:hAnsi="Times New Roman"/>
                <w:szCs w:val="24"/>
                <w:lang w:val="en-US" w:eastAsia="zh-CN"/>
              </w:rPr>
              <w:t>和</w:t>
            </w:r>
            <w:r>
              <w:rPr>
                <w:rFonts w:hint="eastAsia" w:ascii="Times New Roman" w:hAnsi="Times New Roman"/>
                <w:szCs w:val="24"/>
              </w:rPr>
              <w:t>当地辖区环保部门应急</w:t>
            </w:r>
          </w:p>
          <w:p w14:paraId="29C06349">
            <w:pPr>
              <w:spacing w:line="360" w:lineRule="auto"/>
              <w:rPr>
                <w:rFonts w:hint="eastAsia" w:ascii="Times New Roman" w:hAnsi="Times New Roman"/>
                <w:szCs w:val="24"/>
              </w:rPr>
            </w:pPr>
            <w:r>
              <w:rPr>
                <w:rFonts w:hint="eastAsia" w:ascii="Times New Roman" w:hAnsi="Times New Roman"/>
                <w:szCs w:val="24"/>
              </w:rPr>
              <w:t>救援电话。</w:t>
            </w:r>
          </w:p>
          <w:p w14:paraId="510A552D">
            <w:pPr>
              <w:spacing w:line="360" w:lineRule="auto"/>
              <w:rPr>
                <w:rFonts w:hint="eastAsia" w:ascii="Times New Roman" w:hAnsi="Times New Roman" w:eastAsia="宋体"/>
                <w:szCs w:val="24"/>
                <w:lang w:eastAsia="zh-CN"/>
              </w:rPr>
            </w:pPr>
            <w:r>
              <w:rPr>
                <w:rFonts w:hint="eastAsia" w:ascii="Times New Roman" w:hAnsi="Times New Roman"/>
                <w:szCs w:val="24"/>
              </w:rPr>
              <w:t> </w:t>
            </w:r>
            <w:r>
              <w:rPr>
                <w:rFonts w:hint="default" w:ascii="Times New Roman" w:hAnsi="Times New Roman"/>
                <w:szCs w:val="24"/>
              </w:rPr>
              <w:t>B</w:t>
            </w:r>
            <w:r>
              <w:rPr>
                <w:rFonts w:hint="eastAsia" w:ascii="Times New Roman" w:hAnsi="Times New Roman"/>
                <w:szCs w:val="24"/>
              </w:rPr>
              <w:t>、立即使用随车配备的应急</w:t>
            </w:r>
            <w:r>
              <w:rPr>
                <w:rFonts w:hint="eastAsia" w:ascii="Times New Roman" w:hAnsi="Times New Roman"/>
                <w:szCs w:val="24"/>
                <w:lang w:eastAsia="zh-CN"/>
              </w:rPr>
              <w:t>工具，收集、堵漏、清理</w:t>
            </w:r>
            <w:r>
              <w:rPr>
                <w:rFonts w:hint="eastAsia" w:ascii="Times New Roman" w:hAnsi="Times New Roman"/>
                <w:szCs w:val="24"/>
              </w:rPr>
              <w:t>。</w:t>
            </w:r>
            <w:r>
              <w:rPr>
                <w:rFonts w:hint="eastAsia" w:ascii="Times New Roman" w:hAnsi="Times New Roman"/>
                <w:szCs w:val="24"/>
                <w:lang w:eastAsia="zh-CN"/>
              </w:rPr>
              <w:t>如渗漏情况严重，应设置隔离区，禁止车辆和行人通过，避免污染物扩散和对行人造成伤害。</w:t>
            </w:r>
          </w:p>
          <w:p w14:paraId="5A506E66">
            <w:pPr>
              <w:spacing w:line="360" w:lineRule="auto"/>
              <w:rPr>
                <w:rFonts w:hint="eastAsia" w:ascii="Times New Roman" w:hAnsi="Times New Roman"/>
                <w:szCs w:val="24"/>
              </w:rPr>
            </w:pPr>
            <w:r>
              <w:rPr>
                <w:rFonts w:hint="eastAsia" w:ascii="Times New Roman" w:hAnsi="Times New Roman"/>
                <w:szCs w:val="24"/>
              </w:rPr>
              <w:t> </w:t>
            </w:r>
            <w:r>
              <w:rPr>
                <w:rFonts w:hint="default" w:ascii="Times New Roman" w:hAnsi="Times New Roman"/>
                <w:szCs w:val="24"/>
              </w:rPr>
              <w:t>C</w:t>
            </w:r>
            <w:r>
              <w:rPr>
                <w:rFonts w:hint="eastAsia" w:ascii="Times New Roman" w:hAnsi="Times New Roman"/>
                <w:szCs w:val="24"/>
              </w:rPr>
              <w:t>、应急人员佩戴好防护用具（口罩、护目镜、手套、工作服等）</w:t>
            </w:r>
          </w:p>
          <w:p w14:paraId="0D614F2F">
            <w:pPr>
              <w:spacing w:line="360" w:lineRule="auto"/>
              <w:rPr>
                <w:rFonts w:hint="eastAsia" w:ascii="Times New Roman" w:hAnsi="Times New Roman"/>
                <w:szCs w:val="24"/>
              </w:rPr>
            </w:pPr>
            <w:r>
              <w:rPr>
                <w:rFonts w:hint="eastAsia" w:ascii="Times New Roman" w:hAnsi="Times New Roman"/>
                <w:szCs w:val="24"/>
              </w:rPr>
              <w:t>，不得直接接触泄漏物</w:t>
            </w:r>
          </w:p>
          <w:p w14:paraId="5FA2E49D">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lang w:eastAsia="zh-CN"/>
              </w:rPr>
              <w:t>如果清理人员的身体不慎收到伤害，应及时采取措施处理，并到医院接受救治。</w:t>
            </w:r>
          </w:p>
          <w:p w14:paraId="67FBB57F">
            <w:pPr>
              <w:numPr>
                <w:ilvl w:val="0"/>
                <w:numId w:val="2"/>
              </w:numPr>
              <w:spacing w:line="360" w:lineRule="auto"/>
              <w:ind w:left="52" w:leftChars="0" w:firstLine="0" w:firstLineChars="0"/>
              <w:rPr>
                <w:rFonts w:hint="eastAsia" w:ascii="Times New Roman" w:hAnsi="Times New Roman"/>
                <w:szCs w:val="24"/>
              </w:rPr>
            </w:pPr>
            <w:r>
              <w:rPr>
                <w:rFonts w:hint="eastAsia" w:ascii="Times New Roman" w:hAnsi="Times New Roman"/>
                <w:szCs w:val="24"/>
              </w:rPr>
              <w:t>对于受污染的土壤，可调节</w:t>
            </w:r>
            <w:r>
              <w:rPr>
                <w:rFonts w:hint="default" w:ascii="Times New Roman" w:hAnsi="Times New Roman"/>
                <w:szCs w:val="24"/>
              </w:rPr>
              <w:t>PH</w:t>
            </w:r>
            <w:r>
              <w:rPr>
                <w:rFonts w:hint="eastAsia" w:ascii="Times New Roman" w:hAnsi="Times New Roman"/>
                <w:szCs w:val="24"/>
              </w:rPr>
              <w:t>值，以减少对农作物的腐蚀性。再将中和后的土壤一并收集与编织袋中运往处理厂进行无害化处置。</w:t>
            </w:r>
          </w:p>
          <w:p w14:paraId="00451D64">
            <w:pPr>
              <w:spacing w:line="360" w:lineRule="auto"/>
              <w:rPr>
                <w:rFonts w:ascii="Times New Roman" w:hAnsi="Times New Roman"/>
                <w:szCs w:val="24"/>
              </w:rPr>
            </w:pPr>
          </w:p>
        </w:tc>
      </w:tr>
    </w:tbl>
    <w:p w14:paraId="645A8967">
      <w:pPr>
        <w:spacing w:line="360" w:lineRule="auto"/>
        <w:rPr>
          <w:rFonts w:ascii="Times New Roman" w:hAnsi="Times New Roman" w:eastAsia="黑体"/>
          <w:sz w:val="28"/>
          <w:szCs w:val="28"/>
        </w:rPr>
      </w:pPr>
      <w:r>
        <w:rPr>
          <w:rFonts w:ascii="Times New Roman" w:eastAsia="黑体"/>
          <w:sz w:val="28"/>
          <w:szCs w:val="28"/>
        </w:rPr>
        <w:t>第三部分</w:t>
      </w:r>
      <w:r>
        <w:rPr>
          <w:rFonts w:ascii="Times New Roman" w:hAnsi="Times New Roman" w:eastAsia="黑体"/>
          <w:sz w:val="28"/>
          <w:szCs w:val="28"/>
        </w:rPr>
        <w:t xml:space="preserve">   </w:t>
      </w:r>
      <w:r>
        <w:rPr>
          <w:rFonts w:ascii="Times New Roman" w:eastAsia="黑体"/>
          <w:sz w:val="28"/>
          <w:szCs w:val="28"/>
        </w:rPr>
        <w:t>废物处理处置情况</w:t>
      </w:r>
    </w:p>
    <w:tbl>
      <w:tblPr>
        <w:tblStyle w:val="7"/>
        <w:tblW w:w="928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4171"/>
      </w:tblGrid>
      <w:tr w14:paraId="3101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280" w:type="dxa"/>
            <w:gridSpan w:val="2"/>
            <w:vAlign w:val="center"/>
          </w:tcPr>
          <w:p w14:paraId="446DCAEB">
            <w:pPr>
              <w:rPr>
                <w:rFonts w:ascii="Times New Roman" w:hAnsi="Times New Roman"/>
                <w:b/>
                <w:bCs/>
              </w:rPr>
            </w:pPr>
            <w:r>
              <w:rPr>
                <w:rFonts w:ascii="Times New Roman"/>
                <w:b/>
                <w:bCs/>
              </w:rPr>
              <w:t>表</w:t>
            </w:r>
            <w:r>
              <w:rPr>
                <w:rFonts w:ascii="Times New Roman" w:hAnsi="Times New Roman"/>
                <w:b/>
                <w:bCs/>
              </w:rPr>
              <w:t xml:space="preserve">1   </w:t>
            </w:r>
            <w:r>
              <w:rPr>
                <w:rFonts w:ascii="Times New Roman"/>
                <w:b/>
                <w:bCs/>
              </w:rPr>
              <w:t>接受单位基本情况</w:t>
            </w:r>
          </w:p>
        </w:tc>
      </w:tr>
      <w:tr w14:paraId="4A2C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280" w:type="dxa"/>
            <w:gridSpan w:val="2"/>
            <w:vAlign w:val="center"/>
          </w:tcPr>
          <w:p w14:paraId="6BC823E4">
            <w:pPr>
              <w:rPr>
                <w:rFonts w:ascii="Times New Roman" w:hAnsi="Times New Roman"/>
              </w:rPr>
            </w:pPr>
            <w:r>
              <w:rPr>
                <w:rFonts w:ascii="Times New Roman"/>
              </w:rPr>
              <w:t>单位名称：</w:t>
            </w:r>
            <w:r>
              <w:rPr>
                <w:rFonts w:hint="eastAsia" w:ascii="Times New Roman"/>
              </w:rPr>
              <w:t>常州菲纳斯能源科技有限公司</w:t>
            </w:r>
          </w:p>
        </w:tc>
      </w:tr>
      <w:tr w14:paraId="5C89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109" w:type="dxa"/>
            <w:vAlign w:val="center"/>
          </w:tcPr>
          <w:p w14:paraId="7752388D">
            <w:pPr>
              <w:rPr>
                <w:rFonts w:hint="eastAsia" w:ascii="Times New Roman" w:hAnsi="Times New Roman" w:eastAsia="宋体"/>
                <w:lang w:eastAsia="zh-CN"/>
              </w:rPr>
            </w:pPr>
            <w:r>
              <w:rPr>
                <w:rFonts w:ascii="Times New Roman"/>
              </w:rPr>
              <w:t>危废经营许可证编号：</w:t>
            </w:r>
            <w:r>
              <w:rPr>
                <w:rFonts w:hint="eastAsia" w:ascii="Times New Roman"/>
              </w:rPr>
              <w:t>JSCZ0413</w:t>
            </w:r>
            <w:r>
              <w:rPr>
                <w:rFonts w:hint="eastAsia" w:ascii="Times New Roman"/>
                <w:lang w:val="en-US" w:eastAsia="zh-CN"/>
              </w:rPr>
              <w:t>OO</w:t>
            </w:r>
            <w:r>
              <w:rPr>
                <w:rFonts w:hint="eastAsia" w:ascii="Times New Roman"/>
              </w:rPr>
              <w:t>D026-</w:t>
            </w:r>
            <w:r>
              <w:rPr>
                <w:rFonts w:hint="eastAsia" w:ascii="Times New Roman"/>
                <w:lang w:val="en-US" w:eastAsia="zh-CN"/>
              </w:rPr>
              <w:t>6</w:t>
            </w:r>
          </w:p>
        </w:tc>
        <w:tc>
          <w:tcPr>
            <w:tcW w:w="4171" w:type="dxa"/>
            <w:vAlign w:val="center"/>
          </w:tcPr>
          <w:p w14:paraId="2D5B87CB">
            <w:pPr>
              <w:rPr>
                <w:rFonts w:ascii="Times New Roman" w:hAnsi="Times New Roman"/>
              </w:rPr>
            </w:pPr>
            <w:r>
              <w:rPr>
                <w:rFonts w:ascii="Times New Roman"/>
              </w:rPr>
              <w:t>有效期：</w:t>
            </w:r>
            <w:r>
              <w:rPr>
                <w:rFonts w:hint="eastAsia" w:ascii="Times New Roman"/>
                <w:lang w:val="en-US" w:eastAsia="zh-CN"/>
              </w:rPr>
              <w:t>2024年11月至2027年11月</w:t>
            </w:r>
          </w:p>
        </w:tc>
      </w:tr>
      <w:tr w14:paraId="0934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280" w:type="dxa"/>
            <w:gridSpan w:val="2"/>
          </w:tcPr>
          <w:p w14:paraId="07C3861C">
            <w:pPr>
              <w:spacing w:line="240" w:lineRule="auto"/>
              <w:rPr>
                <w:rFonts w:ascii="Times New Roman" w:hAnsi="Times New Roman"/>
              </w:rPr>
            </w:pPr>
            <w:r>
              <w:rPr>
                <w:rFonts w:ascii="Times New Roman"/>
              </w:rPr>
              <w:t>经营核准内容（废物名称、类别、数量）：</w:t>
            </w:r>
            <w:r>
              <w:rPr>
                <w:rFonts w:hint="eastAsia" w:ascii="Times New Roman"/>
              </w:rPr>
              <w:t>处置利用废润滑油（HW08，900-201-08、900-203-08、900-204-08、900-214-08、900-217-08、900-249-08、900-2</w:t>
            </w:r>
            <w:r>
              <w:rPr>
                <w:rFonts w:hint="eastAsia" w:ascii="Times New Roman"/>
                <w:lang w:val="en-US" w:eastAsia="zh-CN"/>
              </w:rPr>
              <w:t>0</w:t>
            </w:r>
            <w:r>
              <w:rPr>
                <w:rFonts w:hint="eastAsia" w:ascii="Times New Roman"/>
              </w:rPr>
              <w:t>9-08、900-2</w:t>
            </w:r>
            <w:r>
              <w:rPr>
                <w:rFonts w:hint="eastAsia" w:ascii="Times New Roman"/>
                <w:lang w:val="en-US" w:eastAsia="zh-CN"/>
              </w:rPr>
              <w:t>18</w:t>
            </w:r>
            <w:r>
              <w:rPr>
                <w:rFonts w:hint="eastAsia" w:ascii="Times New Roman"/>
              </w:rPr>
              <w:t>-08、900-2</w:t>
            </w:r>
            <w:r>
              <w:rPr>
                <w:rFonts w:hint="eastAsia" w:ascii="Times New Roman"/>
                <w:lang w:val="en-US" w:eastAsia="zh-CN"/>
              </w:rPr>
              <w:t>1</w:t>
            </w:r>
            <w:r>
              <w:rPr>
                <w:rFonts w:hint="eastAsia" w:ascii="Times New Roman"/>
              </w:rPr>
              <w:t>9-08、900-2</w:t>
            </w:r>
            <w:r>
              <w:rPr>
                <w:rFonts w:hint="eastAsia" w:ascii="Times New Roman"/>
                <w:lang w:val="en-US" w:eastAsia="zh-CN"/>
              </w:rPr>
              <w:t>20</w:t>
            </w:r>
            <w:r>
              <w:rPr>
                <w:rFonts w:hint="eastAsia" w:ascii="Times New Roman"/>
              </w:rPr>
              <w:t>-08、900-</w:t>
            </w:r>
            <w:r>
              <w:rPr>
                <w:rFonts w:hint="eastAsia" w:ascii="Times New Roman"/>
                <w:lang w:val="en-US" w:eastAsia="zh-CN"/>
              </w:rPr>
              <w:t>19</w:t>
            </w:r>
            <w:r>
              <w:rPr>
                <w:rFonts w:hint="eastAsia" w:ascii="Times New Roman"/>
              </w:rPr>
              <w:t>9-08、900-2</w:t>
            </w:r>
            <w:r>
              <w:rPr>
                <w:rFonts w:hint="eastAsia" w:ascii="Times New Roman"/>
                <w:lang w:val="en-US" w:eastAsia="zh-CN"/>
              </w:rPr>
              <w:t>00</w:t>
            </w:r>
            <w:r>
              <w:rPr>
                <w:rFonts w:hint="eastAsia" w:ascii="Times New Roman"/>
              </w:rPr>
              <w:t>-08、</w:t>
            </w:r>
            <w:r>
              <w:rPr>
                <w:rFonts w:hint="eastAsia" w:ascii="Times New Roman"/>
                <w:lang w:val="en-US" w:eastAsia="zh-CN"/>
              </w:rPr>
              <w:t>398</w:t>
            </w:r>
            <w:r>
              <w:rPr>
                <w:rFonts w:hint="eastAsia" w:ascii="Times New Roman"/>
              </w:rPr>
              <w:t>-</w:t>
            </w:r>
            <w:r>
              <w:rPr>
                <w:rFonts w:hint="eastAsia" w:ascii="Times New Roman"/>
                <w:lang w:val="en-US" w:eastAsia="zh-CN"/>
              </w:rPr>
              <w:t>001</w:t>
            </w:r>
            <w:r>
              <w:rPr>
                <w:rFonts w:hint="eastAsia" w:ascii="Times New Roman"/>
              </w:rPr>
              <w:t>-08）60000吨/年</w:t>
            </w:r>
          </w:p>
        </w:tc>
      </w:tr>
    </w:tbl>
    <w:tbl>
      <w:tblPr>
        <w:tblStyle w:val="7"/>
        <w:tblpPr w:leftFromText="180" w:rightFromText="180" w:vertAnchor="text" w:horzAnchor="page" w:tblpX="1312" w:tblpY="291"/>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2B83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vAlign w:val="center"/>
          </w:tcPr>
          <w:p w14:paraId="3F005D02">
            <w:pPr>
              <w:rPr>
                <w:rFonts w:ascii="Times New Roman" w:hAnsi="Times New Roman"/>
                <w:b/>
                <w:bCs/>
              </w:rPr>
            </w:pPr>
            <w:r>
              <w:rPr>
                <w:rFonts w:ascii="Times New Roman"/>
                <w:b/>
                <w:bCs/>
              </w:rPr>
              <w:t>表</w:t>
            </w:r>
            <w:r>
              <w:rPr>
                <w:rFonts w:ascii="Times New Roman" w:hAnsi="Times New Roman"/>
                <w:b/>
                <w:bCs/>
              </w:rPr>
              <w:t xml:space="preserve">2   </w:t>
            </w:r>
            <w:r>
              <w:rPr>
                <w:rFonts w:ascii="Times New Roman"/>
                <w:b/>
                <w:bCs/>
              </w:rPr>
              <w:t>与接收废物相关的处理处置情况</w:t>
            </w:r>
          </w:p>
        </w:tc>
      </w:tr>
      <w:tr w14:paraId="0C77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tcPr>
          <w:p w14:paraId="164CB0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文字描述及工艺流程图</w:t>
            </w:r>
          </w:p>
          <w:p w14:paraId="6DE99C91">
            <w:pPr>
              <w:tabs>
                <w:tab w:val="left" w:pos="2896"/>
              </w:tabs>
              <w:spacing w:line="500" w:lineRule="exact"/>
              <w:ind w:firstLine="472" w:firstLineChars="225"/>
              <w:rPr>
                <w:rFonts w:hint="eastAsia" w:ascii="宋体" w:hAnsi="宋体" w:eastAsia="宋体" w:cs="宋体"/>
                <w:b/>
                <w:sz w:val="21"/>
                <w:szCs w:val="21"/>
              </w:rPr>
            </w:pPr>
            <w:r>
              <w:rPr>
                <w:rFonts w:hint="eastAsia" w:ascii="宋体" w:hAnsi="宋体" w:eastAsia="宋体" w:cs="宋体"/>
                <w:sz w:val="21"/>
                <w:szCs w:val="21"/>
              </w:rPr>
              <w:t>废油加氢精制联合装置包括预处理单元、减压蒸馏单元、加氢精制单元、废水、废气处理单元、甲醇制氢单元等5个单元组成</w:t>
            </w:r>
            <w:r>
              <w:rPr>
                <w:rFonts w:hint="eastAsia" w:ascii="宋体" w:hAnsi="宋体" w:eastAsia="宋体" w:cs="宋体"/>
                <w:sz w:val="21"/>
                <w:szCs w:val="21"/>
                <w:lang w:eastAsia="zh-CN"/>
              </w:rPr>
              <w:t>，</w:t>
            </w:r>
            <w:r>
              <w:rPr>
                <w:rFonts w:hint="eastAsia" w:ascii="宋体" w:hAnsi="宋体" w:eastAsia="宋体" w:cs="宋体"/>
                <w:sz w:val="21"/>
                <w:szCs w:val="21"/>
              </w:rPr>
              <w:t>具体工艺描述如下：</w:t>
            </w:r>
          </w:p>
          <w:p w14:paraId="4EC8E0ED">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1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①</w:t>
            </w:r>
            <w:r>
              <w:rPr>
                <w:rFonts w:hint="eastAsia" w:ascii="宋体" w:hAnsi="宋体" w:eastAsia="宋体" w:cs="宋体"/>
                <w:b/>
                <w:sz w:val="21"/>
                <w:szCs w:val="21"/>
              </w:rPr>
              <w:fldChar w:fldCharType="end"/>
            </w:r>
            <w:r>
              <w:rPr>
                <w:rFonts w:hint="eastAsia" w:ascii="宋体" w:hAnsi="宋体" w:eastAsia="宋体" w:cs="宋体"/>
                <w:b/>
                <w:sz w:val="21"/>
                <w:szCs w:val="21"/>
              </w:rPr>
              <w:t>预处理单元</w:t>
            </w:r>
          </w:p>
          <w:p w14:paraId="6A6BF673">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从废油储罐来的废油同注碱罐中液碱在管道中完成充分混合，经管道换热后进入常压闪蒸塔进行脱水和脱轻质油。水分和轻质油组分从常压闪蒸塔塔顶蒸出，经塔顶冷凝器常温水冷后液相组分进入冷凝罐，液相组分在冷凝罐内通过内设的隔板分为轻质油和水分，水分作为含油废水后续经污水站处理。轻质油通过轻油泵送至油水分离罐，经油水分离罐静置后进一步去除少量废水</w:t>
            </w:r>
            <w:r>
              <w:rPr>
                <w:rFonts w:hint="eastAsia" w:ascii="宋体" w:hAnsi="宋体" w:eastAsia="宋体" w:cs="宋体"/>
                <w:sz w:val="21"/>
                <w:szCs w:val="21"/>
                <w:lang w:val="en-US" w:eastAsia="zh-CN"/>
              </w:rPr>
              <w:t>后进缓冲罐</w:t>
            </w:r>
            <w:r>
              <w:rPr>
                <w:rFonts w:hint="eastAsia" w:ascii="宋体" w:hAnsi="宋体" w:eastAsia="宋体" w:cs="宋体"/>
                <w:sz w:val="21"/>
                <w:szCs w:val="21"/>
              </w:rPr>
              <w:t>。</w:t>
            </w:r>
          </w:p>
          <w:p w14:paraId="72A72F87">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常压闪蒸塔底部油品经3#工艺加热炉加热进入中间缓冲罐，后进入减压闪蒸塔进一步脱轻质油，轻质油组分从塔顶蒸出，经减压闪蒸塔塔顶冷凝器常温水冷后液相组分进入冷凝罐，再通过轻油泵送至油水分离罐。减压闪蒸塔底部油品进入后续减压蒸馏单元进料缓冲罐或储罐区精制油罐，供减压蒸馏单元进一步处理。</w:t>
            </w:r>
          </w:p>
          <w:p w14:paraId="08EE2264">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2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②</w:t>
            </w:r>
            <w:r>
              <w:rPr>
                <w:rFonts w:hint="eastAsia" w:ascii="宋体" w:hAnsi="宋体" w:eastAsia="宋体" w:cs="宋体"/>
                <w:b/>
                <w:sz w:val="21"/>
                <w:szCs w:val="21"/>
              </w:rPr>
              <w:fldChar w:fldCharType="end"/>
            </w:r>
            <w:r>
              <w:rPr>
                <w:rFonts w:hint="eastAsia" w:ascii="宋体" w:hAnsi="宋体" w:eastAsia="宋体" w:cs="宋体"/>
                <w:b/>
                <w:sz w:val="21"/>
                <w:szCs w:val="21"/>
              </w:rPr>
              <w:t>减压蒸馏单元</w:t>
            </w:r>
          </w:p>
          <w:p w14:paraId="3056D772">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预处理单元的精制油经换热后送1#工艺加热炉加热进减压分馏塔，减压分馏塔塔顶油气经常温水冷后液相组分进入冷凝罐，再通过轻油泵送至预处理单元油水分离罐。减一至减四分馏产物对应进入侧线塔，液相由各层收油液斗收集分别去往罐区减一至减四线减压油中间罐（减一、减二线共用一个减压油中间罐），后送至加氢精制单元进一步处理。</w:t>
            </w:r>
          </w:p>
          <w:p w14:paraId="3A25D18F">
            <w:pPr>
              <w:adjustRightInd w:val="0"/>
              <w:snapToGrid w:val="0"/>
              <w:spacing w:line="500" w:lineRule="exact"/>
              <w:ind w:firstLine="420" w:firstLineChars="200"/>
              <w:rPr>
                <w:rFonts w:hint="eastAsia" w:ascii="宋体" w:hAnsi="宋体" w:eastAsia="宋体" w:cs="宋体"/>
                <w:sz w:val="21"/>
                <w:szCs w:val="21"/>
              </w:rPr>
            </w:pPr>
          </w:p>
          <w:p w14:paraId="5A72C6F8">
            <w:pPr>
              <w:adjustRightInd w:val="0"/>
              <w:snapToGrid w:val="0"/>
              <w:spacing w:line="5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3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③</w:t>
            </w:r>
            <w:r>
              <w:rPr>
                <w:rFonts w:hint="eastAsia" w:ascii="宋体" w:hAnsi="宋体" w:eastAsia="宋体" w:cs="宋体"/>
                <w:b/>
                <w:sz w:val="21"/>
                <w:szCs w:val="21"/>
              </w:rPr>
              <w:fldChar w:fldCharType="end"/>
            </w:r>
            <w:r>
              <w:rPr>
                <w:rFonts w:hint="eastAsia" w:ascii="宋体" w:hAnsi="宋体" w:eastAsia="宋体" w:cs="宋体"/>
                <w:b/>
                <w:sz w:val="21"/>
                <w:szCs w:val="21"/>
              </w:rPr>
              <w:t>加氢精制单元</w:t>
            </w:r>
          </w:p>
          <w:p w14:paraId="197E84C9">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减压蒸馏单元的减压油送入缓冲罐，经加压泵加压后与氢气混合，再经2#工艺加热炉加热进入保护剂反应器，脱除油品中金属杂质，之后进入加氢反应器进行反应，将油品中硫、氮、氯转化为易脱除的H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和氯离子。加氢后的油品进入高温脱氯反应器，氯离子与脱氯剂中的金属氧化物反应生成稳定的氯化物而截留在催化剂微孔中，脱氯后的产物进入热高压分离器中进行气液分离。</w:t>
            </w:r>
          </w:p>
          <w:p w14:paraId="6CA58D44">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热高分油从热高压分离器底部经液位控制阀减压后进入热低压分离器，进一步在低压下将油中溶解的废气闪蒸出来送至废气处理单元，分离出溶解气后的生成油靠自压进入汽提塔。由热高压分离器顶部出来的气态料进入冷高压分离器，将纯度较高的氢气分离出来去循环氢压缩机循环利用，其余组分进入冷低压分离器再进行油水气分离，分离后的油去汽提塔，废水和废气分别去废水、废气处理单元不同工段进一步处理。</w:t>
            </w:r>
          </w:p>
          <w:p w14:paraId="0076A5FC">
            <w:pPr>
              <w:adjustRightInd w:val="0"/>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来自热低压分离器和冷低压分离器底部的油品进入汽提塔，过热蒸汽从汽提塔底部吹入，以除去溶解在油品中反应生成的H</w:t>
            </w:r>
            <w:r>
              <w:rPr>
                <w:rFonts w:hint="eastAsia" w:ascii="宋体" w:hAnsi="宋体" w:eastAsia="宋体" w:cs="宋体"/>
                <w:sz w:val="21"/>
                <w:szCs w:val="21"/>
                <w:vertAlign w:val="subscript"/>
              </w:rPr>
              <w:t>2</w:t>
            </w:r>
            <w:r>
              <w:rPr>
                <w:rFonts w:hint="eastAsia" w:ascii="宋体" w:hAnsi="宋体" w:eastAsia="宋体" w:cs="宋体"/>
                <w:sz w:val="21"/>
                <w:szCs w:val="21"/>
              </w:rPr>
              <w:t>S、NH</w:t>
            </w:r>
            <w:r>
              <w:rPr>
                <w:rFonts w:hint="eastAsia" w:ascii="宋体" w:hAnsi="宋体" w:eastAsia="宋体" w:cs="宋体"/>
                <w:sz w:val="21"/>
                <w:szCs w:val="21"/>
                <w:vertAlign w:val="subscript"/>
              </w:rPr>
              <w:t>3</w:t>
            </w:r>
            <w:r>
              <w:rPr>
                <w:rFonts w:hint="eastAsia" w:ascii="宋体" w:hAnsi="宋体" w:eastAsia="宋体" w:cs="宋体"/>
                <w:sz w:val="21"/>
                <w:szCs w:val="21"/>
              </w:rPr>
              <w:t>等轻组份，汽提后塔顶含油气体进入三相分离器，分离器底部废水及含硫气分别去废水、废气处理单元不同工段进一步处理，轻油由轻油泵抽出送至预处理单元油水分离罐。汽提塔塔底油品送入分馏塔处理，柴油组分从塔顶蒸出，经塔顶冷凝器常温水冷后液相组分进入分水罐。分水罐静置分层后产生含油废水W3，柴油送至柴油罐。分馏塔底部油品根据不同粘度分别泵入储罐区基础油I储罐、基础油II储罐、基础油III储罐待外售。</w:t>
            </w:r>
          </w:p>
          <w:p w14:paraId="4AE1D03E">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4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④</w:t>
            </w:r>
            <w:r>
              <w:rPr>
                <w:rFonts w:hint="eastAsia" w:ascii="宋体" w:hAnsi="宋体" w:eastAsia="宋体" w:cs="宋体"/>
                <w:b/>
                <w:sz w:val="21"/>
                <w:szCs w:val="21"/>
              </w:rPr>
              <w:fldChar w:fldCharType="end"/>
            </w:r>
            <w:r>
              <w:rPr>
                <w:rFonts w:hint="eastAsia" w:ascii="宋体" w:hAnsi="宋体" w:eastAsia="宋体" w:cs="宋体"/>
                <w:b/>
                <w:sz w:val="21"/>
                <w:szCs w:val="21"/>
              </w:rPr>
              <w:t>废水、废气处理单元</w:t>
            </w:r>
          </w:p>
          <w:p w14:paraId="0B95D9BB">
            <w:pPr>
              <w:tabs>
                <w:tab w:val="left" w:pos="2896"/>
              </w:tabs>
              <w:spacing w:line="500" w:lineRule="exact"/>
              <w:ind w:firstLine="472" w:firstLineChars="225"/>
              <w:rPr>
                <w:rFonts w:hint="eastAsia" w:ascii="宋体" w:hAnsi="宋体" w:eastAsia="宋体" w:cs="宋体"/>
                <w:sz w:val="21"/>
                <w:szCs w:val="21"/>
              </w:rPr>
            </w:pPr>
            <w:r>
              <w:rPr>
                <w:rFonts w:hint="eastAsia" w:ascii="宋体" w:hAnsi="宋体" w:eastAsia="宋体" w:cs="宋体"/>
                <w:sz w:val="21"/>
                <w:szCs w:val="21"/>
              </w:rPr>
              <w:t>废水首先进入废水罐，废水经过除油器将水中油相分离去除后进汽提塔，油相送至废油罐。汽提塔塔底汽提净化水作废水（W3）送厂区污水站处理，汽提塔中部侧线抽出富氨气，氨气同废气一同进入两级碱吸收反应器，气体中的H</w:t>
            </w:r>
            <w:r>
              <w:rPr>
                <w:rFonts w:hint="eastAsia" w:ascii="宋体" w:hAnsi="宋体" w:eastAsia="宋体" w:cs="宋体"/>
                <w:sz w:val="21"/>
                <w:szCs w:val="21"/>
                <w:vertAlign w:val="subscript"/>
              </w:rPr>
              <w:t>2</w:t>
            </w:r>
            <w:r>
              <w:rPr>
                <w:rFonts w:hint="eastAsia" w:ascii="宋体" w:hAnsi="宋体" w:eastAsia="宋体" w:cs="宋体"/>
                <w:sz w:val="21"/>
                <w:szCs w:val="21"/>
              </w:rPr>
              <w:t>S与吸收反应器内的NaOH溶液进行酸碱反应，生产副产36%硫氢化钠，氨气送至氨水混合器，氨水罐内的氨水经氨水泵循环吸收氨气，待氨水罐内的氨水浓度达到20%时作为氨水产品外售。</w:t>
            </w:r>
          </w:p>
          <w:p w14:paraId="7F96F7F2">
            <w:pPr>
              <w:tabs>
                <w:tab w:val="left" w:pos="2896"/>
              </w:tabs>
              <w:spacing w:line="500" w:lineRule="exact"/>
              <w:ind w:firstLine="474" w:firstLineChars="225"/>
              <w:rPr>
                <w:rFonts w:hint="eastAsia" w:ascii="宋体" w:hAnsi="宋体" w:eastAsia="宋体" w:cs="宋体"/>
                <w:b/>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 5 \* GB3 </w:instrText>
            </w:r>
            <w:r>
              <w:rPr>
                <w:rFonts w:hint="eastAsia" w:ascii="宋体" w:hAnsi="宋体" w:eastAsia="宋体" w:cs="宋体"/>
                <w:b/>
                <w:sz w:val="21"/>
                <w:szCs w:val="21"/>
              </w:rPr>
              <w:fldChar w:fldCharType="separate"/>
            </w:r>
            <w:r>
              <w:rPr>
                <w:rFonts w:hint="eastAsia" w:ascii="宋体" w:hAnsi="宋体" w:eastAsia="宋体" w:cs="宋体"/>
                <w:b/>
                <w:sz w:val="21"/>
                <w:szCs w:val="21"/>
              </w:rPr>
              <w:t>⑤</w:t>
            </w:r>
            <w:r>
              <w:rPr>
                <w:rFonts w:hint="eastAsia" w:ascii="宋体" w:hAnsi="宋体" w:eastAsia="宋体" w:cs="宋体"/>
                <w:b/>
                <w:sz w:val="21"/>
                <w:szCs w:val="21"/>
              </w:rPr>
              <w:fldChar w:fldCharType="end"/>
            </w:r>
            <w:r>
              <w:rPr>
                <w:rFonts w:hint="eastAsia" w:ascii="宋体" w:hAnsi="宋体" w:eastAsia="宋体" w:cs="宋体"/>
                <w:b/>
                <w:sz w:val="21"/>
                <w:szCs w:val="21"/>
              </w:rPr>
              <w:t>甲醇制氢单元</w:t>
            </w:r>
          </w:p>
          <w:p w14:paraId="55F645D8">
            <w:pPr>
              <w:rPr>
                <w:rFonts w:ascii="Times New Roman" w:hAnsi="Times New Roman"/>
                <w:b/>
                <w:bCs/>
              </w:rPr>
            </w:pPr>
            <w:r>
              <w:rPr>
                <w:rFonts w:hint="eastAsia" w:ascii="宋体" w:hAnsi="宋体" w:eastAsia="宋体" w:cs="宋体"/>
                <w:sz w:val="21"/>
                <w:szCs w:val="21"/>
              </w:rPr>
              <w:t>甲醇与脱盐水在中间缓冲罐按照一定比例配置，经换热后进入汽化过热器，在汽化过热器中与导热油进行第二次热交换完成汽化进入转化器内。在催化剂的作用下发生催化裂解和转化反应，生成高温转化气。高温转化气在换热器中换热降温至40℃以下，再分离净化未反应的甲醇和水并回流至缓冲罐。随后裂解的转化气进入PSA提纯工段，产品氢气输送至加氢精制单元使用。</w:t>
            </w:r>
          </w:p>
          <w:p w14:paraId="094A7E88">
            <w:pPr>
              <w:rPr>
                <w:rFonts w:ascii="Times New Roman" w:hAnsi="Times New Roman"/>
                <w:b/>
                <w:bCs/>
              </w:rPr>
            </w:pPr>
          </w:p>
          <w:p w14:paraId="03AEFCAD">
            <w:pPr>
              <w:rPr>
                <w:rFonts w:ascii="Times New Roman" w:hAnsi="Times New Roman"/>
                <w:b/>
                <w:bCs/>
              </w:rPr>
            </w:pPr>
          </w:p>
          <w:p w14:paraId="3A18D8A6">
            <w:pPr>
              <w:rPr>
                <w:rFonts w:ascii="Times New Roman" w:hAnsi="Times New Roman"/>
                <w:b/>
                <w:bCs/>
              </w:rPr>
            </w:pPr>
          </w:p>
          <w:p w14:paraId="2C2DEA14">
            <w:pPr>
              <w:spacing w:line="240" w:lineRule="auto"/>
              <w:rPr>
                <w:rFonts w:ascii="Times New Roman" w:hAnsi="Times New Roman"/>
                <w:b/>
                <w:bCs/>
              </w:rPr>
            </w:pPr>
            <w:bookmarkStart w:id="0" w:name="_GoBack"/>
            <w:bookmarkEnd w:id="0"/>
          </w:p>
        </w:tc>
      </w:tr>
    </w:tbl>
    <w:p w14:paraId="5B40A4AF">
      <w:pPr>
        <w:rPr>
          <w:rFonts w:ascii="Times New Roman" w:hAnsi="Times New Roman"/>
        </w:rPr>
        <w:sectPr>
          <w:pgSz w:w="11906" w:h="16838"/>
          <w:pgMar w:top="1440" w:right="1797" w:bottom="1440" w:left="1797" w:header="851" w:footer="992" w:gutter="0"/>
          <w:cols w:space="425" w:num="1"/>
          <w:docGrid w:type="lines" w:linePitch="312" w:charSpace="0"/>
        </w:sectPr>
      </w:pPr>
    </w:p>
    <w:p w14:paraId="7135C5F8">
      <w:pPr>
        <w:jc w:val="left"/>
        <w:rPr>
          <w:rFonts w:ascii="Times New Roman" w:hAnsi="Times New Roman" w:eastAsia="黑体"/>
          <w:sz w:val="28"/>
          <w:szCs w:val="28"/>
        </w:rPr>
      </w:pPr>
      <w:r>
        <w:rPr>
          <w:rFonts w:ascii="Times New Roman" w:eastAsia="黑体"/>
          <w:sz w:val="28"/>
          <w:szCs w:val="28"/>
        </w:rPr>
        <w:t>第四部分</w:t>
      </w:r>
      <w:r>
        <w:rPr>
          <w:rFonts w:ascii="Times New Roman" w:hAnsi="Times New Roman" w:eastAsia="黑体"/>
          <w:sz w:val="28"/>
          <w:szCs w:val="28"/>
        </w:rPr>
        <w:t xml:space="preserve"> </w:t>
      </w:r>
      <w:r>
        <w:rPr>
          <w:rFonts w:ascii="Times New Roman" w:eastAsia="黑体"/>
          <w:sz w:val="28"/>
          <w:szCs w:val="28"/>
        </w:rPr>
        <w:t>上年度固体（危险）废物跨省转移情况</w:t>
      </w:r>
    </w:p>
    <w:tbl>
      <w:tblPr>
        <w:tblStyle w:val="7"/>
        <w:tblW w:w="14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080"/>
        <w:gridCol w:w="1935"/>
        <w:gridCol w:w="1500"/>
        <w:gridCol w:w="1485"/>
        <w:gridCol w:w="1365"/>
        <w:gridCol w:w="1500"/>
        <w:gridCol w:w="1245"/>
        <w:gridCol w:w="1905"/>
        <w:gridCol w:w="1470"/>
      </w:tblGrid>
      <w:tr w14:paraId="4A35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1463" w:type="dxa"/>
            <w:shd w:val="clear" w:color="auto" w:fill="auto"/>
            <w:vAlign w:val="center"/>
          </w:tcPr>
          <w:p w14:paraId="13BB819E">
            <w:pPr>
              <w:jc w:val="center"/>
              <w:rPr>
                <w:rFonts w:ascii="Times New Roman" w:hAnsi="Times New Roman"/>
              </w:rPr>
            </w:pPr>
            <w:r>
              <w:rPr>
                <w:rFonts w:ascii="Times New Roman" w:hAnsi="宋体"/>
              </w:rPr>
              <w:t>出厂日期</w:t>
            </w:r>
          </w:p>
        </w:tc>
        <w:tc>
          <w:tcPr>
            <w:tcW w:w="1080" w:type="dxa"/>
            <w:shd w:val="clear" w:color="auto" w:fill="auto"/>
            <w:vAlign w:val="center"/>
          </w:tcPr>
          <w:p w14:paraId="2C9FBF30">
            <w:pPr>
              <w:jc w:val="center"/>
              <w:rPr>
                <w:rFonts w:ascii="Times New Roman" w:hAnsi="Times New Roman"/>
              </w:rPr>
            </w:pPr>
            <w:r>
              <w:rPr>
                <w:rFonts w:ascii="Times New Roman" w:hAnsi="宋体"/>
              </w:rPr>
              <w:t>转移批次</w:t>
            </w:r>
          </w:p>
        </w:tc>
        <w:tc>
          <w:tcPr>
            <w:tcW w:w="1935" w:type="dxa"/>
            <w:shd w:val="clear" w:color="auto" w:fill="auto"/>
            <w:vAlign w:val="center"/>
          </w:tcPr>
          <w:p w14:paraId="784F5244">
            <w:pPr>
              <w:jc w:val="center"/>
              <w:rPr>
                <w:rFonts w:ascii="Times New Roman" w:hAnsi="Times New Roman"/>
              </w:rPr>
            </w:pPr>
            <w:r>
              <w:rPr>
                <w:rFonts w:ascii="Times New Roman" w:hAnsi="宋体"/>
              </w:rPr>
              <w:t>联单编号</w:t>
            </w:r>
          </w:p>
        </w:tc>
        <w:tc>
          <w:tcPr>
            <w:tcW w:w="1500" w:type="dxa"/>
            <w:shd w:val="clear" w:color="auto" w:fill="auto"/>
            <w:vAlign w:val="center"/>
          </w:tcPr>
          <w:p w14:paraId="46BB0AEB">
            <w:pPr>
              <w:jc w:val="center"/>
              <w:rPr>
                <w:rFonts w:ascii="Times New Roman" w:hAnsi="Times New Roman"/>
              </w:rPr>
            </w:pPr>
            <w:r>
              <w:rPr>
                <w:rFonts w:ascii="Times New Roman" w:hAnsi="宋体"/>
              </w:rPr>
              <w:t>废物名称</w:t>
            </w:r>
          </w:p>
        </w:tc>
        <w:tc>
          <w:tcPr>
            <w:tcW w:w="1485" w:type="dxa"/>
            <w:shd w:val="clear" w:color="auto" w:fill="auto"/>
            <w:vAlign w:val="center"/>
          </w:tcPr>
          <w:p w14:paraId="6E39F46B">
            <w:pPr>
              <w:jc w:val="center"/>
              <w:rPr>
                <w:rFonts w:ascii="Times New Roman" w:hAnsi="Times New Roman"/>
              </w:rPr>
            </w:pPr>
            <w:r>
              <w:rPr>
                <w:rFonts w:ascii="Times New Roman" w:hAnsi="宋体"/>
              </w:rPr>
              <w:t>类别</w:t>
            </w:r>
            <w:r>
              <w:rPr>
                <w:rFonts w:ascii="Times New Roman" w:hAnsi="Times New Roman"/>
              </w:rPr>
              <w:t>/</w:t>
            </w:r>
            <w:r>
              <w:rPr>
                <w:rFonts w:ascii="Times New Roman" w:hAnsi="宋体"/>
              </w:rPr>
              <w:t>代码</w:t>
            </w:r>
          </w:p>
        </w:tc>
        <w:tc>
          <w:tcPr>
            <w:tcW w:w="1365" w:type="dxa"/>
            <w:shd w:val="clear" w:color="auto" w:fill="auto"/>
            <w:vAlign w:val="center"/>
          </w:tcPr>
          <w:p w14:paraId="7D2FB68E">
            <w:pPr>
              <w:jc w:val="center"/>
              <w:rPr>
                <w:rFonts w:ascii="Times New Roman" w:hAnsi="Times New Roman"/>
              </w:rPr>
            </w:pPr>
            <w:r>
              <w:rPr>
                <w:rFonts w:ascii="Times New Roman" w:hAnsi="宋体"/>
              </w:rPr>
              <w:t>转移量（吨）</w:t>
            </w:r>
          </w:p>
        </w:tc>
        <w:tc>
          <w:tcPr>
            <w:tcW w:w="1500" w:type="dxa"/>
            <w:shd w:val="clear" w:color="auto" w:fill="auto"/>
            <w:vAlign w:val="center"/>
          </w:tcPr>
          <w:p w14:paraId="3ADC814B">
            <w:pPr>
              <w:jc w:val="center"/>
              <w:rPr>
                <w:rFonts w:ascii="Times New Roman" w:hAnsi="Times New Roman"/>
              </w:rPr>
            </w:pPr>
            <w:r>
              <w:rPr>
                <w:rFonts w:ascii="Times New Roman"/>
              </w:rPr>
              <w:t>运输单位</w:t>
            </w:r>
          </w:p>
        </w:tc>
        <w:tc>
          <w:tcPr>
            <w:tcW w:w="1245" w:type="dxa"/>
            <w:vAlign w:val="center"/>
          </w:tcPr>
          <w:p w14:paraId="7C3E0E77">
            <w:pPr>
              <w:jc w:val="center"/>
              <w:rPr>
                <w:rFonts w:ascii="Times New Roman" w:hAnsi="Times New Roman"/>
              </w:rPr>
            </w:pPr>
            <w:r>
              <w:rPr>
                <w:rFonts w:ascii="Times New Roman"/>
              </w:rPr>
              <w:t>车号</w:t>
            </w:r>
          </w:p>
        </w:tc>
        <w:tc>
          <w:tcPr>
            <w:tcW w:w="1905" w:type="dxa"/>
            <w:vAlign w:val="center"/>
          </w:tcPr>
          <w:p w14:paraId="0F7731DB">
            <w:pPr>
              <w:jc w:val="center"/>
              <w:rPr>
                <w:rFonts w:ascii="Times New Roman" w:hAnsi="Times New Roman"/>
              </w:rPr>
            </w:pPr>
            <w:r>
              <w:rPr>
                <w:rFonts w:ascii="Times New Roman" w:hAnsi="宋体"/>
              </w:rPr>
              <w:t>接收单位</w:t>
            </w:r>
          </w:p>
        </w:tc>
        <w:tc>
          <w:tcPr>
            <w:tcW w:w="1470" w:type="dxa"/>
            <w:vAlign w:val="center"/>
          </w:tcPr>
          <w:p w14:paraId="5323B2FB">
            <w:pPr>
              <w:jc w:val="center"/>
              <w:rPr>
                <w:rFonts w:ascii="Times New Roman" w:hAnsi="Times New Roman"/>
              </w:rPr>
            </w:pPr>
            <w:r>
              <w:rPr>
                <w:rFonts w:ascii="Times New Roman" w:hAnsi="宋体"/>
              </w:rPr>
              <w:t>接收日期</w:t>
            </w:r>
          </w:p>
        </w:tc>
      </w:tr>
      <w:tr w14:paraId="60DC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3DF1363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2025-03-11</w:t>
            </w:r>
          </w:p>
        </w:tc>
        <w:tc>
          <w:tcPr>
            <w:tcW w:w="1080" w:type="dxa"/>
            <w:shd w:val="clear" w:color="auto" w:fill="auto"/>
            <w:vAlign w:val="top"/>
          </w:tcPr>
          <w:p w14:paraId="43F12D74">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3A7AA31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20253307009490</w:t>
            </w:r>
          </w:p>
        </w:tc>
        <w:tc>
          <w:tcPr>
            <w:tcW w:w="1500" w:type="dxa"/>
            <w:shd w:val="clear" w:color="auto" w:fill="auto"/>
            <w:vAlign w:val="center"/>
          </w:tcPr>
          <w:p w14:paraId="773D74D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1F8DD9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3CC2AEC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31.52</w:t>
            </w:r>
          </w:p>
        </w:tc>
        <w:tc>
          <w:tcPr>
            <w:tcW w:w="1500" w:type="dxa"/>
            <w:shd w:val="clear" w:color="auto" w:fill="auto"/>
            <w:vAlign w:val="center"/>
          </w:tcPr>
          <w:p w14:paraId="0CD2A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54A5478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苏JN5911</w:t>
            </w:r>
          </w:p>
        </w:tc>
        <w:tc>
          <w:tcPr>
            <w:tcW w:w="1905" w:type="dxa"/>
            <w:vAlign w:val="center"/>
          </w:tcPr>
          <w:p w14:paraId="018FA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14F57A3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2025-03-13</w:t>
            </w:r>
          </w:p>
        </w:tc>
      </w:tr>
      <w:tr w14:paraId="44FF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617126E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2025-03-18</w:t>
            </w:r>
          </w:p>
        </w:tc>
        <w:tc>
          <w:tcPr>
            <w:tcW w:w="1080" w:type="dxa"/>
            <w:shd w:val="clear" w:color="auto" w:fill="auto"/>
            <w:vAlign w:val="top"/>
          </w:tcPr>
          <w:p w14:paraId="4BC0F0FB">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2C05BC6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20253307010928</w:t>
            </w:r>
          </w:p>
        </w:tc>
        <w:tc>
          <w:tcPr>
            <w:tcW w:w="1500" w:type="dxa"/>
            <w:shd w:val="clear" w:color="auto" w:fill="auto"/>
            <w:vAlign w:val="center"/>
          </w:tcPr>
          <w:p w14:paraId="71DD197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D76553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1DB215E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31.2</w:t>
            </w:r>
          </w:p>
        </w:tc>
        <w:tc>
          <w:tcPr>
            <w:tcW w:w="1500" w:type="dxa"/>
            <w:shd w:val="clear" w:color="auto" w:fill="auto"/>
            <w:vAlign w:val="center"/>
          </w:tcPr>
          <w:p w14:paraId="19884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62EB3D7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苏JQ1339</w:t>
            </w:r>
          </w:p>
        </w:tc>
        <w:tc>
          <w:tcPr>
            <w:tcW w:w="1905" w:type="dxa"/>
            <w:vAlign w:val="center"/>
          </w:tcPr>
          <w:p w14:paraId="11731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7D7F618E">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2025-03-20</w:t>
            </w:r>
          </w:p>
        </w:tc>
      </w:tr>
      <w:tr w14:paraId="047D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432997D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2025-04-17</w:t>
            </w:r>
          </w:p>
        </w:tc>
        <w:tc>
          <w:tcPr>
            <w:tcW w:w="1080" w:type="dxa"/>
            <w:shd w:val="clear" w:color="auto" w:fill="auto"/>
            <w:vAlign w:val="top"/>
          </w:tcPr>
          <w:p w14:paraId="51B1C280">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76520E5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20253307017371</w:t>
            </w:r>
          </w:p>
        </w:tc>
        <w:tc>
          <w:tcPr>
            <w:tcW w:w="1500" w:type="dxa"/>
            <w:shd w:val="clear" w:color="auto" w:fill="auto"/>
            <w:vAlign w:val="center"/>
          </w:tcPr>
          <w:p w14:paraId="0C4A47D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31E06E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7C1261A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33.54</w:t>
            </w:r>
          </w:p>
        </w:tc>
        <w:tc>
          <w:tcPr>
            <w:tcW w:w="1500" w:type="dxa"/>
            <w:shd w:val="clear" w:color="auto" w:fill="auto"/>
            <w:vAlign w:val="center"/>
          </w:tcPr>
          <w:p w14:paraId="0B67E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749B717B">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03543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6F00D47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2025-04-18</w:t>
            </w:r>
          </w:p>
        </w:tc>
      </w:tr>
      <w:tr w14:paraId="0166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7F8707C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2025-04-27</w:t>
            </w:r>
          </w:p>
        </w:tc>
        <w:tc>
          <w:tcPr>
            <w:tcW w:w="1080" w:type="dxa"/>
            <w:shd w:val="clear" w:color="auto" w:fill="auto"/>
            <w:vAlign w:val="top"/>
          </w:tcPr>
          <w:p w14:paraId="1AA9FA23">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3F4A5457">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20253307019887</w:t>
            </w:r>
          </w:p>
        </w:tc>
        <w:tc>
          <w:tcPr>
            <w:tcW w:w="1500" w:type="dxa"/>
            <w:shd w:val="clear" w:color="auto" w:fill="auto"/>
            <w:vAlign w:val="center"/>
          </w:tcPr>
          <w:p w14:paraId="54FEFA0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1CB7775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14ACB72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32.22</w:t>
            </w:r>
          </w:p>
        </w:tc>
        <w:tc>
          <w:tcPr>
            <w:tcW w:w="1500" w:type="dxa"/>
            <w:shd w:val="clear" w:color="auto" w:fill="auto"/>
            <w:vAlign w:val="center"/>
          </w:tcPr>
          <w:p w14:paraId="627B9D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79E4F2E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苏JN5911</w:t>
            </w:r>
          </w:p>
        </w:tc>
        <w:tc>
          <w:tcPr>
            <w:tcW w:w="1905" w:type="dxa"/>
            <w:vAlign w:val="center"/>
          </w:tcPr>
          <w:p w14:paraId="48942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2DDB816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2025-04-29</w:t>
            </w:r>
          </w:p>
        </w:tc>
      </w:tr>
      <w:tr w14:paraId="41D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67A236A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2025-06-04</w:t>
            </w:r>
          </w:p>
        </w:tc>
        <w:tc>
          <w:tcPr>
            <w:tcW w:w="1080" w:type="dxa"/>
            <w:shd w:val="clear" w:color="auto" w:fill="auto"/>
            <w:vAlign w:val="top"/>
          </w:tcPr>
          <w:p w14:paraId="76E145C1">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3B69B57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20253307027749</w:t>
            </w:r>
          </w:p>
        </w:tc>
        <w:tc>
          <w:tcPr>
            <w:tcW w:w="1500" w:type="dxa"/>
            <w:shd w:val="clear" w:color="auto" w:fill="auto"/>
            <w:vAlign w:val="center"/>
          </w:tcPr>
          <w:p w14:paraId="7853FF3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BCAF6E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7E447B8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33.34</w:t>
            </w:r>
          </w:p>
        </w:tc>
        <w:tc>
          <w:tcPr>
            <w:tcW w:w="1500" w:type="dxa"/>
            <w:shd w:val="clear" w:color="auto" w:fill="auto"/>
            <w:vAlign w:val="center"/>
          </w:tcPr>
          <w:p w14:paraId="4021F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7CEF065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21564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1D158A9D">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2025-06-06</w:t>
            </w:r>
          </w:p>
        </w:tc>
      </w:tr>
      <w:tr w14:paraId="346C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0232D67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2025-06-15</w:t>
            </w:r>
          </w:p>
        </w:tc>
        <w:tc>
          <w:tcPr>
            <w:tcW w:w="1080" w:type="dxa"/>
            <w:shd w:val="clear" w:color="auto" w:fill="auto"/>
            <w:vAlign w:val="top"/>
          </w:tcPr>
          <w:p w14:paraId="3BD1E444">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344E2FE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20253307030087</w:t>
            </w:r>
          </w:p>
        </w:tc>
        <w:tc>
          <w:tcPr>
            <w:tcW w:w="1500" w:type="dxa"/>
            <w:shd w:val="clear" w:color="auto" w:fill="auto"/>
            <w:vAlign w:val="center"/>
          </w:tcPr>
          <w:p w14:paraId="402FEC9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2169B4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2E989BD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33.3</w:t>
            </w:r>
          </w:p>
        </w:tc>
        <w:tc>
          <w:tcPr>
            <w:tcW w:w="1500" w:type="dxa"/>
            <w:shd w:val="clear" w:color="auto" w:fill="auto"/>
            <w:vAlign w:val="center"/>
          </w:tcPr>
          <w:p w14:paraId="4CFAD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4CE380CE">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2E95D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199B97A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2025-06-16</w:t>
            </w:r>
          </w:p>
        </w:tc>
      </w:tr>
      <w:tr w14:paraId="599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756AD5E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2025-06-25</w:t>
            </w:r>
          </w:p>
        </w:tc>
        <w:tc>
          <w:tcPr>
            <w:tcW w:w="1080" w:type="dxa"/>
            <w:shd w:val="clear" w:color="auto" w:fill="auto"/>
            <w:vAlign w:val="top"/>
          </w:tcPr>
          <w:p w14:paraId="1214EF3C">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77BDF90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20253307032303</w:t>
            </w:r>
          </w:p>
        </w:tc>
        <w:tc>
          <w:tcPr>
            <w:tcW w:w="1500" w:type="dxa"/>
            <w:shd w:val="clear" w:color="auto" w:fill="auto"/>
            <w:vAlign w:val="center"/>
          </w:tcPr>
          <w:p w14:paraId="54A1F6D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6D27C1E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75882F44">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33.22</w:t>
            </w:r>
          </w:p>
        </w:tc>
        <w:tc>
          <w:tcPr>
            <w:tcW w:w="1500" w:type="dxa"/>
            <w:shd w:val="clear" w:color="auto" w:fill="auto"/>
            <w:vAlign w:val="center"/>
          </w:tcPr>
          <w:p w14:paraId="0815A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5F12793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4C85C3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7EB9C9B6">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2025-06-27</w:t>
            </w:r>
          </w:p>
        </w:tc>
      </w:tr>
      <w:tr w14:paraId="4A6B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38FF76F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2025-07-05</w:t>
            </w:r>
          </w:p>
        </w:tc>
        <w:tc>
          <w:tcPr>
            <w:tcW w:w="1080" w:type="dxa"/>
            <w:shd w:val="clear" w:color="auto" w:fill="auto"/>
            <w:vAlign w:val="top"/>
          </w:tcPr>
          <w:p w14:paraId="250635D2">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0DAC9788">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20253307034265</w:t>
            </w:r>
          </w:p>
        </w:tc>
        <w:tc>
          <w:tcPr>
            <w:tcW w:w="1500" w:type="dxa"/>
            <w:shd w:val="clear" w:color="auto" w:fill="auto"/>
            <w:vAlign w:val="center"/>
          </w:tcPr>
          <w:p w14:paraId="57335DE0">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7D3A505C">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3267D93E">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33.1</w:t>
            </w:r>
          </w:p>
        </w:tc>
        <w:tc>
          <w:tcPr>
            <w:tcW w:w="1500" w:type="dxa"/>
            <w:shd w:val="clear" w:color="auto" w:fill="auto"/>
            <w:vAlign w:val="center"/>
          </w:tcPr>
          <w:p w14:paraId="4D439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1B390332">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75153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15F3032A">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2025-07-07</w:t>
            </w:r>
          </w:p>
        </w:tc>
      </w:tr>
      <w:tr w14:paraId="491B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1B7C24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2025-07-15</w:t>
            </w:r>
          </w:p>
        </w:tc>
        <w:tc>
          <w:tcPr>
            <w:tcW w:w="1080" w:type="dxa"/>
            <w:shd w:val="clear" w:color="auto" w:fill="auto"/>
            <w:vAlign w:val="top"/>
          </w:tcPr>
          <w:p w14:paraId="2E724AEE">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35" w:type="dxa"/>
            <w:shd w:val="clear" w:color="auto" w:fill="auto"/>
            <w:vAlign w:val="center"/>
          </w:tcPr>
          <w:p w14:paraId="4CA76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20253307036627</w:t>
            </w:r>
          </w:p>
        </w:tc>
        <w:tc>
          <w:tcPr>
            <w:tcW w:w="1500" w:type="dxa"/>
            <w:shd w:val="clear" w:color="auto" w:fill="auto"/>
            <w:vAlign w:val="center"/>
          </w:tcPr>
          <w:p w14:paraId="23D9E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EE06F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2CCFB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32.78</w:t>
            </w:r>
          </w:p>
        </w:tc>
        <w:tc>
          <w:tcPr>
            <w:tcW w:w="1500" w:type="dxa"/>
            <w:shd w:val="clear" w:color="auto" w:fill="auto"/>
            <w:vAlign w:val="center"/>
          </w:tcPr>
          <w:p w14:paraId="1838D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4B6FE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48A60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7B45A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2025-07-17</w:t>
            </w:r>
          </w:p>
        </w:tc>
      </w:tr>
      <w:tr w14:paraId="73BB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2D88D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1080" w:type="dxa"/>
            <w:shd w:val="clear" w:color="auto" w:fill="auto"/>
            <w:vAlign w:val="top"/>
          </w:tcPr>
          <w:p w14:paraId="032CF8B4">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35" w:type="dxa"/>
            <w:shd w:val="clear" w:color="auto" w:fill="auto"/>
            <w:vAlign w:val="center"/>
          </w:tcPr>
          <w:p w14:paraId="465B6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20253307038364</w:t>
            </w:r>
          </w:p>
        </w:tc>
        <w:tc>
          <w:tcPr>
            <w:tcW w:w="1500" w:type="dxa"/>
            <w:shd w:val="clear" w:color="auto" w:fill="auto"/>
            <w:vAlign w:val="center"/>
          </w:tcPr>
          <w:p w14:paraId="26324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52D02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2F681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33.14</w:t>
            </w:r>
          </w:p>
        </w:tc>
        <w:tc>
          <w:tcPr>
            <w:tcW w:w="1500" w:type="dxa"/>
            <w:shd w:val="clear" w:color="auto" w:fill="auto"/>
            <w:vAlign w:val="center"/>
          </w:tcPr>
          <w:p w14:paraId="4CA911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67176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5B5E2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71FE6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2025-07-24</w:t>
            </w:r>
          </w:p>
        </w:tc>
      </w:tr>
      <w:tr w14:paraId="65C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280C6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2025-08-16</w:t>
            </w:r>
          </w:p>
        </w:tc>
        <w:tc>
          <w:tcPr>
            <w:tcW w:w="1080" w:type="dxa"/>
            <w:shd w:val="clear" w:color="auto" w:fill="auto"/>
            <w:vAlign w:val="top"/>
          </w:tcPr>
          <w:p w14:paraId="0AAAA605">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35" w:type="dxa"/>
            <w:shd w:val="clear" w:color="auto" w:fill="auto"/>
            <w:vAlign w:val="center"/>
          </w:tcPr>
          <w:p w14:paraId="21E77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20253307042864</w:t>
            </w:r>
          </w:p>
        </w:tc>
        <w:tc>
          <w:tcPr>
            <w:tcW w:w="1500" w:type="dxa"/>
            <w:shd w:val="clear" w:color="auto" w:fill="auto"/>
            <w:vAlign w:val="center"/>
          </w:tcPr>
          <w:p w14:paraId="64A07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4F64D5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52F3A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32.88</w:t>
            </w:r>
          </w:p>
        </w:tc>
        <w:tc>
          <w:tcPr>
            <w:tcW w:w="1500" w:type="dxa"/>
            <w:shd w:val="clear" w:color="auto" w:fill="auto"/>
            <w:vAlign w:val="center"/>
          </w:tcPr>
          <w:p w14:paraId="65650D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6AF27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19424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68F46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r>
      <w:tr w14:paraId="4386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122FF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1080" w:type="dxa"/>
            <w:shd w:val="clear" w:color="auto" w:fill="auto"/>
            <w:vAlign w:val="top"/>
          </w:tcPr>
          <w:p w14:paraId="17DA13DA">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35" w:type="dxa"/>
            <w:shd w:val="clear" w:color="auto" w:fill="auto"/>
            <w:vAlign w:val="center"/>
          </w:tcPr>
          <w:p w14:paraId="6B151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20253307044160</w:t>
            </w:r>
          </w:p>
        </w:tc>
        <w:tc>
          <w:tcPr>
            <w:tcW w:w="1500" w:type="dxa"/>
            <w:shd w:val="clear" w:color="auto" w:fill="auto"/>
            <w:vAlign w:val="center"/>
          </w:tcPr>
          <w:p w14:paraId="0E1FF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2B6D73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7517BF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33.18</w:t>
            </w:r>
          </w:p>
        </w:tc>
        <w:tc>
          <w:tcPr>
            <w:tcW w:w="1500" w:type="dxa"/>
            <w:shd w:val="clear" w:color="auto" w:fill="auto"/>
            <w:vAlign w:val="center"/>
          </w:tcPr>
          <w:p w14:paraId="45FC8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75EA5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苏J86652</w:t>
            </w:r>
          </w:p>
        </w:tc>
        <w:tc>
          <w:tcPr>
            <w:tcW w:w="1905" w:type="dxa"/>
            <w:vAlign w:val="center"/>
          </w:tcPr>
          <w:p w14:paraId="5D0EB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5800E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r>
      <w:tr w14:paraId="73F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3C203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1080" w:type="dxa"/>
            <w:shd w:val="clear" w:color="auto" w:fill="auto"/>
            <w:vAlign w:val="top"/>
          </w:tcPr>
          <w:p w14:paraId="198598FC">
            <w:pPr>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1935" w:type="dxa"/>
            <w:shd w:val="clear" w:color="auto" w:fill="auto"/>
            <w:vAlign w:val="center"/>
          </w:tcPr>
          <w:p w14:paraId="3350E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20253307048303</w:t>
            </w:r>
          </w:p>
        </w:tc>
        <w:tc>
          <w:tcPr>
            <w:tcW w:w="1500" w:type="dxa"/>
            <w:shd w:val="clear" w:color="auto" w:fill="auto"/>
            <w:vAlign w:val="center"/>
          </w:tcPr>
          <w:p w14:paraId="6E320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45838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6FDE4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31.68</w:t>
            </w:r>
          </w:p>
        </w:tc>
        <w:tc>
          <w:tcPr>
            <w:tcW w:w="1500" w:type="dxa"/>
            <w:shd w:val="clear" w:color="auto" w:fill="auto"/>
            <w:vAlign w:val="center"/>
          </w:tcPr>
          <w:p w14:paraId="38BE1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37C47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苏JN5911</w:t>
            </w:r>
          </w:p>
        </w:tc>
        <w:tc>
          <w:tcPr>
            <w:tcW w:w="1905" w:type="dxa"/>
            <w:vAlign w:val="center"/>
          </w:tcPr>
          <w:p w14:paraId="6BA10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410BC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r>
      <w:tr w14:paraId="430C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3" w:type="dxa"/>
            <w:shd w:val="clear" w:color="auto" w:fill="auto"/>
            <w:vAlign w:val="center"/>
          </w:tcPr>
          <w:p w14:paraId="543BE49B">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2025-09-26</w:t>
            </w:r>
          </w:p>
        </w:tc>
        <w:tc>
          <w:tcPr>
            <w:tcW w:w="1080" w:type="dxa"/>
            <w:shd w:val="clear" w:color="auto" w:fill="auto"/>
            <w:vAlign w:val="top"/>
          </w:tcPr>
          <w:p w14:paraId="29EEDBD1">
            <w:p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935" w:type="dxa"/>
            <w:shd w:val="clear" w:color="auto" w:fill="auto"/>
            <w:vAlign w:val="center"/>
          </w:tcPr>
          <w:p w14:paraId="219DFBA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20253307050380</w:t>
            </w:r>
          </w:p>
        </w:tc>
        <w:tc>
          <w:tcPr>
            <w:tcW w:w="1500" w:type="dxa"/>
            <w:shd w:val="clear" w:color="auto" w:fill="auto"/>
            <w:vAlign w:val="center"/>
          </w:tcPr>
          <w:p w14:paraId="6091DED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废矿物油</w:t>
            </w:r>
          </w:p>
        </w:tc>
        <w:tc>
          <w:tcPr>
            <w:tcW w:w="1485" w:type="dxa"/>
            <w:shd w:val="clear" w:color="auto" w:fill="auto"/>
            <w:vAlign w:val="center"/>
          </w:tcPr>
          <w:p w14:paraId="3EC9E24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900-214-08</w:t>
            </w:r>
          </w:p>
        </w:tc>
        <w:tc>
          <w:tcPr>
            <w:tcW w:w="1365" w:type="dxa"/>
            <w:shd w:val="clear" w:color="auto" w:fill="auto"/>
            <w:vAlign w:val="center"/>
          </w:tcPr>
          <w:p w14:paraId="2E42E463">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32.22</w:t>
            </w:r>
          </w:p>
        </w:tc>
        <w:tc>
          <w:tcPr>
            <w:tcW w:w="1500" w:type="dxa"/>
            <w:shd w:val="clear" w:color="auto" w:fill="auto"/>
            <w:vAlign w:val="center"/>
          </w:tcPr>
          <w:p w14:paraId="4208D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江苏神华物流有限公司</w:t>
            </w:r>
          </w:p>
        </w:tc>
        <w:tc>
          <w:tcPr>
            <w:tcW w:w="1245" w:type="dxa"/>
            <w:vAlign w:val="center"/>
          </w:tcPr>
          <w:p w14:paraId="70CA0875">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苏JN5911</w:t>
            </w:r>
          </w:p>
        </w:tc>
        <w:tc>
          <w:tcPr>
            <w:tcW w:w="1905" w:type="dxa"/>
            <w:vAlign w:val="center"/>
          </w:tcPr>
          <w:p w14:paraId="702F0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常州菲纳斯能源科技有限公司</w:t>
            </w:r>
          </w:p>
        </w:tc>
        <w:tc>
          <w:tcPr>
            <w:tcW w:w="1470" w:type="dxa"/>
            <w:vAlign w:val="center"/>
          </w:tcPr>
          <w:p w14:paraId="1365738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2025-09-28</w:t>
            </w:r>
          </w:p>
        </w:tc>
      </w:tr>
      <w:tr w14:paraId="3EB0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463" w:type="dxa"/>
            <w:gridSpan w:val="5"/>
            <w:shd w:val="clear" w:color="auto" w:fill="auto"/>
            <w:vAlign w:val="top"/>
          </w:tcPr>
          <w:p w14:paraId="7CB7CBC6">
            <w:pPr>
              <w:jc w:val="center"/>
              <w:rPr>
                <w:rFonts w:hint="eastAsia" w:ascii="宋体" w:hAnsi="宋体" w:eastAsia="宋体" w:cs="宋体"/>
                <w:lang w:val="en-US" w:eastAsia="zh-CN"/>
              </w:rPr>
            </w:pPr>
            <w:r>
              <w:rPr>
                <w:rFonts w:hint="eastAsia" w:ascii="宋体" w:hAnsi="宋体" w:eastAsia="宋体" w:cs="宋体"/>
                <w:lang w:val="en-US" w:eastAsia="zh-CN"/>
              </w:rPr>
              <w:t>合计：</w:t>
            </w:r>
          </w:p>
        </w:tc>
        <w:tc>
          <w:tcPr>
            <w:tcW w:w="1365" w:type="dxa"/>
            <w:shd w:val="clear" w:color="auto" w:fill="auto"/>
            <w:vAlign w:val="top"/>
          </w:tcPr>
          <w:p w14:paraId="49063722">
            <w:pPr>
              <w:jc w:val="center"/>
              <w:rPr>
                <w:rFonts w:hint="default" w:ascii="宋体" w:hAnsi="宋体" w:eastAsia="宋体" w:cs="宋体"/>
                <w:lang w:val="en-US" w:eastAsia="zh-CN"/>
              </w:rPr>
            </w:pPr>
            <w:r>
              <w:rPr>
                <w:rFonts w:hint="eastAsia" w:ascii="宋体" w:hAnsi="宋体" w:cs="宋体"/>
                <w:lang w:val="en-US" w:eastAsia="zh-CN"/>
              </w:rPr>
              <w:t>457.32</w:t>
            </w:r>
          </w:p>
        </w:tc>
        <w:tc>
          <w:tcPr>
            <w:tcW w:w="1500" w:type="dxa"/>
            <w:shd w:val="clear" w:color="auto" w:fill="auto"/>
            <w:vAlign w:val="top"/>
          </w:tcPr>
          <w:p w14:paraId="38830DB6">
            <w:pPr>
              <w:jc w:val="left"/>
              <w:rPr>
                <w:rFonts w:hint="eastAsia" w:ascii="宋体" w:hAnsi="宋体" w:eastAsia="宋体" w:cs="宋体"/>
              </w:rPr>
            </w:pPr>
          </w:p>
        </w:tc>
        <w:tc>
          <w:tcPr>
            <w:tcW w:w="1245" w:type="dxa"/>
            <w:vAlign w:val="top"/>
          </w:tcPr>
          <w:p w14:paraId="4D3E667E">
            <w:pPr>
              <w:jc w:val="left"/>
              <w:rPr>
                <w:rFonts w:hint="eastAsia" w:ascii="宋体" w:hAnsi="宋体" w:eastAsia="宋体" w:cs="宋体"/>
              </w:rPr>
            </w:pPr>
          </w:p>
        </w:tc>
        <w:tc>
          <w:tcPr>
            <w:tcW w:w="1905" w:type="dxa"/>
            <w:vAlign w:val="top"/>
          </w:tcPr>
          <w:p w14:paraId="5A42210B">
            <w:pPr>
              <w:jc w:val="left"/>
              <w:rPr>
                <w:rFonts w:hint="eastAsia" w:ascii="宋体" w:hAnsi="宋体" w:eastAsia="宋体" w:cs="宋体"/>
              </w:rPr>
            </w:pPr>
          </w:p>
        </w:tc>
        <w:tc>
          <w:tcPr>
            <w:tcW w:w="1470" w:type="dxa"/>
            <w:vAlign w:val="top"/>
          </w:tcPr>
          <w:p w14:paraId="50B42CDD">
            <w:pPr>
              <w:jc w:val="left"/>
              <w:rPr>
                <w:rFonts w:hint="eastAsia" w:ascii="宋体" w:hAnsi="宋体" w:eastAsia="宋体" w:cs="宋体"/>
              </w:rPr>
            </w:pPr>
          </w:p>
        </w:tc>
      </w:tr>
    </w:tbl>
    <w:p w14:paraId="49797F41">
      <w:pPr>
        <w:spacing w:line="440" w:lineRule="exact"/>
        <w:jc w:val="left"/>
        <w:rPr>
          <w:rFonts w:ascii="Times New Roman"/>
        </w:rPr>
      </w:pPr>
      <w:r>
        <w:rPr>
          <w:rFonts w:ascii="Times New Roman"/>
        </w:rPr>
        <w:t>注：每种废物请填写合计量</w:t>
      </w:r>
      <w:r>
        <w:rPr>
          <w:rFonts w:hint="eastAsia" w:ascii="Times New Roman"/>
          <w:lang w:val="en-US" w:eastAsia="zh-CN"/>
        </w:rPr>
        <w:t xml:space="preserve">           </w:t>
      </w:r>
      <w:r>
        <w:rPr>
          <w:rFonts w:ascii="Times New Roman"/>
        </w:rPr>
        <w:t>首次申请不需填写</w:t>
      </w:r>
    </w:p>
    <w:sectPr>
      <w:pgSz w:w="16838" w:h="11906" w:orient="landscape"/>
      <w:pgMar w:top="757" w:right="1440" w:bottom="9"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3C004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SOF7FC4CF2A">
    <w:panose1 w:val="020B0604020202020204"/>
    <w:charset w:val="00"/>
    <w:family w:val="auto"/>
    <w:pitch w:val="default"/>
    <w:sig w:usb0="00000001" w:usb1="00000000" w:usb2="00000000" w:usb3="00000000" w:csb0="0000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C612411"/>
    <w:multiLevelType w:val="singleLevel"/>
    <w:tmpl w:val="4C612411"/>
    <w:lvl w:ilvl="0" w:tentative="0">
      <w:start w:val="4"/>
      <w:numFmt w:val="upperLetter"/>
      <w:suff w:val="nothing"/>
      <w:lvlText w:val="%1、"/>
      <w:lvlJc w:val="left"/>
      <w:pPr>
        <w:ind w:left="52"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zg3ZjJkMGI2ZjBmNGQzOTQyYWM4MDIxMmM3NDQifQ=="/>
  </w:docVars>
  <w:rsids>
    <w:rsidRoot w:val="00513EC0"/>
    <w:rsid w:val="00000BBF"/>
    <w:rsid w:val="00000E90"/>
    <w:rsid w:val="00007DBF"/>
    <w:rsid w:val="00017FC7"/>
    <w:rsid w:val="00021CE0"/>
    <w:rsid w:val="00027076"/>
    <w:rsid w:val="00032D57"/>
    <w:rsid w:val="00043422"/>
    <w:rsid w:val="000443D1"/>
    <w:rsid w:val="000919BD"/>
    <w:rsid w:val="000B1B33"/>
    <w:rsid w:val="000B6F71"/>
    <w:rsid w:val="000C1ECB"/>
    <w:rsid w:val="000D21D6"/>
    <w:rsid w:val="000D35F1"/>
    <w:rsid w:val="000F2298"/>
    <w:rsid w:val="000F7C39"/>
    <w:rsid w:val="00105FDD"/>
    <w:rsid w:val="00126937"/>
    <w:rsid w:val="00126B36"/>
    <w:rsid w:val="0014452C"/>
    <w:rsid w:val="00147B3C"/>
    <w:rsid w:val="001511A2"/>
    <w:rsid w:val="00160C8B"/>
    <w:rsid w:val="00166F7C"/>
    <w:rsid w:val="00192431"/>
    <w:rsid w:val="0019689B"/>
    <w:rsid w:val="001A5ED9"/>
    <w:rsid w:val="001B102A"/>
    <w:rsid w:val="001B3625"/>
    <w:rsid w:val="001B487D"/>
    <w:rsid w:val="001B5962"/>
    <w:rsid w:val="001B75E2"/>
    <w:rsid w:val="001B79BA"/>
    <w:rsid w:val="001C1090"/>
    <w:rsid w:val="001C4293"/>
    <w:rsid w:val="001C7CDF"/>
    <w:rsid w:val="001D4BC0"/>
    <w:rsid w:val="001E0A6B"/>
    <w:rsid w:val="001F1AB7"/>
    <w:rsid w:val="001F5901"/>
    <w:rsid w:val="00200D22"/>
    <w:rsid w:val="00207B7D"/>
    <w:rsid w:val="00207ED9"/>
    <w:rsid w:val="0021641B"/>
    <w:rsid w:val="002173E1"/>
    <w:rsid w:val="00222FD3"/>
    <w:rsid w:val="0023693D"/>
    <w:rsid w:val="002374CD"/>
    <w:rsid w:val="00241377"/>
    <w:rsid w:val="00250209"/>
    <w:rsid w:val="00254134"/>
    <w:rsid w:val="00255065"/>
    <w:rsid w:val="0026689F"/>
    <w:rsid w:val="002733FD"/>
    <w:rsid w:val="00285E97"/>
    <w:rsid w:val="00291966"/>
    <w:rsid w:val="002A48F9"/>
    <w:rsid w:val="002A5CEA"/>
    <w:rsid w:val="002A6FDB"/>
    <w:rsid w:val="002B2ADF"/>
    <w:rsid w:val="002B33DF"/>
    <w:rsid w:val="002B53B7"/>
    <w:rsid w:val="002B7A71"/>
    <w:rsid w:val="002C6403"/>
    <w:rsid w:val="002F0B97"/>
    <w:rsid w:val="002F6BDB"/>
    <w:rsid w:val="00300F4A"/>
    <w:rsid w:val="003048E9"/>
    <w:rsid w:val="003148A5"/>
    <w:rsid w:val="00317747"/>
    <w:rsid w:val="00321F99"/>
    <w:rsid w:val="00334566"/>
    <w:rsid w:val="00336EB5"/>
    <w:rsid w:val="00352174"/>
    <w:rsid w:val="00355ECB"/>
    <w:rsid w:val="00361393"/>
    <w:rsid w:val="00361720"/>
    <w:rsid w:val="00362BF6"/>
    <w:rsid w:val="003657E7"/>
    <w:rsid w:val="003735AE"/>
    <w:rsid w:val="00373E82"/>
    <w:rsid w:val="003854DB"/>
    <w:rsid w:val="00393A31"/>
    <w:rsid w:val="003A57B5"/>
    <w:rsid w:val="003C3820"/>
    <w:rsid w:val="003C7894"/>
    <w:rsid w:val="003F094C"/>
    <w:rsid w:val="003F5AD9"/>
    <w:rsid w:val="003F5AE3"/>
    <w:rsid w:val="004021E8"/>
    <w:rsid w:val="004043BE"/>
    <w:rsid w:val="004054EB"/>
    <w:rsid w:val="0040639F"/>
    <w:rsid w:val="00415E26"/>
    <w:rsid w:val="00423CE0"/>
    <w:rsid w:val="0042734B"/>
    <w:rsid w:val="0042773D"/>
    <w:rsid w:val="004336C7"/>
    <w:rsid w:val="0044064F"/>
    <w:rsid w:val="00447E1C"/>
    <w:rsid w:val="004515DE"/>
    <w:rsid w:val="004572EB"/>
    <w:rsid w:val="00482662"/>
    <w:rsid w:val="004853E4"/>
    <w:rsid w:val="00485D9F"/>
    <w:rsid w:val="004945E2"/>
    <w:rsid w:val="004969E8"/>
    <w:rsid w:val="004E06AB"/>
    <w:rsid w:val="004E1C81"/>
    <w:rsid w:val="004F2E3F"/>
    <w:rsid w:val="004F6AD9"/>
    <w:rsid w:val="005078A6"/>
    <w:rsid w:val="005110B2"/>
    <w:rsid w:val="00512B7C"/>
    <w:rsid w:val="00513EC0"/>
    <w:rsid w:val="005174FE"/>
    <w:rsid w:val="005510D6"/>
    <w:rsid w:val="005510E1"/>
    <w:rsid w:val="005542B2"/>
    <w:rsid w:val="00560A1E"/>
    <w:rsid w:val="005646C6"/>
    <w:rsid w:val="00575708"/>
    <w:rsid w:val="00576C93"/>
    <w:rsid w:val="00593AD5"/>
    <w:rsid w:val="005A6A10"/>
    <w:rsid w:val="005D5C2E"/>
    <w:rsid w:val="005D68CF"/>
    <w:rsid w:val="005D7878"/>
    <w:rsid w:val="005F4DA8"/>
    <w:rsid w:val="006031BE"/>
    <w:rsid w:val="00606239"/>
    <w:rsid w:val="00610579"/>
    <w:rsid w:val="00627A6D"/>
    <w:rsid w:val="00635E3D"/>
    <w:rsid w:val="00640D16"/>
    <w:rsid w:val="00644237"/>
    <w:rsid w:val="00645E31"/>
    <w:rsid w:val="006461CF"/>
    <w:rsid w:val="00647E0E"/>
    <w:rsid w:val="00650FA2"/>
    <w:rsid w:val="00661DE7"/>
    <w:rsid w:val="00667529"/>
    <w:rsid w:val="00676D55"/>
    <w:rsid w:val="00683B0C"/>
    <w:rsid w:val="0068749D"/>
    <w:rsid w:val="00687919"/>
    <w:rsid w:val="006B37CF"/>
    <w:rsid w:val="006B4111"/>
    <w:rsid w:val="006B6180"/>
    <w:rsid w:val="006C152D"/>
    <w:rsid w:val="006C7F51"/>
    <w:rsid w:val="006F59F0"/>
    <w:rsid w:val="00710246"/>
    <w:rsid w:val="00710CD7"/>
    <w:rsid w:val="00715F8C"/>
    <w:rsid w:val="007222A9"/>
    <w:rsid w:val="007226B8"/>
    <w:rsid w:val="00732803"/>
    <w:rsid w:val="00734CDF"/>
    <w:rsid w:val="00735F58"/>
    <w:rsid w:val="007361CF"/>
    <w:rsid w:val="00741BE1"/>
    <w:rsid w:val="007573B9"/>
    <w:rsid w:val="00775203"/>
    <w:rsid w:val="00785914"/>
    <w:rsid w:val="007933AB"/>
    <w:rsid w:val="0079387E"/>
    <w:rsid w:val="00796726"/>
    <w:rsid w:val="007A30BE"/>
    <w:rsid w:val="007B0117"/>
    <w:rsid w:val="007B77B0"/>
    <w:rsid w:val="007C36F4"/>
    <w:rsid w:val="007C6333"/>
    <w:rsid w:val="007D1710"/>
    <w:rsid w:val="007D44CE"/>
    <w:rsid w:val="007E3213"/>
    <w:rsid w:val="007E3FD2"/>
    <w:rsid w:val="007E5228"/>
    <w:rsid w:val="008103B4"/>
    <w:rsid w:val="00814B23"/>
    <w:rsid w:val="00821B8F"/>
    <w:rsid w:val="00821DAF"/>
    <w:rsid w:val="00823D5E"/>
    <w:rsid w:val="00830D66"/>
    <w:rsid w:val="00835F45"/>
    <w:rsid w:val="00860475"/>
    <w:rsid w:val="008646DA"/>
    <w:rsid w:val="00872D75"/>
    <w:rsid w:val="00886A9F"/>
    <w:rsid w:val="00886F6F"/>
    <w:rsid w:val="00895392"/>
    <w:rsid w:val="008958B2"/>
    <w:rsid w:val="00896E96"/>
    <w:rsid w:val="008A087F"/>
    <w:rsid w:val="008B4188"/>
    <w:rsid w:val="008B6F28"/>
    <w:rsid w:val="008C1D8D"/>
    <w:rsid w:val="008D0278"/>
    <w:rsid w:val="008D3DBE"/>
    <w:rsid w:val="008D67BC"/>
    <w:rsid w:val="008E228C"/>
    <w:rsid w:val="008E6C24"/>
    <w:rsid w:val="00912642"/>
    <w:rsid w:val="009240AC"/>
    <w:rsid w:val="00925004"/>
    <w:rsid w:val="009331E1"/>
    <w:rsid w:val="0093539F"/>
    <w:rsid w:val="009462B5"/>
    <w:rsid w:val="0098563C"/>
    <w:rsid w:val="00994730"/>
    <w:rsid w:val="009A030E"/>
    <w:rsid w:val="009A4FBD"/>
    <w:rsid w:val="009A51A6"/>
    <w:rsid w:val="009A7F75"/>
    <w:rsid w:val="009D47F8"/>
    <w:rsid w:val="009D6467"/>
    <w:rsid w:val="009D7EE4"/>
    <w:rsid w:val="009F3A6B"/>
    <w:rsid w:val="009F780D"/>
    <w:rsid w:val="00A025BE"/>
    <w:rsid w:val="00A033C7"/>
    <w:rsid w:val="00A07EF2"/>
    <w:rsid w:val="00A21621"/>
    <w:rsid w:val="00A22006"/>
    <w:rsid w:val="00A220CE"/>
    <w:rsid w:val="00A23239"/>
    <w:rsid w:val="00A35B5C"/>
    <w:rsid w:val="00A4364D"/>
    <w:rsid w:val="00A50BDE"/>
    <w:rsid w:val="00A5276F"/>
    <w:rsid w:val="00A539AB"/>
    <w:rsid w:val="00A64906"/>
    <w:rsid w:val="00A6700A"/>
    <w:rsid w:val="00A7233D"/>
    <w:rsid w:val="00A72679"/>
    <w:rsid w:val="00A93A49"/>
    <w:rsid w:val="00AA03F0"/>
    <w:rsid w:val="00AA0C4E"/>
    <w:rsid w:val="00AC29A2"/>
    <w:rsid w:val="00AD5E55"/>
    <w:rsid w:val="00AE2536"/>
    <w:rsid w:val="00AF6B52"/>
    <w:rsid w:val="00AF6CC7"/>
    <w:rsid w:val="00B12771"/>
    <w:rsid w:val="00B12B5B"/>
    <w:rsid w:val="00B17578"/>
    <w:rsid w:val="00B41C2B"/>
    <w:rsid w:val="00B602C6"/>
    <w:rsid w:val="00B61679"/>
    <w:rsid w:val="00B758BB"/>
    <w:rsid w:val="00B80E5F"/>
    <w:rsid w:val="00B92695"/>
    <w:rsid w:val="00B94005"/>
    <w:rsid w:val="00BB01C8"/>
    <w:rsid w:val="00BC108A"/>
    <w:rsid w:val="00BD09D2"/>
    <w:rsid w:val="00BF6889"/>
    <w:rsid w:val="00C06E74"/>
    <w:rsid w:val="00C0779D"/>
    <w:rsid w:val="00C11A05"/>
    <w:rsid w:val="00C12BD7"/>
    <w:rsid w:val="00C31E8E"/>
    <w:rsid w:val="00C33AF6"/>
    <w:rsid w:val="00C34EE6"/>
    <w:rsid w:val="00C36A96"/>
    <w:rsid w:val="00C44C4F"/>
    <w:rsid w:val="00C47C96"/>
    <w:rsid w:val="00C578AE"/>
    <w:rsid w:val="00C71580"/>
    <w:rsid w:val="00C71FE8"/>
    <w:rsid w:val="00C81F35"/>
    <w:rsid w:val="00C91773"/>
    <w:rsid w:val="00CA6E9A"/>
    <w:rsid w:val="00CC2FCC"/>
    <w:rsid w:val="00CD0057"/>
    <w:rsid w:val="00CD5F3F"/>
    <w:rsid w:val="00CE1029"/>
    <w:rsid w:val="00CE75CF"/>
    <w:rsid w:val="00CF0253"/>
    <w:rsid w:val="00CF4AF9"/>
    <w:rsid w:val="00CF51C3"/>
    <w:rsid w:val="00D3037D"/>
    <w:rsid w:val="00D3108B"/>
    <w:rsid w:val="00D443E5"/>
    <w:rsid w:val="00D51358"/>
    <w:rsid w:val="00D61851"/>
    <w:rsid w:val="00D658AA"/>
    <w:rsid w:val="00D76B45"/>
    <w:rsid w:val="00D777E9"/>
    <w:rsid w:val="00D85F61"/>
    <w:rsid w:val="00D876F0"/>
    <w:rsid w:val="00D90DEC"/>
    <w:rsid w:val="00D91A52"/>
    <w:rsid w:val="00DA2FE9"/>
    <w:rsid w:val="00DB0054"/>
    <w:rsid w:val="00DB40E1"/>
    <w:rsid w:val="00DB430D"/>
    <w:rsid w:val="00DB4D9A"/>
    <w:rsid w:val="00DC5324"/>
    <w:rsid w:val="00DC6934"/>
    <w:rsid w:val="00DD64E5"/>
    <w:rsid w:val="00DF1279"/>
    <w:rsid w:val="00DF7E0D"/>
    <w:rsid w:val="00E029E3"/>
    <w:rsid w:val="00E03C23"/>
    <w:rsid w:val="00E06953"/>
    <w:rsid w:val="00E1171C"/>
    <w:rsid w:val="00E30BE1"/>
    <w:rsid w:val="00E33BF2"/>
    <w:rsid w:val="00E4195E"/>
    <w:rsid w:val="00E42A47"/>
    <w:rsid w:val="00E521B8"/>
    <w:rsid w:val="00E54D24"/>
    <w:rsid w:val="00E56996"/>
    <w:rsid w:val="00E62466"/>
    <w:rsid w:val="00E66432"/>
    <w:rsid w:val="00E71ED3"/>
    <w:rsid w:val="00E778A2"/>
    <w:rsid w:val="00E84148"/>
    <w:rsid w:val="00E87763"/>
    <w:rsid w:val="00E92B87"/>
    <w:rsid w:val="00E95267"/>
    <w:rsid w:val="00E952D0"/>
    <w:rsid w:val="00EA051E"/>
    <w:rsid w:val="00EA1241"/>
    <w:rsid w:val="00EA5992"/>
    <w:rsid w:val="00EA61BB"/>
    <w:rsid w:val="00EB0E22"/>
    <w:rsid w:val="00EB5066"/>
    <w:rsid w:val="00EC3F05"/>
    <w:rsid w:val="00ED5626"/>
    <w:rsid w:val="00ED68AF"/>
    <w:rsid w:val="00EE1472"/>
    <w:rsid w:val="00EE14CE"/>
    <w:rsid w:val="00EE6C27"/>
    <w:rsid w:val="00EE7DBE"/>
    <w:rsid w:val="00EF2566"/>
    <w:rsid w:val="00EF35DA"/>
    <w:rsid w:val="00F04045"/>
    <w:rsid w:val="00F21990"/>
    <w:rsid w:val="00F32ABE"/>
    <w:rsid w:val="00F52EAA"/>
    <w:rsid w:val="00F56852"/>
    <w:rsid w:val="00F6103B"/>
    <w:rsid w:val="00F617C0"/>
    <w:rsid w:val="00F63642"/>
    <w:rsid w:val="00F6457F"/>
    <w:rsid w:val="00F66F84"/>
    <w:rsid w:val="00F72B46"/>
    <w:rsid w:val="00F7601B"/>
    <w:rsid w:val="00F83281"/>
    <w:rsid w:val="00F84038"/>
    <w:rsid w:val="00F94D21"/>
    <w:rsid w:val="00FA2899"/>
    <w:rsid w:val="00FA6346"/>
    <w:rsid w:val="00FB4B6C"/>
    <w:rsid w:val="00FB678C"/>
    <w:rsid w:val="00FB6FE2"/>
    <w:rsid w:val="00FD69F7"/>
    <w:rsid w:val="00FE15EF"/>
    <w:rsid w:val="00FE1A84"/>
    <w:rsid w:val="00FE1FAD"/>
    <w:rsid w:val="017364EA"/>
    <w:rsid w:val="04BF763A"/>
    <w:rsid w:val="06361B7E"/>
    <w:rsid w:val="0C122745"/>
    <w:rsid w:val="0D46360C"/>
    <w:rsid w:val="0D690A8B"/>
    <w:rsid w:val="0DDB0848"/>
    <w:rsid w:val="10B4201D"/>
    <w:rsid w:val="112F78F5"/>
    <w:rsid w:val="114A310D"/>
    <w:rsid w:val="11655D89"/>
    <w:rsid w:val="141E2828"/>
    <w:rsid w:val="192E73D2"/>
    <w:rsid w:val="1A994485"/>
    <w:rsid w:val="1EEA64DC"/>
    <w:rsid w:val="222C0695"/>
    <w:rsid w:val="27356B4D"/>
    <w:rsid w:val="29E76B67"/>
    <w:rsid w:val="2CFC7176"/>
    <w:rsid w:val="2E5C5952"/>
    <w:rsid w:val="2F126434"/>
    <w:rsid w:val="2FED29FE"/>
    <w:rsid w:val="304450BD"/>
    <w:rsid w:val="3148438F"/>
    <w:rsid w:val="34D85646"/>
    <w:rsid w:val="38E87B14"/>
    <w:rsid w:val="3B7572E6"/>
    <w:rsid w:val="3B842468"/>
    <w:rsid w:val="3CB02AA4"/>
    <w:rsid w:val="46B75FF4"/>
    <w:rsid w:val="46C20DEE"/>
    <w:rsid w:val="4D043409"/>
    <w:rsid w:val="51136310"/>
    <w:rsid w:val="51265EF1"/>
    <w:rsid w:val="51F051FD"/>
    <w:rsid w:val="541A3B00"/>
    <w:rsid w:val="5536079B"/>
    <w:rsid w:val="58F30ABB"/>
    <w:rsid w:val="5B44265B"/>
    <w:rsid w:val="5FEA77BC"/>
    <w:rsid w:val="653B7642"/>
    <w:rsid w:val="66A15D14"/>
    <w:rsid w:val="6837248C"/>
    <w:rsid w:val="692247D5"/>
    <w:rsid w:val="69BB27C8"/>
    <w:rsid w:val="6BFC6366"/>
    <w:rsid w:val="6D9143ED"/>
    <w:rsid w:val="6E44337C"/>
    <w:rsid w:val="71002A90"/>
    <w:rsid w:val="72413B59"/>
    <w:rsid w:val="73FA2549"/>
    <w:rsid w:val="780F055A"/>
    <w:rsid w:val="787F6F4B"/>
    <w:rsid w:val="7E994F8E"/>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70" w:lineRule="exact"/>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Plain Text"/>
    <w:basedOn w:val="1"/>
    <w:link w:val="12"/>
    <w:autoRedefine/>
    <w:qFormat/>
    <w:uiPriority w:val="0"/>
    <w:pPr>
      <w:spacing w:line="240" w:lineRule="auto"/>
    </w:pPr>
    <w:rPr>
      <w:rFonts w:ascii="宋体" w:hAnsi="Courier New" w:cs="Courier New"/>
      <w:szCs w:val="21"/>
    </w:rPr>
  </w:style>
  <w:style w:type="paragraph" w:styleId="3">
    <w:name w:val="Balloon Text"/>
    <w:basedOn w:val="1"/>
    <w:link w:val="13"/>
    <w:autoRedefine/>
    <w:qFormat/>
    <w:uiPriority w:val="0"/>
    <w:pPr>
      <w:spacing w:line="240" w:lineRule="auto"/>
    </w:pPr>
    <w:rPr>
      <w:sz w:val="18"/>
      <w:szCs w:val="18"/>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character" w:styleId="9">
    <w:name w:val="Hyperlink"/>
    <w:basedOn w:val="8"/>
    <w:autoRedefine/>
    <w:qFormat/>
    <w:uiPriority w:val="0"/>
    <w:rPr>
      <w:color w:val="0000FF"/>
      <w:u w:val="single"/>
    </w:rPr>
  </w:style>
  <w:style w:type="character" w:customStyle="1" w:styleId="10">
    <w:name w:val="页眉 Char"/>
    <w:basedOn w:val="8"/>
    <w:link w:val="5"/>
    <w:autoRedefine/>
    <w:qFormat/>
    <w:uiPriority w:val="99"/>
    <w:rPr>
      <w:sz w:val="18"/>
      <w:szCs w:val="18"/>
    </w:rPr>
  </w:style>
  <w:style w:type="character" w:customStyle="1" w:styleId="11">
    <w:name w:val="页脚 Char"/>
    <w:basedOn w:val="8"/>
    <w:link w:val="4"/>
    <w:autoRedefine/>
    <w:qFormat/>
    <w:uiPriority w:val="99"/>
    <w:rPr>
      <w:sz w:val="18"/>
      <w:szCs w:val="18"/>
    </w:rPr>
  </w:style>
  <w:style w:type="character" w:customStyle="1" w:styleId="12">
    <w:name w:val="纯文本 Char"/>
    <w:basedOn w:val="8"/>
    <w:link w:val="2"/>
    <w:semiHidden/>
    <w:qFormat/>
    <w:uiPriority w:val="99"/>
    <w:rPr>
      <w:rFonts w:ascii="宋体" w:hAnsi="Courier New" w:eastAsia="宋体" w:cs="Courier New"/>
      <w:szCs w:val="21"/>
    </w:rPr>
  </w:style>
  <w:style w:type="character" w:customStyle="1" w:styleId="13">
    <w:name w:val="批注框文本 Char"/>
    <w:basedOn w:val="8"/>
    <w:link w:val="3"/>
    <w:autoRedefine/>
    <w:semiHidden/>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2267</Words>
  <Characters>2355</Characters>
  <Lines>38</Lines>
  <Paragraphs>10</Paragraphs>
  <TotalTime>20</TotalTime>
  <ScaleCrop>false</ScaleCrop>
  <LinksUpToDate>false</LinksUpToDate>
  <CharactersWithSpaces>2734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2018-04-18T05:28:00Z</dcterms:created>
  <dc:creator>acer</dc:creator>
  <cp:lastModifiedBy>可乐、</cp:lastModifiedBy>
  <cp:lastPrinted>2024-11-18T01:54:00Z</cp:lastPrinted>
  <dcterms:modified xsi:type="dcterms:W3CDTF">2026-01-22T08:00:45Z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DD54A21BABF74B81977FE79CA7BA8C3C_13</vt:lpwstr>
  </property>
  <property fmtid="{D5CDD505-2E9C-101B-9397-08002B2CF9AE}" pid="4" name="KSOTemplateDocerSaveRecord">
    <vt:lpwstr>eyJoZGlkIjoiYzdjNmYyOTQ1ZTkzZGY5ODAzM2FiZjg0NjY2MWExNTQiLCJ1c2VySWQiOiI0MjY0MjE0OTQifQ==</vt:lpwstr>
  </property>
</Properties>
</file>